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58D8A">
      <w:pPr>
        <w:jc w:val="center"/>
        <w:rPr>
          <w:rFonts w:ascii="黑体" w:hAnsi="黑体" w:eastAsia="黑体"/>
          <w:sz w:val="36"/>
          <w:szCs w:val="36"/>
          <w:highlight w:val="none"/>
        </w:rPr>
      </w:pPr>
      <w:r>
        <w:rPr>
          <w:rFonts w:hint="eastAsia" w:ascii="黑体" w:hAnsi="黑体" w:eastAsia="黑体"/>
          <w:sz w:val="36"/>
          <w:szCs w:val="36"/>
          <w:highlight w:val="none"/>
          <w:lang w:eastAsia="zh-CN"/>
        </w:rPr>
        <w:t>益常高速2026年涵洞定期检查及三叉河大桥特殊检测项目服务招标</w:t>
      </w:r>
      <w:r>
        <w:rPr>
          <w:rFonts w:ascii="黑体" w:hAnsi="黑体" w:eastAsia="黑体"/>
          <w:sz w:val="36"/>
          <w:szCs w:val="36"/>
          <w:highlight w:val="none"/>
        </w:rPr>
        <w:t>招标公告</w:t>
      </w:r>
    </w:p>
    <w:p w14:paraId="76BA98C8">
      <w:pPr>
        <w:rPr>
          <w:highlight w:val="none"/>
        </w:rPr>
      </w:pPr>
      <w:bookmarkStart w:id="0" w:name="_Toc510015649"/>
      <w:bookmarkStart w:id="1" w:name="_Toc503235714"/>
    </w:p>
    <w:p w14:paraId="72AB1940">
      <w:pPr>
        <w:rPr>
          <w:rFonts w:ascii="黑体" w:hAnsi="黑体" w:eastAsia="黑体"/>
          <w:sz w:val="28"/>
          <w:szCs w:val="28"/>
          <w:highlight w:val="none"/>
        </w:rPr>
      </w:pPr>
      <w:r>
        <w:rPr>
          <w:rFonts w:ascii="黑体" w:hAnsi="黑体" w:eastAsia="黑体"/>
          <w:sz w:val="28"/>
          <w:szCs w:val="28"/>
          <w:highlight w:val="none"/>
        </w:rPr>
        <w:t>1. 招标条件</w:t>
      </w:r>
      <w:bookmarkEnd w:id="0"/>
      <w:bookmarkEnd w:id="1"/>
    </w:p>
    <w:p w14:paraId="32618187">
      <w:pPr>
        <w:spacing w:line="440" w:lineRule="atLeast"/>
        <w:ind w:firstLine="480" w:firstLineChars="200"/>
        <w:rPr>
          <w:rFonts w:eastAsia="黑体"/>
          <w:bCs/>
          <w:sz w:val="22"/>
          <w:szCs w:val="22"/>
          <w:highlight w:val="none"/>
        </w:rPr>
      </w:pPr>
      <w:r>
        <w:rPr>
          <w:rFonts w:hint="eastAsia" w:ascii="宋体" w:hAnsi="宋体" w:cs="宋体"/>
          <w:sz w:val="24"/>
          <w:highlight w:val="none"/>
        </w:rPr>
        <w:t>本招标项目</w:t>
      </w:r>
      <w:r>
        <w:rPr>
          <w:rFonts w:hint="eastAsia" w:cs="宋体"/>
          <w:sz w:val="24"/>
          <w:highlight w:val="none"/>
          <w:u w:val="single"/>
          <w:lang w:eastAsia="zh-CN"/>
        </w:rPr>
        <w:t>益常高速2026年涵洞定期检查及三叉河大桥特殊检测项目服务招标</w:t>
      </w:r>
      <w:r>
        <w:rPr>
          <w:rFonts w:hint="eastAsia" w:cs="宋体"/>
          <w:sz w:val="24"/>
          <w:highlight w:val="none"/>
          <w:u w:val="single"/>
        </w:rPr>
        <w:t>项目</w:t>
      </w:r>
      <w:r>
        <w:rPr>
          <w:rFonts w:hint="eastAsia" w:ascii="宋体" w:hAnsi="宋体" w:cs="宋体"/>
          <w:sz w:val="24"/>
          <w:highlight w:val="none"/>
        </w:rPr>
        <w:t>（项目名称， 以下简称本项目）已由</w:t>
      </w:r>
      <w:r>
        <w:rPr>
          <w:rFonts w:hint="eastAsia" w:cs="宋体"/>
          <w:sz w:val="24"/>
          <w:highlight w:val="none"/>
          <w:u w:val="single"/>
          <w:lang w:eastAsia="zh-CN"/>
        </w:rPr>
        <w:t xml:space="preserve">湖南益常高速公路运营管理有限公司 </w:t>
      </w:r>
      <w:r>
        <w:rPr>
          <w:rFonts w:hint="eastAsia" w:cs="宋体"/>
          <w:sz w:val="24"/>
          <w:highlight w:val="none"/>
          <w:u w:val="single"/>
        </w:rPr>
        <w:t>董事会</w:t>
      </w:r>
      <w:r>
        <w:rPr>
          <w:rFonts w:hint="eastAsia" w:cs="宋体"/>
          <w:sz w:val="24"/>
          <w:highlight w:val="none"/>
        </w:rPr>
        <w:t>批准，</w:t>
      </w:r>
      <w:r>
        <w:rPr>
          <w:rFonts w:hint="eastAsia" w:ascii="宋体" w:hAnsi="宋体" w:cs="宋体"/>
          <w:sz w:val="24"/>
          <w:highlight w:val="none"/>
        </w:rPr>
        <w:t>建设资金来自</w:t>
      </w:r>
      <w:r>
        <w:rPr>
          <w:rFonts w:hint="eastAsia" w:cs="宋体"/>
          <w:sz w:val="24"/>
          <w:highlight w:val="none"/>
          <w:u w:val="single"/>
          <w:lang w:eastAsia="zh-CN"/>
        </w:rPr>
        <w:t xml:space="preserve">湖南益常高速公路运营管理有限公司 </w:t>
      </w:r>
      <w:r>
        <w:rPr>
          <w:rFonts w:hint="eastAsia" w:cs="宋体"/>
          <w:sz w:val="24"/>
          <w:highlight w:val="none"/>
          <w:u w:val="single"/>
        </w:rPr>
        <w:t>养护计划资金</w:t>
      </w:r>
      <w:r>
        <w:rPr>
          <w:rFonts w:hint="eastAsia" w:ascii="宋体" w:hAnsi="宋体" w:cs="宋体"/>
          <w:sz w:val="24"/>
          <w:highlight w:val="none"/>
        </w:rPr>
        <w:t>，招标人为</w:t>
      </w:r>
      <w:r>
        <w:rPr>
          <w:rFonts w:hint="eastAsia" w:ascii="宋体" w:hAnsi="宋体" w:cs="宋体"/>
          <w:sz w:val="24"/>
          <w:highlight w:val="none"/>
          <w:u w:val="single"/>
          <w:lang w:eastAsia="zh-CN"/>
        </w:rPr>
        <w:t xml:space="preserve">湖南益常高速公路运营管理有限公司 </w:t>
      </w:r>
      <w:r>
        <w:rPr>
          <w:rFonts w:hint="eastAsia" w:ascii="宋体" w:hAnsi="宋体" w:cs="宋体"/>
          <w:sz w:val="24"/>
          <w:highlight w:val="none"/>
        </w:rPr>
        <w:t>。项目已具备招标条件，现对该项目进行公开招标。</w:t>
      </w:r>
    </w:p>
    <w:p w14:paraId="6F70D74C">
      <w:pPr>
        <w:rPr>
          <w:rFonts w:ascii="黑体" w:hAnsi="黑体" w:eastAsia="黑体"/>
          <w:sz w:val="28"/>
          <w:szCs w:val="28"/>
          <w:highlight w:val="none"/>
        </w:rPr>
      </w:pPr>
      <w:bookmarkStart w:id="2" w:name="_Toc503235715"/>
      <w:bookmarkStart w:id="3" w:name="_Toc510015650"/>
      <w:r>
        <w:rPr>
          <w:rFonts w:ascii="黑体" w:hAnsi="黑体" w:eastAsia="黑体"/>
          <w:sz w:val="28"/>
          <w:szCs w:val="28"/>
          <w:highlight w:val="none"/>
        </w:rPr>
        <w:t>2. 项目概况与招标范围</w:t>
      </w:r>
      <w:bookmarkEnd w:id="2"/>
      <w:bookmarkEnd w:id="3"/>
    </w:p>
    <w:p w14:paraId="56E66562">
      <w:pPr>
        <w:pStyle w:val="9"/>
        <w:widowControl/>
        <w:spacing w:line="440" w:lineRule="exact"/>
        <w:ind w:firstLine="480" w:firstLineChars="200"/>
        <w:rPr>
          <w:rFonts w:ascii="宋体" w:hAnsi="宋体" w:cs="宋体"/>
          <w:sz w:val="24"/>
          <w:szCs w:val="24"/>
          <w:highlight w:val="none"/>
        </w:rPr>
      </w:pPr>
      <w:bookmarkStart w:id="4" w:name="_Toc503235716"/>
      <w:bookmarkStart w:id="5" w:name="_Toc510015651"/>
      <w:r>
        <w:rPr>
          <w:rFonts w:hint="eastAsia" w:ascii="宋体" w:hAnsi="宋体" w:cs="宋体"/>
          <w:sz w:val="24"/>
          <w:szCs w:val="24"/>
          <w:highlight w:val="none"/>
        </w:rPr>
        <w:t>2.1  建设地点：</w:t>
      </w:r>
      <w:r>
        <w:rPr>
          <w:rFonts w:hint="eastAsia" w:ascii="宋体" w:hAnsi="宋体" w:cs="仿宋"/>
          <w:sz w:val="24"/>
          <w:highlight w:val="none"/>
        </w:rPr>
        <w:t>湖南省</w:t>
      </w:r>
      <w:r>
        <w:rPr>
          <w:rFonts w:hint="eastAsia" w:ascii="宋体" w:hAnsi="宋体" w:cs="仿宋"/>
          <w:sz w:val="24"/>
          <w:highlight w:val="none"/>
          <w:u w:val="single"/>
        </w:rPr>
        <w:t>益阳市、常德市</w:t>
      </w:r>
      <w:r>
        <w:rPr>
          <w:rFonts w:hint="eastAsia" w:ascii="宋体" w:hAnsi="宋体" w:cs="仿宋"/>
          <w:sz w:val="24"/>
          <w:highlight w:val="none"/>
        </w:rPr>
        <w:t>境内</w:t>
      </w:r>
      <w:r>
        <w:rPr>
          <w:rFonts w:hint="eastAsia" w:ascii="宋体" w:hAnsi="宋体" w:cs="宋体"/>
          <w:sz w:val="24"/>
          <w:szCs w:val="24"/>
          <w:highlight w:val="none"/>
        </w:rPr>
        <w:t>；</w:t>
      </w:r>
    </w:p>
    <w:p w14:paraId="53846778">
      <w:pPr>
        <w:pStyle w:val="10"/>
        <w:widowControl/>
        <w:spacing w:after="120"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2.2  项目建设规模及招标范围：</w:t>
      </w:r>
    </w:p>
    <w:p w14:paraId="16D324BB">
      <w:pPr>
        <w:widowControl/>
        <w:spacing w:line="400" w:lineRule="exact"/>
        <w:ind w:firstLine="480" w:firstLineChars="200"/>
        <w:jc w:val="left"/>
        <w:rPr>
          <w:rFonts w:ascii="宋体" w:hAnsi="宋体"/>
          <w:sz w:val="24"/>
          <w:highlight w:val="none"/>
        </w:rPr>
      </w:pPr>
      <w:r>
        <w:rPr>
          <w:rFonts w:hint="eastAsia" w:ascii="宋体" w:hAnsi="宋体" w:cs="宋体"/>
          <w:sz w:val="24"/>
          <w:highlight w:val="none"/>
        </w:rPr>
        <w:t>2.2.1</w:t>
      </w:r>
      <w:r>
        <w:rPr>
          <w:rFonts w:hint="eastAsia" w:ascii="宋体" w:hAnsi="宋体"/>
          <w:sz w:val="24"/>
          <w:highlight w:val="none"/>
        </w:rPr>
        <w:t xml:space="preserve"> G5513长张高速公路（益常段）是长(沙)张(家界)高速公路二期工程，位于湖南省益阳市和常德市境内。本项目是湖南省近期规划“六纵九横三环”中第三横——浏阳至花垣高速公路的一段，也是实施湖南湘西大开发战略，加强与川、鄂、渝等省市沟通联系，促进湘西北地区经济发展和繁荣的重要通道。</w:t>
      </w:r>
    </w:p>
    <w:p w14:paraId="4EB134FE">
      <w:pPr>
        <w:pStyle w:val="11"/>
        <w:widowControl/>
        <w:spacing w:line="440" w:lineRule="exact"/>
        <w:ind w:firstLine="480" w:firstLineChars="200"/>
        <w:rPr>
          <w:rFonts w:ascii="宋体" w:hAnsi="宋体" w:cs="宋体"/>
          <w:sz w:val="24"/>
          <w:szCs w:val="24"/>
          <w:highlight w:val="none"/>
        </w:rPr>
      </w:pPr>
      <w:r>
        <w:rPr>
          <w:rFonts w:hint="eastAsia" w:ascii="宋体" w:hAnsi="宋体"/>
          <w:sz w:val="24"/>
          <w:highlight w:val="none"/>
        </w:rPr>
        <w:t>本项目路线主要经过经济比较发达的益阳、沅江、汉寿和常德等市县。路基宽度27米，设计行车速度100km/h，为双向四车道。</w:t>
      </w:r>
    </w:p>
    <w:p w14:paraId="482171FE">
      <w:pPr>
        <w:pStyle w:val="12"/>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2.2.2 招标范围：益常高速全线496座涵洞进行检查</w:t>
      </w:r>
      <w:r>
        <w:rPr>
          <w:rFonts w:hint="eastAsia" w:ascii="宋体" w:hAnsi="宋体" w:cs="宋体"/>
          <w:sz w:val="24"/>
          <w:szCs w:val="24"/>
          <w:highlight w:val="none"/>
          <w:lang w:eastAsia="zh-CN"/>
        </w:rPr>
        <w:t>及三叉河大桥特殊检测</w:t>
      </w:r>
      <w:r>
        <w:rPr>
          <w:rFonts w:hint="eastAsia" w:ascii="宋体" w:hAnsi="宋体" w:cs="宋体"/>
          <w:sz w:val="24"/>
          <w:szCs w:val="24"/>
          <w:highlight w:val="none"/>
        </w:rPr>
        <w:t>服务。</w:t>
      </w:r>
    </w:p>
    <w:p w14:paraId="6A3826C9">
      <w:pPr>
        <w:pStyle w:val="13"/>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本次咨询服务招标工程共分为</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个标段。其</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内容等见下表。</w:t>
      </w:r>
    </w:p>
    <w:tbl>
      <w:tblPr>
        <w:tblStyle w:val="6"/>
        <w:tblW w:w="915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35"/>
        <w:gridCol w:w="2137"/>
        <w:gridCol w:w="6479"/>
      </w:tblGrid>
      <w:tr w14:paraId="5A64C8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1" w:hRule="exact"/>
          <w:jc w:val="center"/>
        </w:trPr>
        <w:tc>
          <w:tcPr>
            <w:tcW w:w="535" w:type="dxa"/>
            <w:tcBorders>
              <w:top w:val="single" w:color="000000" w:sz="12" w:space="0"/>
              <w:left w:val="single" w:color="000000" w:sz="12" w:space="0"/>
              <w:bottom w:val="single" w:color="000000" w:sz="6" w:space="0"/>
              <w:right w:val="single" w:color="000000" w:sz="6" w:space="0"/>
            </w:tcBorders>
            <w:noWrap w:val="0"/>
            <w:vAlign w:val="center"/>
          </w:tcPr>
          <w:p w14:paraId="04B451F1">
            <w:pPr>
              <w:pStyle w:val="14"/>
              <w:widowControl/>
              <w:jc w:val="center"/>
              <w:rPr>
                <w:rFonts w:hint="eastAsia" w:ascii="宋体" w:hAnsi="宋体" w:eastAsia="宋体" w:cs="宋体"/>
                <w:highlight w:val="none"/>
                <w:lang w:val="en-US" w:eastAsia="zh-CN"/>
              </w:rPr>
            </w:pPr>
            <w:r>
              <w:rPr>
                <w:rFonts w:hint="eastAsia" w:ascii="宋体" w:hAnsi="宋体" w:cs="宋体"/>
                <w:highlight w:val="none"/>
                <w:lang w:val="en-US" w:eastAsia="zh-CN"/>
              </w:rPr>
              <w:t>序号</w:t>
            </w:r>
          </w:p>
        </w:tc>
        <w:tc>
          <w:tcPr>
            <w:tcW w:w="2137" w:type="dxa"/>
            <w:tcBorders>
              <w:top w:val="single" w:color="000000" w:sz="12" w:space="0"/>
              <w:left w:val="single" w:color="000000" w:sz="6" w:space="0"/>
              <w:bottom w:val="single" w:color="000000" w:sz="6" w:space="0"/>
              <w:right w:val="single" w:color="000000" w:sz="6" w:space="0"/>
            </w:tcBorders>
            <w:noWrap w:val="0"/>
            <w:vAlign w:val="center"/>
          </w:tcPr>
          <w:p w14:paraId="7D5F5D6E">
            <w:pPr>
              <w:pStyle w:val="14"/>
              <w:widowControl/>
              <w:jc w:val="center"/>
              <w:rPr>
                <w:rFonts w:hint="eastAsia" w:ascii="宋体" w:hAnsi="宋体" w:eastAsia="宋体" w:cs="宋体"/>
                <w:highlight w:val="none"/>
                <w:lang w:val="en-US" w:eastAsia="zh-CN"/>
              </w:rPr>
            </w:pPr>
            <w:r>
              <w:rPr>
                <w:rFonts w:hint="eastAsia" w:ascii="宋体" w:hAnsi="宋体" w:cs="宋体"/>
                <w:highlight w:val="none"/>
                <w:lang w:val="en-US" w:eastAsia="zh-CN"/>
              </w:rPr>
              <w:t>项目内容</w:t>
            </w:r>
          </w:p>
        </w:tc>
        <w:tc>
          <w:tcPr>
            <w:tcW w:w="6479" w:type="dxa"/>
            <w:tcBorders>
              <w:top w:val="single" w:color="000000" w:sz="12" w:space="0"/>
              <w:left w:val="single" w:color="000000" w:sz="6" w:space="0"/>
              <w:bottom w:val="single" w:color="000000" w:sz="6" w:space="0"/>
              <w:right w:val="single" w:color="000000" w:sz="12" w:space="0"/>
            </w:tcBorders>
            <w:noWrap w:val="0"/>
            <w:vAlign w:val="center"/>
          </w:tcPr>
          <w:p w14:paraId="3A33875A">
            <w:pPr>
              <w:pStyle w:val="14"/>
              <w:widowControl/>
              <w:jc w:val="center"/>
              <w:rPr>
                <w:rFonts w:ascii="宋体" w:hAnsi="宋体" w:cs="宋体"/>
                <w:highlight w:val="none"/>
              </w:rPr>
            </w:pPr>
            <w:r>
              <w:rPr>
                <w:rFonts w:hint="eastAsia" w:ascii="宋体" w:hAnsi="宋体" w:cs="宋体"/>
                <w:highlight w:val="none"/>
              </w:rPr>
              <w:t>招标范围</w:t>
            </w:r>
          </w:p>
        </w:tc>
      </w:tr>
      <w:tr w14:paraId="381611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98" w:hRule="exact"/>
          <w:jc w:val="center"/>
        </w:trPr>
        <w:tc>
          <w:tcPr>
            <w:tcW w:w="535" w:type="dxa"/>
            <w:tcBorders>
              <w:top w:val="single" w:color="000000" w:sz="6" w:space="0"/>
              <w:left w:val="single" w:color="000000" w:sz="12" w:space="0"/>
              <w:bottom w:val="single" w:color="000000" w:sz="6" w:space="0"/>
              <w:right w:val="single" w:color="000000" w:sz="6" w:space="0"/>
            </w:tcBorders>
            <w:noWrap w:val="0"/>
            <w:vAlign w:val="center"/>
          </w:tcPr>
          <w:p w14:paraId="76AA965B">
            <w:pPr>
              <w:pStyle w:val="14"/>
              <w:widowControl/>
              <w:jc w:val="center"/>
              <w:rPr>
                <w:rFonts w:hint="eastAsia" w:ascii="宋体" w:hAnsi="宋体" w:eastAsia="宋体" w:cs="宋体"/>
                <w:highlight w:val="none"/>
                <w:lang w:val="en-US" w:eastAsia="zh-CN"/>
              </w:rPr>
            </w:pPr>
            <w:r>
              <w:rPr>
                <w:rFonts w:hint="eastAsia" w:ascii="宋体" w:hAnsi="宋体" w:cs="宋体"/>
                <w:highlight w:val="none"/>
                <w:lang w:val="en-US" w:eastAsia="zh-CN"/>
              </w:rPr>
              <w:t>1</w:t>
            </w:r>
          </w:p>
        </w:tc>
        <w:tc>
          <w:tcPr>
            <w:tcW w:w="2137" w:type="dxa"/>
            <w:tcBorders>
              <w:top w:val="single" w:color="000000" w:sz="6" w:space="0"/>
              <w:left w:val="single" w:color="000000" w:sz="6" w:space="0"/>
              <w:bottom w:val="single" w:color="000000" w:sz="6" w:space="0"/>
              <w:right w:val="single" w:color="000000" w:sz="6" w:space="0"/>
            </w:tcBorders>
            <w:noWrap w:val="0"/>
            <w:vAlign w:val="center"/>
          </w:tcPr>
          <w:p w14:paraId="21A1D642">
            <w:pPr>
              <w:jc w:val="center"/>
              <w:rPr>
                <w:rFonts w:hint="eastAsia" w:ascii="宋体" w:hAnsi="宋体" w:eastAsia="宋体" w:cs="宋体"/>
                <w:highlight w:val="none"/>
              </w:rPr>
            </w:pPr>
            <w:r>
              <w:rPr>
                <w:rFonts w:hint="eastAsia" w:ascii="宋体" w:hAnsi="宋体" w:eastAsia="宋体" w:cs="宋体"/>
                <w:highlight w:val="none"/>
              </w:rPr>
              <w:t>益常高速2026年涵洞定期检查</w:t>
            </w:r>
          </w:p>
        </w:tc>
        <w:tc>
          <w:tcPr>
            <w:tcW w:w="6479" w:type="dxa"/>
            <w:tcBorders>
              <w:top w:val="single" w:color="000000" w:sz="6" w:space="0"/>
              <w:left w:val="single" w:color="000000" w:sz="6" w:space="0"/>
              <w:bottom w:val="single" w:color="000000" w:sz="6" w:space="0"/>
              <w:right w:val="single" w:color="000000" w:sz="12" w:space="0"/>
            </w:tcBorders>
            <w:noWrap w:val="0"/>
            <w:vAlign w:val="center"/>
          </w:tcPr>
          <w:p w14:paraId="239BE02F">
            <w:pPr>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依照公路工程相关技术规范要求，对益常高速全线496座涵洞开展检查工作并出具对应检查记录表</w:t>
            </w:r>
            <w:r>
              <w:rPr>
                <w:rFonts w:hint="eastAsia" w:ascii="宋体" w:hAnsi="宋体" w:eastAsia="宋体" w:cs="宋体"/>
                <w:highlight w:val="none"/>
                <w:lang w:eastAsia="zh-CN"/>
              </w:rPr>
              <w:t>。</w:t>
            </w:r>
          </w:p>
        </w:tc>
      </w:tr>
      <w:tr w14:paraId="042941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69" w:hRule="exact"/>
          <w:jc w:val="center"/>
        </w:trPr>
        <w:tc>
          <w:tcPr>
            <w:tcW w:w="535" w:type="dxa"/>
            <w:tcBorders>
              <w:top w:val="single" w:color="000000" w:sz="6" w:space="0"/>
              <w:left w:val="single" w:color="000000" w:sz="12" w:space="0"/>
              <w:bottom w:val="single" w:color="000000" w:sz="12" w:space="0"/>
              <w:right w:val="single" w:color="000000" w:sz="6" w:space="0"/>
            </w:tcBorders>
            <w:noWrap w:val="0"/>
            <w:vAlign w:val="center"/>
          </w:tcPr>
          <w:p w14:paraId="1150C489">
            <w:pPr>
              <w:pStyle w:val="14"/>
              <w:widowControl/>
              <w:jc w:val="center"/>
              <w:rPr>
                <w:rFonts w:hint="eastAsia" w:ascii="宋体" w:hAnsi="宋体" w:eastAsia="宋体" w:cs="宋体"/>
                <w:highlight w:val="none"/>
                <w:lang w:val="en-US" w:eastAsia="zh-CN"/>
              </w:rPr>
            </w:pPr>
            <w:r>
              <w:rPr>
                <w:rFonts w:hint="eastAsia" w:ascii="宋体" w:hAnsi="宋体" w:cs="宋体"/>
                <w:highlight w:val="none"/>
                <w:lang w:val="en-US" w:eastAsia="zh-CN"/>
              </w:rPr>
              <w:t>2</w:t>
            </w:r>
          </w:p>
        </w:tc>
        <w:tc>
          <w:tcPr>
            <w:tcW w:w="2137" w:type="dxa"/>
            <w:tcBorders>
              <w:top w:val="single" w:color="000000" w:sz="6" w:space="0"/>
              <w:left w:val="single" w:color="000000" w:sz="6" w:space="0"/>
              <w:bottom w:val="single" w:color="000000" w:sz="12" w:space="0"/>
              <w:right w:val="single" w:color="000000" w:sz="6" w:space="0"/>
            </w:tcBorders>
            <w:noWrap w:val="0"/>
            <w:vAlign w:val="center"/>
          </w:tcPr>
          <w:p w14:paraId="1F7E0182">
            <w:pPr>
              <w:jc w:val="center"/>
              <w:rPr>
                <w:rFonts w:hint="eastAsia" w:ascii="宋体" w:hAnsi="宋体" w:eastAsia="宋体" w:cs="宋体"/>
                <w:highlight w:val="none"/>
              </w:rPr>
            </w:pPr>
            <w:r>
              <w:rPr>
                <w:rFonts w:hint="eastAsia" w:ascii="宋体" w:hAnsi="宋体" w:eastAsia="宋体" w:cs="宋体"/>
                <w:highlight w:val="none"/>
                <w:lang w:val="en-US" w:eastAsia="zh-CN"/>
              </w:rPr>
              <w:t>三叉河大桥特殊检测</w:t>
            </w:r>
          </w:p>
        </w:tc>
        <w:tc>
          <w:tcPr>
            <w:tcW w:w="6479" w:type="dxa"/>
            <w:tcBorders>
              <w:top w:val="single" w:color="000000" w:sz="6" w:space="0"/>
              <w:left w:val="single" w:color="000000" w:sz="6" w:space="0"/>
              <w:bottom w:val="single" w:color="000000" w:sz="12" w:space="0"/>
              <w:right w:val="single" w:color="000000" w:sz="12" w:space="0"/>
            </w:tcBorders>
            <w:noWrap w:val="0"/>
            <w:vAlign w:val="center"/>
          </w:tcPr>
          <w:p w14:paraId="64DB0583">
            <w:pPr>
              <w:numPr>
                <w:ilvl w:val="0"/>
                <w:numId w:val="1"/>
              </w:numPr>
              <w:rPr>
                <w:rFonts w:hint="eastAsia" w:ascii="宋体" w:hAnsi="宋体" w:cs="宋体"/>
                <w:highlight w:val="none"/>
                <w:lang w:val="en-US" w:eastAsia="zh-CN"/>
              </w:rPr>
            </w:pPr>
            <w:r>
              <w:rPr>
                <w:rFonts w:hint="eastAsia" w:ascii="宋体" w:hAnsi="宋体" w:eastAsia="宋体" w:cs="宋体"/>
                <w:highlight w:val="none"/>
                <w:lang w:val="en-US" w:eastAsia="zh-CN"/>
              </w:rPr>
              <w:t>依据《公路桥梁技术状况评定标准》（JTG/T H21-2011）及其他相关规范，对三叉河大桥进行特殊检测</w:t>
            </w:r>
            <w:r>
              <w:rPr>
                <w:rFonts w:hint="eastAsia" w:ascii="宋体" w:hAnsi="宋体" w:cs="宋体"/>
                <w:highlight w:val="none"/>
                <w:lang w:val="en-US" w:eastAsia="zh-CN"/>
              </w:rPr>
              <w:t>（含动静载试验）：</w:t>
            </w:r>
          </w:p>
          <w:p w14:paraId="59490A81">
            <w:pPr>
              <w:numPr>
                <w:ilvl w:val="0"/>
                <w:numId w:val="1"/>
              </w:numPr>
              <w:rPr>
                <w:rFonts w:hint="eastAsia" w:ascii="宋体" w:hAnsi="宋体" w:cs="宋体"/>
                <w:highlight w:val="none"/>
                <w:lang w:val="en-US" w:eastAsia="zh-CN"/>
              </w:rPr>
            </w:pPr>
            <w:r>
              <w:rPr>
                <w:rFonts w:hint="eastAsia" w:ascii="宋体" w:hAnsi="宋体" w:cs="宋体"/>
                <w:highlight w:val="none"/>
                <w:lang w:val="en-US" w:eastAsia="zh-CN"/>
              </w:rPr>
              <w:t>通过桥梁荷载试验以及验算分析，评估桥梁的承载能力，并依据特殊检测结果识别桥梁运行中的潜在风险，为后续的维修和加固工作提供依据，确保三叉河大桥的安全稳定运行。</w:t>
            </w:r>
          </w:p>
        </w:tc>
      </w:tr>
    </w:tbl>
    <w:p w14:paraId="2FB82812">
      <w:pPr>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服务期限为：</w:t>
      </w:r>
      <w:r>
        <w:rPr>
          <w:rFonts w:hint="eastAsia" w:ascii="宋体" w:hAnsi="宋体" w:eastAsia="宋体" w:cs="宋体"/>
          <w:sz w:val="24"/>
          <w:szCs w:val="24"/>
          <w:highlight w:val="none"/>
          <w:lang w:val="en-US" w:eastAsia="zh-CN"/>
        </w:rPr>
        <w:t>60日</w:t>
      </w:r>
      <w:r>
        <w:rPr>
          <w:rFonts w:hint="eastAsia" w:ascii="宋体" w:hAnsi="宋体" w:eastAsia="宋体" w:cs="宋体"/>
          <w:sz w:val="24"/>
          <w:szCs w:val="24"/>
          <w:highlight w:val="none"/>
        </w:rPr>
        <w:t>。委托人发出开始检测工作通知之日起</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日内完成检测服务并提交相关报告。</w:t>
      </w:r>
    </w:p>
    <w:p w14:paraId="2156854B">
      <w:pPr>
        <w:rPr>
          <w:rFonts w:ascii="黑体" w:hAnsi="黑体" w:eastAsia="黑体"/>
          <w:sz w:val="28"/>
          <w:szCs w:val="28"/>
          <w:highlight w:val="none"/>
        </w:rPr>
      </w:pPr>
      <w:r>
        <w:rPr>
          <w:rFonts w:ascii="黑体" w:hAnsi="黑体" w:eastAsia="黑体"/>
          <w:sz w:val="28"/>
          <w:szCs w:val="28"/>
          <w:highlight w:val="none"/>
        </w:rPr>
        <w:t>3. 投标人资格要求</w:t>
      </w:r>
      <w:bookmarkEnd w:id="4"/>
      <w:bookmarkEnd w:id="5"/>
    </w:p>
    <w:p w14:paraId="6E7FB3F0">
      <w:pPr>
        <w:pStyle w:val="15"/>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3.1  本次招标要求投标人须具备：</w:t>
      </w:r>
    </w:p>
    <w:p w14:paraId="127F8C8C">
      <w:pPr>
        <w:pStyle w:val="16"/>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（1）本次招标要求投标人具有独立法人资格，持有有效的营业执照（或事业单位法人证书）；</w:t>
      </w:r>
    </w:p>
    <w:p w14:paraId="53F7E1C5">
      <w:pPr>
        <w:pStyle w:val="17"/>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（2）具有交通运输部颁发的在有效期内的</w:t>
      </w:r>
      <w:r>
        <w:rPr>
          <w:rFonts w:hint="eastAsia" w:ascii="宋体" w:hAnsi="宋体" w:eastAsia="宋体" w:cs="宋体"/>
          <w:sz w:val="24"/>
          <w:szCs w:val="24"/>
          <w:highlight w:val="none"/>
        </w:rPr>
        <w:t>公路工程试验检测</w:t>
      </w:r>
      <w:r>
        <w:rPr>
          <w:rFonts w:hint="eastAsia" w:ascii="宋体" w:hAnsi="宋体" w:cs="宋体"/>
          <w:sz w:val="24"/>
          <w:szCs w:val="24"/>
          <w:highlight w:val="none"/>
          <w:lang w:val="en-US" w:eastAsia="zh-CN"/>
        </w:rPr>
        <w:t>综合甲级资质或</w:t>
      </w:r>
      <w:r>
        <w:rPr>
          <w:rFonts w:hint="eastAsia" w:ascii="宋体" w:hAnsi="宋体" w:eastAsia="宋体" w:cs="宋体"/>
          <w:sz w:val="24"/>
          <w:szCs w:val="24"/>
          <w:highlight w:val="none"/>
        </w:rPr>
        <w:t>桥梁隧道专项资质</w:t>
      </w:r>
      <w:r>
        <w:rPr>
          <w:rFonts w:hint="eastAsia" w:ascii="宋体" w:hAnsi="宋体" w:cs="宋体"/>
          <w:sz w:val="24"/>
          <w:szCs w:val="24"/>
          <w:highlight w:val="none"/>
        </w:rPr>
        <w:t>（独立法人单位下属的非独立法人检测机构具有相应资质的，视为该独立法人具有相应的资质，如中标，应以该独立法人单位名义签订合同）；</w:t>
      </w:r>
    </w:p>
    <w:p w14:paraId="1E9F75B9">
      <w:pPr>
        <w:pStyle w:val="18"/>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投标人应进入交通运输部“公路水运工程试验检测管理信息系统”，且投标人名称和资质与该系统中相应的企业名称和资质完全一致。</w:t>
      </w:r>
    </w:p>
    <w:p w14:paraId="4F83FFAE">
      <w:pPr>
        <w:pStyle w:val="19"/>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（3）近5年内（投标截止之日前一日回溯5年，下同）至少完成过：1个高速公路的</w:t>
      </w:r>
      <w:r>
        <w:rPr>
          <w:rFonts w:hint="eastAsia" w:ascii="宋体" w:hAnsi="宋体" w:cs="宋体"/>
          <w:sz w:val="24"/>
          <w:szCs w:val="24"/>
          <w:highlight w:val="none"/>
          <w:lang w:val="en-US" w:eastAsia="zh-CN"/>
        </w:rPr>
        <w:t>涵洞或桥梁</w:t>
      </w:r>
      <w:r>
        <w:rPr>
          <w:rFonts w:hint="eastAsia" w:ascii="宋体" w:hAnsi="宋体" w:cs="宋体"/>
          <w:sz w:val="24"/>
          <w:szCs w:val="24"/>
          <w:highlight w:val="none"/>
        </w:rPr>
        <w:t>定期检</w:t>
      </w:r>
      <w:r>
        <w:rPr>
          <w:rFonts w:hint="eastAsia" w:ascii="宋体" w:hAnsi="宋体" w:cs="宋体"/>
          <w:sz w:val="24"/>
          <w:szCs w:val="24"/>
          <w:highlight w:val="none"/>
          <w:lang w:val="en-US" w:eastAsia="zh-CN"/>
        </w:rPr>
        <w:t>查</w:t>
      </w:r>
      <w:r>
        <w:rPr>
          <w:rFonts w:hint="eastAsia" w:ascii="宋体" w:hAnsi="宋体" w:cs="宋体"/>
          <w:sz w:val="24"/>
          <w:szCs w:val="24"/>
          <w:highlight w:val="none"/>
        </w:rPr>
        <w:t>服务业绩。</w:t>
      </w:r>
    </w:p>
    <w:p w14:paraId="3B91CDC9">
      <w:pPr>
        <w:pStyle w:val="20"/>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（4）在人员等方面具有相应的咨询服务能力。</w:t>
      </w:r>
    </w:p>
    <w:p w14:paraId="071F66D3">
      <w:pPr>
        <w:pStyle w:val="21"/>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3.2  本次招标不接受联合体投标。</w:t>
      </w:r>
    </w:p>
    <w:p w14:paraId="60E41978">
      <w:pPr>
        <w:pStyle w:val="22"/>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3.3 与招标人存在利害关系且可能影响招标公正性的单位，不得参加投标。单位 负责人</w:t>
      </w:r>
      <w:r>
        <w:rPr>
          <w:rFonts w:hint="eastAsia" w:ascii="宋体" w:hAnsi="宋体" w:cs="宋体"/>
          <w:sz w:val="24"/>
          <w:szCs w:val="24"/>
          <w:highlight w:val="none"/>
          <w:vertAlign w:val="superscript"/>
        </w:rPr>
        <w:t>①</w:t>
      </w:r>
      <w:r>
        <w:rPr>
          <w:rFonts w:hint="eastAsia" w:ascii="宋体" w:hAnsi="宋体" w:cs="宋体"/>
          <w:sz w:val="24"/>
          <w:szCs w:val="24"/>
          <w:highlight w:val="none"/>
        </w:rPr>
        <w:t>为同一人或者存在控股</w:t>
      </w:r>
      <w:r>
        <w:rPr>
          <w:rFonts w:hint="eastAsia" w:ascii="宋体" w:hAnsi="宋体" w:cs="宋体"/>
          <w:sz w:val="24"/>
          <w:szCs w:val="24"/>
          <w:highlight w:val="none"/>
          <w:vertAlign w:val="superscript"/>
        </w:rPr>
        <w:t>②</w:t>
      </w:r>
      <w:r>
        <w:rPr>
          <w:rFonts w:hint="eastAsia" w:ascii="宋体" w:hAnsi="宋体" w:cs="宋体"/>
          <w:sz w:val="24"/>
          <w:szCs w:val="24"/>
          <w:highlight w:val="none"/>
        </w:rPr>
        <w:t>、管理</w:t>
      </w:r>
      <w:r>
        <w:rPr>
          <w:rFonts w:hint="eastAsia" w:ascii="宋体" w:hAnsi="宋体" w:cs="宋体"/>
          <w:sz w:val="24"/>
          <w:szCs w:val="24"/>
          <w:highlight w:val="none"/>
          <w:vertAlign w:val="superscript"/>
        </w:rPr>
        <w:t>③</w:t>
      </w:r>
      <w:r>
        <w:rPr>
          <w:rFonts w:hint="eastAsia" w:ascii="宋体" w:hAnsi="宋体" w:cs="宋体"/>
          <w:sz w:val="24"/>
          <w:szCs w:val="24"/>
          <w:highlight w:val="none"/>
        </w:rPr>
        <w:t>关系的不同单位（即利益相关人），不得 参加同一标段投标，否则，相关投标均无效。</w:t>
      </w:r>
    </w:p>
    <w:p w14:paraId="34A06732">
      <w:pPr>
        <w:pStyle w:val="23"/>
        <w:widowControl/>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3.4 招标人不接受在全国企业信用信息公示系统（http://www.gsxt.gov.cn）中被列 入严重违法失信企业名单的或在“信用中国”网站（www.creditchina.gov.cn）中被列 入失信被执行人名单的投标人投标。</w:t>
      </w:r>
    </w:p>
    <w:p w14:paraId="6B86E185">
      <w:pPr>
        <w:pStyle w:val="24"/>
        <w:widowControl/>
        <w:spacing w:line="440" w:lineRule="exact"/>
        <w:ind w:firstLine="480" w:firstLineChars="200"/>
        <w:rPr>
          <w:rFonts w:hint="eastAsia" w:ascii="宋体" w:hAnsi="宋体" w:cs="宋体"/>
          <w:sz w:val="24"/>
          <w:highlight w:val="none"/>
        </w:rPr>
      </w:pPr>
      <w:r>
        <w:rPr>
          <w:rFonts w:hint="eastAsia" w:ascii="宋体" w:hAnsi="宋体" w:cs="宋体"/>
          <w:sz w:val="24"/>
          <w:szCs w:val="24"/>
          <w:highlight w:val="none"/>
        </w:rPr>
        <w:t>3.5</w:t>
      </w:r>
      <w:r>
        <w:rPr>
          <w:rFonts w:hint="eastAsia" w:ascii="宋体" w:hAnsi="宋体" w:cs="宋体"/>
          <w:sz w:val="24"/>
          <w:highlight w:val="none"/>
        </w:rPr>
        <w:t>招标人不接受被交通运输部“公路水运工程试验检测管理信息系统”发布的试验检测机构信用评价结果为最近第一年D级、连续两年（最近第一年和最近第二年）评为C级、连续三年（最近第一年、最近第二年和最近第三年）评为B级及以下信用等级的投标人报名。</w:t>
      </w:r>
    </w:p>
    <w:p w14:paraId="7379A823">
      <w:pPr>
        <w:spacing w:line="440" w:lineRule="exact"/>
        <w:ind w:firstLine="480" w:firstLineChars="200"/>
        <w:rPr>
          <w:rFonts w:hint="eastAsia" w:ascii="宋体" w:hAnsi="宋体" w:cs="宋体"/>
          <w:sz w:val="24"/>
          <w:highlight w:val="none"/>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6</w:t>
      </w:r>
      <w:r>
        <w:rPr>
          <w:rFonts w:hint="eastAsia" w:ascii="宋体" w:hAnsi="宋体" w:eastAsia="宋体" w:cs="宋体"/>
          <w:sz w:val="24"/>
          <w:szCs w:val="32"/>
          <w:highlight w:val="none"/>
          <w:lang w:val="en-US" w:eastAsia="zh-CN"/>
        </w:rPr>
        <w:t>招标人不接受近三年内（递交投标文件截止之日前一日回溯3年）被深高速集团履约评价为不合格的企业参与投标。</w:t>
      </w:r>
    </w:p>
    <w:p w14:paraId="74DD0A77">
      <w:pPr>
        <w:rPr>
          <w:rFonts w:ascii="黑体" w:hAnsi="黑体" w:eastAsia="黑体"/>
          <w:sz w:val="28"/>
          <w:szCs w:val="28"/>
          <w:highlight w:val="none"/>
        </w:rPr>
      </w:pPr>
      <w:bookmarkStart w:id="6" w:name="_Toc510015652"/>
      <w:bookmarkStart w:id="7" w:name="_Toc503235718"/>
      <w:r>
        <w:rPr>
          <w:rFonts w:ascii="黑体" w:hAnsi="黑体" w:eastAsia="黑体"/>
          <w:sz w:val="28"/>
          <w:szCs w:val="28"/>
          <w:highlight w:val="none"/>
        </w:rPr>
        <w:t>4. 招标文件的获取</w:t>
      </w:r>
      <w:bookmarkEnd w:id="6"/>
      <w:bookmarkEnd w:id="7"/>
      <w:r>
        <w:rPr>
          <w:rFonts w:ascii="黑体" w:hAnsi="黑体" w:eastAsia="黑体"/>
          <w:sz w:val="28"/>
          <w:szCs w:val="28"/>
          <w:highlight w:val="none"/>
        </w:rPr>
        <w:tab/>
      </w:r>
    </w:p>
    <w:p w14:paraId="54C7868E">
      <w:pPr>
        <w:tabs>
          <w:tab w:val="left" w:pos="360"/>
        </w:tabs>
        <w:spacing w:line="440" w:lineRule="atLeast"/>
        <w:ind w:firstLine="480" w:firstLineChars="200"/>
        <w:rPr>
          <w:sz w:val="24"/>
          <w:highlight w:val="none"/>
        </w:rPr>
      </w:pPr>
      <w:r>
        <w:rPr>
          <w:sz w:val="24"/>
          <w:highlight w:val="none"/>
        </w:rPr>
        <w:t>4.1 凡有意参加投标者，请于</w:t>
      </w:r>
      <w:r>
        <w:rPr>
          <w:rFonts w:hint="eastAsia" w:eastAsia="宋体"/>
          <w:sz w:val="24"/>
          <w:highlight w:val="none"/>
          <w:lang w:eastAsia="zh-CN"/>
        </w:rPr>
        <w:t>202</w:t>
      </w:r>
      <w:r>
        <w:rPr>
          <w:rFonts w:hint="eastAsia" w:ascii="Times New Roman" w:eastAsia="宋体"/>
          <w:sz w:val="24"/>
          <w:highlight w:val="none"/>
          <w:lang w:val="en-US" w:eastAsia="zh-CN"/>
        </w:rPr>
        <w:t>6</w:t>
      </w:r>
      <w:r>
        <w:rPr>
          <w:sz w:val="24"/>
          <w:highlight w:val="none"/>
        </w:rPr>
        <w:t>年</w:t>
      </w:r>
      <w:r>
        <w:rPr>
          <w:rFonts w:hint="eastAsia" w:ascii="Times New Roman" w:eastAsia="宋体"/>
          <w:sz w:val="24"/>
          <w:highlight w:val="none"/>
          <w:u w:val="single"/>
          <w:lang w:val="en-US" w:eastAsia="zh-CN"/>
        </w:rPr>
        <w:t>7</w:t>
      </w:r>
      <w:r>
        <w:rPr>
          <w:sz w:val="24"/>
          <w:highlight w:val="none"/>
        </w:rPr>
        <w:t>月</w:t>
      </w:r>
      <w:r>
        <w:rPr>
          <w:rFonts w:hint="eastAsia" w:ascii="Times New Roman" w:eastAsia="宋体"/>
          <w:sz w:val="24"/>
          <w:highlight w:val="none"/>
          <w:u w:val="single"/>
          <w:lang w:val="en-US" w:eastAsia="zh-CN"/>
        </w:rPr>
        <w:t>21</w:t>
      </w:r>
      <w:r>
        <w:rPr>
          <w:sz w:val="24"/>
          <w:highlight w:val="none"/>
        </w:rPr>
        <w:t>日至</w:t>
      </w:r>
      <w:r>
        <w:rPr>
          <w:rFonts w:hint="eastAsia" w:eastAsia="宋体"/>
          <w:sz w:val="24"/>
          <w:highlight w:val="none"/>
          <w:lang w:eastAsia="zh-CN"/>
        </w:rPr>
        <w:t>202</w:t>
      </w:r>
      <w:r>
        <w:rPr>
          <w:rFonts w:hint="eastAsia" w:ascii="Times New Roman" w:eastAsia="宋体"/>
          <w:sz w:val="24"/>
          <w:highlight w:val="none"/>
          <w:lang w:val="en-US" w:eastAsia="zh-CN"/>
        </w:rPr>
        <w:t>6</w:t>
      </w:r>
      <w:r>
        <w:rPr>
          <w:sz w:val="24"/>
          <w:highlight w:val="none"/>
        </w:rPr>
        <w:t>年</w:t>
      </w:r>
      <w:r>
        <w:rPr>
          <w:rFonts w:hint="eastAsia" w:ascii="Times New Roman" w:eastAsia="宋体"/>
          <w:sz w:val="24"/>
          <w:highlight w:val="none"/>
          <w:u w:val="single"/>
          <w:lang w:val="en-US" w:eastAsia="zh-CN"/>
        </w:rPr>
        <w:t>7</w:t>
      </w:r>
      <w:r>
        <w:rPr>
          <w:sz w:val="24"/>
          <w:highlight w:val="none"/>
        </w:rPr>
        <w:t>月</w:t>
      </w:r>
      <w:r>
        <w:rPr>
          <w:rFonts w:hint="eastAsia" w:ascii="Times New Roman" w:eastAsia="宋体"/>
          <w:sz w:val="24"/>
          <w:highlight w:val="none"/>
          <w:u w:val="single"/>
          <w:lang w:val="en-US" w:eastAsia="zh-CN"/>
        </w:rPr>
        <w:t>27</w:t>
      </w:r>
      <w:r>
        <w:rPr>
          <w:sz w:val="24"/>
          <w:highlight w:val="none"/>
        </w:rPr>
        <w:t>日，每日上午</w:t>
      </w:r>
      <w:r>
        <w:rPr>
          <w:rFonts w:hint="eastAsia"/>
          <w:sz w:val="24"/>
          <w:highlight w:val="none"/>
        </w:rPr>
        <w:t>9</w:t>
      </w:r>
      <w:r>
        <w:rPr>
          <w:sz w:val="24"/>
          <w:highlight w:val="none"/>
        </w:rPr>
        <w:t>时</w:t>
      </w:r>
      <w:r>
        <w:rPr>
          <w:rFonts w:hint="eastAsia"/>
          <w:sz w:val="24"/>
          <w:highlight w:val="none"/>
        </w:rPr>
        <w:t>00</w:t>
      </w:r>
      <w:r>
        <w:rPr>
          <w:sz w:val="24"/>
          <w:highlight w:val="none"/>
        </w:rPr>
        <w:t>分至</w:t>
      </w:r>
      <w:r>
        <w:rPr>
          <w:rFonts w:hint="eastAsia"/>
          <w:sz w:val="24"/>
          <w:highlight w:val="none"/>
        </w:rPr>
        <w:t>12</w:t>
      </w:r>
      <w:r>
        <w:rPr>
          <w:sz w:val="24"/>
          <w:highlight w:val="none"/>
        </w:rPr>
        <w:t>时</w:t>
      </w:r>
      <w:r>
        <w:rPr>
          <w:rFonts w:hint="eastAsia"/>
          <w:sz w:val="24"/>
          <w:highlight w:val="none"/>
        </w:rPr>
        <w:t>00</w:t>
      </w:r>
      <w:r>
        <w:rPr>
          <w:sz w:val="24"/>
          <w:highlight w:val="none"/>
        </w:rPr>
        <w:t>分，下午</w:t>
      </w:r>
      <w:bookmarkStart w:id="8" w:name="_Hlk493498924"/>
      <w:r>
        <w:rPr>
          <w:rFonts w:hint="eastAsia"/>
          <w:sz w:val="24"/>
          <w:highlight w:val="none"/>
        </w:rPr>
        <w:t>14</w:t>
      </w:r>
      <w:r>
        <w:rPr>
          <w:sz w:val="24"/>
          <w:highlight w:val="none"/>
        </w:rPr>
        <w:t>时</w:t>
      </w:r>
      <w:r>
        <w:rPr>
          <w:rFonts w:hint="eastAsia"/>
          <w:sz w:val="24"/>
          <w:highlight w:val="none"/>
        </w:rPr>
        <w:t>00</w:t>
      </w:r>
      <w:r>
        <w:rPr>
          <w:sz w:val="24"/>
          <w:highlight w:val="none"/>
        </w:rPr>
        <w:t>分</w:t>
      </w:r>
      <w:bookmarkEnd w:id="8"/>
      <w:r>
        <w:rPr>
          <w:sz w:val="24"/>
          <w:highlight w:val="none"/>
        </w:rPr>
        <w:t>至</w:t>
      </w:r>
      <w:r>
        <w:rPr>
          <w:rFonts w:hint="eastAsia"/>
          <w:sz w:val="24"/>
          <w:highlight w:val="none"/>
        </w:rPr>
        <w:t>17</w:t>
      </w:r>
      <w:r>
        <w:rPr>
          <w:sz w:val="24"/>
          <w:highlight w:val="none"/>
        </w:rPr>
        <w:t>时</w:t>
      </w:r>
      <w:r>
        <w:rPr>
          <w:rFonts w:hint="eastAsia"/>
          <w:sz w:val="24"/>
          <w:highlight w:val="none"/>
        </w:rPr>
        <w:t>00</w:t>
      </w:r>
      <w:r>
        <w:rPr>
          <w:sz w:val="24"/>
          <w:highlight w:val="none"/>
        </w:rPr>
        <w:t>分（北京时间，下同），在</w:t>
      </w:r>
      <w:r>
        <w:rPr>
          <w:rFonts w:hint="eastAsia" w:eastAsia="宋体"/>
          <w:sz w:val="24"/>
          <w:highlight w:val="none"/>
          <w:lang w:eastAsia="zh-CN"/>
        </w:rPr>
        <w:t>湖南省长沙市天心区新姚南路222号御邦国际广场</w:t>
      </w:r>
      <w:r>
        <w:rPr>
          <w:rFonts w:hint="eastAsia" w:ascii="Times New Roman" w:eastAsia="宋体"/>
          <w:sz w:val="24"/>
          <w:highlight w:val="none"/>
          <w:lang w:val="en-US" w:eastAsia="zh-CN"/>
        </w:rPr>
        <w:t>601</w:t>
      </w:r>
      <w:r>
        <w:rPr>
          <w:rFonts w:hint="eastAsia" w:eastAsia="宋体"/>
          <w:sz w:val="24"/>
          <w:highlight w:val="none"/>
          <w:lang w:eastAsia="zh-CN"/>
        </w:rPr>
        <w:t>湖南万成项目管理有限公司</w:t>
      </w:r>
      <w:r>
        <w:rPr>
          <w:rFonts w:hint="eastAsia"/>
          <w:sz w:val="24"/>
          <w:highlight w:val="none"/>
        </w:rPr>
        <w:t>招标部</w:t>
      </w:r>
      <w:r>
        <w:rPr>
          <w:sz w:val="24"/>
          <w:highlight w:val="none"/>
        </w:rPr>
        <w:t>持单位介绍信、营业执照复印件（盖单位公章）</w:t>
      </w:r>
      <w:r>
        <w:rPr>
          <w:rFonts w:hint="eastAsia" w:eastAsia="宋体"/>
          <w:sz w:val="24"/>
          <w:highlight w:val="none"/>
          <w:lang w:eastAsia="zh-CN"/>
        </w:rPr>
        <w:t>、</w:t>
      </w:r>
      <w:r>
        <w:rPr>
          <w:rFonts w:hint="eastAsia" w:ascii="Times New Roman" w:eastAsia="宋体"/>
          <w:sz w:val="24"/>
          <w:highlight w:val="none"/>
          <w:lang w:val="en-US" w:eastAsia="zh-CN"/>
        </w:rPr>
        <w:t>资质证书</w:t>
      </w:r>
      <w:r>
        <w:rPr>
          <w:sz w:val="24"/>
          <w:highlight w:val="none"/>
        </w:rPr>
        <w:t>复印件（盖单位公章）和经办人身份证原件及复印件（盖单位公章）购买招标文件。</w:t>
      </w:r>
    </w:p>
    <w:p w14:paraId="04842E44">
      <w:pPr>
        <w:spacing w:line="440" w:lineRule="atLeast"/>
        <w:ind w:firstLine="480" w:firstLineChars="200"/>
        <w:rPr>
          <w:sz w:val="24"/>
          <w:highlight w:val="none"/>
        </w:rPr>
      </w:pPr>
      <w:r>
        <w:rPr>
          <w:sz w:val="24"/>
          <w:highlight w:val="none"/>
        </w:rPr>
        <w:t>4.2 招标文件每套售价</w:t>
      </w:r>
      <w:r>
        <w:rPr>
          <w:rFonts w:hint="eastAsia"/>
          <w:sz w:val="24"/>
          <w:highlight w:val="none"/>
        </w:rPr>
        <w:t>1000</w:t>
      </w:r>
      <w:r>
        <w:rPr>
          <w:sz w:val="24"/>
          <w:highlight w:val="none"/>
        </w:rPr>
        <w:t>元，逾期不售，售后不退。</w:t>
      </w:r>
    </w:p>
    <w:p w14:paraId="5FBC4FD9">
      <w:pPr>
        <w:rPr>
          <w:rFonts w:ascii="黑体" w:hAnsi="黑体" w:eastAsia="黑体"/>
          <w:sz w:val="28"/>
          <w:szCs w:val="28"/>
          <w:highlight w:val="none"/>
        </w:rPr>
      </w:pPr>
      <w:bookmarkStart w:id="9" w:name="_Toc510015653"/>
      <w:bookmarkStart w:id="10" w:name="_Toc503235719"/>
      <w:r>
        <w:rPr>
          <w:rFonts w:ascii="黑体" w:hAnsi="黑体" w:eastAsia="黑体"/>
          <w:sz w:val="28"/>
          <w:szCs w:val="28"/>
          <w:highlight w:val="none"/>
        </w:rPr>
        <w:t>5. 投标文件的递交及相关事宜</w:t>
      </w:r>
      <w:bookmarkEnd w:id="9"/>
      <w:bookmarkEnd w:id="10"/>
    </w:p>
    <w:p w14:paraId="024AC0AA">
      <w:pPr>
        <w:spacing w:line="420" w:lineRule="exact"/>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.1 招标人</w:t>
      </w:r>
      <w:r>
        <w:rPr>
          <w:rFonts w:hint="eastAsia" w:ascii="宋体" w:hAnsi="宋体"/>
          <w:sz w:val="24"/>
          <w:highlight w:val="none"/>
        </w:rPr>
        <w:t>不</w:t>
      </w:r>
      <w:r>
        <w:rPr>
          <w:rFonts w:ascii="宋体" w:hAnsi="宋体"/>
          <w:sz w:val="24"/>
          <w:highlight w:val="none"/>
        </w:rPr>
        <w:t>组织</w:t>
      </w:r>
      <w:r>
        <w:rPr>
          <w:rFonts w:hint="eastAsia" w:ascii="宋体" w:hAnsi="宋体"/>
          <w:sz w:val="24"/>
          <w:highlight w:val="none"/>
        </w:rPr>
        <w:t>进行</w:t>
      </w:r>
      <w:r>
        <w:rPr>
          <w:rFonts w:ascii="宋体" w:hAnsi="宋体"/>
          <w:sz w:val="24"/>
          <w:highlight w:val="none"/>
        </w:rPr>
        <w:t>现场踏勘</w:t>
      </w:r>
      <w:r>
        <w:rPr>
          <w:rFonts w:hint="eastAsia" w:ascii="宋体" w:hAnsi="宋体"/>
          <w:sz w:val="24"/>
          <w:highlight w:val="none"/>
        </w:rPr>
        <w:t>，投标人自行安排，不</w:t>
      </w:r>
      <w:r>
        <w:rPr>
          <w:rFonts w:ascii="宋体" w:hAnsi="宋体"/>
          <w:sz w:val="24"/>
          <w:highlight w:val="none"/>
        </w:rPr>
        <w:t>召开投标预备会</w:t>
      </w:r>
      <w:r>
        <w:rPr>
          <w:rFonts w:hint="eastAsia" w:ascii="宋体" w:hAnsi="宋体" w:cs="宋体"/>
          <w:kern w:val="0"/>
          <w:sz w:val="24"/>
          <w:highlight w:val="none"/>
        </w:rPr>
        <w:t>，投标人的质疑请在</w:t>
      </w:r>
      <w:r>
        <w:rPr>
          <w:rFonts w:hint="eastAsia" w:ascii="宋体" w:hAnsi="宋体" w:cs="宋体"/>
          <w:kern w:val="0"/>
          <w:sz w:val="24"/>
          <w:highlight w:val="none"/>
          <w:u w:val="single"/>
          <w:lang w:eastAsia="zh-CN"/>
        </w:rPr>
        <w:t>202</w:t>
      </w:r>
      <w:r>
        <w:rPr>
          <w:rFonts w:hint="eastAsia" w:ascii="宋体" w:hAnsi="宋体" w:cs="宋体"/>
          <w:kern w:val="0"/>
          <w:sz w:val="24"/>
          <w:highlight w:val="none"/>
          <w:u w:val="singl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u w:val="single"/>
          <w:lang w:val="en-US" w:eastAsia="zh-CN"/>
        </w:rPr>
        <w:t>7</w:t>
      </w:r>
      <w:r>
        <w:rPr>
          <w:rFonts w:hint="eastAsia" w:ascii="宋体" w:hAnsi="宋体" w:cs="宋体"/>
          <w:kern w:val="0"/>
          <w:sz w:val="24"/>
          <w:highlight w:val="none"/>
        </w:rPr>
        <w:t>月</w:t>
      </w:r>
      <w:r>
        <w:rPr>
          <w:rFonts w:hint="eastAsia" w:ascii="宋体" w:hAnsi="宋体" w:cs="宋体"/>
          <w:kern w:val="0"/>
          <w:sz w:val="24"/>
          <w:highlight w:val="none"/>
          <w:u w:val="single"/>
          <w:lang w:val="en-US" w:eastAsia="zh-CN"/>
        </w:rPr>
        <w:t>28</w:t>
      </w:r>
      <w:r>
        <w:rPr>
          <w:rFonts w:hint="eastAsia" w:ascii="宋体" w:hAnsi="宋体" w:cs="宋体"/>
          <w:kern w:val="0"/>
          <w:sz w:val="24"/>
          <w:highlight w:val="none"/>
        </w:rPr>
        <w:t>日17时前发电子邮件到3911988@qq.com</w:t>
      </w:r>
      <w:r>
        <w:rPr>
          <w:rFonts w:ascii="宋体" w:hAnsi="宋体"/>
          <w:sz w:val="24"/>
          <w:highlight w:val="none"/>
        </w:rPr>
        <w:t>。</w:t>
      </w:r>
    </w:p>
    <w:p w14:paraId="5EA0B342">
      <w:pPr>
        <w:spacing w:line="440" w:lineRule="atLeast"/>
        <w:ind w:firstLine="480" w:firstLineChars="200"/>
        <w:rPr>
          <w:sz w:val="24"/>
          <w:highlight w:val="none"/>
        </w:rPr>
      </w:pPr>
      <w:r>
        <w:rPr>
          <w:rFonts w:hint="eastAsia" w:ascii="宋体" w:hAnsi="宋体"/>
          <w:sz w:val="24"/>
          <w:highlight w:val="none"/>
        </w:rPr>
        <w:t>5</w:t>
      </w:r>
      <w:r>
        <w:rPr>
          <w:rFonts w:ascii="宋体" w:hAnsi="宋体"/>
          <w:sz w:val="24"/>
          <w:highlight w:val="none"/>
        </w:rPr>
        <w:t>.2 投标文件递交的截止时间（投标截止时间，下同）为</w:t>
      </w:r>
      <w:r>
        <w:rPr>
          <w:rFonts w:hint="eastAsia" w:ascii="宋体" w:hAnsi="宋体"/>
          <w:sz w:val="24"/>
          <w:highlight w:val="none"/>
          <w:lang w:eastAsia="zh-CN"/>
        </w:rPr>
        <w:t>202</w:t>
      </w:r>
      <w:r>
        <w:rPr>
          <w:rFonts w:hint="eastAsia" w:ascii="宋体" w:hAnsi="宋体"/>
          <w:sz w:val="24"/>
          <w:highlight w:val="none"/>
          <w:lang w:val="en-US" w:eastAsia="zh-CN"/>
        </w:rPr>
        <w:t>6</w:t>
      </w:r>
      <w:r>
        <w:rPr>
          <w:rFonts w:ascii="宋体" w:hAnsi="宋体"/>
          <w:sz w:val="24"/>
          <w:highlight w:val="none"/>
        </w:rPr>
        <w:t>年</w:t>
      </w:r>
      <w:r>
        <w:rPr>
          <w:rFonts w:hint="eastAsia" w:ascii="宋体" w:hAnsi="宋体"/>
          <w:sz w:val="24"/>
          <w:highlight w:val="none"/>
          <w:u w:val="single"/>
          <w:lang w:val="en-US" w:eastAsia="zh-CN"/>
        </w:rPr>
        <w:t>8</w:t>
      </w:r>
      <w:r>
        <w:rPr>
          <w:rFonts w:ascii="宋体" w:hAnsi="宋体"/>
          <w:sz w:val="24"/>
          <w:highlight w:val="none"/>
        </w:rPr>
        <w:t>月</w:t>
      </w:r>
      <w:r>
        <w:rPr>
          <w:rFonts w:hint="eastAsia" w:ascii="宋体" w:hAnsi="宋体"/>
          <w:sz w:val="24"/>
          <w:highlight w:val="none"/>
          <w:u w:val="single"/>
          <w:lang w:val="en-US" w:eastAsia="zh-CN"/>
        </w:rPr>
        <w:t>3</w:t>
      </w:r>
      <w:r>
        <w:rPr>
          <w:rFonts w:ascii="宋体" w:hAnsi="宋体"/>
          <w:sz w:val="24"/>
          <w:highlight w:val="none"/>
        </w:rPr>
        <w:t>日</w:t>
      </w:r>
      <w:r>
        <w:rPr>
          <w:rFonts w:hint="eastAsia" w:ascii="宋体" w:hAnsi="宋体"/>
          <w:sz w:val="24"/>
          <w:highlight w:val="none"/>
        </w:rPr>
        <w:t>9</w:t>
      </w:r>
      <w:r>
        <w:rPr>
          <w:rFonts w:ascii="宋体" w:hAnsi="宋体"/>
          <w:sz w:val="24"/>
          <w:highlight w:val="none"/>
        </w:rPr>
        <w:t>时</w:t>
      </w:r>
      <w:r>
        <w:rPr>
          <w:rFonts w:hint="eastAsia" w:ascii="宋体" w:hAnsi="宋体"/>
          <w:sz w:val="24"/>
          <w:highlight w:val="none"/>
        </w:rPr>
        <w:t>30</w:t>
      </w:r>
      <w:r>
        <w:rPr>
          <w:rFonts w:ascii="宋体" w:hAnsi="宋体"/>
          <w:sz w:val="24"/>
          <w:highlight w:val="none"/>
        </w:rPr>
        <w:t>分，投标人应于当日</w:t>
      </w:r>
      <w:r>
        <w:rPr>
          <w:rFonts w:hint="eastAsia" w:ascii="宋体" w:hAnsi="宋体"/>
          <w:sz w:val="24"/>
          <w:highlight w:val="none"/>
          <w:lang w:val="en-US" w:eastAsia="zh-CN"/>
        </w:rPr>
        <w:t>9</w:t>
      </w:r>
      <w:r>
        <w:rPr>
          <w:rFonts w:ascii="宋体" w:hAnsi="宋体"/>
          <w:sz w:val="24"/>
          <w:highlight w:val="none"/>
        </w:rPr>
        <w:t>时</w:t>
      </w:r>
      <w:r>
        <w:rPr>
          <w:rFonts w:hint="eastAsia" w:ascii="宋体" w:hAnsi="宋体"/>
          <w:sz w:val="24"/>
          <w:highlight w:val="none"/>
          <w:lang w:val="en-US" w:eastAsia="zh-CN"/>
        </w:rPr>
        <w:t>0</w:t>
      </w:r>
      <w:r>
        <w:rPr>
          <w:rFonts w:hint="eastAsia" w:ascii="宋体" w:hAnsi="宋体"/>
          <w:sz w:val="24"/>
          <w:highlight w:val="none"/>
        </w:rPr>
        <w:t>0</w:t>
      </w:r>
      <w:r>
        <w:rPr>
          <w:rFonts w:ascii="宋体" w:hAnsi="宋体"/>
          <w:sz w:val="24"/>
          <w:highlight w:val="none"/>
        </w:rPr>
        <w:t>分至</w:t>
      </w:r>
      <w:r>
        <w:rPr>
          <w:rFonts w:hint="eastAsia" w:ascii="宋体" w:hAnsi="宋体"/>
          <w:sz w:val="24"/>
          <w:highlight w:val="none"/>
        </w:rPr>
        <w:t>9</w:t>
      </w:r>
      <w:r>
        <w:rPr>
          <w:rFonts w:ascii="宋体" w:hAnsi="宋体"/>
          <w:sz w:val="24"/>
          <w:highlight w:val="none"/>
        </w:rPr>
        <w:t>时</w:t>
      </w:r>
      <w:r>
        <w:rPr>
          <w:rFonts w:hint="eastAsia" w:ascii="宋体" w:hAnsi="宋体"/>
          <w:sz w:val="24"/>
          <w:highlight w:val="none"/>
        </w:rPr>
        <w:t>30</w:t>
      </w:r>
      <w:r>
        <w:rPr>
          <w:rFonts w:ascii="宋体" w:hAnsi="宋体"/>
          <w:sz w:val="24"/>
          <w:highlight w:val="none"/>
        </w:rPr>
        <w:t>分将投标文件递交至</w:t>
      </w:r>
      <w:r>
        <w:rPr>
          <w:rFonts w:hint="eastAsia" w:ascii="宋体" w:hAnsi="宋体"/>
          <w:sz w:val="24"/>
          <w:highlight w:val="none"/>
          <w:u w:val="single"/>
        </w:rPr>
        <w:t>湖南省长沙市天心区新姚南路222号御邦国际广场</w:t>
      </w:r>
      <w:r>
        <w:rPr>
          <w:rFonts w:hint="eastAsia" w:ascii="宋体" w:hAnsi="宋体"/>
          <w:sz w:val="24"/>
          <w:highlight w:val="none"/>
          <w:u w:val="single"/>
          <w:lang w:eastAsia="zh-CN"/>
        </w:rPr>
        <w:t>601</w:t>
      </w:r>
      <w:r>
        <w:rPr>
          <w:rFonts w:hint="eastAsia" w:ascii="宋体" w:hAnsi="宋体"/>
          <w:sz w:val="24"/>
          <w:highlight w:val="none"/>
          <w:u w:val="single"/>
          <w:lang w:val="en-US" w:eastAsia="zh-CN"/>
        </w:rPr>
        <w:t>开标室</w:t>
      </w:r>
      <w:r>
        <w:rPr>
          <w:rFonts w:hint="eastAsia" w:ascii="宋体" w:hAnsi="宋体"/>
          <w:sz w:val="24"/>
          <w:highlight w:val="none"/>
        </w:rPr>
        <w:t>交招标人签收，招标人在投标截止的同一时间、同一地点举行开标仪式</w:t>
      </w:r>
      <w:r>
        <w:rPr>
          <w:rFonts w:ascii="宋体" w:hAnsi="宋体"/>
          <w:sz w:val="24"/>
          <w:highlight w:val="none"/>
        </w:rPr>
        <w:t>。</w:t>
      </w:r>
    </w:p>
    <w:p w14:paraId="2BF2CFDA">
      <w:pPr>
        <w:spacing w:line="440" w:lineRule="atLeast"/>
        <w:ind w:firstLine="480" w:firstLineChars="200"/>
        <w:rPr>
          <w:rFonts w:eastAsia="黑体"/>
          <w:sz w:val="24"/>
          <w:szCs w:val="20"/>
          <w:highlight w:val="none"/>
        </w:rPr>
      </w:pPr>
      <w:r>
        <w:rPr>
          <w:sz w:val="24"/>
          <w:highlight w:val="none"/>
        </w:rPr>
        <w:t>5.3 逾期送达的、未送达指定地点的或不按照招标文件要求密封的投标文件，招标人将予以拒收。</w:t>
      </w:r>
    </w:p>
    <w:p w14:paraId="090C9D54">
      <w:pPr>
        <w:rPr>
          <w:rFonts w:ascii="黑体" w:hAnsi="黑体" w:eastAsia="黑体"/>
          <w:sz w:val="28"/>
          <w:szCs w:val="28"/>
          <w:highlight w:val="none"/>
        </w:rPr>
      </w:pPr>
      <w:bookmarkStart w:id="11" w:name="_Toc517377022"/>
      <w:r>
        <w:rPr>
          <w:rFonts w:ascii="黑体" w:hAnsi="黑体" w:eastAsia="黑体"/>
          <w:sz w:val="28"/>
          <w:szCs w:val="28"/>
          <w:highlight w:val="none"/>
        </w:rPr>
        <w:t>6．评标办法</w:t>
      </w:r>
      <w:bookmarkEnd w:id="11"/>
    </w:p>
    <w:p w14:paraId="0C621B9A">
      <w:pPr>
        <w:pStyle w:val="2"/>
        <w:topLinePunct/>
        <w:spacing w:line="400" w:lineRule="atLeast"/>
        <w:ind w:firstLine="360" w:firstLineChars="150"/>
        <w:rPr>
          <w:rFonts w:ascii="Times New Roman" w:eastAsia="黑体"/>
          <w:highlight w:val="none"/>
        </w:rPr>
      </w:pPr>
      <w:r>
        <w:rPr>
          <w:rFonts w:ascii="Times New Roman" w:eastAsia="黑体"/>
          <w:highlight w:val="none"/>
        </w:rPr>
        <w:t>本项目评标办法采用</w:t>
      </w:r>
      <w:r>
        <w:rPr>
          <w:rFonts w:hint="eastAsia" w:ascii="Times New Roman" w:eastAsia="黑体"/>
          <w:highlight w:val="none"/>
          <w:u w:val="single"/>
        </w:rPr>
        <w:t xml:space="preserve"> </w:t>
      </w:r>
      <w:r>
        <w:rPr>
          <w:rFonts w:hint="eastAsia" w:hAnsi="宋体"/>
          <w:highlight w:val="none"/>
          <w:u w:val="single"/>
        </w:rPr>
        <w:t xml:space="preserve">综合评估法 </w:t>
      </w:r>
      <w:r>
        <w:rPr>
          <w:rFonts w:ascii="Times New Roman" w:eastAsia="黑体"/>
          <w:highlight w:val="none"/>
        </w:rPr>
        <w:t>。</w:t>
      </w:r>
    </w:p>
    <w:p w14:paraId="6A007532">
      <w:pPr>
        <w:rPr>
          <w:rFonts w:ascii="黑体" w:hAnsi="黑体" w:eastAsia="黑体"/>
          <w:sz w:val="28"/>
          <w:szCs w:val="28"/>
          <w:highlight w:val="none"/>
        </w:rPr>
      </w:pPr>
      <w:bookmarkStart w:id="12" w:name="_Toc510015654"/>
      <w:bookmarkStart w:id="13" w:name="_Toc503235720"/>
      <w:r>
        <w:rPr>
          <w:rFonts w:ascii="黑体" w:hAnsi="黑体" w:eastAsia="黑体"/>
          <w:sz w:val="28"/>
          <w:szCs w:val="28"/>
          <w:highlight w:val="none"/>
        </w:rPr>
        <w:t>7. 发布公告的媒介</w:t>
      </w:r>
      <w:bookmarkEnd w:id="12"/>
      <w:bookmarkEnd w:id="13"/>
    </w:p>
    <w:p w14:paraId="46A0AA4F">
      <w:pPr>
        <w:pStyle w:val="2"/>
        <w:topLinePunct/>
        <w:spacing w:line="400" w:lineRule="atLeast"/>
        <w:ind w:firstLine="480" w:firstLineChars="200"/>
        <w:rPr>
          <w:rFonts w:ascii="Times New Roman" w:eastAsia="黑体"/>
          <w:szCs w:val="24"/>
          <w:highlight w:val="none"/>
        </w:rPr>
      </w:pPr>
      <w:r>
        <w:rPr>
          <w:rFonts w:hint="eastAsia" w:hAnsi="宋体" w:cs="宋体"/>
          <w:highlight w:val="none"/>
        </w:rPr>
        <w:t>本次招标公告同时在中国招标投标公共服务平台</w:t>
      </w:r>
      <w:r>
        <w:rPr>
          <w:rFonts w:hint="eastAsia" w:hAnsi="宋体"/>
          <w:highlight w:val="none"/>
        </w:rPr>
        <w:t>（</w:t>
      </w:r>
      <w:r>
        <w:rPr>
          <w:rFonts w:hAnsi="宋体"/>
          <w:highlight w:val="none"/>
        </w:rPr>
        <w:t>http://www.cebpubservice.com/</w:t>
      </w:r>
      <w:r>
        <w:rPr>
          <w:rFonts w:hint="eastAsia" w:hAnsi="宋体"/>
          <w:highlight w:val="none"/>
        </w:rPr>
        <w:t>）</w:t>
      </w:r>
      <w:r>
        <w:rPr>
          <w:rFonts w:hint="eastAsia" w:hAnsi="宋体" w:cs="宋体"/>
          <w:highlight w:val="none"/>
        </w:rPr>
        <w:t>、深圳阳光采购平台（https://ygcg.szexgrp.com/）上发布</w:t>
      </w:r>
      <w:r>
        <w:rPr>
          <w:rFonts w:hAnsi="宋体"/>
          <w:highlight w:val="none"/>
        </w:rPr>
        <w:t>。</w:t>
      </w:r>
    </w:p>
    <w:p w14:paraId="2D87AEDB">
      <w:pPr>
        <w:rPr>
          <w:rFonts w:ascii="黑体" w:hAnsi="黑体" w:eastAsia="黑体"/>
          <w:sz w:val="28"/>
          <w:szCs w:val="28"/>
          <w:highlight w:val="none"/>
        </w:rPr>
      </w:pPr>
      <w:bookmarkStart w:id="14" w:name="_Toc516774588"/>
      <w:r>
        <w:rPr>
          <w:rFonts w:ascii="黑体" w:hAnsi="黑体" w:eastAsia="黑体"/>
          <w:sz w:val="28"/>
          <w:szCs w:val="28"/>
          <w:highlight w:val="none"/>
        </w:rPr>
        <w:t>8. 附件</w:t>
      </w:r>
      <w:bookmarkEnd w:id="14"/>
    </w:p>
    <w:p w14:paraId="2C2419E5">
      <w:pPr>
        <w:pStyle w:val="2"/>
        <w:topLinePunct/>
        <w:spacing w:line="440" w:lineRule="atLeast"/>
        <w:ind w:firstLine="480" w:firstLineChars="200"/>
        <w:rPr>
          <w:rFonts w:ascii="Times New Roman" w:eastAsia="黑体"/>
          <w:szCs w:val="24"/>
          <w:highlight w:val="none"/>
        </w:rPr>
      </w:pPr>
      <w:r>
        <w:rPr>
          <w:rFonts w:ascii="Times New Roman" w:eastAsia="黑体"/>
          <w:szCs w:val="24"/>
          <w:highlight w:val="none"/>
        </w:rPr>
        <w:t>附件1：资格审查条件要求（详见第二章投标人须知之附录）</w:t>
      </w:r>
    </w:p>
    <w:p w14:paraId="50693670">
      <w:pPr>
        <w:pStyle w:val="2"/>
        <w:topLinePunct/>
        <w:spacing w:line="440" w:lineRule="atLeast"/>
        <w:ind w:firstLine="480" w:firstLineChars="200"/>
        <w:rPr>
          <w:rFonts w:ascii="Times New Roman" w:eastAsia="黑体"/>
          <w:szCs w:val="24"/>
          <w:highlight w:val="none"/>
        </w:rPr>
      </w:pPr>
      <w:r>
        <w:rPr>
          <w:rFonts w:ascii="Times New Roman" w:eastAsia="黑体"/>
          <w:szCs w:val="24"/>
          <w:highlight w:val="none"/>
        </w:rPr>
        <w:t>附件2：评标办法(详见第三章评标办法)</w:t>
      </w:r>
    </w:p>
    <w:p w14:paraId="54520D81">
      <w:pPr>
        <w:rPr>
          <w:rFonts w:ascii="黑体" w:hAnsi="黑体" w:eastAsia="黑体"/>
          <w:sz w:val="28"/>
          <w:szCs w:val="28"/>
          <w:highlight w:val="none"/>
        </w:rPr>
      </w:pPr>
      <w:bookmarkStart w:id="15" w:name="_Toc503235721"/>
      <w:bookmarkStart w:id="16" w:name="_Toc510015655"/>
      <w:r>
        <w:rPr>
          <w:rFonts w:ascii="黑体" w:hAnsi="黑体" w:eastAsia="黑体"/>
          <w:sz w:val="28"/>
          <w:szCs w:val="28"/>
          <w:highlight w:val="none"/>
        </w:rPr>
        <w:t>9. 联系方式</w:t>
      </w:r>
      <w:bookmarkEnd w:id="15"/>
      <w:bookmarkEnd w:id="16"/>
    </w:p>
    <w:p w14:paraId="3EBAD81B">
      <w:pPr>
        <w:adjustRightInd w:val="0"/>
        <w:snapToGrid w:val="0"/>
        <w:spacing w:line="400" w:lineRule="exact"/>
        <w:ind w:firstLine="475" w:firstLineChars="198"/>
        <w:rPr>
          <w:rFonts w:hint="eastAsia" w:ascii="宋体" w:eastAsia="宋体"/>
          <w:sz w:val="24"/>
          <w:highlight w:val="none"/>
          <w:lang w:eastAsia="zh-CN"/>
        </w:rPr>
      </w:pPr>
      <w:r>
        <w:rPr>
          <w:rFonts w:ascii="宋体"/>
          <w:sz w:val="24"/>
          <w:highlight w:val="none"/>
        </w:rPr>
        <w:t>招 标 人：</w:t>
      </w:r>
      <w:r>
        <w:rPr>
          <w:rFonts w:hint="eastAsia" w:ascii="宋体"/>
          <w:sz w:val="24"/>
          <w:highlight w:val="none"/>
          <w:lang w:eastAsia="zh-CN"/>
        </w:rPr>
        <w:t xml:space="preserve">湖南益常高速公路运营管理有限公司 </w:t>
      </w:r>
    </w:p>
    <w:p w14:paraId="151ED95C">
      <w:pPr>
        <w:adjustRightInd w:val="0"/>
        <w:snapToGrid w:val="0"/>
        <w:spacing w:line="400" w:lineRule="exact"/>
        <w:ind w:firstLine="475" w:firstLineChars="198"/>
        <w:rPr>
          <w:rFonts w:ascii="宋体"/>
          <w:sz w:val="24"/>
          <w:highlight w:val="none"/>
        </w:rPr>
      </w:pPr>
      <w:r>
        <w:rPr>
          <w:rFonts w:ascii="宋体"/>
          <w:sz w:val="24"/>
          <w:highlight w:val="none"/>
        </w:rPr>
        <w:t>地</w:t>
      </w:r>
      <w:r>
        <w:rPr>
          <w:rFonts w:hint="eastAsia" w:ascii="宋体"/>
          <w:sz w:val="24"/>
          <w:highlight w:val="none"/>
        </w:rPr>
        <w:t xml:space="preserve">    </w:t>
      </w:r>
      <w:r>
        <w:rPr>
          <w:rFonts w:ascii="宋体"/>
          <w:sz w:val="24"/>
          <w:highlight w:val="none"/>
        </w:rPr>
        <w:t>址：</w:t>
      </w:r>
      <w:r>
        <w:rPr>
          <w:rFonts w:hint="eastAsia" w:ascii="宋体"/>
          <w:sz w:val="24"/>
          <w:highlight w:val="none"/>
        </w:rPr>
        <w:t>常德市德山开发区檀树坪</w:t>
      </w:r>
    </w:p>
    <w:p w14:paraId="48FFE47F">
      <w:pPr>
        <w:adjustRightInd w:val="0"/>
        <w:snapToGrid w:val="0"/>
        <w:spacing w:line="400" w:lineRule="exact"/>
        <w:ind w:firstLine="475" w:firstLineChars="198"/>
        <w:rPr>
          <w:rFonts w:ascii="宋体"/>
          <w:sz w:val="24"/>
          <w:highlight w:val="none"/>
        </w:rPr>
      </w:pPr>
      <w:r>
        <w:rPr>
          <w:rFonts w:hint="eastAsia" w:ascii="宋体"/>
          <w:sz w:val="24"/>
          <w:highlight w:val="none"/>
        </w:rPr>
        <w:t>邮政编码</w:t>
      </w:r>
      <w:r>
        <w:rPr>
          <w:rFonts w:ascii="宋体"/>
          <w:sz w:val="24"/>
          <w:highlight w:val="none"/>
        </w:rPr>
        <w:t>：415001</w:t>
      </w:r>
    </w:p>
    <w:p w14:paraId="62C94ACD">
      <w:pPr>
        <w:adjustRightInd w:val="0"/>
        <w:snapToGrid w:val="0"/>
        <w:spacing w:line="400" w:lineRule="exact"/>
        <w:ind w:firstLine="475" w:firstLineChars="198"/>
        <w:rPr>
          <w:rFonts w:ascii="宋体"/>
          <w:sz w:val="24"/>
          <w:highlight w:val="none"/>
        </w:rPr>
      </w:pPr>
      <w:r>
        <w:rPr>
          <w:rFonts w:hint="eastAsia" w:ascii="宋体"/>
          <w:sz w:val="24"/>
          <w:highlight w:val="none"/>
        </w:rPr>
        <w:t>联 系 人：</w:t>
      </w:r>
      <w:r>
        <w:rPr>
          <w:rFonts w:hint="eastAsia" w:ascii="宋体"/>
          <w:sz w:val="24"/>
          <w:highlight w:val="none"/>
          <w:lang w:val="en-US" w:eastAsia="zh-CN"/>
        </w:rPr>
        <w:t>谢</w:t>
      </w:r>
      <w:r>
        <w:rPr>
          <w:rFonts w:hint="eastAsia" w:ascii="宋体"/>
          <w:sz w:val="24"/>
          <w:highlight w:val="none"/>
        </w:rPr>
        <w:t>先生</w:t>
      </w:r>
    </w:p>
    <w:p w14:paraId="59A055FC">
      <w:pPr>
        <w:adjustRightInd w:val="0"/>
        <w:snapToGrid w:val="0"/>
        <w:spacing w:line="400" w:lineRule="exact"/>
        <w:ind w:firstLine="475" w:firstLineChars="198"/>
        <w:rPr>
          <w:rFonts w:ascii="宋体"/>
          <w:sz w:val="24"/>
          <w:highlight w:val="none"/>
        </w:rPr>
      </w:pPr>
      <w:r>
        <w:rPr>
          <w:rFonts w:ascii="宋体"/>
          <w:sz w:val="24"/>
          <w:highlight w:val="none"/>
        </w:rPr>
        <w:t xml:space="preserve">电 </w:t>
      </w:r>
      <w:r>
        <w:rPr>
          <w:rFonts w:hint="eastAsia" w:ascii="宋体"/>
          <w:sz w:val="24"/>
          <w:highlight w:val="none"/>
        </w:rPr>
        <w:t xml:space="preserve">   </w:t>
      </w:r>
      <w:r>
        <w:rPr>
          <w:rFonts w:ascii="宋体"/>
          <w:sz w:val="24"/>
          <w:highlight w:val="none"/>
        </w:rPr>
        <w:t>话：</w:t>
      </w:r>
      <w:r>
        <w:rPr>
          <w:rFonts w:hint="eastAsia" w:ascii="宋体"/>
          <w:sz w:val="24"/>
          <w:highlight w:val="none"/>
        </w:rPr>
        <w:t>15115812567</w:t>
      </w:r>
    </w:p>
    <w:p w14:paraId="57329FA9">
      <w:pPr>
        <w:adjustRightInd w:val="0"/>
        <w:snapToGrid w:val="0"/>
        <w:spacing w:line="400" w:lineRule="exact"/>
        <w:ind w:firstLine="475" w:firstLineChars="198"/>
        <w:rPr>
          <w:rFonts w:ascii="宋体"/>
          <w:sz w:val="24"/>
          <w:highlight w:val="none"/>
        </w:rPr>
      </w:pPr>
      <w:r>
        <w:rPr>
          <w:rFonts w:hint="eastAsia" w:ascii="宋体"/>
          <w:sz w:val="24"/>
          <w:highlight w:val="none"/>
        </w:rPr>
        <w:t>传    真：0736-7309998</w:t>
      </w:r>
    </w:p>
    <w:p w14:paraId="31EB0EA6">
      <w:pPr>
        <w:adjustRightInd w:val="0"/>
        <w:snapToGrid w:val="0"/>
        <w:spacing w:line="400" w:lineRule="exact"/>
        <w:ind w:firstLine="475" w:firstLineChars="198"/>
        <w:rPr>
          <w:rFonts w:hint="eastAsia" w:ascii="宋体" w:eastAsia="宋体"/>
          <w:sz w:val="24"/>
          <w:highlight w:val="none"/>
          <w:lang w:eastAsia="zh-CN"/>
        </w:rPr>
      </w:pPr>
      <w:r>
        <w:rPr>
          <w:rFonts w:ascii="宋体"/>
          <w:sz w:val="24"/>
          <w:highlight w:val="none"/>
        </w:rPr>
        <w:t>招标代理机构：</w:t>
      </w:r>
      <w:r>
        <w:rPr>
          <w:rFonts w:hint="eastAsia" w:ascii="宋体"/>
          <w:sz w:val="24"/>
          <w:highlight w:val="none"/>
          <w:lang w:eastAsia="zh-CN"/>
        </w:rPr>
        <w:t>湖南万成项目管理有限公司</w:t>
      </w:r>
    </w:p>
    <w:p w14:paraId="37752656">
      <w:pPr>
        <w:adjustRightInd w:val="0"/>
        <w:snapToGrid w:val="0"/>
        <w:spacing w:line="400" w:lineRule="exact"/>
        <w:ind w:firstLine="475" w:firstLineChars="198"/>
        <w:rPr>
          <w:rFonts w:hint="eastAsia" w:ascii="宋体" w:eastAsia="宋体"/>
          <w:sz w:val="24"/>
          <w:highlight w:val="none"/>
          <w:lang w:eastAsia="zh-CN"/>
        </w:rPr>
      </w:pPr>
      <w:r>
        <w:rPr>
          <w:rFonts w:hint="eastAsia" w:ascii="宋体"/>
          <w:sz w:val="24"/>
          <w:highlight w:val="none"/>
        </w:rPr>
        <w:t>地    址：湖南省长沙市天心区新姚南路222号御邦国际广场</w:t>
      </w:r>
      <w:r>
        <w:rPr>
          <w:rFonts w:hint="eastAsia" w:ascii="宋体"/>
          <w:sz w:val="24"/>
          <w:highlight w:val="none"/>
          <w:lang w:eastAsia="zh-CN"/>
        </w:rPr>
        <w:t>601</w:t>
      </w:r>
    </w:p>
    <w:p w14:paraId="2716CD92">
      <w:pPr>
        <w:adjustRightInd w:val="0"/>
        <w:snapToGrid w:val="0"/>
        <w:spacing w:line="400" w:lineRule="exact"/>
        <w:ind w:firstLine="475" w:firstLineChars="198"/>
        <w:rPr>
          <w:rFonts w:hint="eastAsia" w:ascii="宋体" w:eastAsia="宋体"/>
          <w:sz w:val="24"/>
          <w:highlight w:val="none"/>
          <w:lang w:val="en-US" w:eastAsia="zh-CN"/>
        </w:rPr>
      </w:pPr>
      <w:r>
        <w:rPr>
          <w:rFonts w:hint="eastAsia" w:ascii="宋体"/>
          <w:sz w:val="24"/>
          <w:highlight w:val="none"/>
        </w:rPr>
        <w:t>联 系 人：</w:t>
      </w:r>
      <w:r>
        <w:rPr>
          <w:rFonts w:hint="eastAsia" w:ascii="宋体"/>
          <w:sz w:val="24"/>
          <w:highlight w:val="none"/>
          <w:lang w:val="en-US" w:eastAsia="zh-CN"/>
        </w:rPr>
        <w:t>胡鹏、黄高衡、</w:t>
      </w:r>
      <w:r>
        <w:rPr>
          <w:rFonts w:hint="eastAsia" w:ascii="宋体"/>
          <w:sz w:val="24"/>
          <w:highlight w:val="none"/>
        </w:rPr>
        <w:t>刘</w:t>
      </w:r>
      <w:r>
        <w:rPr>
          <w:rFonts w:hint="eastAsia" w:ascii="宋体"/>
          <w:sz w:val="24"/>
          <w:highlight w:val="none"/>
          <w:lang w:val="en-US" w:eastAsia="zh-CN"/>
        </w:rPr>
        <w:t>建军</w:t>
      </w:r>
    </w:p>
    <w:p w14:paraId="572721DD">
      <w:pPr>
        <w:adjustRightInd w:val="0"/>
        <w:snapToGrid w:val="0"/>
        <w:spacing w:line="400" w:lineRule="exact"/>
        <w:ind w:firstLine="475" w:firstLineChars="198"/>
        <w:rPr>
          <w:rFonts w:hint="default" w:ascii="宋体" w:eastAsia="宋体"/>
          <w:sz w:val="24"/>
          <w:highlight w:val="none"/>
          <w:lang w:val="en-US" w:eastAsia="zh-CN"/>
        </w:rPr>
      </w:pPr>
      <w:r>
        <w:rPr>
          <w:rFonts w:hint="eastAsia" w:ascii="宋体"/>
          <w:sz w:val="24"/>
          <w:highlight w:val="none"/>
        </w:rPr>
        <w:t>电    话：0731-</w:t>
      </w:r>
      <w:r>
        <w:rPr>
          <w:rFonts w:hint="eastAsia" w:ascii="宋体"/>
          <w:sz w:val="24"/>
          <w:highlight w:val="none"/>
          <w:lang w:eastAsia="zh-CN"/>
        </w:rPr>
        <w:t>85</w:t>
      </w:r>
      <w:r>
        <w:rPr>
          <w:rFonts w:hint="eastAsia" w:ascii="宋体"/>
          <w:sz w:val="24"/>
          <w:highlight w:val="none"/>
          <w:lang w:val="en-US" w:eastAsia="zh-CN"/>
        </w:rPr>
        <w:t>166266</w:t>
      </w:r>
    </w:p>
    <w:p w14:paraId="1CFFE30B">
      <w:pPr>
        <w:adjustRightInd w:val="0"/>
        <w:snapToGrid w:val="0"/>
        <w:spacing w:line="400" w:lineRule="exact"/>
        <w:ind w:firstLine="475" w:firstLineChars="198"/>
        <w:rPr>
          <w:rFonts w:hint="default" w:ascii="宋体" w:eastAsia="宋体"/>
          <w:sz w:val="24"/>
          <w:highlight w:val="none"/>
          <w:lang w:val="en-US" w:eastAsia="zh-CN"/>
        </w:rPr>
      </w:pPr>
      <w:r>
        <w:rPr>
          <w:rFonts w:hint="eastAsia" w:ascii="宋体"/>
          <w:sz w:val="24"/>
          <w:highlight w:val="none"/>
        </w:rPr>
        <w:t>传    真：</w:t>
      </w:r>
      <w:r>
        <w:rPr>
          <w:rFonts w:hint="eastAsia" w:ascii="宋体"/>
          <w:sz w:val="24"/>
          <w:highlight w:val="none"/>
          <w:lang w:val="en-US" w:eastAsia="zh-CN"/>
        </w:rPr>
        <w:t>0731-85456777</w:t>
      </w:r>
    </w:p>
    <w:p w14:paraId="6EC063BB">
      <w:pPr>
        <w:adjustRightInd w:val="0"/>
        <w:snapToGrid w:val="0"/>
        <w:spacing w:line="400" w:lineRule="exact"/>
        <w:ind w:firstLine="475" w:firstLineChars="198"/>
        <w:rPr>
          <w:rFonts w:ascii="宋体"/>
          <w:sz w:val="24"/>
          <w:highlight w:val="none"/>
        </w:rPr>
      </w:pPr>
      <w:r>
        <w:rPr>
          <w:rFonts w:hint="eastAsia" w:ascii="宋体"/>
          <w:sz w:val="24"/>
          <w:highlight w:val="none"/>
        </w:rPr>
        <w:t>监督部门：</w:t>
      </w:r>
      <w:r>
        <w:rPr>
          <w:rFonts w:hint="eastAsia" w:ascii="宋体"/>
          <w:sz w:val="24"/>
          <w:highlight w:val="none"/>
          <w:lang w:eastAsia="zh-CN"/>
        </w:rPr>
        <w:t xml:space="preserve">湖南益常高速公路运营管理有限公司 </w:t>
      </w:r>
      <w:r>
        <w:rPr>
          <w:rFonts w:hint="eastAsia" w:ascii="宋体"/>
          <w:sz w:val="24"/>
          <w:highlight w:val="none"/>
        </w:rPr>
        <w:t>监督小组</w:t>
      </w:r>
    </w:p>
    <w:p w14:paraId="0D6C2043">
      <w:pPr>
        <w:adjustRightInd w:val="0"/>
        <w:snapToGrid w:val="0"/>
        <w:spacing w:line="400" w:lineRule="exact"/>
        <w:ind w:firstLine="475" w:firstLineChars="198"/>
        <w:rPr>
          <w:rFonts w:ascii="宋体"/>
          <w:sz w:val="24"/>
          <w:highlight w:val="none"/>
        </w:rPr>
      </w:pPr>
      <w:r>
        <w:rPr>
          <w:rFonts w:hint="eastAsia" w:ascii="宋体"/>
          <w:sz w:val="24"/>
          <w:highlight w:val="none"/>
        </w:rPr>
        <w:t>地    址：湖南省常德市经开区经石大道1299号</w:t>
      </w:r>
    </w:p>
    <w:p w14:paraId="53E3AE78">
      <w:pPr>
        <w:adjustRightInd w:val="0"/>
        <w:snapToGrid w:val="0"/>
        <w:spacing w:line="400" w:lineRule="exact"/>
        <w:ind w:firstLine="475" w:firstLineChars="198"/>
        <w:rPr>
          <w:rFonts w:ascii="宋体"/>
          <w:sz w:val="24"/>
          <w:highlight w:val="none"/>
        </w:rPr>
      </w:pPr>
      <w:r>
        <w:rPr>
          <w:rFonts w:hint="eastAsia" w:ascii="宋体"/>
          <w:sz w:val="24"/>
          <w:highlight w:val="none"/>
        </w:rPr>
        <w:t>电    话：</w:t>
      </w:r>
      <w:r>
        <w:rPr>
          <w:rFonts w:ascii="宋体"/>
          <w:sz w:val="24"/>
          <w:highlight w:val="none"/>
        </w:rPr>
        <w:t>0736-7309688</w:t>
      </w:r>
    </w:p>
    <w:p w14:paraId="45B7296D">
      <w:pPr>
        <w:adjustRightInd w:val="0"/>
        <w:snapToGrid w:val="0"/>
        <w:spacing w:line="400" w:lineRule="exact"/>
        <w:ind w:firstLine="475" w:firstLineChars="198"/>
        <w:rPr>
          <w:rFonts w:ascii="宋体"/>
          <w:sz w:val="24"/>
          <w:highlight w:val="none"/>
        </w:rPr>
      </w:pPr>
      <w:r>
        <w:rPr>
          <w:rFonts w:hint="eastAsia" w:ascii="宋体"/>
          <w:sz w:val="24"/>
          <w:highlight w:val="none"/>
        </w:rPr>
        <w:t>传    真：0736-7309666</w:t>
      </w:r>
    </w:p>
    <w:p w14:paraId="4922F80F">
      <w:pPr>
        <w:adjustRightInd w:val="0"/>
        <w:snapToGrid w:val="0"/>
        <w:spacing w:line="400" w:lineRule="exact"/>
        <w:ind w:firstLine="475" w:firstLineChars="198"/>
        <w:rPr>
          <w:rFonts w:hint="eastAsia" w:ascii="宋体"/>
          <w:sz w:val="24"/>
          <w:highlight w:val="none"/>
          <w:lang w:val="en-US" w:eastAsia="zh-CN"/>
        </w:rPr>
      </w:pPr>
      <w:r>
        <w:rPr>
          <w:rFonts w:hint="eastAsia" w:ascii="宋体"/>
          <w:sz w:val="24"/>
          <w:highlight w:val="none"/>
        </w:rPr>
        <w:t>邮    编：415001</w:t>
      </w:r>
      <w:r>
        <w:rPr>
          <w:rFonts w:hint="eastAsia" w:ascii="宋体"/>
          <w:sz w:val="24"/>
          <w:highlight w:val="none"/>
          <w:lang w:val="en-US" w:eastAsia="zh-CN"/>
        </w:rPr>
        <w:t xml:space="preserve">                                      </w:t>
      </w:r>
    </w:p>
    <w:p w14:paraId="219EB2D0">
      <w:r>
        <w:br w:type="page"/>
      </w:r>
    </w:p>
    <w:p w14:paraId="0635F1AA"/>
    <w:p w14:paraId="16C8C330">
      <w:pPr>
        <w:jc w:val="center"/>
        <w:rPr>
          <w:rFonts w:ascii="黑体" w:hAnsi="黑体" w:eastAsia="黑体"/>
          <w:sz w:val="28"/>
          <w:szCs w:val="28"/>
          <w:highlight w:val="none"/>
        </w:rPr>
      </w:pPr>
      <w:bookmarkStart w:id="17" w:name="_Toc234832863"/>
      <w:bookmarkStart w:id="18" w:name="_Toc510015669"/>
      <w:r>
        <w:rPr>
          <w:rFonts w:ascii="黑体" w:hAnsi="黑体" w:eastAsia="黑体"/>
          <w:sz w:val="28"/>
          <w:szCs w:val="28"/>
          <w:highlight w:val="none"/>
        </w:rPr>
        <w:t>附录1  资格审查条件（资质最低要求）</w:t>
      </w:r>
      <w:bookmarkEnd w:id="17"/>
      <w:bookmarkEnd w:id="18"/>
    </w:p>
    <w:tbl>
      <w:tblPr>
        <w:tblStyle w:val="6"/>
        <w:tblW w:w="90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6"/>
      </w:tblGrid>
      <w:tr w14:paraId="43920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9096" w:type="dxa"/>
            <w:noWrap w:val="0"/>
            <w:vAlign w:val="center"/>
          </w:tcPr>
          <w:p w14:paraId="06F488C4">
            <w:pPr>
              <w:jc w:val="center"/>
              <w:rPr>
                <w:rFonts w:ascii="黑体" w:hAnsi="黑体" w:eastAsia="黑体"/>
                <w:sz w:val="24"/>
                <w:highlight w:val="none"/>
              </w:rPr>
            </w:pPr>
            <w:r>
              <w:rPr>
                <w:rFonts w:ascii="黑体" w:hAnsi="黑体" w:eastAsia="黑体"/>
                <w:sz w:val="24"/>
                <w:highlight w:val="none"/>
              </w:rPr>
              <w:t>咨询企业资质等级要求</w:t>
            </w:r>
          </w:p>
        </w:tc>
      </w:tr>
      <w:tr w14:paraId="0F221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28" w:hRule="atLeast"/>
          <w:jc w:val="center"/>
        </w:trPr>
        <w:tc>
          <w:tcPr>
            <w:tcW w:w="9096" w:type="dxa"/>
            <w:noWrap w:val="0"/>
            <w:vAlign w:val="center"/>
          </w:tcPr>
          <w:p w14:paraId="48C6B13D">
            <w:pPr>
              <w:rPr>
                <w:highlight w:val="none"/>
              </w:rPr>
            </w:pPr>
            <w:bookmarkStart w:id="19" w:name="EB9c66e41f3edc421ca91fc82c36e98065"/>
            <w:r>
              <w:rPr>
                <w:rFonts w:hint="eastAsia"/>
                <w:highlight w:val="none"/>
              </w:rPr>
              <w:t>1.具有独立法人资格，持有有效的企业法人营业执照（或事业单位法人证书）；</w:t>
            </w:r>
          </w:p>
          <w:p w14:paraId="65E9AC57">
            <w:pPr>
              <w:rPr>
                <w:highlight w:val="none"/>
              </w:rPr>
            </w:pPr>
            <w:r>
              <w:rPr>
                <w:rFonts w:hint="eastAsia"/>
                <w:highlight w:val="none"/>
              </w:rPr>
              <w:t>2.交通运输部颁发的在有效期内的公路工程试验检测</w:t>
            </w:r>
            <w:r>
              <w:rPr>
                <w:rFonts w:hint="eastAsia" w:ascii="Times New Roman" w:eastAsia="宋体"/>
                <w:highlight w:val="none"/>
                <w:lang w:val="en-US" w:eastAsia="zh-CN"/>
              </w:rPr>
              <w:t>综合甲级资质或</w:t>
            </w:r>
            <w:r>
              <w:rPr>
                <w:rFonts w:hint="eastAsia"/>
                <w:highlight w:val="none"/>
              </w:rPr>
              <w:t>桥梁隧道专项资质；</w:t>
            </w:r>
          </w:p>
          <w:p w14:paraId="44E7E3EE">
            <w:pPr>
              <w:rPr>
                <w:szCs w:val="21"/>
                <w:highlight w:val="none"/>
              </w:rPr>
            </w:pPr>
            <w:r>
              <w:rPr>
                <w:rFonts w:hint="eastAsia"/>
                <w:highlight w:val="none"/>
              </w:rPr>
              <w:t>（独立法人单位下属的非独立法人检测机构具有相应资质的，视为该独立法人具有相应的资质，如中标，应以该独立法人单位名义签订合同）</w:t>
            </w:r>
            <w:bookmarkEnd w:id="19"/>
          </w:p>
        </w:tc>
      </w:tr>
    </w:tbl>
    <w:p w14:paraId="4BC4F6C6">
      <w:pPr>
        <w:rPr>
          <w:highlight w:val="none"/>
        </w:rPr>
      </w:pPr>
      <w:bookmarkStart w:id="20" w:name="_Toc234832865"/>
      <w:bookmarkStart w:id="21" w:name="_Toc510015670"/>
    </w:p>
    <w:p w14:paraId="44D6C938">
      <w:pPr>
        <w:rPr>
          <w:highlight w:val="none"/>
        </w:rPr>
      </w:pPr>
    </w:p>
    <w:p w14:paraId="78039036">
      <w:pPr>
        <w:rPr>
          <w:highlight w:val="none"/>
        </w:rPr>
      </w:pPr>
    </w:p>
    <w:p w14:paraId="20D6BECF">
      <w:pPr>
        <w:rPr>
          <w:highlight w:val="none"/>
        </w:rPr>
      </w:pPr>
    </w:p>
    <w:p w14:paraId="6062369B">
      <w:pPr>
        <w:rPr>
          <w:highlight w:val="none"/>
        </w:rPr>
      </w:pPr>
    </w:p>
    <w:p w14:paraId="2BB9E3C5">
      <w:pPr>
        <w:rPr>
          <w:highlight w:val="none"/>
        </w:rPr>
      </w:pPr>
    </w:p>
    <w:p w14:paraId="72E4C87A">
      <w:pPr>
        <w:rPr>
          <w:highlight w:val="none"/>
        </w:rPr>
      </w:pPr>
    </w:p>
    <w:p w14:paraId="7EC9B51A">
      <w:pPr>
        <w:rPr>
          <w:highlight w:val="none"/>
        </w:rPr>
      </w:pPr>
    </w:p>
    <w:p w14:paraId="6F80C356">
      <w:pPr>
        <w:rPr>
          <w:highlight w:val="none"/>
        </w:rPr>
      </w:pPr>
    </w:p>
    <w:p w14:paraId="4AB4F57B">
      <w:pPr>
        <w:rPr>
          <w:highlight w:val="none"/>
        </w:rPr>
      </w:pPr>
    </w:p>
    <w:p w14:paraId="503A295F">
      <w:pPr>
        <w:rPr>
          <w:highlight w:val="none"/>
        </w:rPr>
      </w:pPr>
    </w:p>
    <w:p w14:paraId="42D61D61">
      <w:pPr>
        <w:rPr>
          <w:highlight w:val="none"/>
        </w:rPr>
      </w:pPr>
    </w:p>
    <w:p w14:paraId="207B3650">
      <w:pPr>
        <w:rPr>
          <w:highlight w:val="none"/>
        </w:rPr>
      </w:pPr>
    </w:p>
    <w:p w14:paraId="5BFE6802">
      <w:pPr>
        <w:rPr>
          <w:highlight w:val="none"/>
        </w:rPr>
      </w:pPr>
    </w:p>
    <w:p w14:paraId="536428F7">
      <w:pPr>
        <w:rPr>
          <w:highlight w:val="none"/>
        </w:rPr>
      </w:pPr>
    </w:p>
    <w:p w14:paraId="5B36D84A">
      <w:pPr>
        <w:rPr>
          <w:highlight w:val="none"/>
        </w:rPr>
      </w:pPr>
    </w:p>
    <w:p w14:paraId="354275CF">
      <w:pPr>
        <w:rPr>
          <w:highlight w:val="none"/>
        </w:rPr>
      </w:pPr>
    </w:p>
    <w:p w14:paraId="1484049F">
      <w:pPr>
        <w:rPr>
          <w:highlight w:val="none"/>
        </w:rPr>
      </w:pPr>
    </w:p>
    <w:p w14:paraId="66977E0F">
      <w:pPr>
        <w:rPr>
          <w:highlight w:val="none"/>
        </w:rPr>
      </w:pPr>
    </w:p>
    <w:p w14:paraId="39904601">
      <w:pPr>
        <w:rPr>
          <w:highlight w:val="none"/>
        </w:rPr>
      </w:pPr>
    </w:p>
    <w:p w14:paraId="186AE403">
      <w:pPr>
        <w:rPr>
          <w:highlight w:val="none"/>
        </w:rPr>
      </w:pPr>
    </w:p>
    <w:p w14:paraId="4CEF2BB6">
      <w:pPr>
        <w:rPr>
          <w:highlight w:val="none"/>
        </w:rPr>
      </w:pPr>
    </w:p>
    <w:p w14:paraId="226EECC8">
      <w:pPr>
        <w:rPr>
          <w:highlight w:val="none"/>
        </w:rPr>
      </w:pPr>
    </w:p>
    <w:p w14:paraId="1BD11BDC">
      <w:pPr>
        <w:rPr>
          <w:highlight w:val="none"/>
        </w:rPr>
      </w:pPr>
    </w:p>
    <w:p w14:paraId="40DDA903">
      <w:pPr>
        <w:rPr>
          <w:highlight w:val="none"/>
        </w:rPr>
      </w:pPr>
    </w:p>
    <w:p w14:paraId="1ABBDAAF">
      <w:pPr>
        <w:rPr>
          <w:highlight w:val="none"/>
        </w:rPr>
      </w:pPr>
    </w:p>
    <w:p w14:paraId="5842B798">
      <w:pPr>
        <w:rPr>
          <w:highlight w:val="none"/>
        </w:rPr>
      </w:pPr>
    </w:p>
    <w:p w14:paraId="7B2BF75D">
      <w:pPr>
        <w:rPr>
          <w:highlight w:val="none"/>
        </w:rPr>
      </w:pPr>
    </w:p>
    <w:p w14:paraId="412E53A4">
      <w:pPr>
        <w:rPr>
          <w:highlight w:val="none"/>
        </w:rPr>
      </w:pPr>
    </w:p>
    <w:p w14:paraId="10D1AB73">
      <w:pPr>
        <w:rPr>
          <w:highlight w:val="none"/>
        </w:rPr>
      </w:pPr>
    </w:p>
    <w:p w14:paraId="1AA32BF4">
      <w:pPr>
        <w:rPr>
          <w:highlight w:val="none"/>
        </w:rPr>
      </w:pPr>
    </w:p>
    <w:p w14:paraId="6558683F">
      <w:pPr>
        <w:rPr>
          <w:highlight w:val="none"/>
        </w:rPr>
      </w:pPr>
    </w:p>
    <w:p w14:paraId="6A1B69F5">
      <w:pPr>
        <w:jc w:val="center"/>
        <w:rPr>
          <w:rFonts w:ascii="黑体" w:hAnsi="黑体" w:eastAsia="黑体"/>
          <w:sz w:val="28"/>
          <w:szCs w:val="28"/>
          <w:highlight w:val="none"/>
        </w:rPr>
      </w:pPr>
      <w:r>
        <w:rPr>
          <w:rFonts w:ascii="黑体" w:hAnsi="黑体" w:eastAsia="黑体"/>
          <w:sz w:val="28"/>
          <w:szCs w:val="28"/>
          <w:highlight w:val="none"/>
        </w:rPr>
        <w:t>附录2 资格审查条件（业绩最低要求）</w:t>
      </w:r>
      <w:bookmarkEnd w:id="20"/>
      <w:bookmarkEnd w:id="21"/>
    </w:p>
    <w:tbl>
      <w:tblPr>
        <w:tblStyle w:val="6"/>
        <w:tblW w:w="90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6"/>
      </w:tblGrid>
      <w:tr w14:paraId="3C223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9096" w:type="dxa"/>
            <w:noWrap w:val="0"/>
            <w:vAlign w:val="center"/>
          </w:tcPr>
          <w:p w14:paraId="3A144DA8">
            <w:pPr>
              <w:jc w:val="center"/>
              <w:rPr>
                <w:rFonts w:ascii="黑体" w:hAnsi="黑体" w:eastAsia="黑体"/>
                <w:sz w:val="24"/>
                <w:highlight w:val="none"/>
              </w:rPr>
            </w:pPr>
            <w:r>
              <w:rPr>
                <w:rFonts w:ascii="黑体" w:hAnsi="黑体" w:eastAsia="黑体"/>
                <w:sz w:val="24"/>
                <w:highlight w:val="none"/>
              </w:rPr>
              <w:t>业绩要求</w:t>
            </w:r>
          </w:p>
        </w:tc>
      </w:tr>
      <w:tr w14:paraId="75ABD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78" w:hRule="atLeast"/>
          <w:jc w:val="center"/>
        </w:trPr>
        <w:tc>
          <w:tcPr>
            <w:tcW w:w="9096" w:type="dxa"/>
            <w:noWrap w:val="0"/>
            <w:vAlign w:val="center"/>
          </w:tcPr>
          <w:p w14:paraId="282F151E">
            <w:pPr>
              <w:ind w:firstLine="420" w:firstLineChars="200"/>
              <w:rPr>
                <w:highlight w:val="none"/>
              </w:rPr>
            </w:pPr>
            <w:bookmarkStart w:id="22" w:name="EB1cd7d8e36bfe4f45bf8853cd6cc5a1dd"/>
            <w:r>
              <w:rPr>
                <w:rFonts w:hint="eastAsia"/>
                <w:highlight w:val="none"/>
              </w:rPr>
              <w:t>近5年内（投标截止之日前一日回溯5年，下同）至少完成过：1个高速公路的</w:t>
            </w:r>
            <w:r>
              <w:rPr>
                <w:rFonts w:hint="eastAsia" w:ascii="Times New Roman" w:eastAsia="宋体"/>
                <w:highlight w:val="none"/>
                <w:lang w:val="en-US" w:eastAsia="zh-CN"/>
              </w:rPr>
              <w:t>涵洞或桥梁</w:t>
            </w:r>
            <w:r>
              <w:rPr>
                <w:rFonts w:hint="eastAsia"/>
                <w:highlight w:val="none"/>
              </w:rPr>
              <w:t>定期检</w:t>
            </w:r>
            <w:r>
              <w:rPr>
                <w:rFonts w:hint="eastAsia" w:ascii="Times New Roman" w:eastAsia="宋体"/>
                <w:highlight w:val="none"/>
                <w:lang w:val="en-US" w:eastAsia="zh-CN"/>
              </w:rPr>
              <w:t>查</w:t>
            </w:r>
            <w:r>
              <w:rPr>
                <w:rFonts w:hint="eastAsia"/>
                <w:highlight w:val="none"/>
              </w:rPr>
              <w:t>服务业绩。</w:t>
            </w:r>
          </w:p>
          <w:p w14:paraId="304CDBD0">
            <w:pPr>
              <w:rPr>
                <w:highlight w:val="none"/>
              </w:rPr>
            </w:pPr>
            <w:r>
              <w:rPr>
                <w:rFonts w:hint="eastAsia"/>
                <w:highlight w:val="none"/>
              </w:rPr>
              <w:t>（注：业绩时间以完成时间为准，投标文件相应位置附相关证明材料）</w:t>
            </w:r>
            <w:bookmarkEnd w:id="22"/>
          </w:p>
        </w:tc>
      </w:tr>
    </w:tbl>
    <w:p w14:paraId="0377C84A">
      <w:pPr>
        <w:adjustRightInd w:val="0"/>
        <w:snapToGrid w:val="0"/>
        <w:spacing w:line="440" w:lineRule="atLeast"/>
        <w:rPr>
          <w:rFonts w:eastAsia="隶书"/>
          <w:b/>
          <w:sz w:val="32"/>
          <w:highlight w:val="none"/>
        </w:rPr>
      </w:pPr>
    </w:p>
    <w:p w14:paraId="43755A02">
      <w:pPr>
        <w:adjustRightInd w:val="0"/>
        <w:snapToGrid w:val="0"/>
        <w:spacing w:line="440" w:lineRule="atLeast"/>
        <w:rPr>
          <w:rFonts w:eastAsia="隶书"/>
          <w:b/>
          <w:sz w:val="32"/>
          <w:highlight w:val="none"/>
        </w:rPr>
      </w:pPr>
    </w:p>
    <w:p w14:paraId="40D50054">
      <w:pPr>
        <w:adjustRightInd w:val="0"/>
        <w:snapToGrid w:val="0"/>
        <w:spacing w:line="440" w:lineRule="atLeast"/>
        <w:rPr>
          <w:rFonts w:eastAsia="隶书"/>
          <w:b/>
          <w:sz w:val="32"/>
          <w:highlight w:val="none"/>
        </w:rPr>
      </w:pPr>
    </w:p>
    <w:p w14:paraId="785EBB73">
      <w:pPr>
        <w:adjustRightInd w:val="0"/>
        <w:snapToGrid w:val="0"/>
        <w:spacing w:line="440" w:lineRule="atLeast"/>
        <w:rPr>
          <w:rFonts w:eastAsia="隶书"/>
          <w:b/>
          <w:sz w:val="32"/>
          <w:highlight w:val="none"/>
        </w:rPr>
      </w:pPr>
    </w:p>
    <w:p w14:paraId="50637522">
      <w:pPr>
        <w:adjustRightInd w:val="0"/>
        <w:snapToGrid w:val="0"/>
        <w:spacing w:line="440" w:lineRule="atLeast"/>
        <w:rPr>
          <w:rFonts w:eastAsia="隶书"/>
          <w:b/>
          <w:sz w:val="32"/>
          <w:highlight w:val="none"/>
        </w:rPr>
      </w:pPr>
    </w:p>
    <w:p w14:paraId="2E1752EB">
      <w:pPr>
        <w:rPr>
          <w:highlight w:val="none"/>
        </w:rPr>
      </w:pPr>
    </w:p>
    <w:p w14:paraId="38C255AF">
      <w:pPr>
        <w:rPr>
          <w:highlight w:val="none"/>
        </w:rPr>
      </w:pPr>
    </w:p>
    <w:p w14:paraId="2789F134">
      <w:pPr>
        <w:rPr>
          <w:highlight w:val="none"/>
        </w:rPr>
      </w:pPr>
    </w:p>
    <w:p w14:paraId="05653178">
      <w:pPr>
        <w:rPr>
          <w:highlight w:val="none"/>
        </w:rPr>
      </w:pPr>
    </w:p>
    <w:p w14:paraId="62828A33">
      <w:pPr>
        <w:rPr>
          <w:highlight w:val="none"/>
        </w:rPr>
      </w:pPr>
    </w:p>
    <w:p w14:paraId="2C72693B">
      <w:pPr>
        <w:rPr>
          <w:highlight w:val="none"/>
        </w:rPr>
      </w:pPr>
    </w:p>
    <w:p w14:paraId="6BB7A925">
      <w:pPr>
        <w:rPr>
          <w:highlight w:val="none"/>
        </w:rPr>
      </w:pPr>
    </w:p>
    <w:p w14:paraId="1B04D1B6">
      <w:pPr>
        <w:rPr>
          <w:highlight w:val="none"/>
        </w:rPr>
      </w:pPr>
    </w:p>
    <w:p w14:paraId="528C190C">
      <w:pPr>
        <w:rPr>
          <w:highlight w:val="none"/>
        </w:rPr>
      </w:pPr>
    </w:p>
    <w:p w14:paraId="7DE22309">
      <w:pPr>
        <w:rPr>
          <w:highlight w:val="none"/>
        </w:rPr>
      </w:pPr>
    </w:p>
    <w:p w14:paraId="0F2F36CF">
      <w:pPr>
        <w:rPr>
          <w:highlight w:val="none"/>
        </w:rPr>
      </w:pPr>
    </w:p>
    <w:p w14:paraId="49DFD56D">
      <w:pPr>
        <w:rPr>
          <w:highlight w:val="none"/>
        </w:rPr>
      </w:pPr>
    </w:p>
    <w:p w14:paraId="7CEC538A">
      <w:pPr>
        <w:rPr>
          <w:highlight w:val="none"/>
        </w:rPr>
      </w:pPr>
    </w:p>
    <w:p w14:paraId="0ED2E27C">
      <w:pPr>
        <w:rPr>
          <w:highlight w:val="none"/>
        </w:rPr>
      </w:pPr>
    </w:p>
    <w:p w14:paraId="30574D07">
      <w:pPr>
        <w:rPr>
          <w:highlight w:val="none"/>
        </w:rPr>
      </w:pPr>
    </w:p>
    <w:p w14:paraId="07DC09D1">
      <w:pPr>
        <w:rPr>
          <w:highlight w:val="none"/>
        </w:rPr>
      </w:pPr>
    </w:p>
    <w:p w14:paraId="67EC617F">
      <w:pPr>
        <w:rPr>
          <w:highlight w:val="none"/>
        </w:rPr>
      </w:pPr>
    </w:p>
    <w:p w14:paraId="105BA49F">
      <w:pPr>
        <w:rPr>
          <w:highlight w:val="none"/>
        </w:rPr>
      </w:pPr>
    </w:p>
    <w:p w14:paraId="44CC533B">
      <w:pPr>
        <w:rPr>
          <w:highlight w:val="none"/>
        </w:rPr>
      </w:pPr>
    </w:p>
    <w:p w14:paraId="78AD1B1D">
      <w:pPr>
        <w:rPr>
          <w:highlight w:val="none"/>
        </w:rPr>
      </w:pPr>
    </w:p>
    <w:p w14:paraId="48CD62E6">
      <w:pPr>
        <w:rPr>
          <w:highlight w:val="none"/>
        </w:rPr>
      </w:pPr>
    </w:p>
    <w:p w14:paraId="46D94D53">
      <w:pPr>
        <w:rPr>
          <w:highlight w:val="none"/>
        </w:rPr>
      </w:pPr>
    </w:p>
    <w:p w14:paraId="2EDA5444">
      <w:pPr>
        <w:rPr>
          <w:highlight w:val="none"/>
        </w:rPr>
      </w:pPr>
    </w:p>
    <w:p w14:paraId="70D83BC3">
      <w:pPr>
        <w:rPr>
          <w:highlight w:val="none"/>
        </w:rPr>
      </w:pPr>
    </w:p>
    <w:p w14:paraId="16FD9501">
      <w:pPr>
        <w:jc w:val="center"/>
        <w:rPr>
          <w:rFonts w:ascii="黑体" w:hAnsi="黑体" w:eastAsia="黑体"/>
          <w:sz w:val="28"/>
          <w:szCs w:val="28"/>
          <w:highlight w:val="none"/>
        </w:rPr>
      </w:pPr>
      <w:bookmarkStart w:id="23" w:name="_Toc510015671"/>
      <w:bookmarkStart w:id="24" w:name="_Toc234832866"/>
      <w:r>
        <w:rPr>
          <w:rFonts w:ascii="黑体" w:hAnsi="黑体" w:eastAsia="黑体"/>
          <w:sz w:val="28"/>
          <w:szCs w:val="28"/>
          <w:highlight w:val="none"/>
        </w:rPr>
        <w:t>附录3  资格审查条件（信誉最低要求）</w:t>
      </w:r>
      <w:bookmarkEnd w:id="23"/>
      <w:bookmarkEnd w:id="24"/>
    </w:p>
    <w:tbl>
      <w:tblPr>
        <w:tblStyle w:val="6"/>
        <w:tblW w:w="90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6"/>
      </w:tblGrid>
      <w:tr w14:paraId="754CD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19" w:hRule="atLeast"/>
          <w:jc w:val="center"/>
        </w:trPr>
        <w:tc>
          <w:tcPr>
            <w:tcW w:w="9096" w:type="dxa"/>
            <w:noWrap w:val="0"/>
            <w:vAlign w:val="center"/>
          </w:tcPr>
          <w:p w14:paraId="6C524092">
            <w:pPr>
              <w:jc w:val="center"/>
              <w:rPr>
                <w:rFonts w:ascii="黑体" w:hAnsi="黑体" w:eastAsia="黑体"/>
                <w:sz w:val="24"/>
                <w:highlight w:val="none"/>
              </w:rPr>
            </w:pPr>
            <w:r>
              <w:rPr>
                <w:rFonts w:ascii="黑体" w:hAnsi="黑体" w:eastAsia="黑体"/>
                <w:sz w:val="24"/>
                <w:highlight w:val="none"/>
              </w:rPr>
              <w:t>信誉要求</w:t>
            </w:r>
          </w:p>
        </w:tc>
      </w:tr>
      <w:tr w14:paraId="5A8B0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9" w:hRule="atLeast"/>
          <w:jc w:val="center"/>
        </w:trPr>
        <w:tc>
          <w:tcPr>
            <w:tcW w:w="9096" w:type="dxa"/>
            <w:noWrap w:val="0"/>
            <w:vAlign w:val="center"/>
          </w:tcPr>
          <w:p w14:paraId="220B8D0A">
            <w:pPr>
              <w:rPr>
                <w:highlight w:val="none"/>
              </w:rPr>
            </w:pPr>
            <w:bookmarkStart w:id="25" w:name="EB3124d7764fc141ac96f251d556185895"/>
            <w:r>
              <w:rPr>
                <w:rFonts w:hint="eastAsia"/>
                <w:highlight w:val="none"/>
              </w:rPr>
              <w:t>投标人不得存在下列情形：</w:t>
            </w:r>
          </w:p>
          <w:p w14:paraId="6C1F3AD8">
            <w:pPr>
              <w:rPr>
                <w:highlight w:val="none"/>
              </w:rPr>
            </w:pPr>
            <w:r>
              <w:rPr>
                <w:rFonts w:hint="eastAsia"/>
                <w:highlight w:val="none"/>
              </w:rPr>
              <w:t>被交通运输部“公路水运工程试验检测管理信息系统”发布的试验检测机构信用评价结果为最近第一年D级、连续两年（最近第一年和最近第二年）评为C级、连续三年（最近第一年、最近第二年和最近第三年）评为B级及以下信用等级。</w:t>
            </w:r>
            <w:bookmarkEnd w:id="25"/>
          </w:p>
        </w:tc>
      </w:tr>
    </w:tbl>
    <w:p w14:paraId="38037124">
      <w:pPr>
        <w:adjustRightInd w:val="0"/>
        <w:snapToGrid w:val="0"/>
        <w:spacing w:line="440" w:lineRule="atLeast"/>
        <w:rPr>
          <w:rFonts w:eastAsia="隶书"/>
          <w:sz w:val="32"/>
          <w:highlight w:val="none"/>
        </w:rPr>
      </w:pPr>
    </w:p>
    <w:p w14:paraId="0AD38866">
      <w:pPr>
        <w:adjustRightInd w:val="0"/>
        <w:snapToGrid w:val="0"/>
        <w:spacing w:line="440" w:lineRule="atLeast"/>
        <w:rPr>
          <w:bCs/>
          <w:highlight w:val="none"/>
        </w:rPr>
      </w:pPr>
    </w:p>
    <w:p w14:paraId="4EFF88F4">
      <w:pPr>
        <w:adjustRightInd w:val="0"/>
        <w:snapToGrid w:val="0"/>
        <w:spacing w:line="440" w:lineRule="atLeast"/>
        <w:ind w:firstLine="964" w:firstLineChars="400"/>
        <w:jc w:val="center"/>
        <w:rPr>
          <w:rFonts w:eastAsia="黑体"/>
          <w:b/>
          <w:sz w:val="24"/>
          <w:highlight w:val="none"/>
        </w:rPr>
      </w:pPr>
    </w:p>
    <w:p w14:paraId="00FA728D">
      <w:pPr>
        <w:adjustRightInd w:val="0"/>
        <w:snapToGrid w:val="0"/>
        <w:spacing w:line="440" w:lineRule="atLeast"/>
        <w:ind w:firstLine="964" w:firstLineChars="400"/>
        <w:jc w:val="center"/>
        <w:rPr>
          <w:rFonts w:eastAsia="黑体"/>
          <w:b/>
          <w:sz w:val="24"/>
          <w:highlight w:val="none"/>
        </w:rPr>
      </w:pPr>
    </w:p>
    <w:p w14:paraId="099DF8C0">
      <w:pPr>
        <w:adjustRightInd w:val="0"/>
        <w:snapToGrid w:val="0"/>
        <w:spacing w:line="440" w:lineRule="atLeast"/>
        <w:ind w:firstLine="964" w:firstLineChars="400"/>
        <w:jc w:val="center"/>
        <w:rPr>
          <w:rFonts w:eastAsia="黑体"/>
          <w:b/>
          <w:sz w:val="24"/>
          <w:highlight w:val="none"/>
        </w:rPr>
      </w:pPr>
    </w:p>
    <w:p w14:paraId="3DC468F0">
      <w:pPr>
        <w:adjustRightInd w:val="0"/>
        <w:snapToGrid w:val="0"/>
        <w:spacing w:line="440" w:lineRule="atLeast"/>
        <w:ind w:firstLine="964" w:firstLineChars="400"/>
        <w:jc w:val="center"/>
        <w:rPr>
          <w:rFonts w:eastAsia="黑体"/>
          <w:b/>
          <w:sz w:val="24"/>
          <w:highlight w:val="none"/>
        </w:rPr>
      </w:pPr>
    </w:p>
    <w:p w14:paraId="2B3EBCA3">
      <w:pPr>
        <w:adjustRightInd w:val="0"/>
        <w:snapToGrid w:val="0"/>
        <w:spacing w:line="440" w:lineRule="atLeast"/>
        <w:ind w:firstLine="964" w:firstLineChars="400"/>
        <w:jc w:val="center"/>
        <w:rPr>
          <w:rFonts w:eastAsia="黑体"/>
          <w:b/>
          <w:sz w:val="24"/>
          <w:highlight w:val="none"/>
        </w:rPr>
      </w:pPr>
    </w:p>
    <w:p w14:paraId="7EEBED91">
      <w:pPr>
        <w:rPr>
          <w:highlight w:val="none"/>
        </w:rPr>
      </w:pPr>
    </w:p>
    <w:p w14:paraId="1F499E91">
      <w:pPr>
        <w:rPr>
          <w:highlight w:val="none"/>
        </w:rPr>
      </w:pPr>
    </w:p>
    <w:p w14:paraId="0A34F5B7">
      <w:pPr>
        <w:rPr>
          <w:highlight w:val="none"/>
        </w:rPr>
      </w:pPr>
    </w:p>
    <w:p w14:paraId="3192DB0C">
      <w:pPr>
        <w:rPr>
          <w:highlight w:val="none"/>
        </w:rPr>
      </w:pPr>
    </w:p>
    <w:p w14:paraId="51B71039">
      <w:pPr>
        <w:rPr>
          <w:highlight w:val="none"/>
        </w:rPr>
      </w:pPr>
    </w:p>
    <w:p w14:paraId="646A42C6">
      <w:pPr>
        <w:rPr>
          <w:highlight w:val="none"/>
        </w:rPr>
      </w:pPr>
    </w:p>
    <w:p w14:paraId="72B0BD7A">
      <w:pPr>
        <w:rPr>
          <w:highlight w:val="none"/>
        </w:rPr>
      </w:pPr>
    </w:p>
    <w:p w14:paraId="79354CB5">
      <w:pPr>
        <w:rPr>
          <w:highlight w:val="none"/>
        </w:rPr>
      </w:pPr>
    </w:p>
    <w:p w14:paraId="0380C0EF">
      <w:pPr>
        <w:rPr>
          <w:highlight w:val="none"/>
        </w:rPr>
      </w:pPr>
    </w:p>
    <w:p w14:paraId="41E961F3">
      <w:pPr>
        <w:rPr>
          <w:highlight w:val="none"/>
        </w:rPr>
      </w:pPr>
    </w:p>
    <w:p w14:paraId="227CA4BF">
      <w:pPr>
        <w:rPr>
          <w:highlight w:val="none"/>
        </w:rPr>
      </w:pPr>
    </w:p>
    <w:p w14:paraId="207B7029">
      <w:pPr>
        <w:rPr>
          <w:highlight w:val="none"/>
        </w:rPr>
      </w:pPr>
    </w:p>
    <w:p w14:paraId="008BD594">
      <w:pPr>
        <w:rPr>
          <w:highlight w:val="none"/>
        </w:rPr>
      </w:pPr>
    </w:p>
    <w:p w14:paraId="12FC1EB8">
      <w:pPr>
        <w:rPr>
          <w:highlight w:val="none"/>
        </w:rPr>
      </w:pPr>
    </w:p>
    <w:p w14:paraId="46316E4B">
      <w:pPr>
        <w:rPr>
          <w:highlight w:val="none"/>
        </w:rPr>
      </w:pPr>
    </w:p>
    <w:p w14:paraId="7E84D91E">
      <w:pPr>
        <w:rPr>
          <w:highlight w:val="none"/>
        </w:rPr>
      </w:pPr>
    </w:p>
    <w:p w14:paraId="3BD857CE">
      <w:pPr>
        <w:rPr>
          <w:highlight w:val="none"/>
        </w:rPr>
      </w:pPr>
    </w:p>
    <w:p w14:paraId="51067930">
      <w:pPr>
        <w:rPr>
          <w:highlight w:val="none"/>
        </w:rPr>
      </w:pPr>
    </w:p>
    <w:p w14:paraId="0A2A3231">
      <w:pPr>
        <w:rPr>
          <w:highlight w:val="none"/>
        </w:rPr>
      </w:pPr>
    </w:p>
    <w:p w14:paraId="76D78CED">
      <w:pPr>
        <w:rPr>
          <w:highlight w:val="none"/>
        </w:rPr>
      </w:pPr>
    </w:p>
    <w:p w14:paraId="2FFF0A44">
      <w:pPr>
        <w:rPr>
          <w:highlight w:val="none"/>
        </w:rPr>
      </w:pPr>
    </w:p>
    <w:p w14:paraId="1B76B99E">
      <w:pPr>
        <w:rPr>
          <w:highlight w:val="none"/>
        </w:rPr>
      </w:pPr>
    </w:p>
    <w:p w14:paraId="72E5114E">
      <w:pPr>
        <w:jc w:val="center"/>
        <w:rPr>
          <w:rFonts w:ascii="黑体" w:hAnsi="黑体" w:eastAsia="黑体"/>
          <w:sz w:val="28"/>
          <w:szCs w:val="28"/>
          <w:highlight w:val="none"/>
        </w:rPr>
      </w:pPr>
      <w:bookmarkStart w:id="30" w:name="_GoBack"/>
      <w:bookmarkEnd w:id="30"/>
      <w:bookmarkStart w:id="26" w:name="_Toc510015672"/>
      <w:bookmarkStart w:id="27" w:name="_Toc234832867"/>
      <w:r>
        <w:rPr>
          <w:rFonts w:ascii="黑体" w:hAnsi="黑体" w:eastAsia="黑体"/>
          <w:sz w:val="28"/>
          <w:szCs w:val="28"/>
          <w:highlight w:val="none"/>
        </w:rPr>
        <w:t>附录4  资格审查条件（项目负责人最低要求）</w:t>
      </w:r>
      <w:bookmarkEnd w:id="26"/>
      <w:bookmarkEnd w:id="27"/>
    </w:p>
    <w:p w14:paraId="40A41300">
      <w:pPr>
        <w:adjustRightInd w:val="0"/>
        <w:snapToGrid w:val="0"/>
        <w:spacing w:line="440" w:lineRule="atLeast"/>
        <w:ind w:right="-512" w:rightChars="-244" w:firstLine="422" w:firstLineChars="200"/>
        <w:rPr>
          <w:b/>
          <w:iCs/>
          <w:szCs w:val="21"/>
          <w:highlight w:val="none"/>
        </w:rPr>
      </w:pPr>
    </w:p>
    <w:tbl>
      <w:tblPr>
        <w:tblStyle w:val="6"/>
        <w:tblW w:w="8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4"/>
        <w:gridCol w:w="993"/>
        <w:gridCol w:w="6230"/>
      </w:tblGrid>
      <w:tr w14:paraId="145A2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554" w:type="dxa"/>
            <w:noWrap w:val="0"/>
            <w:vAlign w:val="center"/>
          </w:tcPr>
          <w:p w14:paraId="1096BB1A">
            <w:pPr>
              <w:jc w:val="center"/>
              <w:rPr>
                <w:rFonts w:ascii="黑体" w:hAnsi="黑体" w:eastAsia="黑体"/>
                <w:sz w:val="24"/>
                <w:highlight w:val="none"/>
              </w:rPr>
            </w:pPr>
            <w:r>
              <w:rPr>
                <w:rFonts w:ascii="黑体" w:hAnsi="黑体" w:eastAsia="黑体"/>
                <w:sz w:val="24"/>
                <w:highlight w:val="none"/>
              </w:rPr>
              <w:t>人员</w:t>
            </w:r>
          </w:p>
        </w:tc>
        <w:tc>
          <w:tcPr>
            <w:tcW w:w="993" w:type="dxa"/>
            <w:noWrap w:val="0"/>
            <w:vAlign w:val="center"/>
          </w:tcPr>
          <w:p w14:paraId="26BDFD23">
            <w:pPr>
              <w:jc w:val="center"/>
              <w:rPr>
                <w:rFonts w:ascii="黑体" w:hAnsi="黑体" w:eastAsia="黑体"/>
                <w:sz w:val="24"/>
                <w:highlight w:val="none"/>
              </w:rPr>
            </w:pPr>
            <w:r>
              <w:rPr>
                <w:rFonts w:ascii="黑体" w:hAnsi="黑体" w:eastAsia="黑体"/>
                <w:sz w:val="24"/>
                <w:highlight w:val="none"/>
              </w:rPr>
              <w:t>数量</w:t>
            </w:r>
          </w:p>
        </w:tc>
        <w:tc>
          <w:tcPr>
            <w:tcW w:w="6230" w:type="dxa"/>
            <w:noWrap w:val="0"/>
            <w:vAlign w:val="center"/>
          </w:tcPr>
          <w:p w14:paraId="24FA0C57">
            <w:pPr>
              <w:jc w:val="center"/>
              <w:rPr>
                <w:rFonts w:ascii="黑体" w:hAnsi="黑体" w:eastAsia="黑体"/>
                <w:sz w:val="24"/>
                <w:highlight w:val="none"/>
              </w:rPr>
            </w:pPr>
            <w:r>
              <w:rPr>
                <w:rFonts w:ascii="黑体" w:hAnsi="黑体" w:eastAsia="黑体"/>
                <w:sz w:val="24"/>
                <w:highlight w:val="none"/>
              </w:rPr>
              <w:t>资格要求</w:t>
            </w:r>
          </w:p>
        </w:tc>
      </w:tr>
      <w:tr w14:paraId="279A4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00" w:hRule="atLeast"/>
          <w:jc w:val="center"/>
        </w:trPr>
        <w:tc>
          <w:tcPr>
            <w:tcW w:w="1554" w:type="dxa"/>
            <w:noWrap w:val="0"/>
            <w:vAlign w:val="center"/>
          </w:tcPr>
          <w:p w14:paraId="1FBCA784">
            <w:pPr>
              <w:spacing w:line="300" w:lineRule="auto"/>
              <w:jc w:val="center"/>
              <w:rPr>
                <w:szCs w:val="21"/>
                <w:highlight w:val="none"/>
              </w:rPr>
            </w:pPr>
            <w:r>
              <w:rPr>
                <w:szCs w:val="21"/>
                <w:highlight w:val="none"/>
              </w:rPr>
              <w:t>项目负责人</w:t>
            </w:r>
          </w:p>
        </w:tc>
        <w:tc>
          <w:tcPr>
            <w:tcW w:w="993" w:type="dxa"/>
            <w:noWrap w:val="0"/>
            <w:vAlign w:val="center"/>
          </w:tcPr>
          <w:p w14:paraId="46ADE17B">
            <w:pPr>
              <w:adjustRightInd w:val="0"/>
              <w:snapToGrid w:val="0"/>
              <w:spacing w:line="300" w:lineRule="auto"/>
              <w:jc w:val="center"/>
              <w:rPr>
                <w:szCs w:val="21"/>
                <w:highlight w:val="none"/>
              </w:rPr>
            </w:pPr>
            <w:r>
              <w:rPr>
                <w:rFonts w:hint="eastAsia"/>
                <w:szCs w:val="21"/>
                <w:highlight w:val="none"/>
              </w:rPr>
              <w:t>1</w:t>
            </w:r>
          </w:p>
        </w:tc>
        <w:tc>
          <w:tcPr>
            <w:tcW w:w="6230" w:type="dxa"/>
            <w:noWrap w:val="0"/>
            <w:vAlign w:val="center"/>
          </w:tcPr>
          <w:p w14:paraId="3C25703B">
            <w:pPr>
              <w:widowControl/>
              <w:jc w:val="left"/>
              <w:rPr>
                <w:rFonts w:ascii="宋体" w:hAnsi="宋体"/>
                <w:kern w:val="0"/>
                <w:szCs w:val="21"/>
                <w:highlight w:val="none"/>
              </w:rPr>
            </w:pPr>
            <w:r>
              <w:rPr>
                <w:rFonts w:hint="eastAsia" w:ascii="宋体" w:hAnsi="宋体"/>
                <w:kern w:val="0"/>
                <w:szCs w:val="21"/>
                <w:highlight w:val="none"/>
              </w:rPr>
              <w:t>1、具有公路工程相关专业</w:t>
            </w:r>
            <w:r>
              <w:rPr>
                <w:rStyle w:val="8"/>
                <w:rFonts w:ascii="宋体" w:hAnsi="宋体"/>
                <w:kern w:val="0"/>
                <w:szCs w:val="21"/>
                <w:highlight w:val="none"/>
              </w:rPr>
              <w:footnoteReference w:id="0"/>
            </w:r>
            <w:r>
              <w:rPr>
                <w:rFonts w:hint="eastAsia" w:ascii="宋体" w:hAnsi="宋体"/>
                <w:kern w:val="0"/>
                <w:szCs w:val="21"/>
                <w:highlight w:val="none"/>
              </w:rPr>
              <w:t>中级及以上职称；</w:t>
            </w:r>
          </w:p>
          <w:p w14:paraId="66808FA1">
            <w:pPr>
              <w:widowControl/>
              <w:jc w:val="left"/>
              <w:rPr>
                <w:rFonts w:ascii="宋体" w:hAnsi="宋体"/>
                <w:kern w:val="0"/>
                <w:szCs w:val="21"/>
                <w:highlight w:val="none"/>
              </w:rPr>
            </w:pPr>
            <w:r>
              <w:rPr>
                <w:rFonts w:hint="eastAsia" w:ascii="宋体" w:hAnsi="宋体"/>
                <w:kern w:val="0"/>
                <w:szCs w:val="21"/>
                <w:highlight w:val="none"/>
              </w:rPr>
              <w:t>2、持有交通运输部工程质量监督局颁发的试验检测师资格证书或交通运输部职业资格中心颁发的试验检测师职业资格证书，并在本单位岗位登记；</w:t>
            </w:r>
          </w:p>
          <w:p w14:paraId="516FB213">
            <w:pPr>
              <w:rPr>
                <w:rFonts w:hint="eastAsia" w:eastAsia="宋体"/>
                <w:szCs w:val="21"/>
                <w:highlight w:val="none"/>
                <w:lang w:eastAsia="zh-CN"/>
              </w:rPr>
            </w:pPr>
            <w:r>
              <w:rPr>
                <w:rFonts w:hint="eastAsia" w:ascii="宋体" w:hAnsi="宋体"/>
                <w:kern w:val="0"/>
                <w:szCs w:val="21"/>
                <w:highlight w:val="none"/>
              </w:rPr>
              <w:t>3、从事公路工程</w:t>
            </w:r>
            <w:r>
              <w:rPr>
                <w:rFonts w:hint="eastAsia" w:ascii="宋体" w:hAnsi="宋体"/>
                <w:kern w:val="0"/>
                <w:szCs w:val="21"/>
                <w:highlight w:val="none"/>
                <w:lang w:val="en-US" w:eastAsia="zh-CN"/>
              </w:rPr>
              <w:t>检测</w:t>
            </w:r>
            <w:r>
              <w:rPr>
                <w:rFonts w:hint="eastAsia" w:ascii="宋体" w:hAnsi="宋体"/>
                <w:kern w:val="0"/>
                <w:szCs w:val="21"/>
                <w:highlight w:val="none"/>
              </w:rPr>
              <w:t>相关工作10年以上（含10年）工作经验</w:t>
            </w:r>
            <w:r>
              <w:rPr>
                <w:rFonts w:hint="eastAsia" w:ascii="宋体" w:hAnsi="宋体"/>
                <w:kern w:val="0"/>
                <w:szCs w:val="21"/>
                <w:highlight w:val="none"/>
                <w:lang w:eastAsia="zh-CN"/>
              </w:rPr>
              <w:t>。</w:t>
            </w:r>
          </w:p>
        </w:tc>
      </w:tr>
    </w:tbl>
    <w:p w14:paraId="7E19C9EE">
      <w:pPr>
        <w:adjustRightInd w:val="0"/>
        <w:snapToGrid w:val="0"/>
        <w:spacing w:line="440" w:lineRule="atLeast"/>
        <w:ind w:right="-512" w:rightChars="-244" w:firstLine="422" w:firstLineChars="200"/>
        <w:rPr>
          <w:b/>
          <w:iCs/>
          <w:szCs w:val="21"/>
          <w:highlight w:val="none"/>
        </w:rPr>
      </w:pPr>
    </w:p>
    <w:p w14:paraId="6E020B11">
      <w:pPr>
        <w:widowControl/>
        <w:jc w:val="left"/>
        <w:rPr>
          <w:highlight w:val="none"/>
        </w:rPr>
      </w:pPr>
      <w:r>
        <w:rPr>
          <w:b/>
          <w:iCs/>
          <w:szCs w:val="21"/>
          <w:highlight w:val="none"/>
        </w:rPr>
        <w:br w:type="page"/>
      </w:r>
      <w:bookmarkStart w:id="28" w:name="_Toc510015673"/>
      <w:bookmarkStart w:id="29" w:name="_Toc234832868"/>
    </w:p>
    <w:p w14:paraId="086282C6">
      <w:pPr>
        <w:jc w:val="center"/>
        <w:rPr>
          <w:rFonts w:ascii="黑体" w:hAnsi="黑体" w:eastAsia="黑体"/>
          <w:sz w:val="28"/>
          <w:szCs w:val="28"/>
          <w:highlight w:val="none"/>
        </w:rPr>
      </w:pPr>
      <w:r>
        <w:rPr>
          <w:rFonts w:ascii="黑体" w:hAnsi="黑体" w:eastAsia="黑体"/>
          <w:sz w:val="28"/>
          <w:szCs w:val="28"/>
          <w:highlight w:val="none"/>
        </w:rPr>
        <w:t>附录5  资格审查条件（其他主要咨询人员最低要求）</w:t>
      </w:r>
      <w:bookmarkEnd w:id="28"/>
      <w:bookmarkEnd w:id="29"/>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61"/>
        <w:gridCol w:w="1175"/>
        <w:gridCol w:w="6424"/>
      </w:tblGrid>
      <w:tr w14:paraId="54F24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3" w:hRule="atLeast"/>
          <w:jc w:val="center"/>
        </w:trPr>
        <w:tc>
          <w:tcPr>
            <w:tcW w:w="1461" w:type="dxa"/>
            <w:noWrap w:val="0"/>
            <w:tcMar>
              <w:top w:w="0" w:type="dxa"/>
              <w:left w:w="28" w:type="dxa"/>
              <w:bottom w:w="0" w:type="dxa"/>
              <w:right w:w="28" w:type="dxa"/>
            </w:tcMar>
            <w:vAlign w:val="center"/>
          </w:tcPr>
          <w:p w14:paraId="4D7CA35B">
            <w:pPr>
              <w:widowControl/>
              <w:jc w:val="center"/>
              <w:rPr>
                <w:rFonts w:ascii="宋体" w:hAnsi="宋体" w:cs="宋体"/>
                <w:kern w:val="0"/>
                <w:szCs w:val="21"/>
                <w:highlight w:val="none"/>
              </w:rPr>
            </w:pPr>
            <w:r>
              <w:rPr>
                <w:rFonts w:hint="eastAsia" w:ascii="宋体" w:hAnsi="宋体"/>
                <w:kern w:val="0"/>
                <w:szCs w:val="21"/>
                <w:highlight w:val="none"/>
              </w:rPr>
              <w:t>人员</w:t>
            </w:r>
          </w:p>
        </w:tc>
        <w:tc>
          <w:tcPr>
            <w:tcW w:w="1175" w:type="dxa"/>
            <w:noWrap w:val="0"/>
            <w:tcMar>
              <w:top w:w="0" w:type="dxa"/>
              <w:left w:w="28" w:type="dxa"/>
              <w:bottom w:w="0" w:type="dxa"/>
              <w:right w:w="28" w:type="dxa"/>
            </w:tcMar>
            <w:vAlign w:val="center"/>
          </w:tcPr>
          <w:p w14:paraId="045519EB">
            <w:pPr>
              <w:widowControl/>
              <w:jc w:val="center"/>
              <w:rPr>
                <w:rFonts w:ascii="宋体" w:hAnsi="宋体" w:cs="宋体"/>
                <w:kern w:val="0"/>
                <w:szCs w:val="21"/>
                <w:highlight w:val="none"/>
              </w:rPr>
            </w:pPr>
            <w:r>
              <w:rPr>
                <w:rFonts w:hint="eastAsia" w:ascii="宋体" w:hAnsi="宋体"/>
                <w:kern w:val="0"/>
                <w:szCs w:val="21"/>
                <w:highlight w:val="none"/>
              </w:rPr>
              <w:t>数量</w:t>
            </w:r>
          </w:p>
        </w:tc>
        <w:tc>
          <w:tcPr>
            <w:tcW w:w="6424" w:type="dxa"/>
            <w:noWrap w:val="0"/>
            <w:tcMar>
              <w:top w:w="0" w:type="dxa"/>
              <w:left w:w="28" w:type="dxa"/>
              <w:bottom w:w="0" w:type="dxa"/>
              <w:right w:w="28" w:type="dxa"/>
            </w:tcMar>
            <w:vAlign w:val="center"/>
          </w:tcPr>
          <w:p w14:paraId="30AD3E49">
            <w:pPr>
              <w:widowControl/>
              <w:jc w:val="center"/>
              <w:rPr>
                <w:rFonts w:ascii="宋体" w:hAnsi="宋体" w:cs="宋体"/>
                <w:kern w:val="0"/>
                <w:szCs w:val="21"/>
                <w:highlight w:val="none"/>
              </w:rPr>
            </w:pPr>
            <w:r>
              <w:rPr>
                <w:rFonts w:hint="eastAsia" w:ascii="宋体" w:hAnsi="宋体"/>
                <w:kern w:val="0"/>
                <w:szCs w:val="21"/>
                <w:highlight w:val="none"/>
              </w:rPr>
              <w:t>资格要求</w:t>
            </w:r>
          </w:p>
        </w:tc>
      </w:tr>
      <w:tr w14:paraId="5AEFD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62" w:hRule="atLeast"/>
          <w:jc w:val="center"/>
        </w:trPr>
        <w:tc>
          <w:tcPr>
            <w:tcW w:w="1461" w:type="dxa"/>
            <w:noWrap w:val="0"/>
            <w:tcMar>
              <w:top w:w="0" w:type="dxa"/>
              <w:left w:w="28" w:type="dxa"/>
              <w:bottom w:w="0" w:type="dxa"/>
              <w:right w:w="28" w:type="dxa"/>
            </w:tcMar>
            <w:vAlign w:val="center"/>
          </w:tcPr>
          <w:p w14:paraId="22FCC0F5">
            <w:pPr>
              <w:widowControl/>
              <w:jc w:val="center"/>
              <w:rPr>
                <w:rFonts w:ascii="宋体" w:hAnsi="宋体" w:cs="宋体"/>
                <w:kern w:val="0"/>
                <w:szCs w:val="21"/>
                <w:highlight w:val="none"/>
              </w:rPr>
            </w:pPr>
            <w:r>
              <w:rPr>
                <w:rFonts w:hint="eastAsia" w:ascii="宋体" w:hAnsi="宋体"/>
                <w:kern w:val="0"/>
                <w:szCs w:val="21"/>
                <w:highlight w:val="none"/>
              </w:rPr>
              <w:t>技术负责人</w:t>
            </w:r>
          </w:p>
        </w:tc>
        <w:tc>
          <w:tcPr>
            <w:tcW w:w="1175" w:type="dxa"/>
            <w:noWrap w:val="0"/>
            <w:tcMar>
              <w:top w:w="0" w:type="dxa"/>
              <w:left w:w="28" w:type="dxa"/>
              <w:bottom w:w="0" w:type="dxa"/>
              <w:right w:w="28" w:type="dxa"/>
            </w:tcMar>
            <w:vAlign w:val="center"/>
          </w:tcPr>
          <w:p w14:paraId="3EE5BC4E">
            <w:pPr>
              <w:widowControl/>
              <w:jc w:val="center"/>
              <w:rPr>
                <w:rFonts w:ascii="宋体" w:hAnsi="宋体" w:cs="宋体"/>
                <w:kern w:val="0"/>
                <w:szCs w:val="21"/>
                <w:highlight w:val="none"/>
              </w:rPr>
            </w:pPr>
            <w:r>
              <w:rPr>
                <w:rFonts w:hint="eastAsia" w:ascii="宋体" w:hAnsi="宋体"/>
                <w:kern w:val="0"/>
                <w:szCs w:val="21"/>
                <w:highlight w:val="none"/>
              </w:rPr>
              <w:t>1</w:t>
            </w:r>
          </w:p>
        </w:tc>
        <w:tc>
          <w:tcPr>
            <w:tcW w:w="6424" w:type="dxa"/>
            <w:noWrap w:val="0"/>
            <w:tcMar>
              <w:top w:w="0" w:type="dxa"/>
              <w:left w:w="28" w:type="dxa"/>
              <w:bottom w:w="0" w:type="dxa"/>
              <w:right w:w="28" w:type="dxa"/>
            </w:tcMar>
            <w:vAlign w:val="center"/>
          </w:tcPr>
          <w:p w14:paraId="731B7583">
            <w:pPr>
              <w:widowControl/>
              <w:jc w:val="left"/>
              <w:rPr>
                <w:rFonts w:ascii="宋体" w:hAnsi="宋体"/>
                <w:kern w:val="0"/>
                <w:szCs w:val="21"/>
                <w:highlight w:val="none"/>
              </w:rPr>
            </w:pPr>
            <w:r>
              <w:rPr>
                <w:rFonts w:hint="eastAsia" w:ascii="宋体" w:hAnsi="宋体"/>
                <w:kern w:val="0"/>
                <w:szCs w:val="21"/>
                <w:highlight w:val="none"/>
              </w:rPr>
              <w:t>1、具有公路工程相关专业高级职称；</w:t>
            </w:r>
          </w:p>
          <w:p w14:paraId="794840F3">
            <w:pPr>
              <w:widowControl/>
              <w:jc w:val="left"/>
              <w:rPr>
                <w:rFonts w:ascii="宋体" w:hAnsi="宋体"/>
                <w:kern w:val="0"/>
                <w:szCs w:val="21"/>
                <w:highlight w:val="none"/>
              </w:rPr>
            </w:pPr>
            <w:r>
              <w:rPr>
                <w:rFonts w:hint="eastAsia" w:ascii="宋体" w:hAnsi="宋体"/>
                <w:kern w:val="0"/>
                <w:szCs w:val="21"/>
                <w:highlight w:val="none"/>
              </w:rPr>
              <w:t>2、持有交通运输部工程质量监督局颁发的试验检测师资格证书或交通运输部职业资格中心颁发的试验检测师职业资格证书，并在本单位岗位登记；</w:t>
            </w:r>
          </w:p>
          <w:p w14:paraId="5624E4B0">
            <w:pPr>
              <w:widowControl/>
              <w:jc w:val="left"/>
              <w:rPr>
                <w:rFonts w:hint="eastAsia" w:ascii="宋体" w:hAnsi="宋体" w:eastAsia="宋体" w:cs="宋体"/>
                <w:kern w:val="0"/>
                <w:szCs w:val="21"/>
                <w:highlight w:val="none"/>
                <w:lang w:eastAsia="zh-CN"/>
              </w:rPr>
            </w:pPr>
            <w:r>
              <w:rPr>
                <w:rFonts w:hint="eastAsia" w:ascii="宋体" w:hAnsi="宋体"/>
                <w:kern w:val="0"/>
                <w:szCs w:val="21"/>
                <w:highlight w:val="none"/>
              </w:rPr>
              <w:t>3、从事公路工程</w:t>
            </w:r>
            <w:r>
              <w:rPr>
                <w:rFonts w:hint="eastAsia" w:ascii="宋体" w:hAnsi="宋体"/>
                <w:kern w:val="0"/>
                <w:szCs w:val="21"/>
                <w:highlight w:val="none"/>
                <w:lang w:val="en-US" w:eastAsia="zh-CN"/>
              </w:rPr>
              <w:t>检测</w:t>
            </w:r>
            <w:r>
              <w:rPr>
                <w:rFonts w:hint="eastAsia" w:ascii="宋体" w:hAnsi="宋体"/>
                <w:kern w:val="0"/>
                <w:szCs w:val="21"/>
                <w:highlight w:val="none"/>
              </w:rPr>
              <w:t>相关工作10年以上（含10年）工作经验</w:t>
            </w:r>
            <w:r>
              <w:rPr>
                <w:rFonts w:hint="eastAsia" w:ascii="宋体" w:hAnsi="宋体"/>
                <w:kern w:val="0"/>
                <w:szCs w:val="21"/>
                <w:highlight w:val="none"/>
                <w:lang w:eastAsia="zh-CN"/>
              </w:rPr>
              <w:t>。</w:t>
            </w:r>
          </w:p>
        </w:tc>
      </w:tr>
    </w:tbl>
    <w:p w14:paraId="7DAD3F6C">
      <w:pPr>
        <w:spacing w:line="440" w:lineRule="atLeast"/>
        <w:ind w:firstLine="480" w:firstLineChars="200"/>
        <w:rPr>
          <w:sz w:val="24"/>
          <w:highlight w:val="none"/>
        </w:rPr>
      </w:pPr>
    </w:p>
    <w:p w14:paraId="3EB91C97">
      <w:pPr>
        <w:jc w:val="center"/>
        <w:rPr>
          <w:rFonts w:ascii="黑体" w:hAnsi="黑体" w:eastAsia="黑体"/>
          <w:sz w:val="36"/>
          <w:szCs w:val="36"/>
          <w:highlight w:val="none"/>
        </w:rPr>
      </w:pPr>
      <w:r>
        <w:rPr>
          <w:sz w:val="24"/>
          <w:highlight w:val="none"/>
        </w:rPr>
        <w:br w:type="page"/>
      </w:r>
      <w:r>
        <w:rPr>
          <w:rFonts w:ascii="黑体" w:hAnsi="黑体" w:eastAsia="黑体"/>
          <w:sz w:val="36"/>
          <w:szCs w:val="36"/>
          <w:highlight w:val="none"/>
        </w:rPr>
        <w:t>第三章</w:t>
      </w:r>
      <w:r>
        <w:rPr>
          <w:rFonts w:hint="eastAsia" w:ascii="黑体" w:hAnsi="黑体" w:eastAsia="黑体"/>
          <w:sz w:val="36"/>
          <w:szCs w:val="36"/>
          <w:highlight w:val="none"/>
        </w:rPr>
        <w:t xml:space="preserve"> </w:t>
      </w:r>
      <w:r>
        <w:rPr>
          <w:rFonts w:ascii="黑体" w:hAnsi="黑体" w:eastAsia="黑体"/>
          <w:sz w:val="36"/>
          <w:szCs w:val="36"/>
          <w:highlight w:val="none"/>
        </w:rPr>
        <w:t>评标办法（综合评估法）</w:t>
      </w:r>
    </w:p>
    <w:p w14:paraId="27546DA0">
      <w:pPr>
        <w:rPr>
          <w:rFonts w:ascii="黑体" w:hAnsi="黑体" w:eastAsia="黑体"/>
          <w:sz w:val="24"/>
          <w:highlight w:val="none"/>
        </w:rPr>
      </w:pPr>
      <w:r>
        <w:rPr>
          <w:rFonts w:ascii="黑体" w:hAnsi="黑体" w:eastAsia="黑体"/>
          <w:sz w:val="24"/>
          <w:highlight w:val="none"/>
        </w:rPr>
        <w:t>评标办法前附表</w:t>
      </w:r>
    </w:p>
    <w:tbl>
      <w:tblPr>
        <w:tblStyle w:val="6"/>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9"/>
        <w:gridCol w:w="1280"/>
        <w:gridCol w:w="6622"/>
      </w:tblGrid>
      <w:tr w14:paraId="3BF57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blHeader/>
        </w:trPr>
        <w:tc>
          <w:tcPr>
            <w:tcW w:w="2269" w:type="dxa"/>
            <w:gridSpan w:val="2"/>
            <w:noWrap w:val="0"/>
            <w:vAlign w:val="center"/>
          </w:tcPr>
          <w:p w14:paraId="00393854">
            <w:pPr>
              <w:spacing w:line="360" w:lineRule="exact"/>
              <w:jc w:val="center"/>
              <w:rPr>
                <w:rFonts w:ascii="黑体" w:hAnsi="黑体" w:eastAsia="黑体"/>
                <w:sz w:val="24"/>
                <w:highlight w:val="none"/>
              </w:rPr>
            </w:pPr>
            <w:r>
              <w:rPr>
                <w:rFonts w:ascii="黑体" w:hAnsi="黑体" w:eastAsia="黑体"/>
                <w:sz w:val="24"/>
                <w:highlight w:val="none"/>
              </w:rPr>
              <w:t>条款号</w:t>
            </w:r>
          </w:p>
        </w:tc>
        <w:tc>
          <w:tcPr>
            <w:tcW w:w="6622" w:type="dxa"/>
            <w:noWrap w:val="0"/>
            <w:vAlign w:val="center"/>
          </w:tcPr>
          <w:p w14:paraId="125920FD">
            <w:pPr>
              <w:spacing w:line="360" w:lineRule="exact"/>
              <w:jc w:val="center"/>
              <w:rPr>
                <w:rFonts w:ascii="黑体" w:hAnsi="黑体" w:eastAsia="黑体"/>
                <w:sz w:val="24"/>
                <w:highlight w:val="none"/>
              </w:rPr>
            </w:pPr>
            <w:r>
              <w:rPr>
                <w:rFonts w:ascii="黑体" w:hAnsi="黑体" w:eastAsia="黑体"/>
                <w:sz w:val="24"/>
                <w:highlight w:val="none"/>
              </w:rPr>
              <w:t>评审因素与评审标准</w:t>
            </w:r>
          </w:p>
        </w:tc>
      </w:tr>
      <w:tr w14:paraId="23031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89" w:type="dxa"/>
            <w:noWrap w:val="0"/>
            <w:vAlign w:val="center"/>
          </w:tcPr>
          <w:p w14:paraId="593D1A89">
            <w:pPr>
              <w:spacing w:line="360" w:lineRule="exact"/>
              <w:rPr>
                <w:rFonts w:ascii="宋体" w:hAnsi="宋体"/>
                <w:highlight w:val="none"/>
              </w:rPr>
            </w:pPr>
            <w:r>
              <w:rPr>
                <w:rFonts w:ascii="宋体" w:hAnsi="宋体"/>
                <w:highlight w:val="none"/>
              </w:rPr>
              <w:t>1</w:t>
            </w:r>
          </w:p>
        </w:tc>
        <w:tc>
          <w:tcPr>
            <w:tcW w:w="1280" w:type="dxa"/>
            <w:noWrap w:val="0"/>
            <w:vAlign w:val="center"/>
          </w:tcPr>
          <w:p w14:paraId="64DCC38B">
            <w:pPr>
              <w:spacing w:line="360" w:lineRule="exact"/>
              <w:rPr>
                <w:rFonts w:ascii="宋体" w:hAnsi="宋体"/>
                <w:highlight w:val="none"/>
              </w:rPr>
            </w:pPr>
            <w:r>
              <w:rPr>
                <w:rFonts w:ascii="宋体" w:hAnsi="宋体"/>
                <w:highlight w:val="none"/>
              </w:rPr>
              <w:t>评标方法</w:t>
            </w:r>
          </w:p>
        </w:tc>
        <w:tc>
          <w:tcPr>
            <w:tcW w:w="6622" w:type="dxa"/>
            <w:noWrap w:val="0"/>
            <w:vAlign w:val="center"/>
          </w:tcPr>
          <w:p w14:paraId="12993495">
            <w:pPr>
              <w:spacing w:line="360" w:lineRule="exact"/>
              <w:rPr>
                <w:rFonts w:ascii="宋体" w:hAnsi="宋体"/>
                <w:highlight w:val="none"/>
              </w:rPr>
            </w:pPr>
            <w:r>
              <w:rPr>
                <w:rFonts w:ascii="宋体" w:hAnsi="宋体"/>
                <w:highlight w:val="none"/>
              </w:rPr>
              <w:t>综合评分相等时，评标委员会依次按照以下优先顺序推荐中标候选人或确定中标人：</w:t>
            </w:r>
          </w:p>
          <w:p w14:paraId="5F747B10">
            <w:pPr>
              <w:spacing w:line="360" w:lineRule="exact"/>
              <w:rPr>
                <w:rFonts w:ascii="宋体" w:hAnsi="宋体"/>
                <w:highlight w:val="none"/>
              </w:rPr>
            </w:pPr>
            <w:r>
              <w:rPr>
                <w:rFonts w:ascii="宋体" w:hAnsi="宋体"/>
                <w:highlight w:val="none"/>
              </w:rPr>
              <w:t>（1）评标价低的投标人优先；</w:t>
            </w:r>
          </w:p>
          <w:p w14:paraId="72176549">
            <w:pPr>
              <w:spacing w:line="360" w:lineRule="exact"/>
              <w:rPr>
                <w:rFonts w:ascii="宋体" w:hAnsi="宋体"/>
                <w:highlight w:val="none"/>
              </w:rPr>
            </w:pPr>
            <w:r>
              <w:rPr>
                <w:rFonts w:ascii="宋体" w:hAnsi="宋体"/>
                <w:highlight w:val="none"/>
              </w:rPr>
              <w:t>（2）商务和技术得分较高的投标人优先；</w:t>
            </w:r>
          </w:p>
          <w:p w14:paraId="6E55CF4D">
            <w:pPr>
              <w:spacing w:line="360" w:lineRule="exact"/>
              <w:rPr>
                <w:rFonts w:ascii="宋体" w:hAnsi="宋体"/>
                <w:highlight w:val="none"/>
              </w:rPr>
            </w:pPr>
            <w:r>
              <w:rPr>
                <w:rFonts w:ascii="宋体" w:hAnsi="宋体"/>
                <w:highlight w:val="none"/>
              </w:rPr>
              <w:t>（3）随机摇号确定排序。</w:t>
            </w:r>
          </w:p>
        </w:tc>
      </w:tr>
      <w:tr w14:paraId="7118F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89" w:type="dxa"/>
            <w:noWrap w:val="0"/>
            <w:vAlign w:val="center"/>
          </w:tcPr>
          <w:p w14:paraId="7A4044B1">
            <w:pPr>
              <w:spacing w:line="360" w:lineRule="exact"/>
              <w:rPr>
                <w:rFonts w:ascii="宋体" w:hAnsi="宋体"/>
                <w:highlight w:val="none"/>
              </w:rPr>
            </w:pPr>
            <w:r>
              <w:rPr>
                <w:rFonts w:ascii="宋体" w:hAnsi="宋体"/>
                <w:highlight w:val="none"/>
              </w:rPr>
              <w:t>2.1.1</w:t>
            </w:r>
          </w:p>
          <w:p w14:paraId="219C1667">
            <w:pPr>
              <w:spacing w:line="360" w:lineRule="exact"/>
              <w:rPr>
                <w:rFonts w:ascii="宋体" w:hAnsi="宋体"/>
                <w:highlight w:val="none"/>
              </w:rPr>
            </w:pPr>
            <w:r>
              <w:rPr>
                <w:rFonts w:ascii="宋体" w:hAnsi="宋体"/>
                <w:highlight w:val="none"/>
              </w:rPr>
              <w:t>2.1.3</w:t>
            </w:r>
          </w:p>
        </w:tc>
        <w:tc>
          <w:tcPr>
            <w:tcW w:w="1280" w:type="dxa"/>
            <w:noWrap w:val="0"/>
            <w:vAlign w:val="center"/>
          </w:tcPr>
          <w:p w14:paraId="41503F1C">
            <w:pPr>
              <w:spacing w:line="360" w:lineRule="exact"/>
              <w:rPr>
                <w:rFonts w:ascii="宋体" w:hAnsi="宋体"/>
                <w:highlight w:val="none"/>
              </w:rPr>
            </w:pPr>
            <w:r>
              <w:rPr>
                <w:rFonts w:ascii="宋体" w:hAnsi="宋体"/>
                <w:highlight w:val="none"/>
              </w:rPr>
              <w:t>形式评审与响应性评审标准</w:t>
            </w:r>
          </w:p>
        </w:tc>
        <w:tc>
          <w:tcPr>
            <w:tcW w:w="6622" w:type="dxa"/>
            <w:noWrap w:val="0"/>
            <w:vAlign w:val="center"/>
          </w:tcPr>
          <w:p w14:paraId="11F204F1">
            <w:pPr>
              <w:spacing w:line="360" w:lineRule="exact"/>
              <w:rPr>
                <w:rFonts w:ascii="宋体" w:hAnsi="宋体"/>
                <w:highlight w:val="none"/>
              </w:rPr>
            </w:pPr>
            <w:r>
              <w:rPr>
                <w:rFonts w:ascii="宋体" w:hAnsi="宋体"/>
                <w:highlight w:val="none"/>
              </w:rPr>
              <w:t>第一个信封（商务及技术文件）评审标准：</w:t>
            </w:r>
          </w:p>
          <w:p w14:paraId="3F83EC11">
            <w:pPr>
              <w:spacing w:line="360" w:lineRule="exact"/>
              <w:rPr>
                <w:rFonts w:ascii="宋体" w:hAnsi="宋体"/>
                <w:highlight w:val="none"/>
              </w:rPr>
            </w:pPr>
            <w:r>
              <w:rPr>
                <w:rFonts w:ascii="宋体" w:hAnsi="宋体"/>
                <w:highlight w:val="none"/>
              </w:rPr>
              <w:t>（1）投标文件按照招标文件规定的格式、内容填写，字迹清晰可辨：</w:t>
            </w:r>
          </w:p>
          <w:p w14:paraId="7683A76C">
            <w:pPr>
              <w:spacing w:line="360" w:lineRule="exact"/>
              <w:rPr>
                <w:rFonts w:ascii="宋体" w:hAnsi="宋体"/>
                <w:highlight w:val="none"/>
              </w:rPr>
            </w:pPr>
            <w:r>
              <w:rPr>
                <w:rFonts w:ascii="宋体" w:hAnsi="宋体"/>
                <w:highlight w:val="none"/>
              </w:rPr>
              <w:t>a.投标函按招标文件规定填报了项目名称、标段号、补遗书编号（如有）、咨询服务期限、服务质量要求、安全目标；</w:t>
            </w:r>
          </w:p>
          <w:p w14:paraId="77EC3A8F">
            <w:pPr>
              <w:spacing w:line="360" w:lineRule="exact"/>
              <w:rPr>
                <w:rFonts w:ascii="宋体" w:hAnsi="宋体"/>
                <w:highlight w:val="none"/>
              </w:rPr>
            </w:pPr>
            <w:r>
              <w:rPr>
                <w:rFonts w:ascii="宋体" w:hAnsi="宋体"/>
                <w:highlight w:val="none"/>
              </w:rPr>
              <w:t>b.投标文件组成齐全完整，内容均按规定填写。</w:t>
            </w:r>
          </w:p>
          <w:p w14:paraId="42C91D51">
            <w:pPr>
              <w:spacing w:line="360" w:lineRule="exact"/>
              <w:rPr>
                <w:rFonts w:ascii="宋体" w:hAnsi="宋体"/>
                <w:highlight w:val="none"/>
              </w:rPr>
            </w:pPr>
            <w:r>
              <w:rPr>
                <w:rFonts w:ascii="宋体" w:hAnsi="宋体"/>
                <w:highlight w:val="none"/>
              </w:rPr>
              <w:t>（2）投标文件上法定代表人或其委托代理人的签字、投标人的单位章盖章齐全，符合招标文件规定。</w:t>
            </w:r>
          </w:p>
          <w:p w14:paraId="1D7DA2EA">
            <w:pPr>
              <w:spacing w:line="360" w:lineRule="exact"/>
              <w:rPr>
                <w:rFonts w:ascii="宋体" w:hAnsi="宋体"/>
                <w:highlight w:val="none"/>
              </w:rPr>
            </w:pPr>
            <w:r>
              <w:rPr>
                <w:rFonts w:ascii="宋体" w:hAnsi="宋体"/>
                <w:highlight w:val="none"/>
              </w:rPr>
              <w:t>（</w:t>
            </w:r>
            <w:r>
              <w:rPr>
                <w:rFonts w:hint="eastAsia" w:ascii="宋体" w:hAnsi="宋体"/>
                <w:highlight w:val="none"/>
              </w:rPr>
              <w:t>3</w:t>
            </w:r>
            <w:r>
              <w:rPr>
                <w:rFonts w:ascii="宋体" w:hAnsi="宋体"/>
                <w:highlight w:val="none"/>
              </w:rPr>
              <w:t>）投标人按照招标文件的规定提供了投标保证金：</w:t>
            </w:r>
          </w:p>
          <w:p w14:paraId="00327161">
            <w:pPr>
              <w:spacing w:line="360" w:lineRule="exact"/>
              <w:rPr>
                <w:rFonts w:ascii="宋体" w:hAnsi="宋体"/>
                <w:highlight w:val="none"/>
              </w:rPr>
            </w:pPr>
            <w:r>
              <w:rPr>
                <w:rFonts w:ascii="宋体" w:hAnsi="宋体"/>
                <w:highlight w:val="none"/>
              </w:rPr>
              <w:t>a.投标保证金金额符合招标文件规定的金额，且投标保证金有效期与投标有效期一致；</w:t>
            </w:r>
          </w:p>
          <w:p w14:paraId="000871AA">
            <w:pPr>
              <w:spacing w:line="360" w:lineRule="exact"/>
              <w:rPr>
                <w:rFonts w:ascii="宋体" w:hAnsi="宋体"/>
                <w:highlight w:val="none"/>
              </w:rPr>
            </w:pPr>
            <w:r>
              <w:rPr>
                <w:rFonts w:ascii="宋体" w:hAnsi="宋体"/>
                <w:highlight w:val="none"/>
              </w:rPr>
              <w:t>b.若投标保证金采用现金或支票形式提交，投标人应在递交投标文件截止时间之前，将投标保证金由投标人的基本账户转入招标人指定账户；</w:t>
            </w:r>
          </w:p>
          <w:p w14:paraId="3CB88D26">
            <w:pPr>
              <w:spacing w:line="360" w:lineRule="exact"/>
              <w:rPr>
                <w:rFonts w:ascii="宋体" w:hAnsi="宋体"/>
                <w:highlight w:val="none"/>
              </w:rPr>
            </w:pPr>
            <w:r>
              <w:rPr>
                <w:rFonts w:ascii="宋体" w:hAnsi="宋体"/>
                <w:highlight w:val="none"/>
              </w:rPr>
              <w:t>c.若投标保证金采用银行保函形式提交，银行保函的格式、开具保函的银行均满足招标文件要求，且在递交投标文件截止时间之前向招标人提交了银行保函原件。</w:t>
            </w:r>
          </w:p>
          <w:p w14:paraId="56F35678">
            <w:pPr>
              <w:spacing w:line="360" w:lineRule="exact"/>
              <w:rPr>
                <w:rFonts w:ascii="宋体" w:hAnsi="宋体"/>
                <w:highlight w:val="none"/>
              </w:rPr>
            </w:pPr>
            <w:r>
              <w:rPr>
                <w:rFonts w:ascii="宋体" w:hAnsi="宋体"/>
                <w:highlight w:val="none"/>
              </w:rPr>
              <w:t>（</w:t>
            </w:r>
            <w:r>
              <w:rPr>
                <w:rFonts w:hint="eastAsia" w:ascii="宋体" w:hAnsi="宋体"/>
                <w:highlight w:val="none"/>
              </w:rPr>
              <w:t>4</w:t>
            </w:r>
            <w:r>
              <w:rPr>
                <w:rFonts w:ascii="宋体" w:hAnsi="宋体"/>
                <w:highlight w:val="none"/>
              </w:rPr>
              <w:t>）投标人法定代表人授权委托代理人签署投标文件的，须提交授权委托书，且授权人和被授权人均在授权委托书上签名，未使用印章、签名章或其他电子制版签名代替。</w:t>
            </w:r>
          </w:p>
          <w:p w14:paraId="1D533423">
            <w:pPr>
              <w:spacing w:line="360" w:lineRule="exact"/>
              <w:rPr>
                <w:rFonts w:ascii="宋体" w:hAnsi="宋体"/>
                <w:highlight w:val="none"/>
              </w:rPr>
            </w:pPr>
            <w:r>
              <w:rPr>
                <w:rFonts w:ascii="宋体" w:hAnsi="宋体"/>
                <w:highlight w:val="none"/>
              </w:rPr>
              <w:t>（</w:t>
            </w:r>
            <w:r>
              <w:rPr>
                <w:rFonts w:hint="eastAsia" w:ascii="宋体" w:hAnsi="宋体"/>
                <w:highlight w:val="none"/>
              </w:rPr>
              <w:t>5</w:t>
            </w:r>
            <w:r>
              <w:rPr>
                <w:rFonts w:ascii="宋体" w:hAnsi="宋体"/>
                <w:highlight w:val="none"/>
              </w:rPr>
              <w:t>）投标人法定代表人亲自签署投标文件的，提供了法定代表人身份证明，且法定代表人在法定代表人身份证明上签名，未使用印章、签名章或其他电子制版签名代替。</w:t>
            </w:r>
          </w:p>
          <w:p w14:paraId="14D0E8A4">
            <w:pPr>
              <w:spacing w:line="360" w:lineRule="exact"/>
              <w:rPr>
                <w:rFonts w:ascii="宋体" w:hAnsi="宋体"/>
                <w:highlight w:val="none"/>
              </w:rPr>
            </w:pPr>
            <w:r>
              <w:rPr>
                <w:rFonts w:ascii="宋体" w:hAnsi="宋体"/>
                <w:highlight w:val="none"/>
              </w:rPr>
              <w:t>（</w:t>
            </w:r>
            <w:r>
              <w:rPr>
                <w:rFonts w:hint="eastAsia" w:ascii="宋体" w:hAnsi="宋体"/>
                <w:highlight w:val="none"/>
              </w:rPr>
              <w:t>6</w:t>
            </w:r>
            <w:r>
              <w:rPr>
                <w:rFonts w:ascii="宋体" w:hAnsi="宋体"/>
                <w:highlight w:val="none"/>
              </w:rPr>
              <w:t>）同一投标人未提交两个以上不同的投标文件，但招标文件要求提交备选投标的除外。</w:t>
            </w:r>
          </w:p>
          <w:p w14:paraId="73C1063E">
            <w:pPr>
              <w:spacing w:line="360" w:lineRule="exact"/>
              <w:rPr>
                <w:rFonts w:ascii="宋体" w:hAnsi="宋体"/>
                <w:highlight w:val="none"/>
              </w:rPr>
            </w:pPr>
            <w:r>
              <w:rPr>
                <w:rFonts w:ascii="宋体" w:hAnsi="宋体"/>
                <w:highlight w:val="none"/>
              </w:rPr>
              <w:t>（</w:t>
            </w:r>
            <w:r>
              <w:rPr>
                <w:rFonts w:hint="eastAsia" w:ascii="宋体" w:hAnsi="宋体"/>
                <w:highlight w:val="none"/>
              </w:rPr>
              <w:t>7</w:t>
            </w:r>
            <w:r>
              <w:rPr>
                <w:rFonts w:ascii="宋体" w:hAnsi="宋体"/>
                <w:highlight w:val="none"/>
              </w:rPr>
              <w:t>）投标文件中未出现有关投标报价的内容。</w:t>
            </w:r>
          </w:p>
          <w:p w14:paraId="26049F03">
            <w:pPr>
              <w:spacing w:line="360" w:lineRule="exact"/>
              <w:rPr>
                <w:rFonts w:ascii="宋体" w:hAnsi="宋体"/>
                <w:highlight w:val="none"/>
              </w:rPr>
            </w:pPr>
            <w:r>
              <w:rPr>
                <w:rFonts w:ascii="宋体" w:hAnsi="宋体"/>
                <w:highlight w:val="none"/>
              </w:rPr>
              <w:t>（</w:t>
            </w:r>
            <w:r>
              <w:rPr>
                <w:rFonts w:hint="eastAsia" w:ascii="宋体" w:hAnsi="宋体"/>
                <w:highlight w:val="none"/>
              </w:rPr>
              <w:t>8</w:t>
            </w:r>
            <w:r>
              <w:rPr>
                <w:rFonts w:ascii="宋体" w:hAnsi="宋体"/>
                <w:highlight w:val="none"/>
              </w:rPr>
              <w:t>）投标文件载明的招标项目完成期限未超过招标文件规定的时限。</w:t>
            </w:r>
          </w:p>
          <w:p w14:paraId="30B0D1E6">
            <w:pPr>
              <w:spacing w:line="360" w:lineRule="exact"/>
              <w:rPr>
                <w:rFonts w:ascii="宋体" w:hAnsi="宋体"/>
                <w:highlight w:val="none"/>
              </w:rPr>
            </w:pPr>
            <w:r>
              <w:rPr>
                <w:rFonts w:ascii="宋体" w:hAnsi="宋体"/>
                <w:highlight w:val="none"/>
              </w:rPr>
              <w:t>（</w:t>
            </w:r>
            <w:r>
              <w:rPr>
                <w:rFonts w:hint="eastAsia" w:ascii="宋体" w:hAnsi="宋体"/>
                <w:highlight w:val="none"/>
              </w:rPr>
              <w:t>9</w:t>
            </w:r>
            <w:r>
              <w:rPr>
                <w:rFonts w:ascii="宋体" w:hAnsi="宋体"/>
                <w:highlight w:val="none"/>
              </w:rPr>
              <w:t>）投标文件对招标文件的实质性要求和条件作出响应。</w:t>
            </w:r>
          </w:p>
          <w:p w14:paraId="2E29CA36">
            <w:pPr>
              <w:spacing w:line="360" w:lineRule="exact"/>
              <w:rPr>
                <w:rFonts w:ascii="宋体" w:hAnsi="宋体"/>
                <w:highlight w:val="none"/>
              </w:rPr>
            </w:pPr>
            <w:r>
              <w:rPr>
                <w:rFonts w:ascii="宋体" w:hAnsi="宋体"/>
                <w:highlight w:val="none"/>
              </w:rPr>
              <w:t>（1</w:t>
            </w:r>
            <w:r>
              <w:rPr>
                <w:rFonts w:hint="eastAsia" w:ascii="宋体" w:hAnsi="宋体"/>
                <w:highlight w:val="none"/>
              </w:rPr>
              <w:t>0</w:t>
            </w:r>
            <w:r>
              <w:rPr>
                <w:rFonts w:ascii="宋体" w:hAnsi="宋体"/>
                <w:highlight w:val="none"/>
              </w:rPr>
              <w:t>）权利义务符合招标文件规定：</w:t>
            </w:r>
          </w:p>
          <w:p w14:paraId="5B46175E">
            <w:pPr>
              <w:spacing w:line="360" w:lineRule="exact"/>
              <w:rPr>
                <w:rFonts w:ascii="宋体" w:hAnsi="宋体"/>
                <w:highlight w:val="none"/>
              </w:rPr>
            </w:pPr>
            <w:r>
              <w:rPr>
                <w:rFonts w:ascii="宋体" w:hAnsi="宋体"/>
                <w:highlight w:val="none"/>
              </w:rPr>
              <w:t>a.投标人应接受招标文件规定的风险划分原则，未提出新的风险划分办法；</w:t>
            </w:r>
          </w:p>
          <w:p w14:paraId="51585EB8">
            <w:pPr>
              <w:spacing w:line="360" w:lineRule="exact"/>
              <w:rPr>
                <w:rFonts w:ascii="宋体" w:hAnsi="宋体"/>
                <w:highlight w:val="none"/>
              </w:rPr>
            </w:pPr>
            <w:r>
              <w:rPr>
                <w:rFonts w:ascii="宋体" w:hAnsi="宋体"/>
                <w:highlight w:val="none"/>
              </w:rPr>
              <w:t>b.投标人未增加委托人的责任范围，或减少投标人义务；</w:t>
            </w:r>
          </w:p>
          <w:p w14:paraId="50B13B34">
            <w:pPr>
              <w:spacing w:line="360" w:lineRule="exact"/>
              <w:rPr>
                <w:rFonts w:ascii="宋体" w:hAnsi="宋体"/>
                <w:highlight w:val="none"/>
              </w:rPr>
            </w:pPr>
            <w:r>
              <w:rPr>
                <w:rFonts w:ascii="宋体" w:hAnsi="宋体"/>
                <w:highlight w:val="none"/>
              </w:rPr>
              <w:t>c.投标人未提出不同的支付办法；</w:t>
            </w:r>
          </w:p>
          <w:p w14:paraId="2CC52CE5">
            <w:pPr>
              <w:spacing w:line="360" w:lineRule="exact"/>
              <w:rPr>
                <w:rFonts w:ascii="宋体" w:hAnsi="宋体"/>
                <w:highlight w:val="none"/>
              </w:rPr>
            </w:pPr>
            <w:r>
              <w:rPr>
                <w:rFonts w:ascii="宋体" w:hAnsi="宋体"/>
                <w:highlight w:val="none"/>
              </w:rPr>
              <w:t>d.投标人对合同纠纷、事故处理办法未提出异议；</w:t>
            </w:r>
          </w:p>
          <w:p w14:paraId="08660B9D">
            <w:pPr>
              <w:spacing w:line="360" w:lineRule="exact"/>
              <w:rPr>
                <w:rFonts w:ascii="宋体" w:hAnsi="宋体"/>
                <w:highlight w:val="none"/>
              </w:rPr>
            </w:pPr>
            <w:r>
              <w:rPr>
                <w:rFonts w:ascii="宋体" w:hAnsi="宋体"/>
                <w:highlight w:val="none"/>
              </w:rPr>
              <w:t>e.投标人在投标活动中无欺诈行为；</w:t>
            </w:r>
          </w:p>
          <w:p w14:paraId="459D7A70">
            <w:pPr>
              <w:spacing w:line="360" w:lineRule="exact"/>
              <w:rPr>
                <w:rFonts w:ascii="宋体" w:hAnsi="宋体"/>
                <w:highlight w:val="none"/>
              </w:rPr>
            </w:pPr>
            <w:r>
              <w:rPr>
                <w:rFonts w:ascii="宋体" w:hAnsi="宋体"/>
                <w:highlight w:val="none"/>
              </w:rPr>
              <w:t>f.投标人未对合同条款有重要保留。</w:t>
            </w:r>
          </w:p>
          <w:p w14:paraId="725CC68E">
            <w:pPr>
              <w:spacing w:line="360" w:lineRule="exact"/>
              <w:rPr>
                <w:rFonts w:ascii="宋体" w:hAnsi="宋体"/>
                <w:highlight w:val="none"/>
              </w:rPr>
            </w:pPr>
            <w:r>
              <w:rPr>
                <w:rFonts w:ascii="宋体" w:hAnsi="宋体"/>
                <w:highlight w:val="none"/>
              </w:rPr>
              <w:t>（1</w:t>
            </w:r>
            <w:r>
              <w:rPr>
                <w:rFonts w:hint="eastAsia" w:ascii="宋体" w:hAnsi="宋体"/>
                <w:highlight w:val="none"/>
              </w:rPr>
              <w:t>1</w:t>
            </w:r>
            <w:r>
              <w:rPr>
                <w:rFonts w:ascii="宋体" w:hAnsi="宋体"/>
                <w:highlight w:val="none"/>
              </w:rPr>
              <w:t>）投标文件正、副本份数符合招标文件第二章“投标人须知”第3.7.4项规定。</w:t>
            </w:r>
          </w:p>
          <w:p w14:paraId="4BED8542">
            <w:pPr>
              <w:spacing w:line="360" w:lineRule="exact"/>
              <w:rPr>
                <w:rFonts w:ascii="宋体" w:hAnsi="宋体"/>
                <w:b/>
                <w:highlight w:val="none"/>
              </w:rPr>
            </w:pPr>
            <w:r>
              <w:rPr>
                <w:rFonts w:ascii="宋体" w:hAnsi="宋体"/>
                <w:b/>
                <w:highlight w:val="none"/>
              </w:rPr>
              <w:t>第二个信封（报价文件）评审标准：</w:t>
            </w:r>
          </w:p>
          <w:p w14:paraId="62F83298">
            <w:pPr>
              <w:spacing w:line="360" w:lineRule="exact"/>
              <w:rPr>
                <w:rFonts w:ascii="宋体" w:hAnsi="宋体"/>
                <w:highlight w:val="none"/>
              </w:rPr>
            </w:pPr>
            <w:r>
              <w:rPr>
                <w:rFonts w:ascii="宋体" w:hAnsi="宋体"/>
                <w:highlight w:val="none"/>
              </w:rPr>
              <w:t>（1）投标文件按照招标文件规定的格式、内容填写，字迹清晰可辨，内容齐全完整：</w:t>
            </w:r>
          </w:p>
          <w:p w14:paraId="03C9333C">
            <w:pPr>
              <w:spacing w:line="360" w:lineRule="exact"/>
              <w:rPr>
                <w:rFonts w:ascii="宋体" w:hAnsi="宋体"/>
                <w:highlight w:val="none"/>
              </w:rPr>
            </w:pPr>
            <w:r>
              <w:rPr>
                <w:rFonts w:ascii="宋体" w:hAnsi="宋体"/>
                <w:highlight w:val="none"/>
              </w:rPr>
              <w:t>a.投标函按招标文件规定填报了项目名称、标段号、补遗书编号（如有）、投标价（包括大写金额和小写金额）；</w:t>
            </w:r>
          </w:p>
          <w:p w14:paraId="3306DF75">
            <w:pPr>
              <w:spacing w:line="360" w:lineRule="exact"/>
              <w:rPr>
                <w:rFonts w:ascii="宋体" w:hAnsi="宋体"/>
                <w:highlight w:val="none"/>
              </w:rPr>
            </w:pPr>
            <w:r>
              <w:rPr>
                <w:rFonts w:ascii="宋体" w:hAnsi="宋体"/>
                <w:highlight w:val="none"/>
              </w:rPr>
              <w:t>b.已标价咨询服务费用清单说明文字与招标文件规定一致，未进行实质性修改和删减；</w:t>
            </w:r>
          </w:p>
          <w:p w14:paraId="02190478">
            <w:pPr>
              <w:spacing w:line="360" w:lineRule="exact"/>
              <w:rPr>
                <w:rFonts w:ascii="宋体" w:hAnsi="宋体"/>
                <w:highlight w:val="none"/>
              </w:rPr>
            </w:pPr>
            <w:r>
              <w:rPr>
                <w:rFonts w:ascii="宋体" w:hAnsi="宋体"/>
                <w:highlight w:val="none"/>
              </w:rPr>
              <w:t>c.投标文件组成齐全完整，内容均按规定填写。</w:t>
            </w:r>
          </w:p>
          <w:p w14:paraId="21BEDA28">
            <w:pPr>
              <w:spacing w:line="360" w:lineRule="exact"/>
              <w:rPr>
                <w:rFonts w:ascii="宋体" w:hAnsi="宋体"/>
                <w:highlight w:val="none"/>
              </w:rPr>
            </w:pPr>
            <w:r>
              <w:rPr>
                <w:rFonts w:ascii="宋体" w:hAnsi="宋体"/>
                <w:highlight w:val="none"/>
              </w:rPr>
              <w:t>（2）投标文件上法定代表人或其委托代理人的签字、投标人的单位章盖章齐全，符合招标文件规定。</w:t>
            </w:r>
          </w:p>
          <w:p w14:paraId="5259EF89">
            <w:pPr>
              <w:spacing w:line="360" w:lineRule="exact"/>
              <w:rPr>
                <w:rFonts w:ascii="宋体" w:hAnsi="宋体"/>
                <w:highlight w:val="none"/>
              </w:rPr>
            </w:pPr>
            <w:r>
              <w:rPr>
                <w:rFonts w:ascii="宋体" w:hAnsi="宋体"/>
                <w:highlight w:val="none"/>
              </w:rPr>
              <w:t>（3）投标报价未超过招标文件设定的最高投标限价（如有）。</w:t>
            </w:r>
          </w:p>
          <w:p w14:paraId="5A5C2F38">
            <w:pPr>
              <w:spacing w:line="360" w:lineRule="exact"/>
              <w:rPr>
                <w:rFonts w:ascii="宋体" w:hAnsi="宋体"/>
                <w:highlight w:val="none"/>
              </w:rPr>
            </w:pPr>
            <w:r>
              <w:rPr>
                <w:rFonts w:ascii="宋体" w:hAnsi="宋体"/>
                <w:highlight w:val="none"/>
              </w:rPr>
              <w:t>（4）投标报价的大写金额能够确定具体数值。</w:t>
            </w:r>
          </w:p>
          <w:p w14:paraId="2FD2FE9E">
            <w:pPr>
              <w:spacing w:line="360" w:lineRule="exact"/>
              <w:rPr>
                <w:rFonts w:ascii="宋体" w:hAnsi="宋体"/>
                <w:highlight w:val="none"/>
              </w:rPr>
            </w:pPr>
            <w:r>
              <w:rPr>
                <w:rFonts w:ascii="宋体" w:hAnsi="宋体"/>
                <w:highlight w:val="none"/>
              </w:rPr>
              <w:t>（5）同一投标人未提交两个以上不同的投标报价，但招标文件要求提交备选投标的除外。</w:t>
            </w:r>
          </w:p>
          <w:p w14:paraId="697DE499">
            <w:pPr>
              <w:spacing w:line="360" w:lineRule="exact"/>
              <w:rPr>
                <w:rFonts w:ascii="宋体" w:hAnsi="宋体"/>
                <w:highlight w:val="none"/>
              </w:rPr>
            </w:pPr>
            <w:r>
              <w:rPr>
                <w:rFonts w:ascii="宋体" w:hAnsi="宋体"/>
                <w:highlight w:val="none"/>
              </w:rPr>
              <w:t>（6）投标文件正、副本份数符合招标文件第二章“投标人须知”第3.7.4项规定。</w:t>
            </w:r>
          </w:p>
        </w:tc>
      </w:tr>
      <w:tr w14:paraId="59B38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89" w:type="dxa"/>
            <w:noWrap w:val="0"/>
            <w:vAlign w:val="center"/>
          </w:tcPr>
          <w:p w14:paraId="05D48CC6">
            <w:pPr>
              <w:spacing w:line="360" w:lineRule="exact"/>
              <w:jc w:val="center"/>
              <w:rPr>
                <w:szCs w:val="21"/>
                <w:highlight w:val="none"/>
              </w:rPr>
            </w:pPr>
            <w:r>
              <w:rPr>
                <w:szCs w:val="21"/>
                <w:highlight w:val="none"/>
              </w:rPr>
              <w:t>2.1.2</w:t>
            </w:r>
          </w:p>
        </w:tc>
        <w:tc>
          <w:tcPr>
            <w:tcW w:w="1280" w:type="dxa"/>
            <w:noWrap w:val="0"/>
            <w:vAlign w:val="center"/>
          </w:tcPr>
          <w:p w14:paraId="4A538CF7">
            <w:pPr>
              <w:spacing w:line="360" w:lineRule="exact"/>
              <w:jc w:val="center"/>
              <w:rPr>
                <w:szCs w:val="21"/>
                <w:highlight w:val="none"/>
              </w:rPr>
            </w:pPr>
            <w:r>
              <w:rPr>
                <w:szCs w:val="21"/>
                <w:highlight w:val="none"/>
              </w:rPr>
              <w:t>资格评审标准</w:t>
            </w:r>
          </w:p>
        </w:tc>
        <w:tc>
          <w:tcPr>
            <w:tcW w:w="6622" w:type="dxa"/>
            <w:noWrap w:val="0"/>
            <w:vAlign w:val="center"/>
          </w:tcPr>
          <w:p w14:paraId="6E5AAF20">
            <w:pPr>
              <w:spacing w:line="360" w:lineRule="exact"/>
              <w:ind w:firstLine="420" w:firstLineChars="200"/>
              <w:rPr>
                <w:szCs w:val="21"/>
                <w:highlight w:val="none"/>
              </w:rPr>
            </w:pPr>
            <w:r>
              <w:rPr>
                <w:szCs w:val="21"/>
                <w:highlight w:val="none"/>
              </w:rPr>
              <w:t>（1）投标人具备有效的营业执照、</w:t>
            </w:r>
            <w:r>
              <w:rPr>
                <w:highlight w:val="none"/>
              </w:rPr>
              <w:t>组织机构代码证、</w:t>
            </w:r>
            <w:r>
              <w:rPr>
                <w:szCs w:val="21"/>
                <w:highlight w:val="none"/>
              </w:rPr>
              <w:t>资质证书（如需要）和基本账户开户许可证。</w:t>
            </w:r>
          </w:p>
          <w:p w14:paraId="36D04D52">
            <w:pPr>
              <w:spacing w:line="360" w:lineRule="exact"/>
              <w:ind w:firstLine="420" w:firstLineChars="200"/>
              <w:rPr>
                <w:szCs w:val="21"/>
                <w:highlight w:val="none"/>
              </w:rPr>
            </w:pPr>
            <w:r>
              <w:rPr>
                <w:szCs w:val="21"/>
                <w:highlight w:val="none"/>
              </w:rPr>
              <w:t>（2）投标人的资质等级符合招标文件规定。</w:t>
            </w:r>
          </w:p>
          <w:p w14:paraId="192BBD62">
            <w:pPr>
              <w:spacing w:line="360" w:lineRule="exact"/>
              <w:ind w:firstLine="420" w:firstLineChars="200"/>
              <w:rPr>
                <w:szCs w:val="21"/>
                <w:highlight w:val="none"/>
              </w:rPr>
            </w:pPr>
            <w:r>
              <w:rPr>
                <w:szCs w:val="21"/>
                <w:highlight w:val="none"/>
              </w:rPr>
              <w:t>（3）投标人的类似项目业绩符合招标文件规定。</w:t>
            </w:r>
          </w:p>
          <w:p w14:paraId="07F8CA7C">
            <w:pPr>
              <w:spacing w:line="360" w:lineRule="exact"/>
              <w:ind w:firstLine="420" w:firstLineChars="200"/>
              <w:rPr>
                <w:szCs w:val="21"/>
                <w:highlight w:val="none"/>
              </w:rPr>
            </w:pPr>
            <w:r>
              <w:rPr>
                <w:szCs w:val="21"/>
                <w:highlight w:val="none"/>
              </w:rPr>
              <w:t>（4）投标人的信誉符合招标文件规定。</w:t>
            </w:r>
          </w:p>
          <w:p w14:paraId="5C5E642A">
            <w:pPr>
              <w:spacing w:line="360" w:lineRule="exact"/>
              <w:ind w:firstLine="420" w:firstLineChars="200"/>
              <w:rPr>
                <w:szCs w:val="21"/>
                <w:highlight w:val="none"/>
              </w:rPr>
            </w:pPr>
            <w:r>
              <w:rPr>
                <w:szCs w:val="21"/>
                <w:highlight w:val="none"/>
              </w:rPr>
              <w:t>（5）投标人的项目负责人资格符合招标文件规定。</w:t>
            </w:r>
          </w:p>
          <w:p w14:paraId="09072191">
            <w:pPr>
              <w:spacing w:line="360" w:lineRule="exact"/>
              <w:ind w:firstLine="420" w:firstLineChars="200"/>
              <w:rPr>
                <w:szCs w:val="21"/>
                <w:highlight w:val="none"/>
              </w:rPr>
            </w:pPr>
            <w:r>
              <w:rPr>
                <w:szCs w:val="21"/>
                <w:highlight w:val="none"/>
              </w:rPr>
              <w:t>（6）投标人的其他要求符合招标文件规定。</w:t>
            </w:r>
            <w:r>
              <w:rPr>
                <w:szCs w:val="21"/>
                <w:highlight w:val="none"/>
                <w:vertAlign w:val="superscript"/>
              </w:rPr>
              <w:footnoteReference w:id="1"/>
            </w:r>
          </w:p>
          <w:p w14:paraId="05354DB3">
            <w:pPr>
              <w:spacing w:line="360" w:lineRule="exact"/>
              <w:ind w:firstLine="420" w:firstLineChars="200"/>
              <w:rPr>
                <w:szCs w:val="21"/>
                <w:highlight w:val="none"/>
              </w:rPr>
            </w:pPr>
            <w:r>
              <w:rPr>
                <w:szCs w:val="21"/>
                <w:highlight w:val="none"/>
              </w:rPr>
              <w:t>（7）投标人不存在第二章“投标人须知”第1.4.3项或第1.4.4项规定的任何一种情形。</w:t>
            </w:r>
          </w:p>
        </w:tc>
      </w:tr>
      <w:tr w14:paraId="172DC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89" w:type="dxa"/>
            <w:noWrap w:val="0"/>
            <w:vAlign w:val="center"/>
          </w:tcPr>
          <w:p w14:paraId="6FD321A9">
            <w:pPr>
              <w:spacing w:line="360" w:lineRule="exact"/>
              <w:jc w:val="center"/>
              <w:rPr>
                <w:rFonts w:ascii="黑体" w:hAnsi="黑体" w:eastAsia="黑体"/>
                <w:sz w:val="24"/>
                <w:highlight w:val="none"/>
              </w:rPr>
            </w:pPr>
            <w:r>
              <w:rPr>
                <w:rFonts w:ascii="黑体" w:hAnsi="黑体" w:eastAsia="黑体"/>
                <w:sz w:val="24"/>
                <w:highlight w:val="none"/>
              </w:rPr>
              <w:t>条款号</w:t>
            </w:r>
          </w:p>
        </w:tc>
        <w:tc>
          <w:tcPr>
            <w:tcW w:w="1280" w:type="dxa"/>
            <w:noWrap w:val="0"/>
            <w:vAlign w:val="center"/>
          </w:tcPr>
          <w:p w14:paraId="572A4C73">
            <w:pPr>
              <w:spacing w:line="360" w:lineRule="exact"/>
              <w:jc w:val="center"/>
              <w:rPr>
                <w:rFonts w:ascii="黑体" w:hAnsi="黑体" w:eastAsia="黑体"/>
                <w:sz w:val="24"/>
                <w:highlight w:val="none"/>
              </w:rPr>
            </w:pPr>
            <w:r>
              <w:rPr>
                <w:rFonts w:ascii="黑体" w:hAnsi="黑体" w:eastAsia="黑体"/>
                <w:sz w:val="24"/>
                <w:highlight w:val="none"/>
              </w:rPr>
              <w:t>条款内容</w:t>
            </w:r>
          </w:p>
        </w:tc>
        <w:tc>
          <w:tcPr>
            <w:tcW w:w="6622" w:type="dxa"/>
            <w:noWrap w:val="0"/>
            <w:vAlign w:val="center"/>
          </w:tcPr>
          <w:p w14:paraId="432CA475">
            <w:pPr>
              <w:spacing w:line="360" w:lineRule="exact"/>
              <w:jc w:val="center"/>
              <w:rPr>
                <w:rFonts w:ascii="黑体" w:hAnsi="黑体" w:eastAsia="黑体"/>
                <w:sz w:val="24"/>
                <w:highlight w:val="none"/>
              </w:rPr>
            </w:pPr>
            <w:r>
              <w:rPr>
                <w:rFonts w:ascii="黑体" w:hAnsi="黑体" w:eastAsia="黑体"/>
                <w:sz w:val="24"/>
                <w:highlight w:val="none"/>
              </w:rPr>
              <w:t>编列内容</w:t>
            </w:r>
          </w:p>
        </w:tc>
      </w:tr>
      <w:tr w14:paraId="55F02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89" w:type="dxa"/>
            <w:noWrap w:val="0"/>
            <w:vAlign w:val="center"/>
          </w:tcPr>
          <w:p w14:paraId="2652250F">
            <w:pPr>
              <w:spacing w:line="360" w:lineRule="exact"/>
              <w:jc w:val="center"/>
              <w:rPr>
                <w:szCs w:val="21"/>
                <w:highlight w:val="none"/>
              </w:rPr>
            </w:pPr>
            <w:r>
              <w:rPr>
                <w:szCs w:val="21"/>
                <w:highlight w:val="none"/>
              </w:rPr>
              <w:t>2.2.1</w:t>
            </w:r>
          </w:p>
        </w:tc>
        <w:tc>
          <w:tcPr>
            <w:tcW w:w="1280" w:type="dxa"/>
            <w:noWrap w:val="0"/>
            <w:vAlign w:val="center"/>
          </w:tcPr>
          <w:p w14:paraId="65E0AD44">
            <w:pPr>
              <w:spacing w:line="360" w:lineRule="exact"/>
              <w:jc w:val="center"/>
              <w:rPr>
                <w:szCs w:val="21"/>
                <w:highlight w:val="none"/>
              </w:rPr>
            </w:pPr>
            <w:r>
              <w:rPr>
                <w:szCs w:val="21"/>
                <w:highlight w:val="none"/>
              </w:rPr>
              <w:t>分值构成</w:t>
            </w:r>
          </w:p>
          <w:p w14:paraId="22F4F833">
            <w:pPr>
              <w:spacing w:line="360" w:lineRule="exact"/>
              <w:ind w:left="-105" w:leftChars="-50" w:right="-105" w:rightChars="-50"/>
              <w:jc w:val="center"/>
              <w:rPr>
                <w:szCs w:val="21"/>
                <w:highlight w:val="none"/>
              </w:rPr>
            </w:pPr>
            <w:r>
              <w:rPr>
                <w:szCs w:val="21"/>
                <w:highlight w:val="none"/>
              </w:rPr>
              <w:t>（总分100分）</w:t>
            </w:r>
          </w:p>
        </w:tc>
        <w:tc>
          <w:tcPr>
            <w:tcW w:w="6622" w:type="dxa"/>
            <w:noWrap w:val="0"/>
            <w:vAlign w:val="center"/>
          </w:tcPr>
          <w:p w14:paraId="6D8B5C94">
            <w:pPr>
              <w:snapToGrid w:val="0"/>
              <w:spacing w:line="360" w:lineRule="exact"/>
              <w:ind w:right="-57" w:firstLine="457" w:firstLineChars="217"/>
              <w:jc w:val="left"/>
              <w:rPr>
                <w:rFonts w:ascii="宋体" w:hAnsi="宋体" w:cs="宋体"/>
                <w:b/>
                <w:highlight w:val="none"/>
              </w:rPr>
            </w:pPr>
            <w:r>
              <w:rPr>
                <w:rFonts w:hint="eastAsia" w:ascii="宋体" w:hAnsi="宋体" w:cs="宋体"/>
                <w:b/>
                <w:highlight w:val="none"/>
              </w:rPr>
              <w:t>第一个信封（商务及技术文件）评分分值构成：</w:t>
            </w:r>
          </w:p>
          <w:p w14:paraId="732D6297">
            <w:pPr>
              <w:snapToGrid w:val="0"/>
              <w:spacing w:line="360" w:lineRule="exact"/>
              <w:ind w:right="-57" w:firstLine="455" w:firstLineChars="217"/>
              <w:jc w:val="left"/>
              <w:rPr>
                <w:rFonts w:ascii="宋体" w:hAnsi="宋体" w:cs="宋体"/>
                <w:highlight w:val="none"/>
              </w:rPr>
            </w:pPr>
            <w:r>
              <w:rPr>
                <w:rFonts w:hint="eastAsia" w:ascii="宋体" w:hAnsi="宋体" w:cs="宋体"/>
                <w:highlight w:val="none"/>
              </w:rPr>
              <w:t>技术建议书：40分</w:t>
            </w:r>
          </w:p>
          <w:p w14:paraId="18F2AEAD">
            <w:pPr>
              <w:snapToGrid w:val="0"/>
              <w:spacing w:line="360" w:lineRule="exact"/>
              <w:ind w:right="-57" w:firstLine="455" w:firstLineChars="217"/>
              <w:jc w:val="left"/>
              <w:rPr>
                <w:rFonts w:ascii="宋体" w:hAnsi="宋体" w:cs="宋体"/>
                <w:highlight w:val="none"/>
              </w:rPr>
            </w:pPr>
            <w:r>
              <w:rPr>
                <w:rFonts w:hint="eastAsia" w:ascii="宋体" w:hAnsi="宋体" w:cs="宋体"/>
                <w:highlight w:val="none"/>
              </w:rPr>
              <w:t>主要人员：25分</w:t>
            </w:r>
          </w:p>
          <w:p w14:paraId="0D94CBA9">
            <w:pPr>
              <w:snapToGrid w:val="0"/>
              <w:spacing w:line="360" w:lineRule="exact"/>
              <w:ind w:right="-57" w:firstLine="455" w:firstLineChars="217"/>
              <w:jc w:val="left"/>
              <w:rPr>
                <w:rFonts w:ascii="宋体" w:hAnsi="宋体" w:cs="宋体"/>
                <w:highlight w:val="none"/>
              </w:rPr>
            </w:pPr>
            <w:r>
              <w:rPr>
                <w:rFonts w:hint="eastAsia" w:ascii="宋体" w:hAnsi="宋体" w:cs="宋体"/>
                <w:highlight w:val="none"/>
              </w:rPr>
              <w:t>技术能力：5分</w:t>
            </w:r>
          </w:p>
          <w:p w14:paraId="0D243DC0">
            <w:pPr>
              <w:snapToGrid w:val="0"/>
              <w:spacing w:line="360" w:lineRule="exact"/>
              <w:ind w:right="-57" w:firstLine="455" w:firstLineChars="217"/>
              <w:jc w:val="left"/>
              <w:rPr>
                <w:rFonts w:ascii="宋体" w:hAnsi="宋体" w:cs="宋体"/>
                <w:highlight w:val="none"/>
              </w:rPr>
            </w:pPr>
            <w:r>
              <w:rPr>
                <w:rFonts w:hint="eastAsia" w:ascii="宋体" w:hAnsi="宋体" w:cs="宋体"/>
                <w:highlight w:val="none"/>
              </w:rPr>
              <w:t>业绩：12分</w:t>
            </w:r>
          </w:p>
          <w:p w14:paraId="06DE9B4F">
            <w:pPr>
              <w:snapToGrid w:val="0"/>
              <w:spacing w:line="360" w:lineRule="exact"/>
              <w:ind w:right="-57" w:firstLine="455" w:firstLineChars="217"/>
              <w:jc w:val="left"/>
              <w:rPr>
                <w:rFonts w:ascii="宋体" w:hAnsi="宋体" w:cs="宋体"/>
                <w:highlight w:val="none"/>
              </w:rPr>
            </w:pPr>
            <w:r>
              <w:rPr>
                <w:rFonts w:hint="eastAsia" w:ascii="宋体" w:hAnsi="宋体" w:cs="宋体"/>
                <w:highlight w:val="none"/>
              </w:rPr>
              <w:t>履约信誉：8分</w:t>
            </w:r>
          </w:p>
          <w:p w14:paraId="701B7380">
            <w:pPr>
              <w:snapToGrid w:val="0"/>
              <w:spacing w:line="360" w:lineRule="exact"/>
              <w:ind w:right="-57" w:firstLine="457" w:firstLineChars="217"/>
              <w:jc w:val="left"/>
              <w:rPr>
                <w:rFonts w:ascii="宋体" w:hAnsi="宋体" w:cs="宋体"/>
                <w:b/>
                <w:highlight w:val="none"/>
              </w:rPr>
            </w:pPr>
            <w:r>
              <w:rPr>
                <w:rFonts w:hint="eastAsia" w:ascii="宋体" w:hAnsi="宋体" w:cs="宋体"/>
                <w:b/>
                <w:highlight w:val="none"/>
              </w:rPr>
              <w:t>第二个信封（报价文件）评分分值构成：</w:t>
            </w:r>
          </w:p>
          <w:p w14:paraId="3F2CA6D5">
            <w:pPr>
              <w:spacing w:line="360" w:lineRule="exact"/>
              <w:ind w:firstLine="420" w:firstLineChars="200"/>
              <w:rPr>
                <w:highlight w:val="none"/>
              </w:rPr>
            </w:pPr>
            <w:r>
              <w:rPr>
                <w:rFonts w:hint="eastAsia"/>
                <w:highlight w:val="none"/>
              </w:rPr>
              <w:t>评标价：10分</w:t>
            </w:r>
          </w:p>
        </w:tc>
      </w:tr>
      <w:tr w14:paraId="359A5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89" w:type="dxa"/>
            <w:noWrap w:val="0"/>
            <w:vAlign w:val="center"/>
          </w:tcPr>
          <w:p w14:paraId="241F19B1">
            <w:pPr>
              <w:spacing w:line="360" w:lineRule="exact"/>
              <w:jc w:val="center"/>
              <w:rPr>
                <w:szCs w:val="21"/>
                <w:highlight w:val="none"/>
              </w:rPr>
            </w:pPr>
            <w:r>
              <w:rPr>
                <w:szCs w:val="21"/>
                <w:highlight w:val="none"/>
              </w:rPr>
              <w:t>2.2.2</w:t>
            </w:r>
          </w:p>
        </w:tc>
        <w:tc>
          <w:tcPr>
            <w:tcW w:w="1280" w:type="dxa"/>
            <w:noWrap w:val="0"/>
            <w:vAlign w:val="center"/>
          </w:tcPr>
          <w:p w14:paraId="619008C6">
            <w:pPr>
              <w:spacing w:line="360" w:lineRule="exact"/>
              <w:jc w:val="center"/>
              <w:rPr>
                <w:szCs w:val="21"/>
                <w:highlight w:val="none"/>
              </w:rPr>
            </w:pPr>
            <w:r>
              <w:rPr>
                <w:szCs w:val="21"/>
                <w:highlight w:val="none"/>
              </w:rPr>
              <w:t>评标基准价计算方法</w:t>
            </w:r>
          </w:p>
        </w:tc>
        <w:tc>
          <w:tcPr>
            <w:tcW w:w="6622" w:type="dxa"/>
            <w:noWrap w:val="0"/>
            <w:vAlign w:val="center"/>
          </w:tcPr>
          <w:p w14:paraId="1A4E8A1E">
            <w:pPr>
              <w:spacing w:line="360" w:lineRule="exact"/>
              <w:rPr>
                <w:rFonts w:eastAsia="黑体"/>
                <w:szCs w:val="21"/>
                <w:highlight w:val="none"/>
              </w:rPr>
            </w:pPr>
            <w:r>
              <w:rPr>
                <w:rFonts w:eastAsia="黑体"/>
                <w:szCs w:val="21"/>
                <w:highlight w:val="none"/>
              </w:rPr>
              <w:t>评标基准价计算方法：</w:t>
            </w:r>
          </w:p>
          <w:p w14:paraId="49B60964">
            <w:pPr>
              <w:spacing w:line="360" w:lineRule="exact"/>
              <w:rPr>
                <w:rFonts w:eastAsia="黑体"/>
                <w:szCs w:val="21"/>
                <w:highlight w:val="none"/>
              </w:rPr>
            </w:pPr>
            <w:r>
              <w:rPr>
                <w:rFonts w:eastAsia="黑体"/>
                <w:szCs w:val="21"/>
                <w:highlight w:val="none"/>
              </w:rPr>
              <w:t>在开标现场，招标人将当场计算并宣布评标基准价。</w:t>
            </w:r>
          </w:p>
          <w:p w14:paraId="1403CDE2">
            <w:pPr>
              <w:spacing w:line="360" w:lineRule="exact"/>
              <w:rPr>
                <w:rFonts w:eastAsia="黑体"/>
                <w:szCs w:val="21"/>
                <w:highlight w:val="none"/>
              </w:rPr>
            </w:pPr>
            <w:r>
              <w:rPr>
                <w:rFonts w:eastAsia="黑体"/>
                <w:szCs w:val="21"/>
                <w:highlight w:val="none"/>
              </w:rPr>
              <w:t>(1)评标价的确定：评标价=投标函文字报价</w:t>
            </w:r>
          </w:p>
          <w:p w14:paraId="02FA53DA">
            <w:pPr>
              <w:spacing w:line="360" w:lineRule="exact"/>
              <w:rPr>
                <w:rFonts w:eastAsia="黑体"/>
                <w:szCs w:val="21"/>
                <w:highlight w:val="none"/>
              </w:rPr>
            </w:pPr>
            <w:r>
              <w:rPr>
                <w:rFonts w:eastAsia="黑体"/>
                <w:szCs w:val="21"/>
                <w:highlight w:val="none"/>
              </w:rPr>
              <w:t>(2)评标价平均值的计算：按第一个信封（商务及技术文件）评审得分由高到低的顺序选取前 3 名（若不足 3 名，则选取相应数量），对其第二个信封（报价文件）的评标价作算术平均（根据第二章“投标人须知”第 5.2.4 项规定在开标现场被宣布为不进入评标基准价计算的投标报价除外），将该平均值作为评标价平均值；</w:t>
            </w:r>
          </w:p>
          <w:p w14:paraId="7D0CF074">
            <w:pPr>
              <w:spacing w:line="360" w:lineRule="exact"/>
              <w:rPr>
                <w:rFonts w:eastAsia="黑体"/>
                <w:szCs w:val="21"/>
                <w:highlight w:val="none"/>
              </w:rPr>
            </w:pPr>
            <w:r>
              <w:rPr>
                <w:rFonts w:eastAsia="黑体"/>
                <w:szCs w:val="21"/>
                <w:highlight w:val="none"/>
              </w:rPr>
              <w:t xml:space="preserve"> (3)评标基准价的确定:</w:t>
            </w:r>
          </w:p>
          <w:p w14:paraId="10FADC27">
            <w:pPr>
              <w:spacing w:line="360" w:lineRule="exact"/>
              <w:rPr>
                <w:rFonts w:eastAsia="黑体"/>
                <w:szCs w:val="21"/>
                <w:highlight w:val="none"/>
              </w:rPr>
            </w:pPr>
            <w:r>
              <w:rPr>
                <w:rFonts w:hint="eastAsia" w:eastAsia="黑体"/>
                <w:szCs w:val="21"/>
                <w:highlight w:val="none"/>
              </w:rPr>
              <w:t>评标基准价</w:t>
            </w:r>
            <w:r>
              <w:rPr>
                <w:rFonts w:eastAsia="黑体"/>
                <w:szCs w:val="21"/>
                <w:highlight w:val="none"/>
              </w:rPr>
              <w:t>=评标价平均值</w:t>
            </w:r>
          </w:p>
          <w:p w14:paraId="54074D3E">
            <w:pPr>
              <w:spacing w:line="360" w:lineRule="exact"/>
              <w:rPr>
                <w:szCs w:val="21"/>
                <w:highlight w:val="none"/>
              </w:rPr>
            </w:pPr>
            <w:r>
              <w:rPr>
                <w:rFonts w:eastAsia="黑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97E7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89" w:type="dxa"/>
            <w:noWrap w:val="0"/>
            <w:vAlign w:val="center"/>
          </w:tcPr>
          <w:p w14:paraId="35FAE91A">
            <w:pPr>
              <w:spacing w:line="360" w:lineRule="exact"/>
              <w:jc w:val="center"/>
              <w:rPr>
                <w:szCs w:val="21"/>
                <w:highlight w:val="none"/>
              </w:rPr>
            </w:pPr>
            <w:r>
              <w:rPr>
                <w:szCs w:val="21"/>
                <w:highlight w:val="none"/>
              </w:rPr>
              <w:t>2.2.3</w:t>
            </w:r>
          </w:p>
        </w:tc>
        <w:tc>
          <w:tcPr>
            <w:tcW w:w="1280" w:type="dxa"/>
            <w:noWrap w:val="0"/>
            <w:vAlign w:val="center"/>
          </w:tcPr>
          <w:p w14:paraId="533605C1">
            <w:pPr>
              <w:spacing w:line="360" w:lineRule="exact"/>
              <w:ind w:left="-105" w:leftChars="-50" w:right="-105" w:rightChars="-50"/>
              <w:jc w:val="center"/>
              <w:rPr>
                <w:szCs w:val="21"/>
                <w:highlight w:val="none"/>
              </w:rPr>
            </w:pPr>
            <w:r>
              <w:rPr>
                <w:szCs w:val="21"/>
                <w:highlight w:val="none"/>
              </w:rPr>
              <w:t>评标价的偏差率计算公式</w:t>
            </w:r>
          </w:p>
        </w:tc>
        <w:tc>
          <w:tcPr>
            <w:tcW w:w="6622" w:type="dxa"/>
            <w:noWrap w:val="0"/>
            <w:vAlign w:val="center"/>
          </w:tcPr>
          <w:p w14:paraId="641AF24D">
            <w:pPr>
              <w:spacing w:line="360" w:lineRule="exact"/>
              <w:ind w:firstLine="420" w:firstLineChars="200"/>
              <w:rPr>
                <w:rFonts w:eastAsia="黑体"/>
                <w:b/>
                <w:szCs w:val="21"/>
                <w:highlight w:val="none"/>
              </w:rPr>
            </w:pPr>
            <w:r>
              <w:rPr>
                <w:rFonts w:eastAsia="黑体"/>
                <w:szCs w:val="21"/>
                <w:highlight w:val="none"/>
              </w:rPr>
              <w:t>偏差率=100% ×（投标人评标价－评标基准价）/评标基准价</w:t>
            </w:r>
          </w:p>
        </w:tc>
      </w:tr>
    </w:tbl>
    <w:p w14:paraId="7087DA36">
      <w:pPr>
        <w:spacing w:line="440" w:lineRule="atLeast"/>
        <w:rPr>
          <w:highlight w:val="none"/>
        </w:rPr>
      </w:pPr>
      <w:r>
        <w:rPr>
          <w:highlight w:val="none"/>
        </w:rPr>
        <w:br w:type="page"/>
      </w:r>
    </w:p>
    <w:p w14:paraId="13FC77BF">
      <w:pPr>
        <w:spacing w:line="440" w:lineRule="atLeast"/>
        <w:jc w:val="right"/>
        <w:rPr>
          <w:highlight w:val="none"/>
        </w:rPr>
      </w:pPr>
      <w:r>
        <w:rPr>
          <w:spacing w:val="4"/>
          <w:szCs w:val="21"/>
          <w:highlight w:val="none"/>
        </w:rPr>
        <w:t>续上表</w:t>
      </w:r>
    </w:p>
    <w:tbl>
      <w:tblPr>
        <w:tblStyle w:val="6"/>
        <w:tblW w:w="92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854"/>
        <w:gridCol w:w="1134"/>
        <w:gridCol w:w="851"/>
        <w:gridCol w:w="421"/>
        <w:gridCol w:w="709"/>
        <w:gridCol w:w="611"/>
        <w:gridCol w:w="3755"/>
      </w:tblGrid>
      <w:tr w14:paraId="05CB4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4928" w:type="dxa"/>
            <w:gridSpan w:val="6"/>
            <w:noWrap w:val="0"/>
            <w:vAlign w:val="top"/>
          </w:tcPr>
          <w:p w14:paraId="40DA26B6">
            <w:pPr>
              <w:spacing w:line="380" w:lineRule="atLeast"/>
              <w:jc w:val="center"/>
              <w:rPr>
                <w:b/>
                <w:szCs w:val="21"/>
                <w:highlight w:val="none"/>
              </w:rPr>
            </w:pPr>
            <w:r>
              <w:rPr>
                <w:rFonts w:hint="eastAsia"/>
                <w:b/>
                <w:szCs w:val="21"/>
                <w:highlight w:val="none"/>
              </w:rPr>
              <w:t>评分因素与权重分值</w:t>
            </w:r>
          </w:p>
        </w:tc>
        <w:tc>
          <w:tcPr>
            <w:tcW w:w="4366" w:type="dxa"/>
            <w:gridSpan w:val="2"/>
            <w:vMerge w:val="restart"/>
            <w:noWrap w:val="0"/>
            <w:vAlign w:val="center"/>
          </w:tcPr>
          <w:p w14:paraId="7A99F188">
            <w:pPr>
              <w:spacing w:line="380" w:lineRule="atLeast"/>
              <w:jc w:val="center"/>
              <w:rPr>
                <w:b/>
                <w:szCs w:val="21"/>
                <w:highlight w:val="none"/>
              </w:rPr>
            </w:pPr>
            <w:r>
              <w:rPr>
                <w:rFonts w:hint="eastAsia"/>
                <w:b/>
                <w:szCs w:val="21"/>
                <w:highlight w:val="none"/>
              </w:rPr>
              <w:t>评分标准</w:t>
            </w:r>
          </w:p>
        </w:tc>
      </w:tr>
      <w:tr w14:paraId="34F2A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59" w:type="dxa"/>
            <w:noWrap w:val="0"/>
            <w:vAlign w:val="center"/>
          </w:tcPr>
          <w:p w14:paraId="1ACAC9DA">
            <w:pPr>
              <w:spacing w:line="380" w:lineRule="atLeast"/>
              <w:jc w:val="center"/>
              <w:rPr>
                <w:rFonts w:ascii="宋体"/>
                <w:b/>
                <w:szCs w:val="21"/>
                <w:highlight w:val="none"/>
              </w:rPr>
            </w:pPr>
            <w:r>
              <w:rPr>
                <w:rFonts w:hint="eastAsia" w:ascii="宋体" w:hAnsi="宋体"/>
                <w:b/>
                <w:szCs w:val="21"/>
                <w:highlight w:val="none"/>
              </w:rPr>
              <w:t>条款号</w:t>
            </w:r>
          </w:p>
        </w:tc>
        <w:tc>
          <w:tcPr>
            <w:tcW w:w="854" w:type="dxa"/>
            <w:noWrap w:val="0"/>
            <w:vAlign w:val="center"/>
          </w:tcPr>
          <w:p w14:paraId="187E3E29">
            <w:pPr>
              <w:spacing w:line="320" w:lineRule="atLeast"/>
              <w:jc w:val="center"/>
              <w:rPr>
                <w:rFonts w:ascii="宋体"/>
                <w:b/>
                <w:szCs w:val="21"/>
                <w:highlight w:val="none"/>
              </w:rPr>
            </w:pPr>
            <w:r>
              <w:rPr>
                <w:rFonts w:hint="eastAsia" w:ascii="宋体" w:hAnsi="宋体"/>
                <w:b/>
                <w:szCs w:val="21"/>
                <w:highlight w:val="none"/>
              </w:rPr>
              <w:t>评分因素</w:t>
            </w:r>
          </w:p>
        </w:tc>
        <w:tc>
          <w:tcPr>
            <w:tcW w:w="1134" w:type="dxa"/>
            <w:noWrap w:val="0"/>
            <w:vAlign w:val="center"/>
          </w:tcPr>
          <w:p w14:paraId="4CDE14C1">
            <w:pPr>
              <w:spacing w:line="320" w:lineRule="atLeast"/>
              <w:ind w:left="-105" w:leftChars="-50" w:right="-105" w:rightChars="-50"/>
              <w:jc w:val="center"/>
              <w:rPr>
                <w:rFonts w:ascii="宋体"/>
                <w:b/>
                <w:szCs w:val="21"/>
                <w:highlight w:val="none"/>
              </w:rPr>
            </w:pPr>
            <w:r>
              <w:rPr>
                <w:rFonts w:hint="eastAsia" w:ascii="宋体" w:hAnsi="宋体"/>
                <w:b/>
                <w:szCs w:val="21"/>
                <w:highlight w:val="none"/>
              </w:rPr>
              <w:t>评分因素权重分值</w:t>
            </w:r>
          </w:p>
        </w:tc>
        <w:tc>
          <w:tcPr>
            <w:tcW w:w="1272" w:type="dxa"/>
            <w:gridSpan w:val="2"/>
            <w:noWrap w:val="0"/>
            <w:vAlign w:val="center"/>
          </w:tcPr>
          <w:p w14:paraId="4BFA31E1">
            <w:pPr>
              <w:spacing w:line="320" w:lineRule="atLeast"/>
              <w:jc w:val="center"/>
              <w:rPr>
                <w:rFonts w:ascii="宋体"/>
                <w:b/>
                <w:szCs w:val="21"/>
                <w:highlight w:val="none"/>
              </w:rPr>
            </w:pPr>
            <w:r>
              <w:rPr>
                <w:rFonts w:hint="eastAsia" w:ascii="宋体" w:hAnsi="宋体"/>
                <w:b/>
                <w:szCs w:val="21"/>
                <w:highlight w:val="none"/>
              </w:rPr>
              <w:t>各评分因素细分项</w:t>
            </w:r>
          </w:p>
        </w:tc>
        <w:tc>
          <w:tcPr>
            <w:tcW w:w="709" w:type="dxa"/>
            <w:noWrap w:val="0"/>
            <w:vAlign w:val="center"/>
          </w:tcPr>
          <w:p w14:paraId="0DFE10EB">
            <w:pPr>
              <w:spacing w:line="380" w:lineRule="atLeast"/>
              <w:jc w:val="right"/>
              <w:rPr>
                <w:rFonts w:ascii="宋体"/>
                <w:b/>
                <w:szCs w:val="21"/>
                <w:highlight w:val="none"/>
              </w:rPr>
            </w:pPr>
            <w:r>
              <w:rPr>
                <w:rFonts w:hint="eastAsia" w:ascii="宋体" w:hAnsi="宋体"/>
                <w:b/>
                <w:szCs w:val="21"/>
                <w:highlight w:val="none"/>
              </w:rPr>
              <w:t>分值</w:t>
            </w:r>
          </w:p>
        </w:tc>
        <w:tc>
          <w:tcPr>
            <w:tcW w:w="4366" w:type="dxa"/>
            <w:gridSpan w:val="2"/>
            <w:vMerge w:val="continue"/>
            <w:noWrap w:val="0"/>
            <w:vAlign w:val="top"/>
          </w:tcPr>
          <w:p w14:paraId="730AF298">
            <w:pPr>
              <w:spacing w:line="380" w:lineRule="atLeast"/>
              <w:jc w:val="center"/>
              <w:rPr>
                <w:rFonts w:ascii="宋体"/>
                <w:b/>
                <w:szCs w:val="21"/>
                <w:highlight w:val="none"/>
              </w:rPr>
            </w:pPr>
          </w:p>
        </w:tc>
      </w:tr>
      <w:tr w14:paraId="34267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2" w:hRule="atLeast"/>
          <w:jc w:val="center"/>
        </w:trPr>
        <w:tc>
          <w:tcPr>
            <w:tcW w:w="959" w:type="dxa"/>
            <w:vMerge w:val="restart"/>
            <w:noWrap w:val="0"/>
            <w:vAlign w:val="center"/>
          </w:tcPr>
          <w:p w14:paraId="4F9D3F12">
            <w:pPr>
              <w:spacing w:line="380" w:lineRule="atLeast"/>
              <w:jc w:val="center"/>
              <w:rPr>
                <w:szCs w:val="21"/>
                <w:highlight w:val="none"/>
              </w:rPr>
            </w:pPr>
            <w:r>
              <w:rPr>
                <w:szCs w:val="21"/>
                <w:highlight w:val="none"/>
              </w:rPr>
              <w:t>2.2.4</w:t>
            </w:r>
            <w:r>
              <w:rPr>
                <w:rFonts w:hint="eastAsia"/>
                <w:szCs w:val="21"/>
                <w:highlight w:val="none"/>
              </w:rPr>
              <w:t>（1）</w:t>
            </w:r>
          </w:p>
        </w:tc>
        <w:tc>
          <w:tcPr>
            <w:tcW w:w="854" w:type="dxa"/>
            <w:vMerge w:val="restart"/>
            <w:noWrap w:val="0"/>
            <w:vAlign w:val="center"/>
          </w:tcPr>
          <w:p w14:paraId="6858F83F">
            <w:pPr>
              <w:spacing w:line="380" w:lineRule="atLeast"/>
              <w:jc w:val="center"/>
              <w:rPr>
                <w:szCs w:val="21"/>
                <w:highlight w:val="none"/>
              </w:rPr>
            </w:pPr>
            <w:r>
              <w:rPr>
                <w:rFonts w:hint="eastAsia"/>
                <w:szCs w:val="21"/>
                <w:highlight w:val="none"/>
              </w:rPr>
              <w:t>技术建议书</w:t>
            </w:r>
          </w:p>
        </w:tc>
        <w:tc>
          <w:tcPr>
            <w:tcW w:w="1134" w:type="dxa"/>
            <w:vMerge w:val="restart"/>
            <w:noWrap w:val="0"/>
            <w:vAlign w:val="center"/>
          </w:tcPr>
          <w:p w14:paraId="6D568A75">
            <w:pPr>
              <w:spacing w:line="380" w:lineRule="atLeast"/>
              <w:jc w:val="center"/>
              <w:rPr>
                <w:szCs w:val="21"/>
                <w:highlight w:val="none"/>
                <w:u w:val="single"/>
              </w:rPr>
            </w:pPr>
            <w:r>
              <w:rPr>
                <w:szCs w:val="21"/>
                <w:highlight w:val="none"/>
                <w:u w:val="single"/>
              </w:rPr>
              <w:t>40</w:t>
            </w:r>
          </w:p>
        </w:tc>
        <w:tc>
          <w:tcPr>
            <w:tcW w:w="1272" w:type="dxa"/>
            <w:gridSpan w:val="2"/>
            <w:noWrap w:val="0"/>
            <w:vAlign w:val="center"/>
          </w:tcPr>
          <w:p w14:paraId="219FBD99">
            <w:pPr>
              <w:jc w:val="center"/>
              <w:rPr>
                <w:rFonts w:ascii="宋体"/>
                <w:szCs w:val="21"/>
                <w:highlight w:val="none"/>
              </w:rPr>
            </w:pPr>
            <w:r>
              <w:rPr>
                <w:rFonts w:hint="eastAsia"/>
                <w:szCs w:val="21"/>
                <w:highlight w:val="none"/>
              </w:rPr>
              <w:t>对项目的理解</w:t>
            </w:r>
          </w:p>
        </w:tc>
        <w:tc>
          <w:tcPr>
            <w:tcW w:w="709" w:type="dxa"/>
            <w:noWrap w:val="0"/>
            <w:vAlign w:val="center"/>
          </w:tcPr>
          <w:p w14:paraId="0B735F43">
            <w:pPr>
              <w:jc w:val="center"/>
              <w:rPr>
                <w:rFonts w:ascii="宋体" w:cs="宋体"/>
                <w:szCs w:val="21"/>
                <w:highlight w:val="none"/>
              </w:rPr>
            </w:pPr>
            <w:r>
              <w:rPr>
                <w:rFonts w:hint="eastAsia" w:ascii="宋体" w:cs="宋体"/>
                <w:szCs w:val="21"/>
                <w:highlight w:val="none"/>
              </w:rPr>
              <w:t>4分</w:t>
            </w:r>
          </w:p>
        </w:tc>
        <w:tc>
          <w:tcPr>
            <w:tcW w:w="4366" w:type="dxa"/>
            <w:gridSpan w:val="2"/>
            <w:noWrap w:val="0"/>
            <w:vAlign w:val="center"/>
          </w:tcPr>
          <w:p w14:paraId="7A1AB3E2">
            <w:pPr>
              <w:rPr>
                <w:szCs w:val="21"/>
                <w:highlight w:val="none"/>
              </w:rPr>
            </w:pPr>
            <w:r>
              <w:rPr>
                <w:rFonts w:hint="eastAsia" w:ascii="宋体" w:hAnsi="宋体"/>
                <w:szCs w:val="21"/>
                <w:highlight w:val="none"/>
              </w:rPr>
              <w:t>①</w:t>
            </w:r>
            <w:r>
              <w:rPr>
                <w:rFonts w:hint="eastAsia"/>
                <w:szCs w:val="21"/>
                <w:highlight w:val="none"/>
              </w:rPr>
              <w:t>项目的检测范围和任务理解基本准确，未考虑持续性发展要求，得2.4分，</w:t>
            </w:r>
          </w:p>
          <w:p w14:paraId="59AFCCFA">
            <w:pPr>
              <w:rPr>
                <w:szCs w:val="21"/>
                <w:highlight w:val="none"/>
              </w:rPr>
            </w:pPr>
            <w:r>
              <w:rPr>
                <w:rFonts w:hint="eastAsia"/>
                <w:szCs w:val="21"/>
                <w:highlight w:val="none"/>
              </w:rPr>
              <w:t>②对项目的检测范围和任务理解基本准确，考虑了持续性发展要求，得2.4</w:t>
            </w:r>
            <w:r>
              <w:rPr>
                <w:szCs w:val="21"/>
                <w:highlight w:val="none"/>
              </w:rPr>
              <w:t>-</w:t>
            </w:r>
            <w:r>
              <w:rPr>
                <w:rFonts w:hint="eastAsia"/>
                <w:szCs w:val="21"/>
                <w:highlight w:val="none"/>
              </w:rPr>
              <w:t>3.2分；</w:t>
            </w:r>
          </w:p>
          <w:p w14:paraId="53C2C434">
            <w:pPr>
              <w:rPr>
                <w:rFonts w:ascii="宋体"/>
                <w:szCs w:val="21"/>
                <w:highlight w:val="none"/>
              </w:rPr>
            </w:pPr>
            <w:r>
              <w:rPr>
                <w:rFonts w:hint="eastAsia"/>
                <w:szCs w:val="21"/>
                <w:highlight w:val="none"/>
              </w:rPr>
              <w:t>③对项目的检测范围和任务理解准确，充分考虑了持续性发展要求，3.2</w:t>
            </w:r>
            <w:r>
              <w:rPr>
                <w:szCs w:val="21"/>
                <w:highlight w:val="none"/>
              </w:rPr>
              <w:t>-</w:t>
            </w:r>
            <w:r>
              <w:rPr>
                <w:rFonts w:hint="eastAsia"/>
                <w:szCs w:val="21"/>
                <w:highlight w:val="none"/>
              </w:rPr>
              <w:t>4分。</w:t>
            </w:r>
          </w:p>
        </w:tc>
      </w:tr>
      <w:tr w14:paraId="6FC4F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6" w:hRule="atLeast"/>
          <w:jc w:val="center"/>
        </w:trPr>
        <w:tc>
          <w:tcPr>
            <w:tcW w:w="959" w:type="dxa"/>
            <w:vMerge w:val="continue"/>
            <w:noWrap w:val="0"/>
            <w:vAlign w:val="center"/>
          </w:tcPr>
          <w:p w14:paraId="1D463E7E">
            <w:pPr>
              <w:spacing w:line="380" w:lineRule="atLeast"/>
              <w:jc w:val="center"/>
              <w:rPr>
                <w:szCs w:val="21"/>
                <w:highlight w:val="none"/>
              </w:rPr>
            </w:pPr>
          </w:p>
        </w:tc>
        <w:tc>
          <w:tcPr>
            <w:tcW w:w="854" w:type="dxa"/>
            <w:vMerge w:val="continue"/>
            <w:noWrap w:val="0"/>
            <w:vAlign w:val="center"/>
          </w:tcPr>
          <w:p w14:paraId="36F5F24F">
            <w:pPr>
              <w:spacing w:line="380" w:lineRule="atLeast"/>
              <w:jc w:val="center"/>
              <w:rPr>
                <w:szCs w:val="21"/>
                <w:highlight w:val="none"/>
              </w:rPr>
            </w:pPr>
          </w:p>
        </w:tc>
        <w:tc>
          <w:tcPr>
            <w:tcW w:w="1134" w:type="dxa"/>
            <w:vMerge w:val="continue"/>
            <w:noWrap w:val="0"/>
            <w:vAlign w:val="center"/>
          </w:tcPr>
          <w:p w14:paraId="7D62BFAA">
            <w:pPr>
              <w:spacing w:line="380" w:lineRule="atLeast"/>
              <w:jc w:val="right"/>
              <w:rPr>
                <w:szCs w:val="21"/>
                <w:highlight w:val="none"/>
                <w:u w:val="single"/>
              </w:rPr>
            </w:pPr>
          </w:p>
        </w:tc>
        <w:tc>
          <w:tcPr>
            <w:tcW w:w="1272" w:type="dxa"/>
            <w:gridSpan w:val="2"/>
            <w:noWrap w:val="0"/>
            <w:vAlign w:val="center"/>
          </w:tcPr>
          <w:p w14:paraId="267C9C2A">
            <w:pPr>
              <w:jc w:val="center"/>
              <w:rPr>
                <w:szCs w:val="21"/>
                <w:highlight w:val="none"/>
              </w:rPr>
            </w:pPr>
            <w:r>
              <w:rPr>
                <w:rFonts w:hint="eastAsia"/>
                <w:szCs w:val="21"/>
                <w:highlight w:val="none"/>
              </w:rPr>
              <w:t>对项目的特点及关键问题的对策措施</w:t>
            </w:r>
          </w:p>
        </w:tc>
        <w:tc>
          <w:tcPr>
            <w:tcW w:w="709" w:type="dxa"/>
            <w:noWrap w:val="0"/>
            <w:vAlign w:val="center"/>
          </w:tcPr>
          <w:p w14:paraId="33FA1674">
            <w:pPr>
              <w:jc w:val="center"/>
              <w:rPr>
                <w:szCs w:val="21"/>
                <w:highlight w:val="none"/>
              </w:rPr>
            </w:pPr>
            <w:r>
              <w:rPr>
                <w:rFonts w:hint="eastAsia"/>
                <w:szCs w:val="21"/>
                <w:highlight w:val="none"/>
              </w:rPr>
              <w:t>6分</w:t>
            </w:r>
          </w:p>
        </w:tc>
        <w:tc>
          <w:tcPr>
            <w:tcW w:w="4366" w:type="dxa"/>
            <w:gridSpan w:val="2"/>
            <w:noWrap w:val="0"/>
            <w:vAlign w:val="center"/>
          </w:tcPr>
          <w:p w14:paraId="34EF34C2">
            <w:pPr>
              <w:rPr>
                <w:szCs w:val="21"/>
                <w:highlight w:val="none"/>
              </w:rPr>
            </w:pPr>
            <w:r>
              <w:rPr>
                <w:rFonts w:hint="eastAsia"/>
                <w:szCs w:val="21"/>
                <w:highlight w:val="none"/>
              </w:rPr>
              <w:t>①项目的关键性问题分析一般，对策可行性差，得3.6分；</w:t>
            </w:r>
          </w:p>
          <w:p w14:paraId="2B13923D">
            <w:pPr>
              <w:rPr>
                <w:szCs w:val="21"/>
                <w:highlight w:val="none"/>
              </w:rPr>
            </w:pPr>
            <w:r>
              <w:rPr>
                <w:rFonts w:hint="eastAsia"/>
                <w:szCs w:val="21"/>
                <w:highlight w:val="none"/>
              </w:rPr>
              <w:t>②项目的关键性问题分析较好，对策基本可行，得3.6-4.8分；</w:t>
            </w:r>
          </w:p>
          <w:p w14:paraId="1F25E82A">
            <w:pPr>
              <w:rPr>
                <w:rFonts w:ascii="宋体"/>
                <w:szCs w:val="21"/>
                <w:highlight w:val="none"/>
              </w:rPr>
            </w:pPr>
            <w:r>
              <w:rPr>
                <w:rFonts w:hint="eastAsia" w:ascii="宋体" w:hAnsi="宋体"/>
                <w:szCs w:val="21"/>
                <w:highlight w:val="none"/>
              </w:rPr>
              <w:t>③</w:t>
            </w:r>
            <w:r>
              <w:rPr>
                <w:rFonts w:hint="eastAsia"/>
                <w:szCs w:val="21"/>
                <w:highlight w:val="none"/>
              </w:rPr>
              <w:t>目的关键性问题分析好，对策有效可行，得4.8</w:t>
            </w:r>
            <w:r>
              <w:rPr>
                <w:szCs w:val="21"/>
                <w:highlight w:val="none"/>
              </w:rPr>
              <w:t>-</w:t>
            </w:r>
            <w:r>
              <w:rPr>
                <w:rFonts w:hint="eastAsia"/>
                <w:szCs w:val="21"/>
                <w:highlight w:val="none"/>
              </w:rPr>
              <w:t>6分。</w:t>
            </w:r>
          </w:p>
        </w:tc>
      </w:tr>
      <w:tr w14:paraId="3A3D2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959" w:type="dxa"/>
            <w:vMerge w:val="continue"/>
            <w:noWrap w:val="0"/>
            <w:vAlign w:val="center"/>
          </w:tcPr>
          <w:p w14:paraId="0E3AF33B">
            <w:pPr>
              <w:spacing w:line="380" w:lineRule="atLeast"/>
              <w:jc w:val="center"/>
              <w:rPr>
                <w:szCs w:val="21"/>
                <w:highlight w:val="none"/>
              </w:rPr>
            </w:pPr>
          </w:p>
        </w:tc>
        <w:tc>
          <w:tcPr>
            <w:tcW w:w="854" w:type="dxa"/>
            <w:vMerge w:val="continue"/>
            <w:noWrap w:val="0"/>
            <w:vAlign w:val="center"/>
          </w:tcPr>
          <w:p w14:paraId="17A28061">
            <w:pPr>
              <w:spacing w:line="380" w:lineRule="atLeast"/>
              <w:jc w:val="center"/>
              <w:rPr>
                <w:szCs w:val="21"/>
                <w:highlight w:val="none"/>
              </w:rPr>
            </w:pPr>
          </w:p>
        </w:tc>
        <w:tc>
          <w:tcPr>
            <w:tcW w:w="1134" w:type="dxa"/>
            <w:vMerge w:val="continue"/>
            <w:noWrap w:val="0"/>
            <w:vAlign w:val="center"/>
          </w:tcPr>
          <w:p w14:paraId="3918786D">
            <w:pPr>
              <w:spacing w:line="380" w:lineRule="atLeast"/>
              <w:jc w:val="right"/>
              <w:rPr>
                <w:szCs w:val="21"/>
                <w:highlight w:val="none"/>
                <w:u w:val="single"/>
              </w:rPr>
            </w:pPr>
          </w:p>
        </w:tc>
        <w:tc>
          <w:tcPr>
            <w:tcW w:w="1272" w:type="dxa"/>
            <w:gridSpan w:val="2"/>
            <w:noWrap w:val="0"/>
            <w:vAlign w:val="center"/>
          </w:tcPr>
          <w:p w14:paraId="4AD26281">
            <w:pPr>
              <w:jc w:val="center"/>
              <w:rPr>
                <w:szCs w:val="21"/>
                <w:highlight w:val="none"/>
              </w:rPr>
            </w:pPr>
            <w:r>
              <w:rPr>
                <w:rFonts w:hint="eastAsia"/>
                <w:szCs w:val="21"/>
                <w:highlight w:val="none"/>
              </w:rPr>
              <w:t>服务方法和评价方法</w:t>
            </w:r>
          </w:p>
        </w:tc>
        <w:tc>
          <w:tcPr>
            <w:tcW w:w="709" w:type="dxa"/>
            <w:noWrap w:val="0"/>
            <w:vAlign w:val="center"/>
          </w:tcPr>
          <w:p w14:paraId="66745697">
            <w:pPr>
              <w:jc w:val="center"/>
              <w:rPr>
                <w:szCs w:val="21"/>
                <w:highlight w:val="none"/>
              </w:rPr>
            </w:pPr>
            <w:r>
              <w:rPr>
                <w:rFonts w:hint="eastAsia"/>
                <w:szCs w:val="21"/>
                <w:highlight w:val="none"/>
              </w:rPr>
              <w:t>5分</w:t>
            </w:r>
          </w:p>
        </w:tc>
        <w:tc>
          <w:tcPr>
            <w:tcW w:w="4366" w:type="dxa"/>
            <w:gridSpan w:val="2"/>
            <w:noWrap w:val="0"/>
            <w:vAlign w:val="center"/>
          </w:tcPr>
          <w:p w14:paraId="0114CB93">
            <w:pPr>
              <w:rPr>
                <w:szCs w:val="21"/>
                <w:highlight w:val="none"/>
              </w:rPr>
            </w:pPr>
            <w:r>
              <w:rPr>
                <w:rFonts w:hint="eastAsia"/>
                <w:szCs w:val="21"/>
                <w:highlight w:val="none"/>
              </w:rPr>
              <w:t>①检测方法和评价方法不太适合本项目，得3.0分；</w:t>
            </w:r>
          </w:p>
          <w:p w14:paraId="07F3D076">
            <w:pPr>
              <w:rPr>
                <w:szCs w:val="21"/>
                <w:highlight w:val="none"/>
              </w:rPr>
            </w:pPr>
            <w:r>
              <w:rPr>
                <w:rFonts w:hint="eastAsia"/>
                <w:szCs w:val="21"/>
                <w:highlight w:val="none"/>
              </w:rPr>
              <w:t>②检测方法和评价方法基本适合本项目，得3.0</w:t>
            </w:r>
            <w:r>
              <w:rPr>
                <w:szCs w:val="21"/>
                <w:highlight w:val="none"/>
              </w:rPr>
              <w:t>-</w:t>
            </w:r>
            <w:r>
              <w:rPr>
                <w:rFonts w:hint="eastAsia"/>
                <w:szCs w:val="21"/>
                <w:highlight w:val="none"/>
              </w:rPr>
              <w:t>4.0分；</w:t>
            </w:r>
          </w:p>
          <w:p w14:paraId="2F8F167F">
            <w:pPr>
              <w:rPr>
                <w:szCs w:val="21"/>
                <w:highlight w:val="none"/>
              </w:rPr>
            </w:pPr>
            <w:r>
              <w:rPr>
                <w:rFonts w:hint="eastAsia"/>
                <w:szCs w:val="21"/>
                <w:highlight w:val="none"/>
              </w:rPr>
              <w:t>③检测方法和评价方法充分适合本项目，得4.0</w:t>
            </w:r>
            <w:r>
              <w:rPr>
                <w:szCs w:val="21"/>
                <w:highlight w:val="none"/>
              </w:rPr>
              <w:t>-</w:t>
            </w:r>
            <w:r>
              <w:rPr>
                <w:rFonts w:hint="eastAsia"/>
                <w:szCs w:val="21"/>
                <w:highlight w:val="none"/>
              </w:rPr>
              <w:t>5分。</w:t>
            </w:r>
          </w:p>
        </w:tc>
      </w:tr>
      <w:tr w14:paraId="41FE4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959" w:type="dxa"/>
            <w:vMerge w:val="continue"/>
            <w:noWrap w:val="0"/>
            <w:vAlign w:val="center"/>
          </w:tcPr>
          <w:p w14:paraId="1D77B8C6">
            <w:pPr>
              <w:spacing w:line="380" w:lineRule="atLeast"/>
              <w:jc w:val="center"/>
              <w:rPr>
                <w:szCs w:val="21"/>
                <w:highlight w:val="none"/>
              </w:rPr>
            </w:pPr>
          </w:p>
        </w:tc>
        <w:tc>
          <w:tcPr>
            <w:tcW w:w="854" w:type="dxa"/>
            <w:vMerge w:val="continue"/>
            <w:noWrap w:val="0"/>
            <w:vAlign w:val="center"/>
          </w:tcPr>
          <w:p w14:paraId="2E21908C">
            <w:pPr>
              <w:spacing w:line="380" w:lineRule="atLeast"/>
              <w:jc w:val="center"/>
              <w:rPr>
                <w:szCs w:val="21"/>
                <w:highlight w:val="none"/>
              </w:rPr>
            </w:pPr>
          </w:p>
        </w:tc>
        <w:tc>
          <w:tcPr>
            <w:tcW w:w="1134" w:type="dxa"/>
            <w:vMerge w:val="continue"/>
            <w:noWrap w:val="0"/>
            <w:vAlign w:val="center"/>
          </w:tcPr>
          <w:p w14:paraId="3FD1E08F">
            <w:pPr>
              <w:spacing w:line="380" w:lineRule="atLeast"/>
              <w:jc w:val="right"/>
              <w:rPr>
                <w:szCs w:val="21"/>
                <w:highlight w:val="none"/>
                <w:u w:val="single"/>
              </w:rPr>
            </w:pPr>
          </w:p>
        </w:tc>
        <w:tc>
          <w:tcPr>
            <w:tcW w:w="1272" w:type="dxa"/>
            <w:gridSpan w:val="2"/>
            <w:noWrap w:val="0"/>
            <w:vAlign w:val="center"/>
          </w:tcPr>
          <w:p w14:paraId="2FC1A35F">
            <w:pPr>
              <w:jc w:val="center"/>
              <w:rPr>
                <w:szCs w:val="21"/>
                <w:highlight w:val="none"/>
              </w:rPr>
            </w:pPr>
            <w:r>
              <w:rPr>
                <w:rFonts w:hint="eastAsia"/>
                <w:szCs w:val="21"/>
                <w:highlight w:val="none"/>
              </w:rPr>
              <w:t>项目组织机构及人员安排</w:t>
            </w:r>
          </w:p>
        </w:tc>
        <w:tc>
          <w:tcPr>
            <w:tcW w:w="709" w:type="dxa"/>
            <w:noWrap w:val="0"/>
            <w:vAlign w:val="center"/>
          </w:tcPr>
          <w:p w14:paraId="177AE537">
            <w:pPr>
              <w:jc w:val="center"/>
              <w:rPr>
                <w:szCs w:val="21"/>
                <w:highlight w:val="none"/>
              </w:rPr>
            </w:pPr>
            <w:r>
              <w:rPr>
                <w:rFonts w:hint="eastAsia"/>
                <w:szCs w:val="21"/>
                <w:highlight w:val="none"/>
              </w:rPr>
              <w:t>5分</w:t>
            </w:r>
          </w:p>
        </w:tc>
        <w:tc>
          <w:tcPr>
            <w:tcW w:w="4366" w:type="dxa"/>
            <w:gridSpan w:val="2"/>
            <w:noWrap w:val="0"/>
            <w:vAlign w:val="center"/>
          </w:tcPr>
          <w:p w14:paraId="3DCAB2C9">
            <w:pPr>
              <w:rPr>
                <w:szCs w:val="21"/>
                <w:highlight w:val="none"/>
              </w:rPr>
            </w:pPr>
            <w:r>
              <w:rPr>
                <w:rFonts w:hint="eastAsia"/>
                <w:szCs w:val="21"/>
                <w:highlight w:val="none"/>
              </w:rPr>
              <w:t>①项目组织机构及主要人员安排基本明确、不太合理，得3.0分；</w:t>
            </w:r>
          </w:p>
          <w:p w14:paraId="6CE59164">
            <w:pPr>
              <w:rPr>
                <w:szCs w:val="21"/>
                <w:highlight w:val="none"/>
              </w:rPr>
            </w:pPr>
            <w:r>
              <w:rPr>
                <w:rFonts w:hint="eastAsia"/>
                <w:szCs w:val="21"/>
                <w:highlight w:val="none"/>
              </w:rPr>
              <w:t>②项目组织机构及主要人员安排基本明确、合理，得3.0</w:t>
            </w:r>
            <w:r>
              <w:rPr>
                <w:szCs w:val="21"/>
                <w:highlight w:val="none"/>
              </w:rPr>
              <w:t>-</w:t>
            </w:r>
            <w:r>
              <w:rPr>
                <w:rFonts w:hint="eastAsia"/>
                <w:szCs w:val="21"/>
                <w:highlight w:val="none"/>
              </w:rPr>
              <w:t>4.0分；</w:t>
            </w:r>
          </w:p>
          <w:p w14:paraId="1E18BA7F">
            <w:pPr>
              <w:rPr>
                <w:szCs w:val="21"/>
                <w:highlight w:val="none"/>
              </w:rPr>
            </w:pPr>
            <w:r>
              <w:rPr>
                <w:rFonts w:hint="eastAsia"/>
                <w:szCs w:val="21"/>
                <w:highlight w:val="none"/>
              </w:rPr>
              <w:t>③项目组织机构及主要人员安排明确、完善、合理，得4.0</w:t>
            </w:r>
            <w:r>
              <w:rPr>
                <w:szCs w:val="21"/>
                <w:highlight w:val="none"/>
              </w:rPr>
              <w:t>-</w:t>
            </w:r>
            <w:r>
              <w:rPr>
                <w:rFonts w:hint="eastAsia"/>
                <w:szCs w:val="21"/>
                <w:highlight w:val="none"/>
              </w:rPr>
              <w:t>5分。</w:t>
            </w:r>
          </w:p>
        </w:tc>
      </w:tr>
      <w:tr w14:paraId="562C2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959" w:type="dxa"/>
            <w:vMerge w:val="continue"/>
            <w:noWrap w:val="0"/>
            <w:vAlign w:val="center"/>
          </w:tcPr>
          <w:p w14:paraId="20CF32B0">
            <w:pPr>
              <w:spacing w:line="380" w:lineRule="atLeast"/>
              <w:jc w:val="center"/>
              <w:rPr>
                <w:szCs w:val="21"/>
                <w:highlight w:val="none"/>
              </w:rPr>
            </w:pPr>
          </w:p>
        </w:tc>
        <w:tc>
          <w:tcPr>
            <w:tcW w:w="854" w:type="dxa"/>
            <w:vMerge w:val="continue"/>
            <w:noWrap w:val="0"/>
            <w:vAlign w:val="center"/>
          </w:tcPr>
          <w:p w14:paraId="78DC66BE">
            <w:pPr>
              <w:spacing w:line="380" w:lineRule="atLeast"/>
              <w:jc w:val="center"/>
              <w:rPr>
                <w:szCs w:val="21"/>
                <w:highlight w:val="none"/>
              </w:rPr>
            </w:pPr>
          </w:p>
        </w:tc>
        <w:tc>
          <w:tcPr>
            <w:tcW w:w="1134" w:type="dxa"/>
            <w:vMerge w:val="continue"/>
            <w:noWrap w:val="0"/>
            <w:vAlign w:val="center"/>
          </w:tcPr>
          <w:p w14:paraId="70CABC27">
            <w:pPr>
              <w:spacing w:line="380" w:lineRule="atLeast"/>
              <w:jc w:val="right"/>
              <w:rPr>
                <w:szCs w:val="21"/>
                <w:highlight w:val="none"/>
                <w:u w:val="single"/>
              </w:rPr>
            </w:pPr>
          </w:p>
        </w:tc>
        <w:tc>
          <w:tcPr>
            <w:tcW w:w="1272" w:type="dxa"/>
            <w:gridSpan w:val="2"/>
            <w:noWrap w:val="0"/>
            <w:vAlign w:val="center"/>
          </w:tcPr>
          <w:p w14:paraId="06E7175E">
            <w:pPr>
              <w:jc w:val="center"/>
              <w:rPr>
                <w:szCs w:val="21"/>
                <w:highlight w:val="none"/>
              </w:rPr>
            </w:pPr>
            <w:r>
              <w:rPr>
                <w:rFonts w:hint="eastAsia"/>
                <w:szCs w:val="21"/>
                <w:highlight w:val="none"/>
              </w:rPr>
              <w:t>工作进度计划</w:t>
            </w:r>
          </w:p>
        </w:tc>
        <w:tc>
          <w:tcPr>
            <w:tcW w:w="709" w:type="dxa"/>
            <w:noWrap w:val="0"/>
            <w:vAlign w:val="center"/>
          </w:tcPr>
          <w:p w14:paraId="378AA085">
            <w:pPr>
              <w:jc w:val="center"/>
              <w:rPr>
                <w:szCs w:val="21"/>
                <w:highlight w:val="none"/>
              </w:rPr>
            </w:pPr>
            <w:r>
              <w:rPr>
                <w:rFonts w:hint="eastAsia"/>
                <w:szCs w:val="21"/>
                <w:highlight w:val="none"/>
              </w:rPr>
              <w:t>5分</w:t>
            </w:r>
          </w:p>
        </w:tc>
        <w:tc>
          <w:tcPr>
            <w:tcW w:w="4366" w:type="dxa"/>
            <w:gridSpan w:val="2"/>
            <w:noWrap w:val="0"/>
            <w:vAlign w:val="center"/>
          </w:tcPr>
          <w:p w14:paraId="39E8F77A">
            <w:pPr>
              <w:rPr>
                <w:szCs w:val="21"/>
                <w:highlight w:val="none"/>
              </w:rPr>
            </w:pPr>
            <w:r>
              <w:rPr>
                <w:rFonts w:hint="eastAsia"/>
                <w:szCs w:val="21"/>
                <w:highlight w:val="none"/>
              </w:rPr>
              <w:t>①工作内容、方案及进度计划基本明确、但不太合理，得3.0分；</w:t>
            </w:r>
          </w:p>
          <w:p w14:paraId="61F0B725">
            <w:pPr>
              <w:rPr>
                <w:szCs w:val="21"/>
                <w:highlight w:val="none"/>
              </w:rPr>
            </w:pPr>
            <w:r>
              <w:rPr>
                <w:rFonts w:hint="eastAsia"/>
                <w:szCs w:val="21"/>
                <w:highlight w:val="none"/>
              </w:rPr>
              <w:t>②工作内容、方案及进度计划基本明确、合理，得3.0</w:t>
            </w:r>
            <w:r>
              <w:rPr>
                <w:szCs w:val="21"/>
                <w:highlight w:val="none"/>
              </w:rPr>
              <w:t>-</w:t>
            </w:r>
            <w:r>
              <w:rPr>
                <w:rFonts w:hint="eastAsia"/>
                <w:szCs w:val="21"/>
                <w:highlight w:val="none"/>
              </w:rPr>
              <w:t>4.0分；</w:t>
            </w:r>
          </w:p>
          <w:p w14:paraId="04A0EC07">
            <w:pPr>
              <w:rPr>
                <w:szCs w:val="21"/>
                <w:highlight w:val="none"/>
              </w:rPr>
            </w:pPr>
            <w:r>
              <w:rPr>
                <w:rFonts w:hint="eastAsia"/>
                <w:szCs w:val="21"/>
                <w:highlight w:val="none"/>
              </w:rPr>
              <w:t>③工作内容、方案及进度计划明确、完善、合理，得4.0</w:t>
            </w:r>
            <w:r>
              <w:rPr>
                <w:szCs w:val="21"/>
                <w:highlight w:val="none"/>
              </w:rPr>
              <w:t>-</w:t>
            </w:r>
            <w:r>
              <w:rPr>
                <w:rFonts w:hint="eastAsia"/>
                <w:szCs w:val="21"/>
                <w:highlight w:val="none"/>
              </w:rPr>
              <w:t>5分。</w:t>
            </w:r>
          </w:p>
        </w:tc>
      </w:tr>
      <w:tr w14:paraId="29C42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959" w:type="dxa"/>
            <w:vMerge w:val="continue"/>
            <w:noWrap w:val="0"/>
            <w:vAlign w:val="center"/>
          </w:tcPr>
          <w:p w14:paraId="7C63A5C5">
            <w:pPr>
              <w:spacing w:line="380" w:lineRule="atLeast"/>
              <w:jc w:val="center"/>
              <w:rPr>
                <w:szCs w:val="21"/>
                <w:highlight w:val="none"/>
              </w:rPr>
            </w:pPr>
          </w:p>
        </w:tc>
        <w:tc>
          <w:tcPr>
            <w:tcW w:w="854" w:type="dxa"/>
            <w:vMerge w:val="continue"/>
            <w:noWrap w:val="0"/>
            <w:vAlign w:val="center"/>
          </w:tcPr>
          <w:p w14:paraId="512D2E88">
            <w:pPr>
              <w:spacing w:line="380" w:lineRule="atLeast"/>
              <w:jc w:val="center"/>
              <w:rPr>
                <w:szCs w:val="21"/>
                <w:highlight w:val="none"/>
              </w:rPr>
            </w:pPr>
          </w:p>
        </w:tc>
        <w:tc>
          <w:tcPr>
            <w:tcW w:w="1134" w:type="dxa"/>
            <w:vMerge w:val="continue"/>
            <w:noWrap w:val="0"/>
            <w:vAlign w:val="center"/>
          </w:tcPr>
          <w:p w14:paraId="104BC17A">
            <w:pPr>
              <w:spacing w:line="380" w:lineRule="atLeast"/>
              <w:jc w:val="right"/>
              <w:rPr>
                <w:szCs w:val="21"/>
                <w:highlight w:val="none"/>
                <w:u w:val="single"/>
              </w:rPr>
            </w:pPr>
          </w:p>
        </w:tc>
        <w:tc>
          <w:tcPr>
            <w:tcW w:w="1272" w:type="dxa"/>
            <w:gridSpan w:val="2"/>
            <w:noWrap w:val="0"/>
            <w:vAlign w:val="center"/>
          </w:tcPr>
          <w:p w14:paraId="22C8CEED">
            <w:pPr>
              <w:jc w:val="center"/>
              <w:rPr>
                <w:szCs w:val="21"/>
                <w:highlight w:val="none"/>
              </w:rPr>
            </w:pPr>
            <w:r>
              <w:rPr>
                <w:rFonts w:hint="eastAsia"/>
                <w:szCs w:val="21"/>
                <w:highlight w:val="none"/>
              </w:rPr>
              <w:t>现场服务计划</w:t>
            </w:r>
          </w:p>
        </w:tc>
        <w:tc>
          <w:tcPr>
            <w:tcW w:w="709" w:type="dxa"/>
            <w:noWrap w:val="0"/>
            <w:vAlign w:val="center"/>
          </w:tcPr>
          <w:p w14:paraId="35F89F8D">
            <w:pPr>
              <w:jc w:val="center"/>
              <w:rPr>
                <w:szCs w:val="21"/>
                <w:highlight w:val="none"/>
              </w:rPr>
            </w:pPr>
            <w:r>
              <w:rPr>
                <w:rFonts w:hint="eastAsia"/>
                <w:szCs w:val="21"/>
                <w:highlight w:val="none"/>
              </w:rPr>
              <w:t>5分</w:t>
            </w:r>
          </w:p>
        </w:tc>
        <w:tc>
          <w:tcPr>
            <w:tcW w:w="4366" w:type="dxa"/>
            <w:gridSpan w:val="2"/>
            <w:noWrap w:val="0"/>
            <w:vAlign w:val="center"/>
          </w:tcPr>
          <w:p w14:paraId="6C3BC9CD">
            <w:pPr>
              <w:rPr>
                <w:szCs w:val="21"/>
                <w:highlight w:val="none"/>
              </w:rPr>
            </w:pPr>
            <w:r>
              <w:rPr>
                <w:rFonts w:hint="eastAsia"/>
                <w:szCs w:val="21"/>
                <w:highlight w:val="none"/>
              </w:rPr>
              <w:t>①现场服务人员、设备、安排配置不合理，得3分；</w:t>
            </w:r>
          </w:p>
          <w:p w14:paraId="3F4764A2">
            <w:pPr>
              <w:rPr>
                <w:szCs w:val="21"/>
                <w:highlight w:val="none"/>
              </w:rPr>
            </w:pPr>
            <w:r>
              <w:rPr>
                <w:rFonts w:hint="eastAsia"/>
                <w:szCs w:val="21"/>
                <w:highlight w:val="none"/>
              </w:rPr>
              <w:t>②现场服务人员、设备、安排配置基本合理，得3</w:t>
            </w:r>
            <w:r>
              <w:rPr>
                <w:szCs w:val="21"/>
                <w:highlight w:val="none"/>
              </w:rPr>
              <w:t>-</w:t>
            </w:r>
            <w:r>
              <w:rPr>
                <w:rFonts w:hint="eastAsia"/>
                <w:szCs w:val="21"/>
                <w:highlight w:val="none"/>
              </w:rPr>
              <w:t>4分；</w:t>
            </w:r>
          </w:p>
          <w:p w14:paraId="5A436301">
            <w:pPr>
              <w:rPr>
                <w:szCs w:val="21"/>
                <w:highlight w:val="none"/>
              </w:rPr>
            </w:pPr>
            <w:r>
              <w:rPr>
                <w:rFonts w:hint="eastAsia"/>
                <w:szCs w:val="21"/>
                <w:highlight w:val="none"/>
              </w:rPr>
              <w:t>③现场服务人员、设备、安排配置周全、合理，得4</w:t>
            </w:r>
            <w:r>
              <w:rPr>
                <w:szCs w:val="21"/>
                <w:highlight w:val="none"/>
              </w:rPr>
              <w:t>-</w:t>
            </w:r>
            <w:r>
              <w:rPr>
                <w:rFonts w:hint="eastAsia"/>
                <w:szCs w:val="21"/>
                <w:highlight w:val="none"/>
              </w:rPr>
              <w:t>5分。</w:t>
            </w:r>
          </w:p>
        </w:tc>
      </w:tr>
      <w:tr w14:paraId="6AEB7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959" w:type="dxa"/>
            <w:vMerge w:val="continue"/>
            <w:noWrap w:val="0"/>
            <w:vAlign w:val="center"/>
          </w:tcPr>
          <w:p w14:paraId="05A0A4DC">
            <w:pPr>
              <w:spacing w:line="380" w:lineRule="atLeast"/>
              <w:jc w:val="center"/>
              <w:rPr>
                <w:szCs w:val="21"/>
                <w:highlight w:val="none"/>
              </w:rPr>
            </w:pPr>
          </w:p>
        </w:tc>
        <w:tc>
          <w:tcPr>
            <w:tcW w:w="854" w:type="dxa"/>
            <w:vMerge w:val="continue"/>
            <w:noWrap w:val="0"/>
            <w:vAlign w:val="center"/>
          </w:tcPr>
          <w:p w14:paraId="2C1E99FF">
            <w:pPr>
              <w:spacing w:line="380" w:lineRule="atLeast"/>
              <w:jc w:val="center"/>
              <w:rPr>
                <w:szCs w:val="21"/>
                <w:highlight w:val="none"/>
              </w:rPr>
            </w:pPr>
          </w:p>
        </w:tc>
        <w:tc>
          <w:tcPr>
            <w:tcW w:w="1134" w:type="dxa"/>
            <w:vMerge w:val="continue"/>
            <w:noWrap w:val="0"/>
            <w:vAlign w:val="center"/>
          </w:tcPr>
          <w:p w14:paraId="7CC0F3E9">
            <w:pPr>
              <w:spacing w:line="380" w:lineRule="atLeast"/>
              <w:jc w:val="right"/>
              <w:rPr>
                <w:szCs w:val="21"/>
                <w:highlight w:val="none"/>
                <w:u w:val="single"/>
              </w:rPr>
            </w:pPr>
          </w:p>
        </w:tc>
        <w:tc>
          <w:tcPr>
            <w:tcW w:w="1272" w:type="dxa"/>
            <w:gridSpan w:val="2"/>
            <w:noWrap w:val="0"/>
            <w:vAlign w:val="center"/>
          </w:tcPr>
          <w:p w14:paraId="2CAF01EC">
            <w:pPr>
              <w:jc w:val="center"/>
              <w:rPr>
                <w:szCs w:val="21"/>
                <w:highlight w:val="none"/>
              </w:rPr>
            </w:pPr>
            <w:r>
              <w:rPr>
                <w:szCs w:val="21"/>
                <w:highlight w:val="none"/>
              </w:rPr>
              <w:t>数据的把控、分析和展示</w:t>
            </w:r>
          </w:p>
        </w:tc>
        <w:tc>
          <w:tcPr>
            <w:tcW w:w="709" w:type="dxa"/>
            <w:noWrap w:val="0"/>
            <w:vAlign w:val="center"/>
          </w:tcPr>
          <w:p w14:paraId="782CD0B8">
            <w:pPr>
              <w:jc w:val="center"/>
              <w:rPr>
                <w:szCs w:val="21"/>
                <w:highlight w:val="none"/>
              </w:rPr>
            </w:pPr>
            <w:r>
              <w:rPr>
                <w:rFonts w:hint="eastAsia"/>
                <w:szCs w:val="21"/>
                <w:highlight w:val="none"/>
              </w:rPr>
              <w:t>6分</w:t>
            </w:r>
          </w:p>
        </w:tc>
        <w:tc>
          <w:tcPr>
            <w:tcW w:w="4366" w:type="dxa"/>
            <w:gridSpan w:val="2"/>
            <w:noWrap w:val="0"/>
            <w:vAlign w:val="center"/>
          </w:tcPr>
          <w:p w14:paraId="7106C596">
            <w:pPr>
              <w:rPr>
                <w:szCs w:val="21"/>
                <w:highlight w:val="none"/>
              </w:rPr>
            </w:pPr>
            <w:r>
              <w:rPr>
                <w:rFonts w:hint="eastAsia"/>
                <w:szCs w:val="21"/>
                <w:highlight w:val="none"/>
              </w:rPr>
              <w:t>①对项目拟采集的数据准确性、有效性和合理性把控优秀，数据分析到位，可充分利用信息化手段进行综合性展示，得4.8-6分；</w:t>
            </w:r>
          </w:p>
          <w:p w14:paraId="34C9DA4A">
            <w:pPr>
              <w:rPr>
                <w:szCs w:val="21"/>
                <w:highlight w:val="none"/>
              </w:rPr>
            </w:pPr>
            <w:r>
              <w:rPr>
                <w:rFonts w:hint="eastAsia"/>
                <w:szCs w:val="21"/>
                <w:highlight w:val="none"/>
              </w:rPr>
              <w:t>②对项目拟采集的数据准确性、有效性和合理性把控良好，数据分析基本到位，利用了信息化手段进行综合性展示，得3.6-4.8分；</w:t>
            </w:r>
            <w:r>
              <w:rPr>
                <w:szCs w:val="21"/>
                <w:highlight w:val="none"/>
              </w:rPr>
              <w:t xml:space="preserve"> </w:t>
            </w:r>
          </w:p>
          <w:p w14:paraId="65CA4DA8">
            <w:pPr>
              <w:rPr>
                <w:szCs w:val="21"/>
                <w:highlight w:val="none"/>
              </w:rPr>
            </w:pPr>
            <w:r>
              <w:rPr>
                <w:rFonts w:hint="eastAsia"/>
                <w:szCs w:val="21"/>
                <w:highlight w:val="none"/>
              </w:rPr>
              <w:t>③对项目拟采集的数据准确性、有效性和合理性把控一般，数据分析不太到位，未利用信息化手段进行综合性展示，得3.6分</w:t>
            </w:r>
          </w:p>
        </w:tc>
      </w:tr>
      <w:tr w14:paraId="743A7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959" w:type="dxa"/>
            <w:vMerge w:val="continue"/>
            <w:noWrap w:val="0"/>
            <w:vAlign w:val="center"/>
          </w:tcPr>
          <w:p w14:paraId="766A2088">
            <w:pPr>
              <w:spacing w:line="380" w:lineRule="atLeast"/>
              <w:jc w:val="center"/>
              <w:rPr>
                <w:szCs w:val="21"/>
                <w:highlight w:val="none"/>
              </w:rPr>
            </w:pPr>
          </w:p>
        </w:tc>
        <w:tc>
          <w:tcPr>
            <w:tcW w:w="854" w:type="dxa"/>
            <w:vMerge w:val="continue"/>
            <w:noWrap w:val="0"/>
            <w:vAlign w:val="center"/>
          </w:tcPr>
          <w:p w14:paraId="2F151DFB">
            <w:pPr>
              <w:spacing w:line="380" w:lineRule="atLeast"/>
              <w:jc w:val="center"/>
              <w:rPr>
                <w:szCs w:val="21"/>
                <w:highlight w:val="none"/>
              </w:rPr>
            </w:pPr>
          </w:p>
        </w:tc>
        <w:tc>
          <w:tcPr>
            <w:tcW w:w="1134" w:type="dxa"/>
            <w:vMerge w:val="continue"/>
            <w:noWrap w:val="0"/>
            <w:vAlign w:val="center"/>
          </w:tcPr>
          <w:p w14:paraId="03BF4C1C">
            <w:pPr>
              <w:spacing w:line="380" w:lineRule="atLeast"/>
              <w:jc w:val="right"/>
              <w:rPr>
                <w:szCs w:val="21"/>
                <w:highlight w:val="none"/>
              </w:rPr>
            </w:pPr>
          </w:p>
        </w:tc>
        <w:tc>
          <w:tcPr>
            <w:tcW w:w="1272" w:type="dxa"/>
            <w:gridSpan w:val="2"/>
            <w:noWrap w:val="0"/>
            <w:vAlign w:val="center"/>
          </w:tcPr>
          <w:p w14:paraId="2ED48DDA">
            <w:pPr>
              <w:jc w:val="center"/>
              <w:rPr>
                <w:szCs w:val="21"/>
                <w:highlight w:val="none"/>
              </w:rPr>
            </w:pPr>
            <w:r>
              <w:rPr>
                <w:rFonts w:hint="eastAsia"/>
                <w:szCs w:val="21"/>
                <w:highlight w:val="none"/>
              </w:rPr>
              <w:t>项目的质量、安全保证体系</w:t>
            </w:r>
          </w:p>
        </w:tc>
        <w:tc>
          <w:tcPr>
            <w:tcW w:w="709" w:type="dxa"/>
            <w:noWrap w:val="0"/>
            <w:vAlign w:val="center"/>
          </w:tcPr>
          <w:p w14:paraId="5A67832B">
            <w:pPr>
              <w:jc w:val="center"/>
              <w:rPr>
                <w:szCs w:val="21"/>
                <w:highlight w:val="none"/>
              </w:rPr>
            </w:pPr>
            <w:r>
              <w:rPr>
                <w:rFonts w:hint="eastAsia"/>
                <w:szCs w:val="21"/>
                <w:highlight w:val="none"/>
              </w:rPr>
              <w:t>4分</w:t>
            </w:r>
          </w:p>
        </w:tc>
        <w:tc>
          <w:tcPr>
            <w:tcW w:w="4366" w:type="dxa"/>
            <w:gridSpan w:val="2"/>
            <w:noWrap w:val="0"/>
            <w:vAlign w:val="center"/>
          </w:tcPr>
          <w:p w14:paraId="0453DD5A">
            <w:pPr>
              <w:rPr>
                <w:szCs w:val="21"/>
                <w:highlight w:val="none"/>
              </w:rPr>
            </w:pPr>
            <w:r>
              <w:rPr>
                <w:rFonts w:hint="eastAsia"/>
                <w:szCs w:val="21"/>
                <w:highlight w:val="none"/>
              </w:rPr>
              <w:t>①质量、安全保证体系基本完善、不太合理，得2.4分；</w:t>
            </w:r>
          </w:p>
          <w:p w14:paraId="181F44C9">
            <w:pPr>
              <w:rPr>
                <w:szCs w:val="21"/>
                <w:highlight w:val="none"/>
              </w:rPr>
            </w:pPr>
            <w:r>
              <w:rPr>
                <w:rFonts w:hint="eastAsia"/>
                <w:szCs w:val="21"/>
                <w:highlight w:val="none"/>
              </w:rPr>
              <w:t>②质量、安全保证体系基本完善、合理，得2.4</w:t>
            </w:r>
            <w:r>
              <w:rPr>
                <w:szCs w:val="21"/>
                <w:highlight w:val="none"/>
              </w:rPr>
              <w:t>-</w:t>
            </w:r>
            <w:r>
              <w:rPr>
                <w:rFonts w:hint="eastAsia"/>
                <w:szCs w:val="21"/>
                <w:highlight w:val="none"/>
              </w:rPr>
              <w:t>3.2分；</w:t>
            </w:r>
          </w:p>
          <w:p w14:paraId="0D1A307D">
            <w:pPr>
              <w:rPr>
                <w:szCs w:val="21"/>
                <w:highlight w:val="none"/>
              </w:rPr>
            </w:pPr>
            <w:r>
              <w:rPr>
                <w:rFonts w:hint="eastAsia"/>
                <w:szCs w:val="21"/>
                <w:highlight w:val="none"/>
              </w:rPr>
              <w:t>③质量、安全保证体系完善、合理，得3.2</w:t>
            </w:r>
            <w:r>
              <w:rPr>
                <w:szCs w:val="21"/>
                <w:highlight w:val="none"/>
              </w:rPr>
              <w:t>-</w:t>
            </w:r>
            <w:r>
              <w:rPr>
                <w:rFonts w:hint="eastAsia"/>
                <w:szCs w:val="21"/>
                <w:highlight w:val="none"/>
              </w:rPr>
              <w:t>4分。</w:t>
            </w:r>
          </w:p>
        </w:tc>
      </w:tr>
      <w:tr w14:paraId="301B8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959" w:type="dxa"/>
            <w:vMerge w:val="restart"/>
            <w:noWrap w:val="0"/>
            <w:vAlign w:val="center"/>
          </w:tcPr>
          <w:p w14:paraId="4AA34733">
            <w:pPr>
              <w:spacing w:line="380" w:lineRule="atLeast"/>
              <w:jc w:val="center"/>
              <w:rPr>
                <w:szCs w:val="21"/>
                <w:highlight w:val="none"/>
              </w:rPr>
            </w:pPr>
            <w:r>
              <w:rPr>
                <w:szCs w:val="21"/>
                <w:highlight w:val="none"/>
              </w:rPr>
              <w:t>2.2.4</w:t>
            </w:r>
            <w:r>
              <w:rPr>
                <w:rFonts w:hint="eastAsia"/>
                <w:szCs w:val="21"/>
                <w:highlight w:val="none"/>
              </w:rPr>
              <w:t>（2）</w:t>
            </w:r>
          </w:p>
        </w:tc>
        <w:tc>
          <w:tcPr>
            <w:tcW w:w="854" w:type="dxa"/>
            <w:vMerge w:val="restart"/>
            <w:noWrap w:val="0"/>
            <w:vAlign w:val="center"/>
          </w:tcPr>
          <w:p w14:paraId="5629C2F2">
            <w:pPr>
              <w:spacing w:line="380" w:lineRule="atLeast"/>
              <w:jc w:val="center"/>
              <w:rPr>
                <w:szCs w:val="21"/>
                <w:highlight w:val="none"/>
              </w:rPr>
            </w:pPr>
            <w:r>
              <w:rPr>
                <w:rFonts w:hint="eastAsia"/>
                <w:szCs w:val="21"/>
                <w:highlight w:val="none"/>
              </w:rPr>
              <w:t>主要人员</w:t>
            </w:r>
          </w:p>
        </w:tc>
        <w:tc>
          <w:tcPr>
            <w:tcW w:w="1134" w:type="dxa"/>
            <w:vMerge w:val="restart"/>
            <w:noWrap w:val="0"/>
            <w:vAlign w:val="center"/>
          </w:tcPr>
          <w:p w14:paraId="3993904C">
            <w:pPr>
              <w:spacing w:line="380" w:lineRule="atLeast"/>
              <w:jc w:val="center"/>
              <w:rPr>
                <w:szCs w:val="21"/>
                <w:highlight w:val="none"/>
                <w:u w:val="single"/>
              </w:rPr>
            </w:pPr>
            <w:r>
              <w:rPr>
                <w:rFonts w:hint="eastAsia"/>
                <w:szCs w:val="21"/>
                <w:highlight w:val="none"/>
                <w:u w:val="single"/>
              </w:rPr>
              <w:t>25</w:t>
            </w:r>
          </w:p>
        </w:tc>
        <w:tc>
          <w:tcPr>
            <w:tcW w:w="1272" w:type="dxa"/>
            <w:gridSpan w:val="2"/>
            <w:noWrap w:val="0"/>
            <w:vAlign w:val="center"/>
          </w:tcPr>
          <w:p w14:paraId="147EB1E1">
            <w:pPr>
              <w:spacing w:line="380" w:lineRule="atLeast"/>
              <w:jc w:val="center"/>
              <w:rPr>
                <w:szCs w:val="21"/>
                <w:highlight w:val="none"/>
              </w:rPr>
            </w:pPr>
            <w:r>
              <w:rPr>
                <w:rFonts w:hint="eastAsia"/>
                <w:szCs w:val="21"/>
                <w:highlight w:val="none"/>
              </w:rPr>
              <w:t>项目负责人任职资格与业绩</w:t>
            </w:r>
          </w:p>
        </w:tc>
        <w:tc>
          <w:tcPr>
            <w:tcW w:w="709" w:type="dxa"/>
            <w:noWrap w:val="0"/>
            <w:vAlign w:val="center"/>
          </w:tcPr>
          <w:p w14:paraId="0AA0F3A6">
            <w:pPr>
              <w:spacing w:line="380" w:lineRule="atLeast"/>
              <w:jc w:val="center"/>
              <w:rPr>
                <w:rFonts w:ascii="宋体"/>
                <w:szCs w:val="21"/>
                <w:highlight w:val="none"/>
              </w:rPr>
            </w:pPr>
            <w:r>
              <w:rPr>
                <w:rFonts w:ascii="宋体" w:hAnsi="宋体"/>
                <w:szCs w:val="21"/>
                <w:highlight w:val="none"/>
              </w:rPr>
              <w:t>1</w:t>
            </w:r>
            <w:r>
              <w:rPr>
                <w:rFonts w:hint="eastAsia" w:ascii="宋体" w:hAnsi="宋体"/>
                <w:szCs w:val="21"/>
                <w:highlight w:val="none"/>
              </w:rPr>
              <w:t>5</w:t>
            </w:r>
          </w:p>
        </w:tc>
        <w:tc>
          <w:tcPr>
            <w:tcW w:w="4366" w:type="dxa"/>
            <w:gridSpan w:val="2"/>
            <w:noWrap w:val="0"/>
            <w:vAlign w:val="top"/>
          </w:tcPr>
          <w:p w14:paraId="07E8860F">
            <w:pPr>
              <w:rPr>
                <w:highlight w:val="none"/>
              </w:rPr>
            </w:pPr>
            <w:r>
              <w:rPr>
                <w:rFonts w:hint="eastAsia"/>
                <w:highlight w:val="none"/>
              </w:rPr>
              <w:t>达到投标人须知附录2最低要求的，计基本分9分。</w:t>
            </w:r>
          </w:p>
          <w:p w14:paraId="51CDC8E6">
            <w:pPr>
              <w:rPr>
                <w:highlight w:val="none"/>
              </w:rPr>
            </w:pPr>
            <w:r>
              <w:rPr>
                <w:rFonts w:hint="eastAsia"/>
                <w:highlight w:val="none"/>
              </w:rPr>
              <w:t>每增加1个高速公路</w:t>
            </w:r>
            <w:r>
              <w:rPr>
                <w:rFonts w:hint="eastAsia" w:ascii="Times New Roman" w:eastAsia="宋体"/>
                <w:highlight w:val="none"/>
                <w:lang w:val="en-US" w:eastAsia="zh-CN"/>
              </w:rPr>
              <w:t>涵洞或</w:t>
            </w:r>
            <w:r>
              <w:rPr>
                <w:rFonts w:hint="eastAsia"/>
                <w:highlight w:val="none"/>
              </w:rPr>
              <w:t>桥梁定期检查技术服务项目负责人或技术负责人</w:t>
            </w:r>
            <w:r>
              <w:rPr>
                <w:rFonts w:hint="eastAsia" w:ascii="Times New Roman" w:eastAsia="宋体"/>
                <w:highlight w:val="none"/>
                <w:lang w:val="en-US" w:eastAsia="zh-CN"/>
              </w:rPr>
              <w:t>业绩的</w:t>
            </w:r>
            <w:r>
              <w:rPr>
                <w:rFonts w:hint="eastAsia"/>
                <w:highlight w:val="none"/>
              </w:rPr>
              <w:t>加1.5分，最多加6分。</w:t>
            </w:r>
          </w:p>
        </w:tc>
      </w:tr>
      <w:tr w14:paraId="09CAA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959" w:type="dxa"/>
            <w:vMerge w:val="continue"/>
            <w:noWrap w:val="0"/>
            <w:vAlign w:val="center"/>
          </w:tcPr>
          <w:p w14:paraId="7BC3844E">
            <w:pPr>
              <w:spacing w:line="380" w:lineRule="atLeast"/>
              <w:jc w:val="center"/>
              <w:rPr>
                <w:szCs w:val="21"/>
                <w:highlight w:val="none"/>
              </w:rPr>
            </w:pPr>
          </w:p>
        </w:tc>
        <w:tc>
          <w:tcPr>
            <w:tcW w:w="854" w:type="dxa"/>
            <w:vMerge w:val="continue"/>
            <w:noWrap w:val="0"/>
            <w:vAlign w:val="center"/>
          </w:tcPr>
          <w:p w14:paraId="38DA5E97">
            <w:pPr>
              <w:spacing w:line="380" w:lineRule="atLeast"/>
              <w:jc w:val="center"/>
              <w:rPr>
                <w:szCs w:val="21"/>
                <w:highlight w:val="none"/>
              </w:rPr>
            </w:pPr>
          </w:p>
        </w:tc>
        <w:tc>
          <w:tcPr>
            <w:tcW w:w="1134" w:type="dxa"/>
            <w:vMerge w:val="continue"/>
            <w:noWrap w:val="0"/>
            <w:vAlign w:val="center"/>
          </w:tcPr>
          <w:p w14:paraId="5D603559">
            <w:pPr>
              <w:spacing w:line="380" w:lineRule="atLeast"/>
              <w:jc w:val="right"/>
              <w:rPr>
                <w:szCs w:val="21"/>
                <w:highlight w:val="none"/>
              </w:rPr>
            </w:pPr>
          </w:p>
        </w:tc>
        <w:tc>
          <w:tcPr>
            <w:tcW w:w="1272" w:type="dxa"/>
            <w:gridSpan w:val="2"/>
            <w:noWrap w:val="0"/>
            <w:vAlign w:val="center"/>
          </w:tcPr>
          <w:p w14:paraId="702C4FBA">
            <w:pPr>
              <w:jc w:val="center"/>
              <w:rPr>
                <w:szCs w:val="21"/>
                <w:highlight w:val="none"/>
              </w:rPr>
            </w:pPr>
            <w:r>
              <w:rPr>
                <w:rFonts w:hint="eastAsia"/>
                <w:szCs w:val="21"/>
                <w:highlight w:val="none"/>
              </w:rPr>
              <w:t>技术负责人任职资格与业绩</w:t>
            </w:r>
          </w:p>
        </w:tc>
        <w:tc>
          <w:tcPr>
            <w:tcW w:w="709" w:type="dxa"/>
            <w:noWrap w:val="0"/>
            <w:vAlign w:val="center"/>
          </w:tcPr>
          <w:p w14:paraId="291066BC">
            <w:pPr>
              <w:jc w:val="center"/>
              <w:rPr>
                <w:szCs w:val="21"/>
                <w:highlight w:val="none"/>
              </w:rPr>
            </w:pPr>
            <w:r>
              <w:rPr>
                <w:rFonts w:ascii="宋体" w:hAnsi="宋体"/>
                <w:szCs w:val="21"/>
                <w:highlight w:val="none"/>
              </w:rPr>
              <w:t>1</w:t>
            </w:r>
            <w:r>
              <w:rPr>
                <w:rFonts w:hint="eastAsia" w:ascii="宋体" w:hAnsi="宋体"/>
                <w:szCs w:val="21"/>
                <w:highlight w:val="none"/>
              </w:rPr>
              <w:t>0</w:t>
            </w:r>
          </w:p>
        </w:tc>
        <w:tc>
          <w:tcPr>
            <w:tcW w:w="4366" w:type="dxa"/>
            <w:gridSpan w:val="2"/>
            <w:noWrap w:val="0"/>
            <w:vAlign w:val="top"/>
          </w:tcPr>
          <w:p w14:paraId="2657FD7A">
            <w:pPr>
              <w:rPr>
                <w:highlight w:val="none"/>
              </w:rPr>
            </w:pPr>
            <w:r>
              <w:rPr>
                <w:rFonts w:hint="eastAsia"/>
                <w:highlight w:val="none"/>
              </w:rPr>
              <w:t>达到投标人须知附录2最低要求的，计基本分6分。</w:t>
            </w:r>
          </w:p>
          <w:p w14:paraId="63B279B1">
            <w:pPr>
              <w:rPr>
                <w:szCs w:val="21"/>
                <w:highlight w:val="none"/>
              </w:rPr>
            </w:pPr>
            <w:r>
              <w:rPr>
                <w:rFonts w:hint="eastAsia"/>
                <w:highlight w:val="none"/>
              </w:rPr>
              <w:t>每增加1个高速公路</w:t>
            </w:r>
            <w:r>
              <w:rPr>
                <w:rFonts w:hint="eastAsia" w:ascii="Times New Roman" w:eastAsia="宋体"/>
                <w:highlight w:val="none"/>
                <w:lang w:val="en-US" w:eastAsia="zh-CN"/>
              </w:rPr>
              <w:t>涵洞或</w:t>
            </w:r>
            <w:r>
              <w:rPr>
                <w:rFonts w:hint="eastAsia"/>
                <w:highlight w:val="none"/>
              </w:rPr>
              <w:t>桥梁定期检查技术服务项目负责人或技术负责人</w:t>
            </w:r>
            <w:r>
              <w:rPr>
                <w:rFonts w:hint="eastAsia" w:ascii="Times New Roman" w:eastAsia="宋体"/>
                <w:highlight w:val="none"/>
                <w:lang w:val="en-US" w:eastAsia="zh-CN"/>
              </w:rPr>
              <w:t>业绩的</w:t>
            </w:r>
            <w:r>
              <w:rPr>
                <w:rFonts w:hint="eastAsia"/>
                <w:highlight w:val="none"/>
              </w:rPr>
              <w:t>加1分，最多加4分。</w:t>
            </w:r>
          </w:p>
        </w:tc>
      </w:tr>
      <w:tr w14:paraId="3564B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959" w:type="dxa"/>
            <w:noWrap w:val="0"/>
            <w:vAlign w:val="center"/>
          </w:tcPr>
          <w:p w14:paraId="467E7A4F">
            <w:pPr>
              <w:spacing w:line="380" w:lineRule="atLeast"/>
              <w:jc w:val="center"/>
              <w:rPr>
                <w:szCs w:val="21"/>
                <w:highlight w:val="none"/>
              </w:rPr>
            </w:pPr>
            <w:r>
              <w:rPr>
                <w:szCs w:val="21"/>
                <w:highlight w:val="none"/>
              </w:rPr>
              <w:t>2.2.4</w:t>
            </w:r>
            <w:r>
              <w:rPr>
                <w:rFonts w:hint="eastAsia"/>
                <w:szCs w:val="21"/>
                <w:highlight w:val="none"/>
              </w:rPr>
              <w:t>（3）</w:t>
            </w:r>
          </w:p>
        </w:tc>
        <w:tc>
          <w:tcPr>
            <w:tcW w:w="854" w:type="dxa"/>
            <w:noWrap w:val="0"/>
            <w:vAlign w:val="center"/>
          </w:tcPr>
          <w:p w14:paraId="4781E0CF">
            <w:pPr>
              <w:spacing w:line="380" w:lineRule="atLeast"/>
              <w:jc w:val="center"/>
              <w:rPr>
                <w:szCs w:val="21"/>
                <w:highlight w:val="none"/>
              </w:rPr>
            </w:pPr>
            <w:r>
              <w:rPr>
                <w:rFonts w:hint="eastAsia"/>
                <w:szCs w:val="21"/>
                <w:highlight w:val="none"/>
              </w:rPr>
              <w:t>评标价</w:t>
            </w:r>
          </w:p>
        </w:tc>
        <w:tc>
          <w:tcPr>
            <w:tcW w:w="1134" w:type="dxa"/>
            <w:noWrap w:val="0"/>
            <w:vAlign w:val="center"/>
          </w:tcPr>
          <w:p w14:paraId="59DE2D6B">
            <w:pPr>
              <w:spacing w:line="380" w:lineRule="atLeast"/>
              <w:jc w:val="center"/>
              <w:rPr>
                <w:rFonts w:ascii="宋体"/>
                <w:szCs w:val="21"/>
                <w:highlight w:val="none"/>
                <w:u w:val="single"/>
              </w:rPr>
            </w:pPr>
            <w:r>
              <w:rPr>
                <w:rFonts w:ascii="宋体" w:hAnsi="宋体"/>
                <w:szCs w:val="21"/>
                <w:highlight w:val="none"/>
                <w:u w:val="single"/>
              </w:rPr>
              <w:t>10</w:t>
            </w:r>
          </w:p>
        </w:tc>
        <w:tc>
          <w:tcPr>
            <w:tcW w:w="6347" w:type="dxa"/>
            <w:gridSpan w:val="5"/>
            <w:noWrap w:val="0"/>
            <w:vAlign w:val="center"/>
          </w:tcPr>
          <w:p w14:paraId="6F33096B">
            <w:pPr>
              <w:spacing w:line="300" w:lineRule="atLeast"/>
              <w:rPr>
                <w:szCs w:val="21"/>
                <w:highlight w:val="none"/>
              </w:rPr>
            </w:pPr>
            <w:r>
              <w:rPr>
                <w:rFonts w:hint="eastAsia"/>
                <w:szCs w:val="21"/>
                <w:highlight w:val="none"/>
              </w:rPr>
              <w:t>评标价得分计算公式：</w:t>
            </w:r>
          </w:p>
          <w:p w14:paraId="058CF031">
            <w:pPr>
              <w:spacing w:line="300" w:lineRule="atLeast"/>
              <w:rPr>
                <w:szCs w:val="21"/>
                <w:highlight w:val="none"/>
              </w:rPr>
            </w:pPr>
            <w:r>
              <w:rPr>
                <w:rFonts w:hint="eastAsia"/>
                <w:szCs w:val="21"/>
                <w:highlight w:val="none"/>
              </w:rPr>
              <w:t>（</w:t>
            </w:r>
            <w:r>
              <w:rPr>
                <w:szCs w:val="21"/>
                <w:highlight w:val="none"/>
              </w:rPr>
              <w:t>1</w:t>
            </w:r>
            <w:r>
              <w:rPr>
                <w:rFonts w:hint="eastAsia"/>
                <w:szCs w:val="21"/>
                <w:highlight w:val="none"/>
              </w:rPr>
              <w:t>）如果投标人的评标价</w:t>
            </w:r>
            <w:r>
              <w:rPr>
                <w:szCs w:val="21"/>
                <w:highlight w:val="none"/>
              </w:rPr>
              <w:t>&gt;</w:t>
            </w:r>
            <w:r>
              <w:rPr>
                <w:rFonts w:hint="eastAsia"/>
                <w:szCs w:val="21"/>
                <w:highlight w:val="none"/>
              </w:rPr>
              <w:t>评标基准价，则评标价得分＝</w:t>
            </w:r>
            <w:r>
              <w:rPr>
                <w:szCs w:val="21"/>
                <w:highlight w:val="none"/>
              </w:rPr>
              <w:t>10</w:t>
            </w:r>
            <w:r>
              <w:rPr>
                <w:rFonts w:hint="eastAsia"/>
                <w:szCs w:val="21"/>
                <w:highlight w:val="none"/>
              </w:rPr>
              <w:t>－偏差率</w:t>
            </w:r>
            <w:r>
              <w:rPr>
                <w:szCs w:val="21"/>
                <w:highlight w:val="none"/>
              </w:rPr>
              <w:t>×100× E</w:t>
            </w:r>
            <w:r>
              <w:rPr>
                <w:szCs w:val="21"/>
                <w:highlight w:val="none"/>
                <w:vertAlign w:val="subscript"/>
              </w:rPr>
              <w:t>1</w:t>
            </w:r>
            <w:r>
              <w:rPr>
                <w:rFonts w:hint="eastAsia"/>
                <w:szCs w:val="21"/>
                <w:highlight w:val="none"/>
              </w:rPr>
              <w:t>；</w:t>
            </w:r>
          </w:p>
          <w:p w14:paraId="32AC04F0">
            <w:pPr>
              <w:spacing w:line="300" w:lineRule="atLeast"/>
              <w:rPr>
                <w:szCs w:val="21"/>
                <w:highlight w:val="none"/>
              </w:rPr>
            </w:pPr>
            <w:r>
              <w:rPr>
                <w:rFonts w:hint="eastAsia"/>
                <w:szCs w:val="21"/>
                <w:highlight w:val="none"/>
              </w:rPr>
              <w:t>（</w:t>
            </w:r>
            <w:r>
              <w:rPr>
                <w:szCs w:val="21"/>
                <w:highlight w:val="none"/>
              </w:rPr>
              <w:t>2</w:t>
            </w:r>
            <w:r>
              <w:rPr>
                <w:rFonts w:hint="eastAsia"/>
                <w:szCs w:val="21"/>
                <w:highlight w:val="none"/>
              </w:rPr>
              <w:t>）如果投标人的评标价</w:t>
            </w:r>
            <w:r>
              <w:rPr>
                <w:szCs w:val="21"/>
                <w:highlight w:val="none"/>
              </w:rPr>
              <w:t>≤</w:t>
            </w:r>
            <w:r>
              <w:rPr>
                <w:rFonts w:hint="eastAsia"/>
                <w:szCs w:val="21"/>
                <w:highlight w:val="none"/>
              </w:rPr>
              <w:t>评标基准价，则评标价得分＝</w:t>
            </w:r>
            <w:r>
              <w:rPr>
                <w:szCs w:val="21"/>
                <w:highlight w:val="none"/>
              </w:rPr>
              <w:t>10</w:t>
            </w:r>
            <w:r>
              <w:rPr>
                <w:rFonts w:hint="eastAsia"/>
                <w:szCs w:val="21"/>
                <w:highlight w:val="none"/>
              </w:rPr>
              <w:t>＋偏差率</w:t>
            </w:r>
            <w:r>
              <w:rPr>
                <w:szCs w:val="21"/>
                <w:highlight w:val="none"/>
              </w:rPr>
              <w:t>× 100× E</w:t>
            </w:r>
            <w:r>
              <w:rPr>
                <w:szCs w:val="21"/>
                <w:highlight w:val="none"/>
                <w:vertAlign w:val="subscript"/>
              </w:rPr>
              <w:t>2</w:t>
            </w:r>
            <w:r>
              <w:rPr>
                <w:rFonts w:hint="eastAsia"/>
                <w:szCs w:val="21"/>
                <w:highlight w:val="none"/>
              </w:rPr>
              <w:t>。</w:t>
            </w:r>
          </w:p>
          <w:p w14:paraId="4833442D">
            <w:pPr>
              <w:spacing w:line="300" w:lineRule="atLeast"/>
              <w:rPr>
                <w:szCs w:val="21"/>
                <w:highlight w:val="none"/>
              </w:rPr>
            </w:pPr>
            <w:r>
              <w:rPr>
                <w:rFonts w:hint="eastAsia"/>
                <w:szCs w:val="21"/>
                <w:highlight w:val="none"/>
              </w:rPr>
              <w:t>其中</w:t>
            </w:r>
            <w:r>
              <w:rPr>
                <w:szCs w:val="21"/>
                <w:highlight w:val="none"/>
              </w:rPr>
              <w:t>E</w:t>
            </w:r>
            <w:r>
              <w:rPr>
                <w:szCs w:val="21"/>
                <w:highlight w:val="none"/>
                <w:vertAlign w:val="subscript"/>
              </w:rPr>
              <w:t>1</w:t>
            </w:r>
            <w:r>
              <w:rPr>
                <w:rFonts w:hint="eastAsia"/>
                <w:szCs w:val="21"/>
                <w:highlight w:val="none"/>
              </w:rPr>
              <w:t>是评标价每高于评标基准价一个百分点的扣分值，</w:t>
            </w:r>
            <w:r>
              <w:rPr>
                <w:szCs w:val="21"/>
                <w:highlight w:val="none"/>
              </w:rPr>
              <w:t>E1=0.2</w:t>
            </w:r>
            <w:r>
              <w:rPr>
                <w:rFonts w:hint="eastAsia"/>
                <w:szCs w:val="21"/>
                <w:highlight w:val="none"/>
              </w:rPr>
              <w:t>、</w:t>
            </w:r>
          </w:p>
          <w:p w14:paraId="457FC58C">
            <w:pPr>
              <w:spacing w:line="300" w:lineRule="atLeast"/>
              <w:rPr>
                <w:szCs w:val="21"/>
                <w:highlight w:val="none"/>
              </w:rPr>
            </w:pPr>
            <w:r>
              <w:rPr>
                <w:szCs w:val="21"/>
                <w:highlight w:val="none"/>
              </w:rPr>
              <w:t>E</w:t>
            </w:r>
            <w:r>
              <w:rPr>
                <w:szCs w:val="21"/>
                <w:highlight w:val="none"/>
                <w:vertAlign w:val="subscript"/>
              </w:rPr>
              <w:t>2</w:t>
            </w:r>
            <w:r>
              <w:rPr>
                <w:rFonts w:hint="eastAsia"/>
                <w:szCs w:val="21"/>
                <w:highlight w:val="none"/>
              </w:rPr>
              <w:t>是评标价每低于评标基准价一个百分点的扣分值，</w:t>
            </w:r>
            <w:r>
              <w:rPr>
                <w:szCs w:val="21"/>
                <w:highlight w:val="none"/>
              </w:rPr>
              <w:t>E2=0.1</w:t>
            </w:r>
            <w:r>
              <w:rPr>
                <w:rFonts w:hint="eastAsia"/>
                <w:szCs w:val="21"/>
                <w:highlight w:val="none"/>
              </w:rPr>
              <w:t>。</w:t>
            </w:r>
          </w:p>
          <w:p w14:paraId="27141957">
            <w:pPr>
              <w:rPr>
                <w:szCs w:val="21"/>
                <w:highlight w:val="none"/>
              </w:rPr>
            </w:pPr>
            <w:r>
              <w:rPr>
                <w:rFonts w:hint="eastAsia"/>
                <w:szCs w:val="21"/>
                <w:highlight w:val="none"/>
              </w:rPr>
              <w:t>评标价最低得分为</w:t>
            </w:r>
            <w:r>
              <w:rPr>
                <w:szCs w:val="21"/>
                <w:highlight w:val="none"/>
              </w:rPr>
              <w:t xml:space="preserve"> 0</w:t>
            </w:r>
            <w:r>
              <w:rPr>
                <w:rFonts w:hint="eastAsia"/>
                <w:szCs w:val="21"/>
                <w:highlight w:val="none"/>
              </w:rPr>
              <w:t>分。</w:t>
            </w:r>
          </w:p>
        </w:tc>
      </w:tr>
      <w:tr w14:paraId="77DA1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959" w:type="dxa"/>
            <w:vMerge w:val="restart"/>
            <w:noWrap w:val="0"/>
            <w:vAlign w:val="center"/>
          </w:tcPr>
          <w:p w14:paraId="7695D91D">
            <w:pPr>
              <w:spacing w:line="380" w:lineRule="atLeast"/>
              <w:jc w:val="center"/>
              <w:rPr>
                <w:szCs w:val="21"/>
                <w:highlight w:val="none"/>
              </w:rPr>
            </w:pPr>
            <w:r>
              <w:rPr>
                <w:rFonts w:hint="eastAsia"/>
                <w:szCs w:val="21"/>
                <w:highlight w:val="none"/>
              </w:rPr>
              <w:t>2.2.4（4）</w:t>
            </w:r>
          </w:p>
        </w:tc>
        <w:tc>
          <w:tcPr>
            <w:tcW w:w="854" w:type="dxa"/>
            <w:vMerge w:val="restart"/>
            <w:noWrap w:val="0"/>
            <w:vAlign w:val="center"/>
          </w:tcPr>
          <w:p w14:paraId="43B17248">
            <w:pPr>
              <w:spacing w:line="380" w:lineRule="atLeast"/>
              <w:jc w:val="center"/>
              <w:rPr>
                <w:szCs w:val="21"/>
                <w:highlight w:val="none"/>
              </w:rPr>
            </w:pPr>
            <w:r>
              <w:rPr>
                <w:rFonts w:hint="eastAsia"/>
                <w:szCs w:val="21"/>
                <w:highlight w:val="none"/>
              </w:rPr>
              <w:t>其他因素</w:t>
            </w:r>
          </w:p>
        </w:tc>
        <w:tc>
          <w:tcPr>
            <w:tcW w:w="1134" w:type="dxa"/>
            <w:noWrap w:val="0"/>
            <w:vAlign w:val="center"/>
          </w:tcPr>
          <w:p w14:paraId="0363DD26">
            <w:pPr>
              <w:spacing w:line="380" w:lineRule="atLeast"/>
              <w:jc w:val="center"/>
              <w:rPr>
                <w:szCs w:val="21"/>
                <w:highlight w:val="none"/>
              </w:rPr>
            </w:pPr>
            <w:r>
              <w:rPr>
                <w:rFonts w:hint="eastAsia"/>
                <w:szCs w:val="21"/>
                <w:highlight w:val="none"/>
              </w:rPr>
              <w:t>技术能力</w:t>
            </w:r>
          </w:p>
        </w:tc>
        <w:tc>
          <w:tcPr>
            <w:tcW w:w="851" w:type="dxa"/>
            <w:noWrap w:val="0"/>
            <w:vAlign w:val="center"/>
          </w:tcPr>
          <w:p w14:paraId="668F822B">
            <w:pPr>
              <w:spacing w:line="380" w:lineRule="atLeast"/>
              <w:jc w:val="center"/>
              <w:rPr>
                <w:rFonts w:ascii="宋体" w:hAnsi="宋体"/>
                <w:szCs w:val="21"/>
                <w:highlight w:val="none"/>
                <w:u w:val="single"/>
              </w:rPr>
            </w:pPr>
            <w:r>
              <w:rPr>
                <w:rFonts w:hint="eastAsia" w:ascii="宋体" w:hAnsi="宋体"/>
                <w:szCs w:val="21"/>
                <w:highlight w:val="none"/>
                <w:u w:val="single"/>
              </w:rPr>
              <w:t>5分</w:t>
            </w:r>
          </w:p>
        </w:tc>
        <w:tc>
          <w:tcPr>
            <w:tcW w:w="1130" w:type="dxa"/>
            <w:gridSpan w:val="2"/>
            <w:noWrap w:val="0"/>
            <w:vAlign w:val="center"/>
          </w:tcPr>
          <w:p w14:paraId="29E6EEF9">
            <w:pPr>
              <w:spacing w:line="320" w:lineRule="atLeast"/>
              <w:jc w:val="center"/>
              <w:rPr>
                <w:szCs w:val="21"/>
                <w:highlight w:val="none"/>
              </w:rPr>
            </w:pPr>
            <w:r>
              <w:rPr>
                <w:szCs w:val="21"/>
                <w:highlight w:val="none"/>
              </w:rPr>
              <w:t>相关专利或自主知识产权</w:t>
            </w:r>
          </w:p>
        </w:tc>
        <w:tc>
          <w:tcPr>
            <w:tcW w:w="611" w:type="dxa"/>
            <w:tcBorders>
              <w:right w:val="single" w:color="auto" w:sz="4" w:space="0"/>
            </w:tcBorders>
            <w:noWrap w:val="0"/>
            <w:vAlign w:val="center"/>
          </w:tcPr>
          <w:p w14:paraId="527E4355">
            <w:pPr>
              <w:spacing w:line="380" w:lineRule="atLeast"/>
              <w:jc w:val="center"/>
              <w:rPr>
                <w:szCs w:val="21"/>
                <w:highlight w:val="none"/>
              </w:rPr>
            </w:pPr>
            <w:r>
              <w:rPr>
                <w:rFonts w:hint="eastAsia"/>
                <w:szCs w:val="21"/>
                <w:highlight w:val="none"/>
              </w:rPr>
              <w:t>5分</w:t>
            </w:r>
          </w:p>
        </w:tc>
        <w:tc>
          <w:tcPr>
            <w:tcW w:w="3755" w:type="dxa"/>
            <w:tcBorders>
              <w:left w:val="single" w:color="auto" w:sz="4" w:space="0"/>
            </w:tcBorders>
            <w:noWrap w:val="0"/>
            <w:vAlign w:val="top"/>
          </w:tcPr>
          <w:p w14:paraId="662CFC7C">
            <w:pPr>
              <w:spacing w:line="300" w:lineRule="exact"/>
              <w:rPr>
                <w:highlight w:val="none"/>
              </w:rPr>
            </w:pPr>
            <w:r>
              <w:rPr>
                <w:rFonts w:hint="eastAsia"/>
                <w:highlight w:val="none"/>
              </w:rPr>
              <w:t>具有桥梁检测的设备、软件等相关专利或自主知识产权的(须与本项目桥梁定检等服务内容相关），每项计1分，最多加5分。</w:t>
            </w:r>
          </w:p>
        </w:tc>
      </w:tr>
      <w:tr w14:paraId="36028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959" w:type="dxa"/>
            <w:vMerge w:val="continue"/>
            <w:noWrap w:val="0"/>
            <w:vAlign w:val="center"/>
          </w:tcPr>
          <w:p w14:paraId="543D1274">
            <w:pPr>
              <w:spacing w:line="380" w:lineRule="atLeast"/>
              <w:jc w:val="center"/>
              <w:rPr>
                <w:szCs w:val="21"/>
                <w:highlight w:val="none"/>
              </w:rPr>
            </w:pPr>
          </w:p>
        </w:tc>
        <w:tc>
          <w:tcPr>
            <w:tcW w:w="854" w:type="dxa"/>
            <w:vMerge w:val="continue"/>
            <w:noWrap w:val="0"/>
            <w:vAlign w:val="center"/>
          </w:tcPr>
          <w:p w14:paraId="232F3F2F">
            <w:pPr>
              <w:spacing w:line="380" w:lineRule="atLeast"/>
              <w:jc w:val="center"/>
              <w:rPr>
                <w:szCs w:val="21"/>
                <w:highlight w:val="none"/>
              </w:rPr>
            </w:pPr>
          </w:p>
        </w:tc>
        <w:tc>
          <w:tcPr>
            <w:tcW w:w="1134" w:type="dxa"/>
            <w:noWrap w:val="0"/>
            <w:vAlign w:val="center"/>
          </w:tcPr>
          <w:p w14:paraId="24E3A7F9">
            <w:pPr>
              <w:spacing w:line="380" w:lineRule="atLeast"/>
              <w:jc w:val="center"/>
              <w:rPr>
                <w:szCs w:val="21"/>
                <w:highlight w:val="none"/>
              </w:rPr>
            </w:pPr>
            <w:r>
              <w:rPr>
                <w:rFonts w:hint="eastAsia"/>
                <w:szCs w:val="21"/>
                <w:highlight w:val="none"/>
              </w:rPr>
              <w:t>业绩</w:t>
            </w:r>
          </w:p>
        </w:tc>
        <w:tc>
          <w:tcPr>
            <w:tcW w:w="851" w:type="dxa"/>
            <w:noWrap w:val="0"/>
            <w:vAlign w:val="center"/>
          </w:tcPr>
          <w:p w14:paraId="52B67D15">
            <w:pPr>
              <w:spacing w:line="380" w:lineRule="atLeast"/>
              <w:jc w:val="center"/>
              <w:rPr>
                <w:rFonts w:ascii="宋体" w:hAnsi="宋体"/>
                <w:szCs w:val="21"/>
                <w:highlight w:val="none"/>
                <w:u w:val="single"/>
              </w:rPr>
            </w:pPr>
            <w:r>
              <w:rPr>
                <w:rFonts w:hint="eastAsia" w:ascii="宋体" w:hAnsi="宋体"/>
                <w:szCs w:val="21"/>
                <w:highlight w:val="none"/>
                <w:u w:val="single"/>
              </w:rPr>
              <w:t>12分</w:t>
            </w:r>
          </w:p>
        </w:tc>
        <w:tc>
          <w:tcPr>
            <w:tcW w:w="1130" w:type="dxa"/>
            <w:gridSpan w:val="2"/>
            <w:noWrap w:val="0"/>
            <w:vAlign w:val="center"/>
          </w:tcPr>
          <w:p w14:paraId="42ED6522">
            <w:pPr>
              <w:spacing w:line="320" w:lineRule="atLeast"/>
              <w:jc w:val="center"/>
              <w:rPr>
                <w:szCs w:val="21"/>
                <w:highlight w:val="none"/>
              </w:rPr>
            </w:pPr>
            <w:r>
              <w:rPr>
                <w:rFonts w:hint="eastAsia"/>
                <w:szCs w:val="21"/>
                <w:highlight w:val="none"/>
              </w:rPr>
              <w:t>投标人类似项目业绩</w:t>
            </w:r>
          </w:p>
        </w:tc>
        <w:tc>
          <w:tcPr>
            <w:tcW w:w="611" w:type="dxa"/>
            <w:tcBorders>
              <w:right w:val="single" w:color="auto" w:sz="4" w:space="0"/>
            </w:tcBorders>
            <w:noWrap w:val="0"/>
            <w:vAlign w:val="center"/>
          </w:tcPr>
          <w:p w14:paraId="7B42E50B">
            <w:pPr>
              <w:spacing w:line="380" w:lineRule="atLeast"/>
              <w:jc w:val="center"/>
              <w:rPr>
                <w:szCs w:val="21"/>
                <w:highlight w:val="none"/>
              </w:rPr>
            </w:pPr>
            <w:r>
              <w:rPr>
                <w:rFonts w:hint="eastAsia"/>
                <w:szCs w:val="21"/>
                <w:highlight w:val="none"/>
              </w:rPr>
              <w:t>12分</w:t>
            </w:r>
          </w:p>
        </w:tc>
        <w:tc>
          <w:tcPr>
            <w:tcW w:w="3755" w:type="dxa"/>
            <w:tcBorders>
              <w:left w:val="single" w:color="auto" w:sz="4" w:space="0"/>
            </w:tcBorders>
            <w:noWrap w:val="0"/>
            <w:vAlign w:val="top"/>
          </w:tcPr>
          <w:p w14:paraId="20271B58">
            <w:pPr>
              <w:spacing w:line="300" w:lineRule="exact"/>
              <w:rPr>
                <w:highlight w:val="none"/>
              </w:rPr>
            </w:pPr>
            <w:r>
              <w:rPr>
                <w:rFonts w:hint="eastAsia"/>
                <w:highlight w:val="none"/>
              </w:rPr>
              <w:t>达到投标人须知附录2最低要求的，计基本分7.2分。</w:t>
            </w:r>
          </w:p>
          <w:p w14:paraId="0A159644">
            <w:pPr>
              <w:spacing w:line="300" w:lineRule="exact"/>
              <w:ind w:left="210" w:hanging="210" w:hangingChars="100"/>
              <w:rPr>
                <w:highlight w:val="none"/>
              </w:rPr>
            </w:pPr>
            <w:r>
              <w:rPr>
                <w:rFonts w:hint="eastAsia"/>
                <w:highlight w:val="none"/>
              </w:rPr>
              <w:t>每多增加1个高速公路</w:t>
            </w:r>
            <w:r>
              <w:rPr>
                <w:rFonts w:hint="eastAsia" w:ascii="Times New Roman" w:eastAsia="宋体"/>
                <w:highlight w:val="none"/>
                <w:lang w:val="en-US" w:eastAsia="zh-CN"/>
              </w:rPr>
              <w:t>涵洞或</w:t>
            </w:r>
            <w:r>
              <w:rPr>
                <w:rFonts w:hint="eastAsia"/>
                <w:highlight w:val="none"/>
              </w:rPr>
              <w:t>桥梁定期检查技术服务项目</w:t>
            </w:r>
            <w:r>
              <w:rPr>
                <w:rFonts w:hint="eastAsia" w:ascii="Times New Roman" w:eastAsia="宋体"/>
                <w:highlight w:val="none"/>
                <w:lang w:val="en-US" w:eastAsia="zh-CN"/>
              </w:rPr>
              <w:t>业绩</w:t>
            </w:r>
            <w:r>
              <w:rPr>
                <w:rFonts w:hint="eastAsia"/>
                <w:highlight w:val="none"/>
              </w:rPr>
              <w:t>的加1.2分，加满4.8分为止。</w:t>
            </w:r>
          </w:p>
        </w:tc>
      </w:tr>
      <w:tr w14:paraId="36DD1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atLeast"/>
          <w:jc w:val="center"/>
        </w:trPr>
        <w:tc>
          <w:tcPr>
            <w:tcW w:w="959" w:type="dxa"/>
            <w:vMerge w:val="continue"/>
            <w:noWrap w:val="0"/>
            <w:vAlign w:val="center"/>
          </w:tcPr>
          <w:p w14:paraId="79F5EDF0">
            <w:pPr>
              <w:spacing w:line="380" w:lineRule="atLeast"/>
              <w:jc w:val="center"/>
              <w:rPr>
                <w:szCs w:val="21"/>
                <w:highlight w:val="none"/>
              </w:rPr>
            </w:pPr>
          </w:p>
        </w:tc>
        <w:tc>
          <w:tcPr>
            <w:tcW w:w="854" w:type="dxa"/>
            <w:vMerge w:val="continue"/>
            <w:noWrap w:val="0"/>
            <w:vAlign w:val="center"/>
          </w:tcPr>
          <w:p w14:paraId="6D2BD0BC">
            <w:pPr>
              <w:spacing w:line="380" w:lineRule="atLeast"/>
              <w:jc w:val="center"/>
              <w:rPr>
                <w:szCs w:val="21"/>
                <w:highlight w:val="none"/>
              </w:rPr>
            </w:pPr>
          </w:p>
        </w:tc>
        <w:tc>
          <w:tcPr>
            <w:tcW w:w="1134" w:type="dxa"/>
            <w:noWrap w:val="0"/>
            <w:vAlign w:val="center"/>
          </w:tcPr>
          <w:p w14:paraId="6328D1FE">
            <w:pPr>
              <w:spacing w:line="380" w:lineRule="atLeast"/>
              <w:jc w:val="center"/>
              <w:rPr>
                <w:szCs w:val="21"/>
                <w:highlight w:val="none"/>
              </w:rPr>
            </w:pPr>
            <w:r>
              <w:rPr>
                <w:rFonts w:hint="eastAsia"/>
                <w:szCs w:val="21"/>
                <w:highlight w:val="none"/>
              </w:rPr>
              <w:t>履约信誉</w:t>
            </w:r>
          </w:p>
        </w:tc>
        <w:tc>
          <w:tcPr>
            <w:tcW w:w="851" w:type="dxa"/>
            <w:noWrap w:val="0"/>
            <w:vAlign w:val="center"/>
          </w:tcPr>
          <w:p w14:paraId="2D342C5F">
            <w:pPr>
              <w:spacing w:line="380" w:lineRule="atLeast"/>
              <w:jc w:val="center"/>
              <w:rPr>
                <w:rFonts w:ascii="宋体" w:hAnsi="宋体"/>
                <w:szCs w:val="21"/>
                <w:highlight w:val="none"/>
                <w:u w:val="single"/>
              </w:rPr>
            </w:pPr>
            <w:r>
              <w:rPr>
                <w:rFonts w:hint="eastAsia" w:ascii="宋体" w:hAnsi="宋体"/>
                <w:szCs w:val="21"/>
                <w:highlight w:val="none"/>
                <w:u w:val="single"/>
              </w:rPr>
              <w:t>8</w:t>
            </w:r>
          </w:p>
        </w:tc>
        <w:tc>
          <w:tcPr>
            <w:tcW w:w="1130" w:type="dxa"/>
            <w:gridSpan w:val="2"/>
            <w:noWrap w:val="0"/>
            <w:vAlign w:val="center"/>
          </w:tcPr>
          <w:p w14:paraId="56B19ABB">
            <w:pPr>
              <w:spacing w:line="320" w:lineRule="atLeast"/>
              <w:jc w:val="center"/>
              <w:rPr>
                <w:szCs w:val="21"/>
                <w:highlight w:val="none"/>
              </w:rPr>
            </w:pPr>
            <w:r>
              <w:rPr>
                <w:rFonts w:hint="eastAsia"/>
                <w:szCs w:val="21"/>
                <w:highlight w:val="none"/>
              </w:rPr>
              <w:t>信用评价等级</w:t>
            </w:r>
          </w:p>
        </w:tc>
        <w:tc>
          <w:tcPr>
            <w:tcW w:w="611" w:type="dxa"/>
            <w:tcBorders>
              <w:right w:val="single" w:color="auto" w:sz="4" w:space="0"/>
            </w:tcBorders>
            <w:noWrap w:val="0"/>
            <w:vAlign w:val="center"/>
          </w:tcPr>
          <w:p w14:paraId="19E0812C">
            <w:pPr>
              <w:spacing w:line="380" w:lineRule="atLeast"/>
              <w:jc w:val="center"/>
              <w:rPr>
                <w:szCs w:val="21"/>
                <w:highlight w:val="none"/>
              </w:rPr>
            </w:pPr>
            <w:r>
              <w:rPr>
                <w:rFonts w:hint="eastAsia"/>
                <w:szCs w:val="21"/>
                <w:highlight w:val="none"/>
              </w:rPr>
              <w:t>8分</w:t>
            </w:r>
          </w:p>
        </w:tc>
        <w:tc>
          <w:tcPr>
            <w:tcW w:w="3755" w:type="dxa"/>
            <w:tcBorders>
              <w:left w:val="single" w:color="auto" w:sz="4" w:space="0"/>
            </w:tcBorders>
            <w:noWrap w:val="0"/>
            <w:vAlign w:val="center"/>
          </w:tcPr>
          <w:p w14:paraId="2AE8ADAC">
            <w:pPr>
              <w:rPr>
                <w:highlight w:val="none"/>
              </w:rPr>
            </w:pPr>
            <w:r>
              <w:rPr>
                <w:rFonts w:hint="eastAsia"/>
                <w:highlight w:val="none"/>
              </w:rPr>
              <w:t>信用等级评分表</w:t>
            </w:r>
          </w:p>
          <w:tbl>
            <w:tblPr>
              <w:tblStyle w:val="6"/>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0" w:type="dxa"/>
                <w:bottom w:w="0" w:type="dxa"/>
                <w:right w:w="0" w:type="dxa"/>
              </w:tblCellMar>
            </w:tblPr>
            <w:tblGrid>
              <w:gridCol w:w="1195"/>
              <w:gridCol w:w="944"/>
              <w:gridCol w:w="992"/>
              <w:gridCol w:w="993"/>
            </w:tblGrid>
            <w:tr w14:paraId="47AD4BC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910" w:hRule="atLeast"/>
                <w:jc w:val="center"/>
              </w:trPr>
              <w:tc>
                <w:tcPr>
                  <w:tcW w:w="119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1EC371">
                  <w:pPr>
                    <w:jc w:val="center"/>
                    <w:rPr>
                      <w:highlight w:val="none"/>
                    </w:rPr>
                  </w:pPr>
                  <w:r>
                    <w:rPr>
                      <w:rFonts w:hint="eastAsia"/>
                      <w:highlight w:val="none"/>
                    </w:rPr>
                    <w:t>年度</w:t>
                  </w:r>
                </w:p>
                <w:p w14:paraId="1D313D0C">
                  <w:pPr>
                    <w:jc w:val="center"/>
                    <w:rPr>
                      <w:highlight w:val="none"/>
                    </w:rPr>
                  </w:pPr>
                  <w:r>
                    <w:rPr>
                      <w:rFonts w:hint="eastAsia"/>
                      <w:highlight w:val="none"/>
                    </w:rPr>
                    <w:t>加分</w:t>
                  </w:r>
                </w:p>
                <w:p w14:paraId="2904D7FD">
                  <w:pPr>
                    <w:jc w:val="center"/>
                    <w:rPr>
                      <w:highlight w:val="none"/>
                    </w:rPr>
                  </w:pPr>
                  <w:r>
                    <w:rPr>
                      <w:rFonts w:hint="eastAsia"/>
                      <w:highlight w:val="none"/>
                    </w:rPr>
                    <w:t>信用等级</w:t>
                  </w:r>
                </w:p>
              </w:tc>
              <w:tc>
                <w:tcPr>
                  <w:tcW w:w="94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C9267A4">
                  <w:pPr>
                    <w:jc w:val="center"/>
                    <w:rPr>
                      <w:highlight w:val="none"/>
                    </w:rPr>
                  </w:pPr>
                  <w:r>
                    <w:rPr>
                      <w:rFonts w:hint="eastAsia"/>
                      <w:highlight w:val="none"/>
                    </w:rPr>
                    <w:t>最近第一年</w:t>
                  </w:r>
                </w:p>
              </w:tc>
              <w:tc>
                <w:tcPr>
                  <w:tcW w:w="99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9054F09">
                  <w:pPr>
                    <w:jc w:val="center"/>
                    <w:rPr>
                      <w:highlight w:val="none"/>
                    </w:rPr>
                  </w:pPr>
                  <w:r>
                    <w:rPr>
                      <w:rFonts w:hint="eastAsia"/>
                      <w:highlight w:val="none"/>
                    </w:rPr>
                    <w:t>最近第二年</w:t>
                  </w:r>
                </w:p>
              </w:tc>
              <w:tc>
                <w:tcPr>
                  <w:tcW w:w="99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3E8B2E0">
                  <w:pPr>
                    <w:jc w:val="center"/>
                    <w:rPr>
                      <w:highlight w:val="none"/>
                    </w:rPr>
                  </w:pPr>
                  <w:r>
                    <w:rPr>
                      <w:rFonts w:hint="eastAsia"/>
                      <w:highlight w:val="none"/>
                    </w:rPr>
                    <w:t>最近第三年</w:t>
                  </w:r>
                </w:p>
              </w:tc>
            </w:tr>
            <w:tr w14:paraId="63799C0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11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BD2C22">
                  <w:pPr>
                    <w:jc w:val="center"/>
                    <w:rPr>
                      <w:highlight w:val="none"/>
                    </w:rPr>
                  </w:pPr>
                  <w:r>
                    <w:rPr>
                      <w:rFonts w:hint="eastAsia"/>
                      <w:highlight w:val="none"/>
                    </w:rPr>
                    <w:t>AA</w:t>
                  </w:r>
                </w:p>
              </w:tc>
              <w:tc>
                <w:tcPr>
                  <w:tcW w:w="9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0C0DE33">
                  <w:pPr>
                    <w:jc w:val="center"/>
                    <w:rPr>
                      <w:highlight w:val="none"/>
                    </w:rPr>
                  </w:pPr>
                  <w:r>
                    <w:rPr>
                      <w:rFonts w:hint="eastAsia"/>
                      <w:highlight w:val="none"/>
                    </w:rPr>
                    <w:t>4</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530B486">
                  <w:pPr>
                    <w:jc w:val="center"/>
                    <w:rPr>
                      <w:highlight w:val="none"/>
                    </w:rPr>
                  </w:pPr>
                  <w:r>
                    <w:rPr>
                      <w:rFonts w:hint="eastAsia"/>
                      <w:highlight w:val="none"/>
                    </w:rPr>
                    <w:t>2.4</w:t>
                  </w:r>
                </w:p>
              </w:tc>
              <w:tc>
                <w:tcPr>
                  <w:tcW w:w="9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B79233">
                  <w:pPr>
                    <w:jc w:val="center"/>
                    <w:rPr>
                      <w:highlight w:val="none"/>
                    </w:rPr>
                  </w:pPr>
                  <w:r>
                    <w:rPr>
                      <w:rFonts w:hint="eastAsia"/>
                      <w:highlight w:val="none"/>
                    </w:rPr>
                    <w:t>1.6</w:t>
                  </w:r>
                </w:p>
              </w:tc>
            </w:tr>
            <w:tr w14:paraId="4AE5EF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11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57B80B">
                  <w:pPr>
                    <w:jc w:val="center"/>
                    <w:rPr>
                      <w:highlight w:val="none"/>
                    </w:rPr>
                  </w:pPr>
                  <w:r>
                    <w:rPr>
                      <w:rFonts w:hint="eastAsia"/>
                      <w:highlight w:val="none"/>
                    </w:rPr>
                    <w:t>A</w:t>
                  </w:r>
                </w:p>
              </w:tc>
              <w:tc>
                <w:tcPr>
                  <w:tcW w:w="94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FE24721">
                  <w:pPr>
                    <w:jc w:val="center"/>
                    <w:rPr>
                      <w:highlight w:val="none"/>
                    </w:rPr>
                  </w:pPr>
                  <w:r>
                    <w:rPr>
                      <w:rFonts w:hint="eastAsia"/>
                      <w:highlight w:val="none"/>
                    </w:rPr>
                    <w:t>2.4</w:t>
                  </w:r>
                </w:p>
              </w:tc>
              <w:tc>
                <w:tcPr>
                  <w:tcW w:w="9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8D169F">
                  <w:pPr>
                    <w:jc w:val="center"/>
                    <w:rPr>
                      <w:highlight w:val="none"/>
                    </w:rPr>
                  </w:pPr>
                  <w:r>
                    <w:rPr>
                      <w:rFonts w:hint="eastAsia"/>
                      <w:highlight w:val="none"/>
                    </w:rPr>
                    <w:t>1.6</w:t>
                  </w:r>
                </w:p>
              </w:tc>
              <w:tc>
                <w:tcPr>
                  <w:tcW w:w="99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355B03">
                  <w:pPr>
                    <w:jc w:val="center"/>
                    <w:rPr>
                      <w:highlight w:val="none"/>
                    </w:rPr>
                  </w:pPr>
                  <w:r>
                    <w:rPr>
                      <w:rFonts w:hint="eastAsia"/>
                      <w:highlight w:val="none"/>
                    </w:rPr>
                    <w:t>0.8</w:t>
                  </w:r>
                </w:p>
              </w:tc>
            </w:tr>
            <w:tr w14:paraId="762686B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19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050A21">
                  <w:pPr>
                    <w:jc w:val="center"/>
                    <w:rPr>
                      <w:highlight w:val="none"/>
                    </w:rPr>
                  </w:pPr>
                  <w:r>
                    <w:rPr>
                      <w:rFonts w:hint="eastAsia"/>
                      <w:highlight w:val="none"/>
                    </w:rPr>
                    <w:t>B、C</w:t>
                  </w:r>
                </w:p>
              </w:tc>
              <w:tc>
                <w:tcPr>
                  <w:tcW w:w="2929"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B49234">
                  <w:pPr>
                    <w:jc w:val="center"/>
                    <w:rPr>
                      <w:highlight w:val="none"/>
                    </w:rPr>
                  </w:pPr>
                  <w:r>
                    <w:rPr>
                      <w:rFonts w:hint="eastAsia"/>
                      <w:highlight w:val="none"/>
                    </w:rPr>
                    <w:t>0</w:t>
                  </w:r>
                </w:p>
              </w:tc>
            </w:tr>
          </w:tbl>
          <w:p w14:paraId="144FB940">
            <w:pPr>
              <w:rPr>
                <w:highlight w:val="none"/>
              </w:rPr>
            </w:pPr>
            <w:r>
              <w:rPr>
                <w:rFonts w:hint="eastAsia"/>
                <w:b/>
                <w:highlight w:val="none"/>
              </w:rPr>
              <w:t>注：信用等级以交通运输部 “公路水运工程试验检测管理信息系统”为准，信用评价得分为某一试验检测企业最近三年的信用等级得分之和。</w:t>
            </w:r>
          </w:p>
        </w:tc>
      </w:tr>
      <w:tr w14:paraId="7679E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9294" w:type="dxa"/>
            <w:gridSpan w:val="8"/>
            <w:noWrap w:val="0"/>
            <w:vAlign w:val="center"/>
          </w:tcPr>
          <w:p w14:paraId="26ADAC0E">
            <w:pPr>
              <w:rPr>
                <w:szCs w:val="21"/>
                <w:highlight w:val="none"/>
              </w:rPr>
            </w:pPr>
            <w:r>
              <w:rPr>
                <w:rFonts w:hint="eastAsia"/>
                <w:highlight w:val="none"/>
              </w:rPr>
              <w:t>需要补充的其他内容：</w:t>
            </w:r>
          </w:p>
        </w:tc>
      </w:tr>
      <w:tr w14:paraId="49082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813" w:type="dxa"/>
            <w:gridSpan w:val="2"/>
            <w:noWrap w:val="0"/>
            <w:vAlign w:val="center"/>
          </w:tcPr>
          <w:p w14:paraId="1D2B47C4">
            <w:pPr>
              <w:snapToGrid w:val="0"/>
              <w:spacing w:line="300" w:lineRule="exact"/>
              <w:ind w:right="-57"/>
              <w:jc w:val="center"/>
              <w:rPr>
                <w:rFonts w:ascii="黑体" w:hAnsi="黑体" w:eastAsia="黑体" w:cs="宋体"/>
                <w:highlight w:val="none"/>
              </w:rPr>
            </w:pPr>
            <w:r>
              <w:rPr>
                <w:rFonts w:hint="eastAsia" w:ascii="黑体" w:hAnsi="黑体" w:eastAsia="黑体" w:cs="宋体"/>
                <w:highlight w:val="none"/>
              </w:rPr>
              <w:t>条款号</w:t>
            </w:r>
          </w:p>
        </w:tc>
        <w:tc>
          <w:tcPr>
            <w:tcW w:w="1985" w:type="dxa"/>
            <w:gridSpan w:val="2"/>
            <w:noWrap w:val="0"/>
            <w:vAlign w:val="center"/>
          </w:tcPr>
          <w:p w14:paraId="0E92DFC0">
            <w:pPr>
              <w:snapToGrid w:val="0"/>
              <w:spacing w:line="300" w:lineRule="exact"/>
              <w:ind w:right="-57"/>
              <w:jc w:val="center"/>
              <w:rPr>
                <w:rFonts w:ascii="黑体" w:hAnsi="黑体" w:eastAsia="黑体" w:cs="宋体"/>
                <w:highlight w:val="none"/>
              </w:rPr>
            </w:pPr>
            <w:r>
              <w:rPr>
                <w:rFonts w:hint="eastAsia" w:ascii="黑体" w:hAnsi="黑体" w:eastAsia="黑体" w:cs="宋体"/>
                <w:highlight w:val="none"/>
              </w:rPr>
              <w:t>条款内容</w:t>
            </w:r>
          </w:p>
        </w:tc>
        <w:tc>
          <w:tcPr>
            <w:tcW w:w="5496" w:type="dxa"/>
            <w:gridSpan w:val="4"/>
            <w:noWrap w:val="0"/>
            <w:vAlign w:val="center"/>
          </w:tcPr>
          <w:p w14:paraId="71804B87">
            <w:pPr>
              <w:snapToGrid w:val="0"/>
              <w:spacing w:line="300" w:lineRule="exact"/>
              <w:ind w:right="-57"/>
              <w:jc w:val="center"/>
              <w:rPr>
                <w:rFonts w:ascii="黑体" w:hAnsi="黑体" w:eastAsia="黑体" w:cs="宋体"/>
                <w:highlight w:val="none"/>
              </w:rPr>
            </w:pPr>
            <w:r>
              <w:rPr>
                <w:rFonts w:hint="eastAsia" w:ascii="黑体" w:hAnsi="黑体" w:eastAsia="黑体" w:cs="宋体"/>
                <w:highlight w:val="none"/>
              </w:rPr>
              <w:t>编列内容</w:t>
            </w:r>
          </w:p>
        </w:tc>
      </w:tr>
      <w:tr w14:paraId="40B29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813" w:type="dxa"/>
            <w:gridSpan w:val="2"/>
            <w:noWrap w:val="0"/>
            <w:vAlign w:val="center"/>
          </w:tcPr>
          <w:p w14:paraId="20448E93">
            <w:pPr>
              <w:snapToGrid w:val="0"/>
              <w:spacing w:line="300" w:lineRule="exact"/>
              <w:ind w:right="-58"/>
              <w:jc w:val="center"/>
              <w:rPr>
                <w:rFonts w:ascii="宋体" w:cs="宋体"/>
                <w:highlight w:val="none"/>
              </w:rPr>
            </w:pPr>
            <w:r>
              <w:rPr>
                <w:rFonts w:ascii="宋体" w:hAnsi="宋体" w:cs="宋体"/>
                <w:highlight w:val="none"/>
              </w:rPr>
              <w:t>3.</w:t>
            </w:r>
            <w:r>
              <w:rPr>
                <w:rFonts w:hint="eastAsia" w:ascii="宋体" w:hAnsi="宋体" w:cs="宋体"/>
                <w:highlight w:val="none"/>
              </w:rPr>
              <w:t>9</w:t>
            </w:r>
            <w:r>
              <w:rPr>
                <w:rFonts w:ascii="宋体" w:hAnsi="宋体" w:cs="宋体"/>
                <w:highlight w:val="none"/>
              </w:rPr>
              <w:t>.3</w:t>
            </w:r>
          </w:p>
        </w:tc>
        <w:tc>
          <w:tcPr>
            <w:tcW w:w="1985" w:type="dxa"/>
            <w:gridSpan w:val="2"/>
            <w:noWrap w:val="0"/>
            <w:vAlign w:val="center"/>
          </w:tcPr>
          <w:p w14:paraId="643B9251">
            <w:pPr>
              <w:snapToGrid w:val="0"/>
              <w:spacing w:line="300" w:lineRule="exact"/>
              <w:ind w:right="-58"/>
              <w:jc w:val="center"/>
              <w:rPr>
                <w:rFonts w:ascii="宋体" w:cs="宋体"/>
                <w:highlight w:val="none"/>
              </w:rPr>
            </w:pPr>
            <w:r>
              <w:rPr>
                <w:rFonts w:hint="eastAsia" w:ascii="宋体" w:hAnsi="宋体" w:cs="宋体"/>
                <w:highlight w:val="none"/>
              </w:rPr>
              <w:t>评标结果</w:t>
            </w:r>
          </w:p>
        </w:tc>
        <w:tc>
          <w:tcPr>
            <w:tcW w:w="5496" w:type="dxa"/>
            <w:gridSpan w:val="4"/>
            <w:noWrap w:val="0"/>
            <w:vAlign w:val="top"/>
          </w:tcPr>
          <w:p w14:paraId="10CA8D3A">
            <w:pPr>
              <w:spacing w:line="280" w:lineRule="exact"/>
              <w:ind w:firstLine="424" w:firstLineChars="202"/>
              <w:rPr>
                <w:rFonts w:ascii="宋体"/>
                <w:highlight w:val="none"/>
              </w:rPr>
            </w:pPr>
            <w:r>
              <w:rPr>
                <w:rFonts w:hint="eastAsia" w:ascii="宋体" w:hAnsi="宋体"/>
                <w:highlight w:val="none"/>
              </w:rPr>
              <w:t>增加</w:t>
            </w:r>
            <w:r>
              <w:rPr>
                <w:rFonts w:ascii="宋体" w:hAnsi="宋体"/>
                <w:highlight w:val="none"/>
              </w:rPr>
              <w:t>3.</w:t>
            </w:r>
            <w:r>
              <w:rPr>
                <w:rFonts w:hint="eastAsia" w:ascii="宋体" w:hAnsi="宋体"/>
                <w:highlight w:val="none"/>
              </w:rPr>
              <w:t>9</w:t>
            </w:r>
            <w:r>
              <w:rPr>
                <w:rFonts w:ascii="宋体" w:hAnsi="宋体"/>
                <w:highlight w:val="none"/>
              </w:rPr>
              <w:t>.3</w:t>
            </w:r>
            <w:r>
              <w:rPr>
                <w:rFonts w:hint="eastAsia" w:ascii="宋体" w:hAnsi="宋体"/>
                <w:highlight w:val="none"/>
              </w:rPr>
              <w:t>款如下</w:t>
            </w:r>
          </w:p>
          <w:p w14:paraId="5271BF7B">
            <w:pPr>
              <w:spacing w:line="280" w:lineRule="exact"/>
              <w:ind w:firstLine="424" w:firstLineChars="202"/>
              <w:rPr>
                <w:rFonts w:ascii="宋体"/>
                <w:highlight w:val="none"/>
              </w:rPr>
            </w:pPr>
            <w:r>
              <w:rPr>
                <w:rFonts w:hint="eastAsia" w:ascii="宋体" w:hAnsi="宋体"/>
                <w:highlight w:val="none"/>
              </w:rPr>
              <w:t>评标报告应当载明下列内容：</w:t>
            </w:r>
          </w:p>
          <w:p w14:paraId="1C1699B1">
            <w:pPr>
              <w:spacing w:line="280" w:lineRule="exact"/>
              <w:ind w:firstLine="424" w:firstLineChars="202"/>
              <w:rPr>
                <w:rFonts w:ascii="宋体"/>
                <w:highlight w:val="none"/>
              </w:rPr>
            </w:pPr>
            <w:r>
              <w:rPr>
                <w:rFonts w:hint="eastAsia" w:ascii="宋体" w:hAnsi="宋体"/>
                <w:highlight w:val="none"/>
              </w:rPr>
              <w:t>（一）招标项目基本情况；</w:t>
            </w:r>
          </w:p>
          <w:p w14:paraId="186B272C">
            <w:pPr>
              <w:spacing w:line="280" w:lineRule="exact"/>
              <w:ind w:firstLine="424" w:firstLineChars="202"/>
              <w:rPr>
                <w:rFonts w:ascii="宋体"/>
                <w:highlight w:val="none"/>
              </w:rPr>
            </w:pPr>
            <w:r>
              <w:rPr>
                <w:rFonts w:hint="eastAsia" w:ascii="宋体" w:hAnsi="宋体"/>
                <w:highlight w:val="none"/>
              </w:rPr>
              <w:t>（二）评标委员会成员名单；</w:t>
            </w:r>
          </w:p>
          <w:p w14:paraId="48BC8D82">
            <w:pPr>
              <w:spacing w:line="280" w:lineRule="exact"/>
              <w:ind w:firstLine="424" w:firstLineChars="202"/>
              <w:rPr>
                <w:rFonts w:ascii="宋体"/>
                <w:highlight w:val="none"/>
              </w:rPr>
            </w:pPr>
            <w:r>
              <w:rPr>
                <w:rFonts w:hint="eastAsia" w:ascii="宋体" w:hAnsi="宋体"/>
                <w:highlight w:val="none"/>
              </w:rPr>
              <w:t>（三）监督人员名单；</w:t>
            </w:r>
          </w:p>
          <w:p w14:paraId="7A214C8A">
            <w:pPr>
              <w:spacing w:line="280" w:lineRule="exact"/>
              <w:ind w:firstLine="424" w:firstLineChars="202"/>
              <w:rPr>
                <w:rFonts w:ascii="宋体"/>
                <w:highlight w:val="none"/>
              </w:rPr>
            </w:pPr>
            <w:r>
              <w:rPr>
                <w:rFonts w:hint="eastAsia" w:ascii="宋体" w:hAnsi="宋体"/>
                <w:highlight w:val="none"/>
              </w:rPr>
              <w:t>（四）开标记录；</w:t>
            </w:r>
          </w:p>
          <w:p w14:paraId="6A469444">
            <w:pPr>
              <w:spacing w:line="280" w:lineRule="exact"/>
              <w:ind w:firstLine="424" w:firstLineChars="202"/>
              <w:rPr>
                <w:rFonts w:ascii="宋体"/>
                <w:highlight w:val="none"/>
              </w:rPr>
            </w:pPr>
            <w:r>
              <w:rPr>
                <w:rFonts w:hint="eastAsia" w:ascii="宋体" w:hAnsi="宋体"/>
                <w:highlight w:val="none"/>
              </w:rPr>
              <w:t>（五）符合要求的投标人名单；</w:t>
            </w:r>
          </w:p>
          <w:p w14:paraId="3DE98F71">
            <w:pPr>
              <w:spacing w:line="280" w:lineRule="exact"/>
              <w:ind w:firstLine="424" w:firstLineChars="202"/>
              <w:rPr>
                <w:rFonts w:ascii="宋体"/>
                <w:highlight w:val="none"/>
              </w:rPr>
            </w:pPr>
            <w:r>
              <w:rPr>
                <w:rFonts w:hint="eastAsia" w:ascii="宋体" w:hAnsi="宋体"/>
                <w:highlight w:val="none"/>
              </w:rPr>
              <w:t>（六）否决的投标人名单以及否决理由；</w:t>
            </w:r>
          </w:p>
          <w:p w14:paraId="774AA0B2">
            <w:pPr>
              <w:spacing w:line="280" w:lineRule="exact"/>
              <w:ind w:firstLine="424" w:firstLineChars="202"/>
              <w:rPr>
                <w:rFonts w:ascii="宋体"/>
                <w:highlight w:val="none"/>
              </w:rPr>
            </w:pPr>
            <w:r>
              <w:rPr>
                <w:rFonts w:hint="eastAsia" w:ascii="宋体" w:hAnsi="宋体"/>
                <w:highlight w:val="none"/>
              </w:rPr>
              <w:t>（七）串通投标情形的评审情况说明；</w:t>
            </w:r>
          </w:p>
          <w:p w14:paraId="45ED6627">
            <w:pPr>
              <w:spacing w:line="280" w:lineRule="exact"/>
              <w:ind w:firstLine="424" w:firstLineChars="202"/>
              <w:rPr>
                <w:rFonts w:ascii="宋体"/>
                <w:highlight w:val="none"/>
              </w:rPr>
            </w:pPr>
            <w:r>
              <w:rPr>
                <w:rFonts w:hint="eastAsia" w:ascii="宋体" w:hAnsi="宋体"/>
                <w:highlight w:val="none"/>
              </w:rPr>
              <w:t>（八）评分情况；</w:t>
            </w:r>
          </w:p>
          <w:p w14:paraId="3312B920">
            <w:pPr>
              <w:spacing w:line="280" w:lineRule="exact"/>
              <w:ind w:firstLine="424" w:firstLineChars="202"/>
              <w:rPr>
                <w:rFonts w:ascii="宋体"/>
                <w:highlight w:val="none"/>
              </w:rPr>
            </w:pPr>
            <w:r>
              <w:rPr>
                <w:rFonts w:hint="eastAsia" w:ascii="宋体" w:hAnsi="宋体"/>
                <w:highlight w:val="none"/>
              </w:rPr>
              <w:t>（九）经评审的投标人排序；</w:t>
            </w:r>
          </w:p>
          <w:p w14:paraId="754A4F0E">
            <w:pPr>
              <w:spacing w:line="280" w:lineRule="exact"/>
              <w:ind w:firstLine="424" w:firstLineChars="202"/>
              <w:rPr>
                <w:rFonts w:ascii="宋体"/>
                <w:highlight w:val="none"/>
              </w:rPr>
            </w:pPr>
            <w:r>
              <w:rPr>
                <w:rFonts w:hint="eastAsia" w:ascii="宋体" w:hAnsi="宋体"/>
                <w:highlight w:val="none"/>
              </w:rPr>
              <w:t>（十）中标候选人名单；</w:t>
            </w:r>
          </w:p>
          <w:p w14:paraId="0E558D52">
            <w:pPr>
              <w:spacing w:line="280" w:lineRule="exact"/>
              <w:ind w:firstLine="424" w:firstLineChars="202"/>
              <w:rPr>
                <w:rFonts w:ascii="宋体"/>
                <w:highlight w:val="none"/>
              </w:rPr>
            </w:pPr>
            <w:r>
              <w:rPr>
                <w:rFonts w:hint="eastAsia" w:ascii="宋体" w:hAnsi="宋体"/>
                <w:highlight w:val="none"/>
              </w:rPr>
              <w:t>（十一）澄清、说明事项纪要；</w:t>
            </w:r>
          </w:p>
          <w:p w14:paraId="781505F9">
            <w:pPr>
              <w:spacing w:line="280" w:lineRule="exact"/>
              <w:ind w:firstLine="424" w:firstLineChars="202"/>
              <w:rPr>
                <w:rFonts w:ascii="宋体"/>
                <w:highlight w:val="none"/>
              </w:rPr>
            </w:pPr>
            <w:r>
              <w:rPr>
                <w:rFonts w:hint="eastAsia" w:ascii="宋体" w:hAnsi="宋体"/>
                <w:highlight w:val="none"/>
              </w:rPr>
              <w:t>（十二）需要说明的其他事项；</w:t>
            </w:r>
          </w:p>
          <w:p w14:paraId="4CA3BACA">
            <w:pPr>
              <w:spacing w:line="280" w:lineRule="exact"/>
              <w:ind w:firstLine="424" w:firstLineChars="202"/>
              <w:rPr>
                <w:rFonts w:ascii="宋体"/>
                <w:highlight w:val="none"/>
              </w:rPr>
            </w:pPr>
            <w:r>
              <w:rPr>
                <w:rFonts w:hint="eastAsia" w:ascii="宋体" w:hAnsi="宋体"/>
                <w:highlight w:val="none"/>
              </w:rPr>
              <w:t>（十三）评标附表。</w:t>
            </w:r>
          </w:p>
          <w:p w14:paraId="753B2933">
            <w:pPr>
              <w:spacing w:line="280" w:lineRule="exact"/>
              <w:ind w:firstLine="424" w:firstLineChars="202"/>
              <w:rPr>
                <w:rFonts w:ascii="宋体"/>
                <w:highlight w:val="none"/>
              </w:rPr>
            </w:pPr>
            <w:r>
              <w:rPr>
                <w:rFonts w:hint="eastAsia" w:ascii="宋体" w:hAnsi="宋体"/>
                <w:highlight w:val="none"/>
              </w:rPr>
              <w:t>对评标监督人员或者招标人代表干预正常评标活动，以及对招标投标活动的其他不正当言行，评标委员会应当在评标报告第（十二）项内容中如实记录。</w:t>
            </w:r>
          </w:p>
          <w:p w14:paraId="08621A8B">
            <w:pPr>
              <w:spacing w:line="280" w:lineRule="exact"/>
              <w:ind w:firstLine="424" w:firstLineChars="202"/>
              <w:rPr>
                <w:rFonts w:ascii="宋体"/>
                <w:highlight w:val="none"/>
              </w:rPr>
            </w:pPr>
            <w:r>
              <w:rPr>
                <w:rFonts w:hint="eastAsia" w:ascii="宋体" w:hAnsi="宋体"/>
                <w:highlight w:val="none"/>
              </w:rPr>
              <w:t>除第（一）、（三）、（四）项内容外，评标委员会所有成员应当在评标报告上逐页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tc>
      </w:tr>
      <w:tr w14:paraId="5688E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813" w:type="dxa"/>
            <w:gridSpan w:val="2"/>
            <w:noWrap w:val="0"/>
            <w:vAlign w:val="center"/>
          </w:tcPr>
          <w:p w14:paraId="10258728">
            <w:pPr>
              <w:snapToGrid w:val="0"/>
              <w:spacing w:line="300" w:lineRule="exact"/>
              <w:ind w:right="-58"/>
              <w:jc w:val="center"/>
              <w:rPr>
                <w:rFonts w:ascii="宋体" w:cs="宋体"/>
                <w:highlight w:val="none"/>
              </w:rPr>
            </w:pPr>
            <w:r>
              <w:rPr>
                <w:rFonts w:ascii="宋体" w:hAnsi="宋体" w:cs="宋体"/>
                <w:highlight w:val="none"/>
              </w:rPr>
              <w:t>3.</w:t>
            </w:r>
            <w:r>
              <w:rPr>
                <w:rFonts w:hint="eastAsia" w:ascii="宋体" w:hAnsi="宋体" w:cs="宋体"/>
                <w:highlight w:val="none"/>
              </w:rPr>
              <w:t>9</w:t>
            </w:r>
            <w:r>
              <w:rPr>
                <w:rFonts w:ascii="宋体" w:hAnsi="宋体" w:cs="宋体"/>
                <w:highlight w:val="none"/>
              </w:rPr>
              <w:t>.4</w:t>
            </w:r>
          </w:p>
        </w:tc>
        <w:tc>
          <w:tcPr>
            <w:tcW w:w="1985" w:type="dxa"/>
            <w:gridSpan w:val="2"/>
            <w:noWrap w:val="0"/>
            <w:vAlign w:val="center"/>
          </w:tcPr>
          <w:p w14:paraId="3F2EB8FE">
            <w:pPr>
              <w:snapToGrid w:val="0"/>
              <w:spacing w:line="300" w:lineRule="exact"/>
              <w:ind w:right="-58"/>
              <w:jc w:val="center"/>
              <w:rPr>
                <w:rFonts w:ascii="宋体" w:cs="宋体"/>
                <w:highlight w:val="none"/>
              </w:rPr>
            </w:pPr>
            <w:r>
              <w:rPr>
                <w:rFonts w:hint="eastAsia" w:ascii="宋体" w:hAnsi="宋体" w:cs="宋体"/>
                <w:highlight w:val="none"/>
              </w:rPr>
              <w:t>评标结果</w:t>
            </w:r>
          </w:p>
        </w:tc>
        <w:tc>
          <w:tcPr>
            <w:tcW w:w="5496" w:type="dxa"/>
            <w:gridSpan w:val="4"/>
            <w:noWrap w:val="0"/>
            <w:vAlign w:val="top"/>
          </w:tcPr>
          <w:p w14:paraId="44AAA869">
            <w:pPr>
              <w:spacing w:line="280" w:lineRule="exact"/>
              <w:ind w:firstLine="424" w:firstLineChars="202"/>
              <w:rPr>
                <w:rFonts w:ascii="宋体"/>
                <w:highlight w:val="none"/>
              </w:rPr>
            </w:pPr>
            <w:r>
              <w:rPr>
                <w:rFonts w:hint="eastAsia" w:ascii="宋体" w:hAnsi="宋体"/>
                <w:highlight w:val="none"/>
              </w:rPr>
              <w:t>增加</w:t>
            </w:r>
            <w:r>
              <w:rPr>
                <w:rFonts w:ascii="宋体" w:hAnsi="宋体" w:cs="宋体"/>
                <w:highlight w:val="none"/>
              </w:rPr>
              <w:t>3.</w:t>
            </w:r>
            <w:r>
              <w:rPr>
                <w:rFonts w:hint="eastAsia" w:ascii="宋体" w:hAnsi="宋体" w:cs="宋体"/>
                <w:highlight w:val="none"/>
              </w:rPr>
              <w:t>9</w:t>
            </w:r>
            <w:r>
              <w:rPr>
                <w:rFonts w:ascii="宋体" w:hAnsi="宋体" w:cs="宋体"/>
                <w:highlight w:val="none"/>
              </w:rPr>
              <w:t>.4</w:t>
            </w:r>
            <w:r>
              <w:rPr>
                <w:rFonts w:hint="eastAsia" w:ascii="宋体" w:hAnsi="宋体"/>
                <w:highlight w:val="none"/>
              </w:rPr>
              <w:t>款如下：评标委员会对投标文件进行评审后，因有效投标不足</w:t>
            </w:r>
            <w:r>
              <w:rPr>
                <w:rFonts w:ascii="宋体" w:hAnsi="宋体"/>
                <w:highlight w:val="none"/>
              </w:rPr>
              <w:t>3</w:t>
            </w:r>
            <w:r>
              <w:rPr>
                <w:rFonts w:hint="eastAsia" w:ascii="宋体" w:hAnsi="宋体"/>
                <w:highlight w:val="none"/>
              </w:rPr>
              <w:t>个使得投标明显缺乏竞争的</w:t>
            </w:r>
            <w:r>
              <w:rPr>
                <w:rFonts w:ascii="宋体"/>
                <w:highlight w:val="none"/>
              </w:rPr>
              <w:t>,</w:t>
            </w:r>
            <w:r>
              <w:rPr>
                <w:rFonts w:hint="eastAsia" w:ascii="宋体" w:hAnsi="宋体"/>
                <w:highlight w:val="none"/>
              </w:rPr>
              <w:t>可以否决全部投标。未否决全部投标的，评标委员会应当在评标报告中阐明理由并推荐中标候选人。</w:t>
            </w:r>
          </w:p>
          <w:p w14:paraId="7E80444B">
            <w:pPr>
              <w:spacing w:line="280" w:lineRule="exact"/>
              <w:ind w:firstLine="424" w:firstLineChars="202"/>
              <w:rPr>
                <w:rFonts w:ascii="宋体"/>
                <w:highlight w:val="none"/>
              </w:rPr>
            </w:pPr>
            <w:r>
              <w:rPr>
                <w:rFonts w:hint="eastAsia" w:ascii="宋体" w:hAnsi="宋体"/>
                <w:highlight w:val="none"/>
              </w:rPr>
              <w:t>投标文件按照招标文件规定采用双信封形式密封的，通过第一信封商务文件和技术文件评审的投标人在</w:t>
            </w:r>
            <w:r>
              <w:rPr>
                <w:rFonts w:ascii="宋体" w:hAnsi="宋体"/>
                <w:highlight w:val="none"/>
              </w:rPr>
              <w:t>3</w:t>
            </w:r>
            <w:r>
              <w:rPr>
                <w:rFonts w:hint="eastAsia" w:ascii="宋体" w:hAnsi="宋体"/>
                <w:highlight w:val="none"/>
              </w:rPr>
              <w:t>个以上的，招标人应当按照招标文件规定的程序进行第二信封报价文件开标；在对报价文件进行评审后，有效投标不足</w:t>
            </w:r>
            <w:r>
              <w:rPr>
                <w:rFonts w:ascii="宋体" w:hAnsi="宋体"/>
                <w:highlight w:val="none"/>
              </w:rPr>
              <w:t>3</w:t>
            </w:r>
            <w:r>
              <w:rPr>
                <w:rFonts w:hint="eastAsia" w:ascii="宋体" w:hAnsi="宋体"/>
                <w:highlight w:val="none"/>
              </w:rPr>
              <w:t>个的，评标委员会应当按照本条第一款规定执行。</w:t>
            </w:r>
          </w:p>
          <w:p w14:paraId="44194B9E">
            <w:pPr>
              <w:spacing w:line="280" w:lineRule="exact"/>
              <w:ind w:firstLine="424" w:firstLineChars="202"/>
              <w:rPr>
                <w:rFonts w:ascii="宋体"/>
                <w:highlight w:val="none"/>
              </w:rPr>
            </w:pPr>
            <w:r>
              <w:rPr>
                <w:rFonts w:hint="eastAsia" w:ascii="宋体" w:hAnsi="宋体"/>
                <w:highlight w:val="none"/>
              </w:rPr>
              <w:t>通过第一信封商务文件和技术文件评审的投标人少于</w:t>
            </w:r>
            <w:r>
              <w:rPr>
                <w:rFonts w:ascii="宋体" w:hAnsi="宋体"/>
                <w:highlight w:val="none"/>
              </w:rPr>
              <w:t>3</w:t>
            </w:r>
            <w:r>
              <w:rPr>
                <w:rFonts w:hint="eastAsia" w:ascii="宋体" w:hAnsi="宋体"/>
                <w:highlight w:val="none"/>
              </w:rPr>
              <w:t>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tc>
      </w:tr>
      <w:tr w14:paraId="6E496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1813" w:type="dxa"/>
            <w:gridSpan w:val="2"/>
            <w:noWrap w:val="0"/>
            <w:vAlign w:val="center"/>
          </w:tcPr>
          <w:p w14:paraId="55A4565F">
            <w:pPr>
              <w:snapToGrid w:val="0"/>
              <w:spacing w:line="300" w:lineRule="exact"/>
              <w:ind w:right="-58"/>
              <w:jc w:val="center"/>
              <w:rPr>
                <w:rFonts w:ascii="宋体" w:cs="宋体"/>
                <w:highlight w:val="none"/>
              </w:rPr>
            </w:pPr>
            <w:r>
              <w:rPr>
                <w:rFonts w:ascii="宋体" w:hAnsi="宋体" w:cs="宋体"/>
                <w:highlight w:val="none"/>
              </w:rPr>
              <w:t>3.</w:t>
            </w:r>
            <w:r>
              <w:rPr>
                <w:rFonts w:hint="eastAsia" w:ascii="宋体" w:hAnsi="宋体" w:cs="宋体"/>
                <w:highlight w:val="none"/>
              </w:rPr>
              <w:t>9</w:t>
            </w:r>
            <w:r>
              <w:rPr>
                <w:rFonts w:ascii="宋体" w:hAnsi="宋体" w:cs="宋体"/>
                <w:highlight w:val="none"/>
              </w:rPr>
              <w:t>.5</w:t>
            </w:r>
          </w:p>
        </w:tc>
        <w:tc>
          <w:tcPr>
            <w:tcW w:w="1985" w:type="dxa"/>
            <w:gridSpan w:val="2"/>
            <w:noWrap w:val="0"/>
            <w:vAlign w:val="center"/>
          </w:tcPr>
          <w:p w14:paraId="4F17905A">
            <w:pPr>
              <w:snapToGrid w:val="0"/>
              <w:spacing w:line="300" w:lineRule="exact"/>
              <w:ind w:right="-58"/>
              <w:jc w:val="center"/>
              <w:rPr>
                <w:rFonts w:ascii="宋体" w:cs="宋体"/>
                <w:highlight w:val="none"/>
              </w:rPr>
            </w:pPr>
            <w:r>
              <w:rPr>
                <w:rFonts w:hint="eastAsia" w:ascii="宋体" w:hAnsi="宋体" w:cs="宋体"/>
                <w:highlight w:val="none"/>
              </w:rPr>
              <w:t>评标结果</w:t>
            </w:r>
          </w:p>
        </w:tc>
        <w:tc>
          <w:tcPr>
            <w:tcW w:w="5496" w:type="dxa"/>
            <w:gridSpan w:val="4"/>
            <w:noWrap w:val="0"/>
            <w:vAlign w:val="center"/>
          </w:tcPr>
          <w:p w14:paraId="7797B614">
            <w:pPr>
              <w:spacing w:line="280" w:lineRule="exact"/>
              <w:ind w:firstLine="424" w:firstLineChars="202"/>
              <w:rPr>
                <w:rFonts w:ascii="宋体" w:cs="宋体"/>
                <w:highlight w:val="none"/>
              </w:rPr>
            </w:pPr>
            <w:r>
              <w:rPr>
                <w:rFonts w:hint="eastAsia" w:ascii="宋体" w:hAnsi="宋体"/>
                <w:highlight w:val="none"/>
              </w:rPr>
              <w:t>增加</w:t>
            </w:r>
            <w:r>
              <w:rPr>
                <w:rFonts w:ascii="宋体" w:hAnsi="宋体"/>
                <w:highlight w:val="none"/>
              </w:rPr>
              <w:t>3.</w:t>
            </w:r>
            <w:r>
              <w:rPr>
                <w:rFonts w:hint="eastAsia" w:ascii="宋体" w:hAnsi="宋体"/>
                <w:highlight w:val="none"/>
              </w:rPr>
              <w:t>9</w:t>
            </w:r>
            <w:r>
              <w:rPr>
                <w:rFonts w:ascii="宋体" w:hAnsi="宋体"/>
                <w:highlight w:val="none"/>
              </w:rPr>
              <w:t>.5</w:t>
            </w:r>
            <w:r>
              <w:rPr>
                <w:rFonts w:hint="eastAsia" w:ascii="宋体" w:hAnsi="宋体"/>
                <w:highlight w:val="none"/>
              </w:rPr>
              <w:t>款如下：根据综合得分由高至低排序，评标委员会推荐</w:t>
            </w:r>
            <w:r>
              <w:rPr>
                <w:rFonts w:ascii="宋体" w:hAnsi="宋体"/>
                <w:highlight w:val="none"/>
              </w:rPr>
              <w:t>1-3</w:t>
            </w:r>
            <w:r>
              <w:rPr>
                <w:rFonts w:hint="eastAsia" w:ascii="宋体" w:hAnsi="宋体"/>
                <w:highlight w:val="none"/>
              </w:rPr>
              <w:t>名中标候选人，并标明排列顺序。</w:t>
            </w:r>
          </w:p>
        </w:tc>
      </w:tr>
    </w:tbl>
    <w:p w14:paraId="46F983F4">
      <w:pPr>
        <w:spacing w:line="440" w:lineRule="atLeast"/>
        <w:jc w:val="right"/>
        <w:rPr>
          <w:rFonts w:eastAsia="黑体"/>
          <w:b/>
          <w:sz w:val="28"/>
          <w:szCs w:val="28"/>
          <w:highlight w:val="none"/>
        </w:rPr>
      </w:pPr>
    </w:p>
    <w:p w14:paraId="18D7EC85">
      <w:pPr>
        <w:spacing w:line="380" w:lineRule="exact"/>
        <w:rPr>
          <w:rFonts w:ascii="黑体" w:hAnsi="黑体" w:eastAsia="黑体"/>
          <w:sz w:val="28"/>
          <w:szCs w:val="28"/>
          <w:highlight w:val="none"/>
        </w:rPr>
      </w:pPr>
      <w:r>
        <w:rPr>
          <w:rFonts w:ascii="黑体" w:hAnsi="黑体" w:eastAsia="黑体"/>
          <w:sz w:val="28"/>
          <w:szCs w:val="28"/>
          <w:highlight w:val="none"/>
        </w:rPr>
        <w:t>1. 评标方法</w:t>
      </w:r>
    </w:p>
    <w:p w14:paraId="6497C17D">
      <w:pPr>
        <w:spacing w:line="380" w:lineRule="exact"/>
        <w:ind w:firstLine="480" w:firstLineChars="200"/>
        <w:rPr>
          <w:sz w:val="24"/>
          <w:highlight w:val="none"/>
        </w:rPr>
      </w:pPr>
      <w:r>
        <w:rPr>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Pr>
          <w:rFonts w:eastAsia="隶书"/>
          <w:sz w:val="24"/>
          <w:highlight w:val="none"/>
        </w:rPr>
        <w:t>综合评分相等时，评标委员会应按照评标办法前附表规定的优先次序推荐中标候选人或确定中标人。</w:t>
      </w:r>
    </w:p>
    <w:p w14:paraId="5D64E67B">
      <w:pPr>
        <w:spacing w:line="380" w:lineRule="exact"/>
        <w:rPr>
          <w:rFonts w:ascii="黑体" w:hAnsi="黑体" w:eastAsia="黑体"/>
          <w:sz w:val="28"/>
          <w:szCs w:val="28"/>
          <w:highlight w:val="none"/>
        </w:rPr>
      </w:pPr>
      <w:r>
        <w:rPr>
          <w:rFonts w:ascii="黑体" w:hAnsi="黑体" w:eastAsia="黑体"/>
          <w:sz w:val="28"/>
          <w:szCs w:val="28"/>
          <w:highlight w:val="none"/>
        </w:rPr>
        <w:t>2. 评审标准</w:t>
      </w:r>
    </w:p>
    <w:p w14:paraId="28B3799E">
      <w:pPr>
        <w:spacing w:line="380" w:lineRule="exact"/>
        <w:rPr>
          <w:rFonts w:ascii="黑体" w:hAnsi="黑体" w:eastAsia="黑体"/>
          <w:sz w:val="24"/>
          <w:highlight w:val="none"/>
        </w:rPr>
      </w:pPr>
      <w:r>
        <w:rPr>
          <w:rFonts w:ascii="黑体" w:hAnsi="黑体" w:eastAsia="黑体"/>
          <w:sz w:val="24"/>
          <w:highlight w:val="none"/>
        </w:rPr>
        <w:t>2.1 初步评审标准</w:t>
      </w:r>
    </w:p>
    <w:p w14:paraId="6CBC021B">
      <w:pPr>
        <w:spacing w:line="380" w:lineRule="exact"/>
        <w:ind w:firstLine="480" w:firstLineChars="200"/>
        <w:rPr>
          <w:sz w:val="24"/>
          <w:highlight w:val="none"/>
        </w:rPr>
      </w:pPr>
      <w:r>
        <w:rPr>
          <w:sz w:val="24"/>
          <w:highlight w:val="none"/>
        </w:rPr>
        <w:t>2.1.1 形式评审标准：见评标办法前附表。</w:t>
      </w:r>
    </w:p>
    <w:p w14:paraId="1FBBCA6F">
      <w:pPr>
        <w:spacing w:line="380" w:lineRule="exact"/>
        <w:ind w:firstLine="480" w:firstLineChars="200"/>
        <w:rPr>
          <w:rFonts w:eastAsia="隶书"/>
          <w:sz w:val="24"/>
          <w:highlight w:val="none"/>
        </w:rPr>
      </w:pPr>
      <w:r>
        <w:rPr>
          <w:rFonts w:eastAsia="隶书"/>
          <w:sz w:val="24"/>
          <w:highlight w:val="none"/>
        </w:rPr>
        <w:t>2.1.2 资格评审标准：见评标办法前附表。（适用于未进行资格预审的）</w:t>
      </w:r>
    </w:p>
    <w:p w14:paraId="303FD67A">
      <w:pPr>
        <w:spacing w:line="380" w:lineRule="exact"/>
        <w:ind w:firstLine="480" w:firstLineChars="200"/>
        <w:rPr>
          <w:sz w:val="24"/>
          <w:highlight w:val="none"/>
        </w:rPr>
      </w:pPr>
      <w:r>
        <w:rPr>
          <w:rFonts w:eastAsia="隶书"/>
          <w:sz w:val="24"/>
          <w:highlight w:val="none"/>
        </w:rPr>
        <w:t>2.1.2 资格评审标准：见资格预审文件第三章“资格审查办法”详细审查标准。（适用于已进行资格预审的）</w:t>
      </w:r>
    </w:p>
    <w:p w14:paraId="556527B8">
      <w:pPr>
        <w:spacing w:line="380" w:lineRule="exact"/>
        <w:ind w:firstLine="480" w:firstLineChars="200"/>
        <w:rPr>
          <w:sz w:val="24"/>
          <w:highlight w:val="none"/>
        </w:rPr>
      </w:pPr>
      <w:r>
        <w:rPr>
          <w:sz w:val="24"/>
          <w:highlight w:val="none"/>
        </w:rPr>
        <w:t>2.1.3 响应性评审标准：见评标办法前附表。</w:t>
      </w:r>
    </w:p>
    <w:p w14:paraId="6223431E">
      <w:pPr>
        <w:spacing w:line="380" w:lineRule="exact"/>
        <w:rPr>
          <w:rFonts w:ascii="黑体" w:hAnsi="黑体" w:eastAsia="黑体"/>
          <w:sz w:val="24"/>
          <w:highlight w:val="none"/>
        </w:rPr>
      </w:pPr>
      <w:r>
        <w:rPr>
          <w:rFonts w:ascii="黑体" w:hAnsi="黑体" w:eastAsia="黑体"/>
          <w:sz w:val="24"/>
          <w:highlight w:val="none"/>
        </w:rPr>
        <w:t>2.2 分值构成与评分标准</w:t>
      </w:r>
    </w:p>
    <w:p w14:paraId="1BEFC99F">
      <w:pPr>
        <w:tabs>
          <w:tab w:val="left" w:pos="360"/>
        </w:tabs>
        <w:spacing w:line="380" w:lineRule="exact"/>
        <w:ind w:firstLine="480" w:firstLineChars="200"/>
        <w:rPr>
          <w:sz w:val="24"/>
          <w:highlight w:val="none"/>
        </w:rPr>
      </w:pPr>
      <w:r>
        <w:rPr>
          <w:sz w:val="24"/>
          <w:highlight w:val="none"/>
        </w:rPr>
        <w:t xml:space="preserve">2.2.1 </w:t>
      </w:r>
      <w:r>
        <w:rPr>
          <w:rFonts w:eastAsia="黑体"/>
          <w:sz w:val="24"/>
          <w:highlight w:val="none"/>
        </w:rPr>
        <w:t>分值构成</w:t>
      </w:r>
    </w:p>
    <w:p w14:paraId="383DB09F">
      <w:pPr>
        <w:spacing w:line="380" w:lineRule="exact"/>
        <w:ind w:firstLine="480" w:firstLineChars="200"/>
        <w:rPr>
          <w:rFonts w:eastAsia="隶书"/>
          <w:sz w:val="24"/>
          <w:highlight w:val="none"/>
        </w:rPr>
      </w:pPr>
      <w:r>
        <w:rPr>
          <w:rFonts w:eastAsia="隶书"/>
          <w:sz w:val="24"/>
          <w:highlight w:val="none"/>
        </w:rPr>
        <w:t>（1）技术建议书：见评标办法前附表；</w:t>
      </w:r>
    </w:p>
    <w:p w14:paraId="1CE65FAD">
      <w:pPr>
        <w:spacing w:line="380" w:lineRule="exact"/>
        <w:ind w:firstLine="480" w:firstLineChars="200"/>
        <w:rPr>
          <w:rFonts w:eastAsia="隶书"/>
          <w:sz w:val="24"/>
          <w:highlight w:val="none"/>
        </w:rPr>
      </w:pPr>
      <w:r>
        <w:rPr>
          <w:rFonts w:eastAsia="隶书"/>
          <w:sz w:val="24"/>
          <w:highlight w:val="none"/>
        </w:rPr>
        <w:t>（2）主要人员：见评标办法前附表；</w:t>
      </w:r>
    </w:p>
    <w:p w14:paraId="28F6BCC3">
      <w:pPr>
        <w:spacing w:line="380" w:lineRule="exact"/>
        <w:ind w:firstLine="480" w:firstLineChars="200"/>
        <w:rPr>
          <w:sz w:val="24"/>
          <w:highlight w:val="none"/>
        </w:rPr>
      </w:pPr>
      <w:r>
        <w:rPr>
          <w:sz w:val="24"/>
          <w:highlight w:val="none"/>
        </w:rPr>
        <w:t>（3）</w:t>
      </w:r>
      <w:r>
        <w:rPr>
          <w:rFonts w:eastAsia="隶书"/>
          <w:sz w:val="24"/>
          <w:highlight w:val="none"/>
        </w:rPr>
        <w:t>评标价：</w:t>
      </w:r>
      <w:r>
        <w:rPr>
          <w:sz w:val="24"/>
          <w:highlight w:val="none"/>
        </w:rPr>
        <w:t>见评标办法前附表；</w:t>
      </w:r>
    </w:p>
    <w:p w14:paraId="6CC667CF">
      <w:pPr>
        <w:spacing w:line="380" w:lineRule="exact"/>
        <w:ind w:firstLine="480" w:firstLineChars="200"/>
        <w:rPr>
          <w:sz w:val="24"/>
          <w:highlight w:val="none"/>
        </w:rPr>
      </w:pPr>
      <w:r>
        <w:rPr>
          <w:sz w:val="24"/>
          <w:highlight w:val="none"/>
        </w:rPr>
        <w:t>（4）其他评分因素：见评标办法前附表。</w:t>
      </w:r>
    </w:p>
    <w:p w14:paraId="198D60C7">
      <w:pPr>
        <w:spacing w:line="380" w:lineRule="exact"/>
        <w:ind w:firstLine="480" w:firstLineChars="200"/>
        <w:rPr>
          <w:sz w:val="24"/>
          <w:highlight w:val="none"/>
        </w:rPr>
      </w:pPr>
      <w:r>
        <w:rPr>
          <w:sz w:val="24"/>
          <w:highlight w:val="none"/>
        </w:rPr>
        <w:t xml:space="preserve">2.2.2 </w:t>
      </w:r>
      <w:r>
        <w:rPr>
          <w:rFonts w:eastAsia="黑体"/>
          <w:sz w:val="24"/>
          <w:highlight w:val="none"/>
        </w:rPr>
        <w:t>评标基准价计算</w:t>
      </w:r>
    </w:p>
    <w:p w14:paraId="4526D45A">
      <w:pPr>
        <w:spacing w:line="380" w:lineRule="exact"/>
        <w:ind w:firstLine="480" w:firstLineChars="200"/>
        <w:rPr>
          <w:sz w:val="24"/>
          <w:highlight w:val="none"/>
        </w:rPr>
      </w:pPr>
      <w:r>
        <w:rPr>
          <w:sz w:val="24"/>
          <w:highlight w:val="none"/>
        </w:rPr>
        <w:t>评标基准价计算方法：见评标办法前附表。</w:t>
      </w:r>
    </w:p>
    <w:p w14:paraId="380F4C4C">
      <w:pPr>
        <w:spacing w:line="380" w:lineRule="exact"/>
        <w:ind w:firstLine="480" w:firstLineChars="200"/>
        <w:rPr>
          <w:sz w:val="24"/>
          <w:highlight w:val="none"/>
        </w:rPr>
      </w:pPr>
      <w:r>
        <w:rPr>
          <w:sz w:val="24"/>
          <w:highlight w:val="none"/>
        </w:rPr>
        <w:t xml:space="preserve">2.2.3 </w:t>
      </w:r>
      <w:r>
        <w:rPr>
          <w:rFonts w:eastAsia="黑体"/>
          <w:sz w:val="24"/>
          <w:highlight w:val="none"/>
        </w:rPr>
        <w:t>评标价的偏差率计算</w:t>
      </w:r>
    </w:p>
    <w:p w14:paraId="6CA11DB2">
      <w:pPr>
        <w:spacing w:line="380" w:lineRule="exact"/>
        <w:ind w:firstLine="480" w:firstLineChars="200"/>
        <w:rPr>
          <w:sz w:val="24"/>
          <w:highlight w:val="none"/>
        </w:rPr>
      </w:pPr>
      <w:r>
        <w:rPr>
          <w:rFonts w:eastAsia="隶书"/>
          <w:sz w:val="24"/>
          <w:highlight w:val="none"/>
        </w:rPr>
        <w:t>评标价的偏差率计算公式</w:t>
      </w:r>
      <w:r>
        <w:rPr>
          <w:sz w:val="24"/>
          <w:highlight w:val="none"/>
        </w:rPr>
        <w:t>：见评标办法前附表。</w:t>
      </w:r>
    </w:p>
    <w:p w14:paraId="1C3D61E7">
      <w:pPr>
        <w:spacing w:line="380" w:lineRule="exact"/>
        <w:ind w:firstLine="480" w:firstLineChars="200"/>
        <w:rPr>
          <w:sz w:val="24"/>
          <w:highlight w:val="none"/>
        </w:rPr>
      </w:pPr>
      <w:r>
        <w:rPr>
          <w:sz w:val="24"/>
          <w:highlight w:val="none"/>
        </w:rPr>
        <w:t xml:space="preserve">2.2.4 </w:t>
      </w:r>
      <w:r>
        <w:rPr>
          <w:rFonts w:eastAsia="黑体"/>
          <w:sz w:val="24"/>
          <w:highlight w:val="none"/>
        </w:rPr>
        <w:t>评分标准</w:t>
      </w:r>
    </w:p>
    <w:p w14:paraId="70D3F427">
      <w:pPr>
        <w:spacing w:line="380" w:lineRule="exact"/>
        <w:ind w:firstLine="480" w:firstLineChars="200"/>
        <w:rPr>
          <w:rFonts w:eastAsia="隶书"/>
          <w:sz w:val="24"/>
          <w:highlight w:val="none"/>
        </w:rPr>
      </w:pPr>
      <w:r>
        <w:rPr>
          <w:rFonts w:eastAsia="隶书"/>
          <w:sz w:val="24"/>
          <w:highlight w:val="none"/>
        </w:rPr>
        <w:t>（1）技术建议书评分标准：见评标办法前附表；</w:t>
      </w:r>
    </w:p>
    <w:p w14:paraId="45C89757">
      <w:pPr>
        <w:spacing w:line="380" w:lineRule="exact"/>
        <w:ind w:firstLine="480" w:firstLineChars="200"/>
        <w:rPr>
          <w:rFonts w:eastAsia="隶书"/>
          <w:sz w:val="24"/>
          <w:highlight w:val="none"/>
        </w:rPr>
      </w:pPr>
      <w:r>
        <w:rPr>
          <w:rFonts w:eastAsia="隶书"/>
          <w:sz w:val="24"/>
          <w:highlight w:val="none"/>
        </w:rPr>
        <w:t>（2）主要人员评分标准：见评标办法前附表；</w:t>
      </w:r>
    </w:p>
    <w:p w14:paraId="06BC379C">
      <w:pPr>
        <w:spacing w:line="380" w:lineRule="exact"/>
        <w:ind w:firstLine="480" w:firstLineChars="200"/>
        <w:rPr>
          <w:sz w:val="24"/>
          <w:highlight w:val="none"/>
        </w:rPr>
      </w:pPr>
      <w:r>
        <w:rPr>
          <w:sz w:val="24"/>
          <w:highlight w:val="none"/>
        </w:rPr>
        <w:t>（3）</w:t>
      </w:r>
      <w:r>
        <w:rPr>
          <w:rFonts w:eastAsia="隶书"/>
          <w:sz w:val="24"/>
          <w:highlight w:val="none"/>
        </w:rPr>
        <w:t>评标价评分标准</w:t>
      </w:r>
      <w:r>
        <w:rPr>
          <w:sz w:val="24"/>
          <w:highlight w:val="none"/>
        </w:rPr>
        <w:t>：见评标办法前附表；</w:t>
      </w:r>
    </w:p>
    <w:p w14:paraId="6770BDFF">
      <w:pPr>
        <w:spacing w:line="380" w:lineRule="exact"/>
        <w:ind w:firstLine="480" w:firstLineChars="200"/>
        <w:rPr>
          <w:sz w:val="24"/>
          <w:highlight w:val="none"/>
        </w:rPr>
      </w:pPr>
      <w:r>
        <w:rPr>
          <w:sz w:val="24"/>
          <w:highlight w:val="none"/>
        </w:rPr>
        <w:t>（4）其他因素评分标准：见评标办法前附表。</w:t>
      </w:r>
    </w:p>
    <w:p w14:paraId="2E35410F">
      <w:pPr>
        <w:spacing w:line="380" w:lineRule="exact"/>
        <w:rPr>
          <w:rFonts w:ascii="黑体" w:hAnsi="黑体" w:eastAsia="黑体"/>
          <w:sz w:val="28"/>
          <w:szCs w:val="28"/>
          <w:highlight w:val="none"/>
        </w:rPr>
      </w:pPr>
      <w:r>
        <w:rPr>
          <w:rFonts w:ascii="黑体" w:hAnsi="黑体" w:eastAsia="黑体"/>
          <w:sz w:val="28"/>
          <w:szCs w:val="28"/>
          <w:highlight w:val="none"/>
        </w:rPr>
        <w:t>3. 评标程序</w:t>
      </w:r>
    </w:p>
    <w:p w14:paraId="7B104491">
      <w:pPr>
        <w:spacing w:line="380" w:lineRule="exact"/>
        <w:rPr>
          <w:rFonts w:ascii="黑体" w:hAnsi="黑体" w:eastAsia="黑体"/>
          <w:sz w:val="24"/>
          <w:highlight w:val="none"/>
        </w:rPr>
      </w:pPr>
      <w:r>
        <w:rPr>
          <w:rFonts w:ascii="黑体" w:hAnsi="黑体" w:eastAsia="黑体"/>
          <w:sz w:val="24"/>
          <w:highlight w:val="none"/>
        </w:rPr>
        <w:t>3.1 第一个信封初步评审</w:t>
      </w:r>
    </w:p>
    <w:p w14:paraId="298FBEEE">
      <w:pPr>
        <w:spacing w:line="380" w:lineRule="exact"/>
        <w:ind w:firstLine="480" w:firstLineChars="200"/>
        <w:rPr>
          <w:rFonts w:eastAsia="隶书"/>
          <w:sz w:val="24"/>
          <w:highlight w:val="none"/>
        </w:rPr>
      </w:pPr>
      <w:r>
        <w:rPr>
          <w:rFonts w:eastAsia="隶书"/>
          <w:sz w:val="24"/>
          <w:highlight w:val="none"/>
        </w:rPr>
        <w:t>3.1.1 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00913604">
      <w:pPr>
        <w:spacing w:line="380" w:lineRule="exact"/>
        <w:ind w:firstLine="480" w:firstLineChars="200"/>
        <w:rPr>
          <w:rFonts w:eastAsia="隶书"/>
          <w:sz w:val="24"/>
          <w:highlight w:val="none"/>
        </w:rPr>
      </w:pPr>
      <w:r>
        <w:rPr>
          <w:rFonts w:eastAsia="隶书"/>
          <w:sz w:val="24"/>
          <w:highlight w:val="none"/>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14:paraId="4BAA5C3F">
      <w:pPr>
        <w:spacing w:line="380" w:lineRule="exact"/>
        <w:rPr>
          <w:rFonts w:ascii="黑体" w:hAnsi="黑体" w:eastAsia="黑体"/>
          <w:sz w:val="24"/>
          <w:highlight w:val="none"/>
        </w:rPr>
      </w:pPr>
      <w:r>
        <w:rPr>
          <w:rFonts w:ascii="黑体" w:hAnsi="黑体" w:eastAsia="黑体"/>
          <w:sz w:val="24"/>
          <w:highlight w:val="none"/>
        </w:rPr>
        <w:t>3.2 第一个信封详细评审</w:t>
      </w:r>
    </w:p>
    <w:p w14:paraId="3BB6CA3F">
      <w:pPr>
        <w:spacing w:line="380" w:lineRule="exact"/>
        <w:ind w:firstLine="480" w:firstLineChars="200"/>
        <w:rPr>
          <w:rFonts w:eastAsia="隶书"/>
          <w:sz w:val="24"/>
          <w:highlight w:val="none"/>
        </w:rPr>
      </w:pPr>
      <w:r>
        <w:rPr>
          <w:rFonts w:eastAsia="隶书"/>
          <w:sz w:val="24"/>
          <w:highlight w:val="none"/>
        </w:rPr>
        <w:t>3.2.1 评标委员会按本章第2.2款规定的量化因素和分值进行打分，并计算出各投标人的商务和技术得分。</w:t>
      </w:r>
    </w:p>
    <w:p w14:paraId="74295CD0">
      <w:pPr>
        <w:spacing w:line="380" w:lineRule="exact"/>
        <w:ind w:firstLine="480" w:firstLineChars="200"/>
        <w:rPr>
          <w:rFonts w:eastAsia="隶书"/>
          <w:sz w:val="24"/>
          <w:highlight w:val="none"/>
        </w:rPr>
      </w:pPr>
      <w:r>
        <w:rPr>
          <w:rFonts w:eastAsia="隶书"/>
          <w:sz w:val="24"/>
          <w:highlight w:val="none"/>
        </w:rPr>
        <w:t>（1）按本章第2.2.4项（1）目规定的评审因素和分值对技术建议书部分计算出得分A；</w:t>
      </w:r>
    </w:p>
    <w:p w14:paraId="3CB04532">
      <w:pPr>
        <w:spacing w:line="380" w:lineRule="exact"/>
        <w:ind w:firstLine="480" w:firstLineChars="200"/>
        <w:rPr>
          <w:rFonts w:eastAsia="隶书"/>
          <w:sz w:val="24"/>
          <w:highlight w:val="none"/>
        </w:rPr>
      </w:pPr>
      <w:r>
        <w:rPr>
          <w:rFonts w:eastAsia="隶书"/>
          <w:sz w:val="24"/>
          <w:highlight w:val="none"/>
        </w:rPr>
        <w:t>（2）按本章第2.2.4项（2）目规定的评审因素和分值对主要人员部分计算出得分B；</w:t>
      </w:r>
    </w:p>
    <w:p w14:paraId="0B71FFF5">
      <w:pPr>
        <w:spacing w:line="380" w:lineRule="exact"/>
        <w:ind w:firstLine="480" w:firstLineChars="200"/>
        <w:rPr>
          <w:rFonts w:eastAsia="隶书"/>
          <w:sz w:val="24"/>
          <w:highlight w:val="none"/>
        </w:rPr>
      </w:pPr>
      <w:r>
        <w:rPr>
          <w:rFonts w:eastAsia="隶书"/>
          <w:sz w:val="24"/>
          <w:highlight w:val="none"/>
        </w:rPr>
        <w:t>（3）按本章第2.2.4项（4）目规定的评审因素和分值对其他部分计算出得分D。</w:t>
      </w:r>
    </w:p>
    <w:p w14:paraId="63D8627E">
      <w:pPr>
        <w:spacing w:line="380" w:lineRule="exact"/>
        <w:ind w:firstLine="480" w:firstLineChars="200"/>
        <w:rPr>
          <w:rFonts w:eastAsia="隶书"/>
          <w:sz w:val="24"/>
          <w:highlight w:val="none"/>
        </w:rPr>
      </w:pPr>
      <w:r>
        <w:rPr>
          <w:rFonts w:eastAsia="隶书"/>
          <w:sz w:val="24"/>
          <w:highlight w:val="none"/>
        </w:rPr>
        <w:t>3.2.2 投标人的商务和技术得分分值计算保留小数点后两位，小数点后第三位“四舍五入”。</w:t>
      </w:r>
    </w:p>
    <w:p w14:paraId="70951FCE">
      <w:pPr>
        <w:spacing w:line="380" w:lineRule="exact"/>
        <w:ind w:firstLine="480" w:firstLineChars="200"/>
        <w:rPr>
          <w:rFonts w:eastAsia="隶书"/>
          <w:sz w:val="24"/>
          <w:highlight w:val="none"/>
        </w:rPr>
      </w:pPr>
      <w:r>
        <w:rPr>
          <w:rFonts w:eastAsia="隶书"/>
          <w:sz w:val="24"/>
          <w:highlight w:val="none"/>
        </w:rPr>
        <w:t>3.2.3 投标人的商务和技术得分=A+B+D。</w:t>
      </w:r>
    </w:p>
    <w:p w14:paraId="3CB6D926">
      <w:pPr>
        <w:spacing w:line="380" w:lineRule="exact"/>
        <w:rPr>
          <w:rFonts w:ascii="黑体" w:hAnsi="黑体" w:eastAsia="黑体"/>
          <w:sz w:val="24"/>
          <w:highlight w:val="none"/>
        </w:rPr>
      </w:pPr>
      <w:r>
        <w:rPr>
          <w:rFonts w:ascii="黑体" w:hAnsi="黑体" w:eastAsia="黑体"/>
          <w:sz w:val="24"/>
          <w:highlight w:val="none"/>
        </w:rPr>
        <w:t>3.3 第二个信封开标</w:t>
      </w:r>
    </w:p>
    <w:p w14:paraId="1525C2F6">
      <w:pPr>
        <w:spacing w:line="380" w:lineRule="exact"/>
        <w:ind w:firstLine="480" w:firstLineChars="200"/>
        <w:rPr>
          <w:rFonts w:eastAsia="隶书"/>
          <w:sz w:val="24"/>
          <w:highlight w:val="none"/>
        </w:rPr>
      </w:pPr>
      <w:r>
        <w:rPr>
          <w:rFonts w:eastAsia="隶书"/>
          <w:sz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546EA657">
      <w:pPr>
        <w:spacing w:line="380" w:lineRule="exact"/>
        <w:rPr>
          <w:rFonts w:ascii="黑体" w:hAnsi="黑体" w:eastAsia="黑体"/>
          <w:sz w:val="24"/>
          <w:highlight w:val="none"/>
        </w:rPr>
      </w:pPr>
      <w:r>
        <w:rPr>
          <w:rFonts w:ascii="黑体" w:hAnsi="黑体" w:eastAsia="黑体"/>
          <w:sz w:val="24"/>
          <w:highlight w:val="none"/>
        </w:rPr>
        <w:t>3.4 第二个信封初步评审</w:t>
      </w:r>
    </w:p>
    <w:p w14:paraId="37AF4175">
      <w:pPr>
        <w:spacing w:line="380" w:lineRule="exact"/>
        <w:ind w:firstLine="480" w:firstLineChars="200"/>
        <w:rPr>
          <w:rFonts w:eastAsia="隶书"/>
          <w:sz w:val="24"/>
          <w:highlight w:val="none"/>
        </w:rPr>
      </w:pPr>
      <w:r>
        <w:rPr>
          <w:rFonts w:eastAsia="隶书"/>
          <w:sz w:val="24"/>
          <w:highlight w:val="none"/>
        </w:rPr>
        <w:t>3.4.1 评标委员会依据本章第2.1.1项、第2.1.3项规定的评审标准对投标文件第二个信封（报价文件）进行初步评审。有一项不符合评审标准的，评标委员会应否决其投标。</w:t>
      </w:r>
    </w:p>
    <w:p w14:paraId="320F72F2">
      <w:pPr>
        <w:spacing w:line="380" w:lineRule="exact"/>
        <w:ind w:firstLine="480" w:firstLineChars="200"/>
        <w:rPr>
          <w:rFonts w:eastAsia="隶书"/>
          <w:sz w:val="24"/>
          <w:highlight w:val="none"/>
        </w:rPr>
      </w:pPr>
      <w:r>
        <w:rPr>
          <w:rFonts w:eastAsia="隶书"/>
          <w:sz w:val="24"/>
          <w:highlight w:val="none"/>
        </w:rPr>
        <w:t>3.4.2 投标报价有算术错误的，评标委员会按以下原则对投标报价进行修正，修正的价格经投标人书面确认后具有约束力。投标人不接受修正价格的，评标委员会应否决其投标。</w:t>
      </w:r>
    </w:p>
    <w:p w14:paraId="3DEE8DC6">
      <w:pPr>
        <w:spacing w:line="380" w:lineRule="exact"/>
        <w:ind w:firstLine="480" w:firstLineChars="200"/>
        <w:rPr>
          <w:rFonts w:eastAsia="隶书"/>
          <w:sz w:val="24"/>
          <w:highlight w:val="none"/>
        </w:rPr>
      </w:pPr>
      <w:r>
        <w:rPr>
          <w:rFonts w:eastAsia="隶书"/>
          <w:sz w:val="24"/>
          <w:highlight w:val="none"/>
        </w:rPr>
        <w:t>（1）投标文件中的大写金额与小写金额不一致的，以大写金额为准；</w:t>
      </w:r>
    </w:p>
    <w:p w14:paraId="2672B394">
      <w:pPr>
        <w:spacing w:line="380" w:lineRule="exact"/>
        <w:ind w:firstLine="480" w:firstLineChars="200"/>
        <w:rPr>
          <w:rFonts w:eastAsia="隶书"/>
          <w:sz w:val="24"/>
          <w:highlight w:val="none"/>
        </w:rPr>
      </w:pPr>
      <w:r>
        <w:rPr>
          <w:rFonts w:eastAsia="隶书"/>
          <w:sz w:val="24"/>
          <w:highlight w:val="none"/>
        </w:rPr>
        <w:t>（2）总价金额与依据单价计算出的结果不一致的，以单价金额为准修正总价，但单价金额小数点有明显错误的除外；</w:t>
      </w:r>
    </w:p>
    <w:p w14:paraId="348DBAE1">
      <w:pPr>
        <w:spacing w:line="380" w:lineRule="exact"/>
        <w:ind w:firstLine="480" w:firstLineChars="200"/>
        <w:rPr>
          <w:rFonts w:eastAsia="隶书"/>
          <w:sz w:val="24"/>
          <w:highlight w:val="none"/>
        </w:rPr>
      </w:pPr>
      <w:r>
        <w:rPr>
          <w:rFonts w:eastAsia="隶书"/>
          <w:sz w:val="24"/>
          <w:highlight w:val="none"/>
        </w:rPr>
        <w:t>（3）当单价与数量相乘不等于合价时，以单价计算为准，如果单价有明显的小数点位置差错，应以标出的合价为准，同时对单价予以修正；</w:t>
      </w:r>
    </w:p>
    <w:p w14:paraId="67F4FCDE">
      <w:pPr>
        <w:spacing w:line="380" w:lineRule="exact"/>
        <w:ind w:firstLine="480" w:firstLineChars="200"/>
        <w:rPr>
          <w:rFonts w:eastAsia="隶书"/>
          <w:sz w:val="24"/>
          <w:highlight w:val="none"/>
        </w:rPr>
      </w:pPr>
      <w:r>
        <w:rPr>
          <w:rFonts w:eastAsia="隶书"/>
          <w:sz w:val="24"/>
          <w:highlight w:val="none"/>
        </w:rPr>
        <w:t>（4）当各子目的合价累计不等于总价时，应以各子目合价累计数为准，修正总价。</w:t>
      </w:r>
    </w:p>
    <w:p w14:paraId="0A0084CF">
      <w:pPr>
        <w:spacing w:line="380" w:lineRule="exact"/>
        <w:ind w:firstLine="480" w:firstLineChars="200"/>
        <w:rPr>
          <w:rFonts w:eastAsia="隶书"/>
          <w:sz w:val="24"/>
          <w:highlight w:val="none"/>
        </w:rPr>
      </w:pPr>
      <w:r>
        <w:rPr>
          <w:rFonts w:eastAsia="隶书"/>
          <w:sz w:val="24"/>
          <w:highlight w:val="none"/>
        </w:rPr>
        <w:t>3.4.3 修正后的最终投标报价若超过最高投标限价（如有），评标委员会应否决其投标。</w:t>
      </w:r>
    </w:p>
    <w:p w14:paraId="6353B538">
      <w:pPr>
        <w:spacing w:line="380" w:lineRule="exact"/>
        <w:ind w:firstLine="480" w:firstLineChars="200"/>
        <w:rPr>
          <w:rFonts w:eastAsia="隶书"/>
          <w:sz w:val="24"/>
          <w:highlight w:val="none"/>
        </w:rPr>
      </w:pPr>
      <w:r>
        <w:rPr>
          <w:rFonts w:eastAsia="隶书"/>
          <w:sz w:val="24"/>
          <w:highlight w:val="none"/>
        </w:rPr>
        <w:t>3.4.4 修正后的最终投标报价仅作为签订合同的一个依据，不参与评标价得分的计算。</w:t>
      </w:r>
    </w:p>
    <w:p w14:paraId="33CE7C01">
      <w:pPr>
        <w:spacing w:line="380" w:lineRule="exact"/>
        <w:rPr>
          <w:rFonts w:ascii="黑体" w:hAnsi="黑体" w:eastAsia="黑体"/>
          <w:sz w:val="24"/>
          <w:highlight w:val="none"/>
        </w:rPr>
      </w:pPr>
      <w:r>
        <w:rPr>
          <w:rFonts w:ascii="黑体" w:hAnsi="黑体" w:eastAsia="黑体"/>
          <w:sz w:val="24"/>
          <w:highlight w:val="none"/>
        </w:rPr>
        <w:t>3.5 第二个信封详细评审</w:t>
      </w:r>
    </w:p>
    <w:p w14:paraId="6D4C5680">
      <w:pPr>
        <w:spacing w:line="380" w:lineRule="exact"/>
        <w:ind w:firstLine="480" w:firstLineChars="200"/>
        <w:rPr>
          <w:rFonts w:eastAsia="隶书"/>
          <w:sz w:val="24"/>
          <w:highlight w:val="none"/>
        </w:rPr>
      </w:pPr>
      <w:r>
        <w:rPr>
          <w:rFonts w:eastAsia="隶书"/>
          <w:sz w:val="24"/>
          <w:highlight w:val="none"/>
        </w:rPr>
        <w:t>3.5.1 评标委员会按本章第2.2.4项（3）目规定的评审因素和分值对评标价计算出得分C。评标价得分分值计算保留小数点后两位，小数点后第三位“四舍五入”。</w:t>
      </w:r>
    </w:p>
    <w:p w14:paraId="4A82C09C">
      <w:pPr>
        <w:spacing w:line="380" w:lineRule="exact"/>
        <w:ind w:firstLine="480" w:firstLineChars="200"/>
        <w:rPr>
          <w:rFonts w:eastAsia="隶书"/>
          <w:sz w:val="24"/>
          <w:highlight w:val="none"/>
        </w:rPr>
      </w:pPr>
      <w:r>
        <w:rPr>
          <w:rFonts w:eastAsia="隶书"/>
          <w:sz w:val="24"/>
          <w:highlight w:val="none"/>
        </w:rPr>
        <w:t>3.5.2 投标人综合得分=投标人的商务和技术得分+C。</w:t>
      </w:r>
    </w:p>
    <w:p w14:paraId="0AE4CA55">
      <w:pPr>
        <w:spacing w:line="380" w:lineRule="exact"/>
        <w:ind w:firstLine="480" w:firstLineChars="200"/>
        <w:rPr>
          <w:rFonts w:eastAsia="隶书"/>
          <w:sz w:val="24"/>
          <w:highlight w:val="none"/>
        </w:rPr>
      </w:pPr>
      <w:r>
        <w:rPr>
          <w:rFonts w:eastAsia="隶书"/>
          <w:sz w:val="24"/>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39B3EFC2">
      <w:pPr>
        <w:spacing w:line="380" w:lineRule="exact"/>
        <w:rPr>
          <w:rFonts w:ascii="黑体" w:hAnsi="黑体" w:eastAsia="黑体"/>
          <w:sz w:val="24"/>
          <w:highlight w:val="none"/>
        </w:rPr>
      </w:pPr>
      <w:r>
        <w:rPr>
          <w:rFonts w:ascii="黑体" w:hAnsi="黑体" w:eastAsia="黑体"/>
          <w:sz w:val="24"/>
          <w:highlight w:val="none"/>
        </w:rPr>
        <w:t>3.6 投标文件相关信息的核查</w:t>
      </w:r>
    </w:p>
    <w:p w14:paraId="2CD35E37">
      <w:pPr>
        <w:spacing w:line="380" w:lineRule="exact"/>
        <w:ind w:firstLine="480" w:firstLineChars="200"/>
        <w:rPr>
          <w:rFonts w:eastAsia="隶书"/>
          <w:sz w:val="24"/>
          <w:highlight w:val="none"/>
        </w:rPr>
      </w:pPr>
      <w:r>
        <w:rPr>
          <w:rFonts w:eastAsia="隶书"/>
          <w:sz w:val="24"/>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14:paraId="1F6F9784">
      <w:pPr>
        <w:spacing w:line="380" w:lineRule="exact"/>
        <w:ind w:firstLine="480" w:firstLineChars="200"/>
        <w:rPr>
          <w:rFonts w:eastAsia="隶书"/>
          <w:sz w:val="24"/>
          <w:highlight w:val="none"/>
        </w:rPr>
      </w:pPr>
      <w:r>
        <w:rPr>
          <w:rFonts w:eastAsia="隶书"/>
          <w:sz w:val="24"/>
          <w:highlight w:val="none"/>
        </w:rPr>
        <w:t>（1）有下列情形之一的，属于投标人相互串通投标：</w:t>
      </w:r>
    </w:p>
    <w:p w14:paraId="3D84E3BB">
      <w:pPr>
        <w:spacing w:line="380" w:lineRule="exact"/>
        <w:ind w:firstLine="480" w:firstLineChars="200"/>
        <w:rPr>
          <w:rFonts w:eastAsia="隶书"/>
          <w:sz w:val="24"/>
          <w:highlight w:val="none"/>
        </w:rPr>
      </w:pPr>
      <w:r>
        <w:rPr>
          <w:rFonts w:eastAsia="隶书"/>
          <w:sz w:val="24"/>
          <w:highlight w:val="none"/>
        </w:rPr>
        <w:t>a.投标人之间协商投标报价等投标文件的实质性内容；</w:t>
      </w:r>
    </w:p>
    <w:p w14:paraId="2D12A0DB">
      <w:pPr>
        <w:spacing w:line="380" w:lineRule="exact"/>
        <w:ind w:firstLine="480" w:firstLineChars="200"/>
        <w:rPr>
          <w:rFonts w:eastAsia="隶书"/>
          <w:sz w:val="24"/>
          <w:highlight w:val="none"/>
        </w:rPr>
      </w:pPr>
      <w:r>
        <w:rPr>
          <w:rFonts w:eastAsia="隶书"/>
          <w:sz w:val="24"/>
          <w:highlight w:val="none"/>
        </w:rPr>
        <w:t>b.投标人之间约定中标人；</w:t>
      </w:r>
    </w:p>
    <w:p w14:paraId="462820A5">
      <w:pPr>
        <w:spacing w:line="380" w:lineRule="exact"/>
        <w:ind w:firstLine="480" w:firstLineChars="200"/>
        <w:rPr>
          <w:rFonts w:eastAsia="隶书"/>
          <w:sz w:val="24"/>
          <w:highlight w:val="none"/>
        </w:rPr>
      </w:pPr>
      <w:r>
        <w:rPr>
          <w:rFonts w:eastAsia="隶书"/>
          <w:sz w:val="24"/>
          <w:highlight w:val="none"/>
        </w:rPr>
        <w:t>c.投标人之间约定部分投标人放弃投标或中标；</w:t>
      </w:r>
    </w:p>
    <w:p w14:paraId="076468E1">
      <w:pPr>
        <w:spacing w:line="380" w:lineRule="exact"/>
        <w:ind w:firstLine="480" w:firstLineChars="200"/>
        <w:rPr>
          <w:rFonts w:eastAsia="隶书"/>
          <w:sz w:val="24"/>
          <w:highlight w:val="none"/>
        </w:rPr>
      </w:pPr>
      <w:r>
        <w:rPr>
          <w:rFonts w:eastAsia="隶书"/>
          <w:sz w:val="24"/>
          <w:highlight w:val="none"/>
        </w:rPr>
        <w:t>d.属于同一集团、协会、商会等组织成员的投标人按照该组织要求协同投标；</w:t>
      </w:r>
    </w:p>
    <w:p w14:paraId="6E8D789E">
      <w:pPr>
        <w:spacing w:line="380" w:lineRule="exact"/>
        <w:ind w:firstLine="480" w:firstLineChars="200"/>
        <w:rPr>
          <w:rFonts w:eastAsia="隶书"/>
          <w:sz w:val="24"/>
          <w:highlight w:val="none"/>
        </w:rPr>
      </w:pPr>
      <w:r>
        <w:rPr>
          <w:rFonts w:eastAsia="隶书"/>
          <w:sz w:val="24"/>
          <w:highlight w:val="none"/>
        </w:rPr>
        <w:t>e.投标人之间为谋取中标或排斥特定投标人而采取的其他联合行动。</w:t>
      </w:r>
    </w:p>
    <w:p w14:paraId="58965F7A">
      <w:pPr>
        <w:spacing w:line="380" w:lineRule="exact"/>
        <w:ind w:firstLine="480" w:firstLineChars="200"/>
        <w:rPr>
          <w:rFonts w:eastAsia="隶书"/>
          <w:sz w:val="24"/>
          <w:highlight w:val="none"/>
        </w:rPr>
      </w:pPr>
      <w:r>
        <w:rPr>
          <w:rFonts w:eastAsia="隶书"/>
          <w:sz w:val="24"/>
          <w:highlight w:val="none"/>
        </w:rPr>
        <w:t>（2）有下列情形之一的，视为投标人相互串通投标：</w:t>
      </w:r>
    </w:p>
    <w:p w14:paraId="127AD7A7">
      <w:pPr>
        <w:spacing w:line="380" w:lineRule="exact"/>
        <w:ind w:firstLine="480" w:firstLineChars="200"/>
        <w:rPr>
          <w:rFonts w:eastAsia="隶书"/>
          <w:sz w:val="24"/>
          <w:highlight w:val="none"/>
        </w:rPr>
      </w:pPr>
      <w:r>
        <w:rPr>
          <w:rFonts w:eastAsia="隶书"/>
          <w:sz w:val="24"/>
          <w:highlight w:val="none"/>
        </w:rPr>
        <w:t>a.不同投标人的投标文件由同一单位或个人编制；</w:t>
      </w:r>
    </w:p>
    <w:p w14:paraId="68B7D6D2">
      <w:pPr>
        <w:spacing w:line="380" w:lineRule="exact"/>
        <w:ind w:firstLine="480" w:firstLineChars="200"/>
        <w:rPr>
          <w:rFonts w:eastAsia="隶书"/>
          <w:sz w:val="24"/>
          <w:highlight w:val="none"/>
        </w:rPr>
      </w:pPr>
      <w:r>
        <w:rPr>
          <w:rFonts w:eastAsia="隶书"/>
          <w:sz w:val="24"/>
          <w:highlight w:val="none"/>
        </w:rPr>
        <w:t>b.不同投标人委托同一单位或个人办理投标事宜；</w:t>
      </w:r>
    </w:p>
    <w:p w14:paraId="47976FCE">
      <w:pPr>
        <w:spacing w:line="380" w:lineRule="exact"/>
        <w:ind w:firstLine="480" w:firstLineChars="200"/>
        <w:rPr>
          <w:rFonts w:eastAsia="隶书"/>
          <w:sz w:val="24"/>
          <w:highlight w:val="none"/>
        </w:rPr>
      </w:pPr>
      <w:r>
        <w:rPr>
          <w:rFonts w:eastAsia="隶书"/>
          <w:sz w:val="24"/>
          <w:highlight w:val="none"/>
        </w:rPr>
        <w:t>c.不同投标人的投标文件载明的项目管理成员为同一人；</w:t>
      </w:r>
    </w:p>
    <w:p w14:paraId="77AABB5E">
      <w:pPr>
        <w:spacing w:line="380" w:lineRule="exact"/>
        <w:ind w:firstLine="480" w:firstLineChars="200"/>
        <w:rPr>
          <w:rFonts w:eastAsia="隶书"/>
          <w:sz w:val="24"/>
          <w:highlight w:val="none"/>
        </w:rPr>
      </w:pPr>
      <w:r>
        <w:rPr>
          <w:rFonts w:eastAsia="隶书"/>
          <w:sz w:val="24"/>
          <w:highlight w:val="none"/>
        </w:rPr>
        <w:t>d.不同投标人的投标文件异常一致或投标报价呈规律性差异；</w:t>
      </w:r>
    </w:p>
    <w:p w14:paraId="25D3A2B9">
      <w:pPr>
        <w:spacing w:line="380" w:lineRule="exact"/>
        <w:ind w:firstLine="480" w:firstLineChars="200"/>
        <w:rPr>
          <w:rFonts w:eastAsia="隶书"/>
          <w:sz w:val="24"/>
          <w:highlight w:val="none"/>
        </w:rPr>
      </w:pPr>
      <w:r>
        <w:rPr>
          <w:rFonts w:eastAsia="隶书"/>
          <w:sz w:val="24"/>
          <w:highlight w:val="none"/>
        </w:rPr>
        <w:t>e.不同投标人的投标文件相互混装；</w:t>
      </w:r>
    </w:p>
    <w:p w14:paraId="21D0DA23">
      <w:pPr>
        <w:spacing w:line="380" w:lineRule="exact"/>
        <w:ind w:firstLine="480" w:firstLineChars="200"/>
        <w:rPr>
          <w:rFonts w:eastAsia="隶书"/>
          <w:sz w:val="24"/>
          <w:highlight w:val="none"/>
        </w:rPr>
      </w:pPr>
      <w:r>
        <w:rPr>
          <w:rFonts w:eastAsia="隶书"/>
          <w:sz w:val="24"/>
          <w:highlight w:val="none"/>
        </w:rPr>
        <w:t>f.不同投标人的投标保证金从同一单位或个人的账户转出。</w:t>
      </w:r>
    </w:p>
    <w:p w14:paraId="199335C2">
      <w:pPr>
        <w:spacing w:line="380" w:lineRule="exact"/>
        <w:ind w:firstLine="480" w:firstLineChars="200"/>
        <w:rPr>
          <w:rFonts w:eastAsia="隶书"/>
          <w:sz w:val="24"/>
          <w:highlight w:val="none"/>
        </w:rPr>
      </w:pPr>
      <w:r>
        <w:rPr>
          <w:rFonts w:eastAsia="隶书"/>
          <w:sz w:val="24"/>
          <w:highlight w:val="none"/>
        </w:rPr>
        <w:t>（3）有下列情形之一的，属于招标人与投标人串通投标：</w:t>
      </w:r>
    </w:p>
    <w:p w14:paraId="7D37E3B5">
      <w:pPr>
        <w:spacing w:line="380" w:lineRule="exact"/>
        <w:ind w:firstLine="480" w:firstLineChars="200"/>
        <w:rPr>
          <w:rFonts w:eastAsia="隶书"/>
          <w:sz w:val="24"/>
          <w:highlight w:val="none"/>
        </w:rPr>
      </w:pPr>
      <w:r>
        <w:rPr>
          <w:rFonts w:eastAsia="隶书"/>
          <w:sz w:val="24"/>
          <w:highlight w:val="none"/>
        </w:rPr>
        <w:t>a.招标人在开标前开启投标文件并将有关信息泄露给其他投标人;</w:t>
      </w:r>
    </w:p>
    <w:p w14:paraId="6C1F62D0">
      <w:pPr>
        <w:spacing w:line="380" w:lineRule="exact"/>
        <w:ind w:firstLine="480" w:firstLineChars="200"/>
        <w:rPr>
          <w:rFonts w:eastAsia="隶书"/>
          <w:sz w:val="24"/>
          <w:highlight w:val="none"/>
        </w:rPr>
      </w:pPr>
      <w:r>
        <w:rPr>
          <w:rFonts w:eastAsia="隶书"/>
          <w:sz w:val="24"/>
          <w:highlight w:val="none"/>
        </w:rPr>
        <w:t>b.招标人直接或间接向投标人泄露标底、评标委员会成员等信息；</w:t>
      </w:r>
    </w:p>
    <w:p w14:paraId="0EFD9A40">
      <w:pPr>
        <w:spacing w:line="380" w:lineRule="exact"/>
        <w:ind w:firstLine="480" w:firstLineChars="200"/>
        <w:rPr>
          <w:rFonts w:eastAsia="隶书"/>
          <w:sz w:val="24"/>
          <w:highlight w:val="none"/>
        </w:rPr>
      </w:pPr>
      <w:r>
        <w:rPr>
          <w:rFonts w:eastAsia="隶书"/>
          <w:sz w:val="24"/>
          <w:highlight w:val="none"/>
        </w:rPr>
        <w:t>c.招标人明示或暗示投标人压低或抬高投标报价；</w:t>
      </w:r>
    </w:p>
    <w:p w14:paraId="1808DE66">
      <w:pPr>
        <w:spacing w:line="380" w:lineRule="exact"/>
        <w:ind w:firstLine="480" w:firstLineChars="200"/>
        <w:rPr>
          <w:rFonts w:eastAsia="隶书"/>
          <w:sz w:val="24"/>
          <w:highlight w:val="none"/>
        </w:rPr>
      </w:pPr>
      <w:r>
        <w:rPr>
          <w:rFonts w:eastAsia="隶书"/>
          <w:sz w:val="24"/>
          <w:highlight w:val="none"/>
        </w:rPr>
        <w:t>d.招标人授意投标人撤换、修改投标文件；</w:t>
      </w:r>
    </w:p>
    <w:p w14:paraId="06165417">
      <w:pPr>
        <w:spacing w:line="380" w:lineRule="exact"/>
        <w:ind w:firstLine="480" w:firstLineChars="200"/>
        <w:rPr>
          <w:rFonts w:eastAsia="隶书"/>
          <w:sz w:val="24"/>
          <w:highlight w:val="none"/>
        </w:rPr>
      </w:pPr>
      <w:r>
        <w:rPr>
          <w:rFonts w:eastAsia="隶书"/>
          <w:sz w:val="24"/>
          <w:highlight w:val="none"/>
        </w:rPr>
        <w:t>e.招标人明示或暗示投标人为特定投标人中标提供方便；</w:t>
      </w:r>
    </w:p>
    <w:p w14:paraId="65FB6F7B">
      <w:pPr>
        <w:spacing w:line="380" w:lineRule="exact"/>
        <w:ind w:firstLine="480" w:firstLineChars="200"/>
        <w:rPr>
          <w:rFonts w:eastAsia="隶书"/>
          <w:sz w:val="24"/>
          <w:highlight w:val="none"/>
        </w:rPr>
      </w:pPr>
      <w:r>
        <w:rPr>
          <w:rFonts w:eastAsia="隶书"/>
          <w:sz w:val="24"/>
          <w:highlight w:val="none"/>
        </w:rPr>
        <w:t>f.招标人与投标人为谋求特定投标人中标而采取的其他串通行为。</w:t>
      </w:r>
    </w:p>
    <w:p w14:paraId="55303D04">
      <w:pPr>
        <w:spacing w:line="380" w:lineRule="exact"/>
        <w:ind w:firstLine="480" w:firstLineChars="200"/>
        <w:rPr>
          <w:rFonts w:eastAsia="隶书"/>
          <w:sz w:val="24"/>
          <w:highlight w:val="none"/>
        </w:rPr>
      </w:pPr>
      <w:r>
        <w:rPr>
          <w:rFonts w:eastAsia="隶书"/>
          <w:sz w:val="24"/>
          <w:highlight w:val="none"/>
        </w:rPr>
        <w:t>（4）投标人有下列情形之一的，属于弄虚作假的行为：</w:t>
      </w:r>
    </w:p>
    <w:p w14:paraId="6A39F8E5">
      <w:pPr>
        <w:spacing w:line="380" w:lineRule="exact"/>
        <w:ind w:firstLine="480" w:firstLineChars="200"/>
        <w:rPr>
          <w:rFonts w:eastAsia="隶书"/>
          <w:sz w:val="24"/>
          <w:highlight w:val="none"/>
        </w:rPr>
      </w:pPr>
      <w:r>
        <w:rPr>
          <w:rFonts w:eastAsia="隶书"/>
          <w:sz w:val="24"/>
          <w:highlight w:val="none"/>
        </w:rPr>
        <w:t>a.使用通过受让或租借等方式获取的资格、资质证书投标；</w:t>
      </w:r>
    </w:p>
    <w:p w14:paraId="3EA99D74">
      <w:pPr>
        <w:spacing w:line="380" w:lineRule="exact"/>
        <w:ind w:firstLine="480" w:firstLineChars="200"/>
        <w:rPr>
          <w:rFonts w:eastAsia="隶书"/>
          <w:sz w:val="24"/>
          <w:highlight w:val="none"/>
        </w:rPr>
      </w:pPr>
      <w:r>
        <w:rPr>
          <w:rFonts w:eastAsia="隶书"/>
          <w:sz w:val="24"/>
          <w:highlight w:val="none"/>
        </w:rPr>
        <w:t>b.使用伪造、变造的许可证件；</w:t>
      </w:r>
    </w:p>
    <w:p w14:paraId="54C73F80">
      <w:pPr>
        <w:spacing w:line="380" w:lineRule="exact"/>
        <w:ind w:firstLine="480" w:firstLineChars="200"/>
        <w:rPr>
          <w:rFonts w:eastAsia="隶书"/>
          <w:sz w:val="24"/>
          <w:highlight w:val="none"/>
        </w:rPr>
      </w:pPr>
      <w:r>
        <w:rPr>
          <w:rFonts w:eastAsia="隶书"/>
          <w:sz w:val="24"/>
          <w:highlight w:val="none"/>
        </w:rPr>
        <w:t>c.提供虚假的业绩；</w:t>
      </w:r>
    </w:p>
    <w:p w14:paraId="6E8E3048">
      <w:pPr>
        <w:spacing w:line="380" w:lineRule="exact"/>
        <w:ind w:firstLine="480" w:firstLineChars="200"/>
        <w:rPr>
          <w:rFonts w:eastAsia="隶书"/>
          <w:sz w:val="24"/>
          <w:highlight w:val="none"/>
        </w:rPr>
      </w:pPr>
      <w:r>
        <w:rPr>
          <w:rFonts w:eastAsia="隶书"/>
          <w:sz w:val="24"/>
          <w:highlight w:val="none"/>
        </w:rPr>
        <w:t>d.提供虚假的项目负责人或主要技术人员简历、劳动关系证明；</w:t>
      </w:r>
    </w:p>
    <w:p w14:paraId="245BE2E0">
      <w:pPr>
        <w:spacing w:line="380" w:lineRule="exact"/>
        <w:ind w:firstLine="480" w:firstLineChars="200"/>
        <w:rPr>
          <w:rFonts w:eastAsia="隶书"/>
          <w:sz w:val="24"/>
          <w:highlight w:val="none"/>
        </w:rPr>
      </w:pPr>
      <w:r>
        <w:rPr>
          <w:rFonts w:eastAsia="隶书"/>
          <w:sz w:val="24"/>
          <w:highlight w:val="none"/>
        </w:rPr>
        <w:t>e.提供虚假的信用状况；</w:t>
      </w:r>
    </w:p>
    <w:p w14:paraId="2BFC7DC6">
      <w:pPr>
        <w:spacing w:line="380" w:lineRule="exact"/>
        <w:ind w:firstLine="480" w:firstLineChars="200"/>
        <w:rPr>
          <w:rFonts w:eastAsia="隶书"/>
          <w:sz w:val="24"/>
          <w:highlight w:val="none"/>
        </w:rPr>
      </w:pPr>
      <w:r>
        <w:rPr>
          <w:rFonts w:eastAsia="隶书"/>
          <w:sz w:val="24"/>
          <w:highlight w:val="none"/>
        </w:rPr>
        <w:t>f.其他弄虚作假的行为。</w:t>
      </w:r>
    </w:p>
    <w:p w14:paraId="5112F8D4">
      <w:pPr>
        <w:spacing w:line="380" w:lineRule="exact"/>
        <w:rPr>
          <w:rFonts w:ascii="黑体" w:hAnsi="黑体" w:eastAsia="黑体"/>
          <w:sz w:val="24"/>
          <w:highlight w:val="none"/>
        </w:rPr>
      </w:pPr>
      <w:r>
        <w:rPr>
          <w:rFonts w:ascii="黑体" w:hAnsi="黑体" w:eastAsia="黑体"/>
          <w:sz w:val="24"/>
          <w:highlight w:val="none"/>
        </w:rPr>
        <w:t>3.7 投标文件的澄清和说明</w:t>
      </w:r>
    </w:p>
    <w:p w14:paraId="13DF2DFF">
      <w:pPr>
        <w:spacing w:line="380" w:lineRule="exact"/>
        <w:ind w:firstLine="480" w:firstLineChars="200"/>
        <w:rPr>
          <w:rFonts w:eastAsia="隶书"/>
          <w:sz w:val="24"/>
          <w:highlight w:val="none"/>
        </w:rPr>
      </w:pPr>
      <w:r>
        <w:rPr>
          <w:rFonts w:eastAsia="隶书"/>
          <w:sz w:val="24"/>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5C4294AC">
      <w:pPr>
        <w:spacing w:line="380" w:lineRule="exact"/>
        <w:ind w:firstLine="480" w:firstLineChars="200"/>
        <w:rPr>
          <w:rFonts w:eastAsia="隶书"/>
          <w:sz w:val="24"/>
          <w:highlight w:val="none"/>
        </w:rPr>
      </w:pPr>
      <w:r>
        <w:rPr>
          <w:rFonts w:eastAsia="隶书"/>
          <w:sz w:val="24"/>
          <w:highlight w:val="none"/>
        </w:rPr>
        <w:t>3.7.2 澄清和说明不得超出投标文件的范围或改变投标文件的实质性内容（算术性错误的修正除外）。投标人的书面澄清、说明属于投标文件的组成部分。</w:t>
      </w:r>
    </w:p>
    <w:p w14:paraId="721F218B">
      <w:pPr>
        <w:spacing w:line="380" w:lineRule="exact"/>
        <w:ind w:firstLine="480" w:firstLineChars="200"/>
        <w:rPr>
          <w:rFonts w:eastAsia="隶书"/>
          <w:sz w:val="24"/>
          <w:highlight w:val="none"/>
        </w:rPr>
      </w:pPr>
      <w:r>
        <w:rPr>
          <w:rFonts w:eastAsia="隶书"/>
          <w:sz w:val="24"/>
          <w:highlight w:val="none"/>
        </w:rPr>
        <w:t>3.7.3 评标委员会不得暗示或诱导投标人作出澄清、说明，对投标人提交的澄清、说明有疑问的，可以要求投标人进一步澄清或说明，直至满足评标委员会的要求。</w:t>
      </w:r>
    </w:p>
    <w:p w14:paraId="3720EECE">
      <w:pPr>
        <w:spacing w:line="380" w:lineRule="exact"/>
        <w:ind w:firstLine="480" w:firstLineChars="200"/>
        <w:rPr>
          <w:rFonts w:eastAsia="隶书"/>
          <w:sz w:val="24"/>
          <w:highlight w:val="none"/>
        </w:rPr>
      </w:pPr>
      <w:r>
        <w:rPr>
          <w:rFonts w:eastAsia="隶书"/>
          <w:sz w:val="24"/>
          <w:highlight w:val="none"/>
        </w:rPr>
        <w:t>3.7.4 凡超出招标文件规定的或给委托人带来未曾要求的利益的变化、偏差或其他因素在评标时不予考虑。</w:t>
      </w:r>
    </w:p>
    <w:p w14:paraId="5AFB118B">
      <w:pPr>
        <w:spacing w:line="380" w:lineRule="exact"/>
        <w:rPr>
          <w:rFonts w:ascii="黑体" w:hAnsi="黑体" w:eastAsia="黑体"/>
          <w:sz w:val="24"/>
          <w:highlight w:val="none"/>
        </w:rPr>
      </w:pPr>
      <w:r>
        <w:rPr>
          <w:rFonts w:ascii="黑体" w:hAnsi="黑体" w:eastAsia="黑体"/>
          <w:sz w:val="24"/>
          <w:highlight w:val="none"/>
        </w:rPr>
        <w:t>3.8 不得否决投标的情形</w:t>
      </w:r>
    </w:p>
    <w:p w14:paraId="301C2D4A">
      <w:pPr>
        <w:spacing w:line="380" w:lineRule="exact"/>
        <w:ind w:firstLine="480" w:firstLineChars="200"/>
        <w:rPr>
          <w:rFonts w:eastAsia="隶书"/>
          <w:sz w:val="24"/>
          <w:highlight w:val="none"/>
        </w:rPr>
      </w:pPr>
      <w:r>
        <w:rPr>
          <w:rFonts w:eastAsia="隶书"/>
          <w:sz w:val="24"/>
          <w:highlight w:val="none"/>
        </w:rPr>
        <w:t>投标文件存在第二章“投标人须知”第1.12.3项所列情形的，均视为细微偏差，评标委员会不得否决投标人的投标，应按照第二章“投标人须知”第1.12.4项规定的原则处理。</w:t>
      </w:r>
    </w:p>
    <w:p w14:paraId="63238F13">
      <w:pPr>
        <w:spacing w:line="380" w:lineRule="exact"/>
        <w:rPr>
          <w:rFonts w:ascii="黑体" w:hAnsi="黑体" w:eastAsia="黑体"/>
          <w:sz w:val="24"/>
          <w:highlight w:val="none"/>
        </w:rPr>
      </w:pPr>
      <w:r>
        <w:rPr>
          <w:rFonts w:ascii="黑体" w:hAnsi="黑体" w:eastAsia="黑体"/>
          <w:sz w:val="24"/>
          <w:highlight w:val="none"/>
        </w:rPr>
        <w:t>3.9 评标结果</w:t>
      </w:r>
    </w:p>
    <w:p w14:paraId="5EA7479D">
      <w:pPr>
        <w:spacing w:line="380" w:lineRule="exact"/>
        <w:ind w:firstLine="480" w:firstLineChars="200"/>
        <w:rPr>
          <w:rFonts w:eastAsia="隶书"/>
          <w:sz w:val="24"/>
          <w:highlight w:val="none"/>
        </w:rPr>
      </w:pPr>
      <w:r>
        <w:rPr>
          <w:rFonts w:eastAsia="隶书"/>
          <w:sz w:val="24"/>
          <w:highlight w:val="none"/>
        </w:rPr>
        <w:t>3.9.1 除第二章“投标人须知”前附表授权直接确定中标人外，评标委员会按照得分由高到低的顺序推荐中标候选人，并标明排序。</w:t>
      </w:r>
    </w:p>
    <w:p w14:paraId="458804FA">
      <w:pPr>
        <w:spacing w:line="380" w:lineRule="exact"/>
        <w:ind w:firstLine="480" w:firstLineChars="200"/>
        <w:rPr>
          <w:rFonts w:eastAsia="隶书"/>
          <w:sz w:val="24"/>
          <w:highlight w:val="none"/>
        </w:rPr>
      </w:pPr>
      <w:r>
        <w:rPr>
          <w:rFonts w:eastAsia="隶书"/>
          <w:sz w:val="24"/>
          <w:highlight w:val="none"/>
        </w:rPr>
        <w:t>3.9.2 评标委员会完成评标后，应向招标人提交书面评标报告。</w:t>
      </w:r>
    </w:p>
    <w:p w14:paraId="0FF51B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4A22797">
      <w:pPr>
        <w:rPr>
          <w:sz w:val="18"/>
          <w:szCs w:val="18"/>
        </w:rPr>
      </w:pPr>
      <w:r>
        <w:rPr>
          <w:sz w:val="18"/>
          <w:szCs w:val="18"/>
        </w:rPr>
        <w:footnoteRef/>
      </w:r>
      <w:r>
        <w:rPr>
          <w:rFonts w:hint="eastAsia"/>
          <w:sz w:val="18"/>
          <w:szCs w:val="18"/>
        </w:rPr>
        <w:t>.公路相关专业包括：公路工程、桥梁工程、公路与桥梁工程、交通土建、隧道（地下结构）工程、交通工程等专业，下同。</w:t>
      </w:r>
    </w:p>
  </w:footnote>
  <w:footnote w:id="1">
    <w:p w14:paraId="4A536D60">
      <w:pPr>
        <w:pStyle w:val="5"/>
        <w:spacing w:line="300" w:lineRule="atLeast"/>
        <w:ind w:left="180" w:hanging="210" w:hangingChars="100"/>
        <w:jc w:val="both"/>
        <w:rPr>
          <w:szCs w:val="18"/>
        </w:rPr>
      </w:pPr>
      <w:r>
        <w:rPr>
          <w:rStyle w:val="8"/>
          <w:kern w:val="2"/>
          <w:sz w:val="21"/>
          <w:szCs w:val="18"/>
        </w:rPr>
        <w:footnoteRef/>
      </w:r>
      <w:r>
        <w:rPr>
          <w:rFonts w:hint="eastAsia" w:ascii="黑体" w:hAnsi="黑体" w:eastAsia="黑体"/>
          <w:szCs w:val="18"/>
        </w:rPr>
        <w:t>对于无资质准入要求或有特殊要求的咨询项目，还可对其他主要咨询人员进行资格评审。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B04C"/>
    <w:multiLevelType w:val="singleLevel"/>
    <w:tmpl w:val="DDBDB04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44645"/>
    <w:rsid w:val="490948F4"/>
    <w:rsid w:val="4C044645"/>
    <w:rsid w:val="628864B6"/>
    <w:rsid w:val="7E2D0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3"/>
    <w:qFormat/>
    <w:uiPriority w:val="0"/>
    <w:pPr>
      <w:widowControl w:val="0"/>
      <w:jc w:val="both"/>
    </w:pPr>
    <w:rPr>
      <w:rFonts w:ascii="宋体" w:hAnsi="Times New Roman" w:eastAsia="宋体" w:cs="Times New Roman"/>
      <w:kern w:val="2"/>
      <w:sz w:val="24"/>
      <w:szCs w:val="20"/>
      <w:lang w:val="en-US" w:eastAsia="zh-CN" w:bidi="ar-SA"/>
    </w:rPr>
  </w:style>
  <w:style w:type="paragraph" w:styleId="3">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header"/>
    <w:qFormat/>
    <w:uiPriority w:val="99"/>
    <w:pPr>
      <w:widowControl w:val="0"/>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5">
    <w:name w:val="footnote text"/>
    <w:qFormat/>
    <w:uiPriority w:val="0"/>
    <w:pPr>
      <w:widowControl w:val="0"/>
      <w:adjustRightInd w:val="0"/>
      <w:snapToGrid w:val="0"/>
      <w:spacing w:line="420" w:lineRule="atLeast"/>
      <w:ind w:firstLine="454"/>
      <w:jc w:val="left"/>
      <w:textAlignment w:val="baseline"/>
    </w:pPr>
    <w:rPr>
      <w:rFonts w:ascii="Times New Roman" w:hAnsi="Times New Roman" w:eastAsia="宋体" w:cs="Times New Roman"/>
      <w:kern w:val="0"/>
      <w:sz w:val="18"/>
      <w:szCs w:val="20"/>
      <w:lang w:val="en-US" w:eastAsia="zh-CN" w:bidi="ar-SA"/>
    </w:rPr>
  </w:style>
  <w:style w:type="character" w:styleId="8">
    <w:name w:val="footnote reference"/>
    <w:qFormat/>
    <w:uiPriority w:val="0"/>
    <w:rPr>
      <w:vertAlign w:val="superscript"/>
    </w:rPr>
  </w:style>
  <w:style w:type="paragraph" w:customStyle="1" w:styleId="9">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_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正文_1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正文_1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_18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正文_18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_1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正文_18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正文_2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_2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正文_2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正文_2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_24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9892</Words>
  <Characters>10680</Characters>
  <Lines>0</Lines>
  <Paragraphs>0</Paragraphs>
  <TotalTime>0</TotalTime>
  <ScaleCrop>false</ScaleCrop>
  <LinksUpToDate>false</LinksUpToDate>
  <CharactersWithSpaces>10867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2026-07-21T03:03:00Z</dcterms:created>
  <dc:creator>Administrator</dc:creator>
  <cp:lastModifiedBy>Administrator</cp:lastModifiedBy>
  <dcterms:modified xsi:type="dcterms:W3CDTF">2026-07-21T03:59:02Z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1E217725D3B24928AC2660526A42912B_11</vt:lpwstr>
  </property>
  <property fmtid="{D5CDD505-2E9C-101B-9397-08002B2CF9AE}" pid="4" name="KSOTemplateDocerSaveRecord">
    <vt:lpwstr>eyJoZGlkIjoiZDNiYTc5NGQ5OWFlMGQ4NTNmMGNkNGE1MjhiNDUwYTMiLCJ1c2VySWQiOiI1MTYzMjQyOTIifQ==</vt:lpwstr>
  </property>
</Properties>
</file>