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A30D5"/>
    <w:p w14:paraId="2B7599B3">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黑体" w:hAnsi="宋体" w:eastAsia="黑体" w:cs="黑体"/>
          <w:kern w:val="0"/>
          <w:sz w:val="40"/>
          <w:szCs w:val="40"/>
        </w:rPr>
      </w:pPr>
      <w:r>
        <w:rPr>
          <w:rFonts w:hint="eastAsia" w:ascii="黑体" w:hAnsi="宋体" w:eastAsia="黑体" w:cs="黑体"/>
          <w:kern w:val="0"/>
          <w:sz w:val="40"/>
          <w:szCs w:val="40"/>
        </w:rPr>
        <w:t>招标文件信息</w:t>
      </w:r>
    </w:p>
    <w:p w14:paraId="4AD7601A">
      <w:pPr>
        <w:keepNext w:val="0"/>
        <w:keepLines w:val="0"/>
        <w:pageBreakBefore w:val="0"/>
        <w:widowControl w:val="0"/>
        <w:kinsoku/>
        <w:wordWrap/>
        <w:overflowPunct/>
        <w:topLinePunct w:val="0"/>
        <w:autoSpaceDE/>
        <w:autoSpaceDN/>
        <w:bidi w:val="0"/>
        <w:adjustRightInd/>
        <w:snapToGrid/>
        <w:spacing w:line="600" w:lineRule="auto"/>
        <w:ind w:firstLine="600" w:firstLineChars="200"/>
        <w:jc w:val="left"/>
        <w:textAlignment w:val="auto"/>
        <w:rPr>
          <w:rFonts w:hint="eastAsia" w:ascii="宋体" w:hAnsi="宋体" w:eastAsia="宋体" w:cs="宋体"/>
          <w:kern w:val="0"/>
          <w:sz w:val="30"/>
          <w:szCs w:val="30"/>
        </w:rPr>
      </w:pPr>
    </w:p>
    <w:tbl>
      <w:tblPr>
        <w:tblStyle w:val="23"/>
        <w:tblW w:w="7938" w:type="dxa"/>
        <w:jc w:val="center"/>
        <w:tblCellSpacing w:w="0" w:type="dxa"/>
        <w:tblLayout w:type="fixed"/>
        <w:tblCellMar>
          <w:top w:w="45" w:type="dxa"/>
          <w:left w:w="45" w:type="dxa"/>
          <w:bottom w:w="45" w:type="dxa"/>
          <w:right w:w="45" w:type="dxa"/>
        </w:tblCellMar>
      </w:tblPr>
      <w:tblGrid>
        <w:gridCol w:w="2722"/>
        <w:gridCol w:w="5216"/>
      </w:tblGrid>
      <w:tr w14:paraId="2676A9EC">
        <w:tblPrEx>
          <w:tblCellMar>
            <w:top w:w="45" w:type="dxa"/>
            <w:left w:w="45" w:type="dxa"/>
            <w:bottom w:w="45" w:type="dxa"/>
            <w:right w:w="45" w:type="dxa"/>
          </w:tblCellMar>
        </w:tblPrEx>
        <w:trPr>
          <w:trHeight w:val="856" w:hRule="atLeast"/>
          <w:tblCellSpacing w:w="0" w:type="dxa"/>
          <w:jc w:val="center"/>
        </w:trPr>
        <w:tc>
          <w:tcPr>
            <w:tcW w:w="2722" w:type="dxa"/>
            <w:vAlign w:val="center"/>
          </w:tcPr>
          <w:p w14:paraId="5F66D239">
            <w:pPr>
              <w:jc w:val="right"/>
              <w:rPr>
                <w:rFonts w:ascii="宋体" w:hAnsi="宋体" w:cs="宋体"/>
                <w:sz w:val="30"/>
                <w:szCs w:val="30"/>
              </w:rPr>
            </w:pPr>
            <w:r>
              <w:rPr>
                <w:sz w:val="30"/>
                <w:szCs w:val="30"/>
              </w:rPr>
              <w:t>项目编号：</w:t>
            </w:r>
          </w:p>
        </w:tc>
        <w:tc>
          <w:tcPr>
            <w:tcW w:w="5216" w:type="dxa"/>
            <w:vAlign w:val="center"/>
          </w:tcPr>
          <w:p w14:paraId="79D558B2">
            <w:pPr>
              <w:rPr>
                <w:rFonts w:ascii="宋体" w:hAnsi="宋体" w:cs="宋体"/>
                <w:sz w:val="30"/>
                <w:szCs w:val="30"/>
              </w:rPr>
            </w:pPr>
            <w:r>
              <w:rPr>
                <w:rFonts w:hint="eastAsia" w:ascii="宋体" w:hAnsi="宋体" w:cs="宋体"/>
                <w:sz w:val="30"/>
                <w:szCs w:val="30"/>
              </w:rPr>
              <w:t>LHZXCG-2025-00006</w:t>
            </w:r>
          </w:p>
        </w:tc>
      </w:tr>
      <w:tr w14:paraId="5EAE1EE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013F6FD">
            <w:pPr>
              <w:jc w:val="right"/>
              <w:rPr>
                <w:rFonts w:ascii="宋体" w:hAnsi="宋体" w:cs="宋体"/>
                <w:sz w:val="30"/>
                <w:szCs w:val="30"/>
              </w:rPr>
            </w:pPr>
            <w:r>
              <w:rPr>
                <w:sz w:val="30"/>
                <w:szCs w:val="30"/>
              </w:rPr>
              <w:t>项目名称：</w:t>
            </w:r>
          </w:p>
        </w:tc>
        <w:tc>
          <w:tcPr>
            <w:tcW w:w="5216" w:type="dxa"/>
            <w:vAlign w:val="center"/>
          </w:tcPr>
          <w:p w14:paraId="702E5A22">
            <w:pPr>
              <w:rPr>
                <w:rFonts w:ascii="宋体" w:hAnsi="宋体" w:cs="宋体"/>
                <w:sz w:val="30"/>
                <w:szCs w:val="30"/>
              </w:rPr>
            </w:pPr>
            <w:bookmarkStart w:id="0" w:name="OLE_LINK11"/>
            <w:r>
              <w:rPr>
                <w:rFonts w:hint="eastAsia" w:ascii="宋体" w:hAnsi="宋体" w:cs="宋体"/>
                <w:sz w:val="30"/>
                <w:szCs w:val="30"/>
              </w:rPr>
              <w:t>深圳市罗湖区洪湖公园儿童活动区动力设施建设运营项目</w:t>
            </w:r>
            <w:bookmarkEnd w:id="0"/>
          </w:p>
        </w:tc>
      </w:tr>
      <w:tr w14:paraId="084F5C11">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AAE2D11">
            <w:pPr>
              <w:jc w:val="right"/>
              <w:rPr>
                <w:rFonts w:hint="eastAsia" w:eastAsiaTheme="minorEastAsia"/>
                <w:sz w:val="30"/>
                <w:szCs w:val="30"/>
                <w:lang w:eastAsia="zh-CN"/>
              </w:rPr>
            </w:pPr>
            <w:r>
              <w:rPr>
                <w:rFonts w:hint="eastAsia"/>
                <w:sz w:val="30"/>
                <w:szCs w:val="30"/>
              </w:rPr>
              <w:t>包    号</w:t>
            </w:r>
            <w:r>
              <w:rPr>
                <w:rFonts w:hint="eastAsia"/>
                <w:sz w:val="30"/>
                <w:szCs w:val="30"/>
                <w:lang w:eastAsia="zh-CN"/>
              </w:rPr>
              <w:t>：</w:t>
            </w:r>
          </w:p>
        </w:tc>
        <w:tc>
          <w:tcPr>
            <w:tcW w:w="5216" w:type="dxa"/>
            <w:vAlign w:val="center"/>
          </w:tcPr>
          <w:p w14:paraId="2DA2B20D">
            <w:pPr>
              <w:rPr>
                <w:rFonts w:hint="default" w:ascii="宋体" w:hAnsi="宋体" w:cs="宋体" w:eastAsiaTheme="minorEastAsia"/>
                <w:sz w:val="30"/>
                <w:szCs w:val="30"/>
                <w:lang w:val="en-US" w:eastAsia="zh-CN"/>
              </w:rPr>
            </w:pPr>
            <w:r>
              <w:rPr>
                <w:rFonts w:hint="eastAsia" w:ascii="宋体" w:hAnsi="宋体" w:cs="宋体"/>
                <w:sz w:val="30"/>
                <w:szCs w:val="30"/>
                <w:lang w:val="en-US" w:eastAsia="zh-CN"/>
              </w:rPr>
              <w:t>A</w:t>
            </w:r>
          </w:p>
        </w:tc>
      </w:tr>
      <w:tr w14:paraId="22839330">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E2D9D02">
            <w:pPr>
              <w:jc w:val="right"/>
              <w:rPr>
                <w:rFonts w:ascii="宋体" w:hAnsi="宋体" w:cs="宋体"/>
                <w:sz w:val="30"/>
                <w:szCs w:val="30"/>
              </w:rPr>
            </w:pPr>
            <w:r>
              <w:rPr>
                <w:sz w:val="30"/>
                <w:szCs w:val="30"/>
              </w:rPr>
              <w:t>项目类型：</w:t>
            </w:r>
          </w:p>
        </w:tc>
        <w:tc>
          <w:tcPr>
            <w:tcW w:w="5216" w:type="dxa"/>
            <w:vAlign w:val="center"/>
          </w:tcPr>
          <w:p w14:paraId="703E6475">
            <w:pPr>
              <w:rPr>
                <w:rFonts w:ascii="宋体" w:hAnsi="宋体" w:cs="宋体"/>
                <w:sz w:val="30"/>
                <w:szCs w:val="30"/>
              </w:rPr>
            </w:pPr>
            <w:r>
              <w:rPr>
                <w:sz w:val="30"/>
                <w:szCs w:val="30"/>
              </w:rPr>
              <w:t>服务类</w:t>
            </w:r>
          </w:p>
        </w:tc>
      </w:tr>
      <w:tr w14:paraId="77CB2B8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4B5DD60">
            <w:pPr>
              <w:jc w:val="right"/>
              <w:rPr>
                <w:rFonts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14:paraId="4C2D25EC">
            <w:pPr>
              <w:rPr>
                <w:rFonts w:ascii="宋体" w:hAnsi="宋体" w:cs="宋体"/>
                <w:sz w:val="30"/>
                <w:szCs w:val="30"/>
              </w:rPr>
            </w:pPr>
            <w:r>
              <w:rPr>
                <w:rFonts w:hint="eastAsia" w:ascii="宋体" w:hAnsi="宋体" w:cs="宋体"/>
                <w:sz w:val="30"/>
                <w:szCs w:val="30"/>
              </w:rPr>
              <w:t>公开招标</w:t>
            </w:r>
          </w:p>
        </w:tc>
      </w:tr>
      <w:tr w14:paraId="25BB0B93">
        <w:tblPrEx>
          <w:tblCellMar>
            <w:top w:w="45" w:type="dxa"/>
            <w:left w:w="45" w:type="dxa"/>
            <w:bottom w:w="45" w:type="dxa"/>
            <w:right w:w="45" w:type="dxa"/>
          </w:tblCellMar>
        </w:tblPrEx>
        <w:trPr>
          <w:trHeight w:val="971" w:hRule="atLeast"/>
          <w:tblCellSpacing w:w="0" w:type="dxa"/>
          <w:jc w:val="center"/>
        </w:trPr>
        <w:tc>
          <w:tcPr>
            <w:tcW w:w="2722" w:type="dxa"/>
            <w:vAlign w:val="center"/>
          </w:tcPr>
          <w:p w14:paraId="6038CAB1">
            <w:pPr>
              <w:jc w:val="right"/>
              <w:rPr>
                <w:rFonts w:ascii="宋体" w:hAnsi="宋体" w:cs="宋体"/>
                <w:sz w:val="30"/>
                <w:szCs w:val="30"/>
              </w:rPr>
            </w:pPr>
            <w:r>
              <w:rPr>
                <w:sz w:val="30"/>
                <w:szCs w:val="30"/>
              </w:rPr>
              <w:t>货币类型：</w:t>
            </w:r>
          </w:p>
        </w:tc>
        <w:tc>
          <w:tcPr>
            <w:tcW w:w="5216" w:type="dxa"/>
            <w:vAlign w:val="center"/>
          </w:tcPr>
          <w:p w14:paraId="46975F2B">
            <w:pPr>
              <w:rPr>
                <w:rFonts w:ascii="宋体" w:hAnsi="宋体" w:cs="宋体"/>
                <w:sz w:val="30"/>
                <w:szCs w:val="30"/>
              </w:rPr>
            </w:pPr>
            <w:r>
              <w:rPr>
                <w:sz w:val="30"/>
                <w:szCs w:val="30"/>
              </w:rPr>
              <w:t>人民币</w:t>
            </w:r>
          </w:p>
        </w:tc>
      </w:tr>
      <w:tr w14:paraId="64ABF03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E347524">
            <w:pPr>
              <w:jc w:val="right"/>
              <w:rPr>
                <w:rFonts w:ascii="宋体" w:hAnsi="宋体" w:cs="宋体"/>
                <w:sz w:val="30"/>
                <w:szCs w:val="30"/>
              </w:rPr>
            </w:pPr>
            <w:r>
              <w:rPr>
                <w:sz w:val="30"/>
                <w:szCs w:val="30"/>
              </w:rPr>
              <w:t>评标方法：</w:t>
            </w:r>
          </w:p>
        </w:tc>
        <w:tc>
          <w:tcPr>
            <w:tcW w:w="5216" w:type="dxa"/>
            <w:vAlign w:val="center"/>
          </w:tcPr>
          <w:p w14:paraId="22A5EE52">
            <w:pPr>
              <w:rPr>
                <w:rFonts w:ascii="宋体" w:hAnsi="宋体" w:cs="宋体"/>
                <w:sz w:val="30"/>
                <w:szCs w:val="30"/>
              </w:rPr>
            </w:pPr>
            <w:r>
              <w:rPr>
                <w:sz w:val="30"/>
                <w:szCs w:val="30"/>
              </w:rPr>
              <w:t>综合评分法</w:t>
            </w:r>
          </w:p>
        </w:tc>
      </w:tr>
    </w:tbl>
    <w:p w14:paraId="24F7F77F">
      <w:pPr>
        <w:keepNext w:val="0"/>
        <w:keepLines w:val="0"/>
        <w:pageBreakBefore w:val="0"/>
        <w:widowControl w:val="0"/>
        <w:kinsoku/>
        <w:wordWrap/>
        <w:overflowPunct/>
        <w:topLinePunct w:val="0"/>
        <w:autoSpaceDE/>
        <w:autoSpaceDN/>
        <w:bidi w:val="0"/>
        <w:adjustRightInd/>
        <w:snapToGrid/>
        <w:spacing w:line="600" w:lineRule="auto"/>
        <w:ind w:firstLine="600" w:firstLineChars="200"/>
        <w:jc w:val="left"/>
        <w:textAlignment w:val="auto"/>
        <w:rPr>
          <w:rFonts w:hint="eastAsia" w:ascii="宋体" w:hAnsi="宋体" w:eastAsia="宋体" w:cs="宋体"/>
          <w:kern w:val="0"/>
          <w:sz w:val="30"/>
          <w:szCs w:val="30"/>
        </w:rPr>
      </w:pPr>
    </w:p>
    <w:p w14:paraId="6497D798">
      <w:pPr>
        <w:tabs>
          <w:tab w:val="left" w:pos="2790"/>
        </w:tabs>
        <w:snapToGrid w:val="0"/>
        <w:spacing w:line="440" w:lineRule="exact"/>
        <w:jc w:val="left"/>
        <w:rPr>
          <w:rFonts w:asciiTheme="minorEastAsia" w:hAnsiTheme="minorEastAsia"/>
          <w:sz w:val="30"/>
          <w:szCs w:val="30"/>
        </w:rPr>
      </w:pPr>
    </w:p>
    <w:p w14:paraId="164AE526">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资格性审查表</w:t>
      </w:r>
    </w:p>
    <w:tbl>
      <w:tblPr>
        <w:tblStyle w:val="23"/>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63109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8E01832">
            <w:pPr>
              <w:spacing w:line="290" w:lineRule="exact"/>
              <w:jc w:val="center"/>
              <w:rPr>
                <w:rFonts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6DFF12">
            <w:pPr>
              <w:spacing w:line="290" w:lineRule="exact"/>
              <w:jc w:val="center"/>
              <w:rPr>
                <w:rFonts w:ascii="宋体" w:hAnsi="宋体" w:eastAsia="宋体" w:cs="宋体"/>
                <w:szCs w:val="21"/>
              </w:rPr>
            </w:pPr>
            <w:r>
              <w:rPr>
                <w:rFonts w:ascii="宋体" w:hAnsi="宋体" w:eastAsia="宋体" w:cs="Times New Roman"/>
                <w:szCs w:val="21"/>
              </w:rPr>
              <w:t>内容</w:t>
            </w:r>
          </w:p>
        </w:tc>
      </w:tr>
      <w:tr w14:paraId="16EA13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1E559A1">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669" w:type="dxa"/>
            <w:tcBorders>
              <w:top w:val="single" w:color="000000" w:sz="8" w:space="0"/>
              <w:left w:val="single" w:color="000000" w:sz="8" w:space="0"/>
              <w:bottom w:val="single" w:color="000000" w:sz="8" w:space="0"/>
              <w:right w:val="single" w:color="000000" w:sz="8" w:space="0"/>
            </w:tcBorders>
          </w:tcPr>
          <w:p w14:paraId="7BE27699">
            <w:pPr>
              <w:pageBreakBefore w:val="0"/>
              <w:kinsoku/>
              <w:overflowPunct/>
              <w:topLinePunct w:val="0"/>
              <w:bidi w:val="0"/>
              <w:spacing w:line="240" w:lineRule="auto"/>
              <w:rPr>
                <w:rFonts w:hint="eastAsia" w:ascii="宋体" w:hAnsi="宋体" w:eastAsia="宋体" w:cs="宋体"/>
                <w:sz w:val="24"/>
                <w:szCs w:val="24"/>
                <w:highlight w:val="none"/>
              </w:rPr>
            </w:pPr>
            <w:bookmarkStart w:id="1" w:name="OLE_LINK20"/>
            <w:r>
              <w:rPr>
                <w:rFonts w:hint="eastAsia" w:ascii="宋体" w:hAnsi="宋体" w:eastAsia="宋体" w:cs="宋体"/>
                <w:sz w:val="24"/>
                <w:szCs w:val="24"/>
                <w:highlight w:val="none"/>
              </w:rPr>
              <w:t>投标人不符合资格要求，或未提交相应的资格证明资料（详见招标公告投标人资格要求，即申请人的资格要求）。</w:t>
            </w:r>
            <w:bookmarkEnd w:id="1"/>
          </w:p>
        </w:tc>
      </w:tr>
    </w:tbl>
    <w:p w14:paraId="6C85920B">
      <w:pPr>
        <w:tabs>
          <w:tab w:val="left" w:pos="2790"/>
        </w:tabs>
        <w:snapToGrid w:val="0"/>
        <w:jc w:val="center"/>
        <w:rPr>
          <w:rFonts w:ascii="黑体" w:hAnsi="黑体" w:eastAsia="黑体" w:cs="Times New Roman"/>
          <w:sz w:val="40"/>
          <w:szCs w:val="40"/>
        </w:rPr>
      </w:pPr>
    </w:p>
    <w:p w14:paraId="4C0FF5C3">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符合性审查表</w:t>
      </w:r>
    </w:p>
    <w:tbl>
      <w:tblPr>
        <w:tblStyle w:val="23"/>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704"/>
      </w:tblGrid>
      <w:tr w14:paraId="383412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D55DCC">
            <w:pPr>
              <w:spacing w:line="290" w:lineRule="exact"/>
              <w:jc w:val="center"/>
              <w:rPr>
                <w:rFonts w:ascii="宋体" w:hAnsi="宋体" w:eastAsia="宋体" w:cs="宋体"/>
                <w:szCs w:val="21"/>
              </w:rPr>
            </w:pPr>
            <w:r>
              <w:rPr>
                <w:rFonts w:ascii="宋体" w:hAnsi="宋体" w:eastAsia="宋体" w:cs="Times New Roman"/>
                <w:szCs w:val="21"/>
              </w:rPr>
              <w:t>序号</w:t>
            </w:r>
          </w:p>
        </w:tc>
        <w:tc>
          <w:tcPr>
            <w:tcW w:w="870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D10C5C4">
            <w:pPr>
              <w:spacing w:line="290" w:lineRule="exact"/>
              <w:jc w:val="center"/>
              <w:rPr>
                <w:rFonts w:ascii="宋体" w:hAnsi="宋体" w:eastAsia="宋体" w:cs="宋体"/>
                <w:szCs w:val="21"/>
              </w:rPr>
            </w:pPr>
            <w:r>
              <w:rPr>
                <w:rFonts w:ascii="宋体" w:hAnsi="宋体" w:eastAsia="宋体" w:cs="Times New Roman"/>
                <w:szCs w:val="21"/>
              </w:rPr>
              <w:t>内容</w:t>
            </w:r>
          </w:p>
        </w:tc>
      </w:tr>
      <w:tr w14:paraId="27BB3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042FEA2">
            <w:pPr>
              <w:spacing w:line="290" w:lineRule="exact"/>
              <w:jc w:val="center"/>
              <w:rPr>
                <w:rFonts w:ascii="Calibri" w:hAnsi="Calibri" w:eastAsia="宋体" w:cs="Times New Roman"/>
              </w:rPr>
            </w:pPr>
            <w:r>
              <w:rPr>
                <w:rFonts w:ascii="Calibri" w:hAnsi="Calibri" w:eastAsia="宋体" w:cs="Times New Roman"/>
              </w:rPr>
              <w:t>1</w:t>
            </w:r>
          </w:p>
        </w:tc>
        <w:tc>
          <w:tcPr>
            <w:tcW w:w="8704" w:type="dxa"/>
            <w:tcBorders>
              <w:top w:val="single" w:color="000000" w:sz="8" w:space="0"/>
              <w:left w:val="single" w:color="000000" w:sz="8" w:space="0"/>
              <w:bottom w:val="single" w:color="000000" w:sz="8" w:space="0"/>
              <w:right w:val="single" w:color="000000" w:sz="8" w:space="0"/>
            </w:tcBorders>
            <w:vAlign w:val="top"/>
          </w:tcPr>
          <w:p w14:paraId="1D1D3F80">
            <w:pPr>
              <w:pageBreakBefore w:val="0"/>
              <w:kinsoku/>
              <w:overflowPunct/>
              <w:topLinePunct w:val="0"/>
              <w:bidi w:val="0"/>
              <w:spacing w:line="240" w:lineRule="auto"/>
              <w:rPr>
                <w:rFonts w:hint="eastAsia" w:ascii="宋体" w:hAnsi="宋体" w:cs="宋体"/>
                <w:b/>
                <w:bCs/>
                <w:spacing w:val="0"/>
                <w:sz w:val="24"/>
                <w:szCs w:val="24"/>
                <w:highlight w:val="none"/>
                <w:lang w:val="en-US" w:eastAsia="zh-CN"/>
              </w:rPr>
            </w:pPr>
            <w:r>
              <w:rPr>
                <w:rFonts w:hint="eastAsia" w:ascii="宋体" w:hAnsi="宋体" w:cs="宋体"/>
                <w:b/>
                <w:bCs/>
                <w:spacing w:val="0"/>
                <w:sz w:val="24"/>
                <w:szCs w:val="24"/>
                <w:highlight w:val="none"/>
                <w:lang w:val="en-US" w:eastAsia="zh-CN"/>
              </w:rPr>
              <w:t>项目详细报价填写的“分成系数”＜5% ；“分成系数”缺填、漏填或者填报了两个及以上“分成系数”；</w:t>
            </w:r>
          </w:p>
        </w:tc>
      </w:tr>
      <w:tr w14:paraId="1634E6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D0BA331">
            <w:pPr>
              <w:spacing w:line="290" w:lineRule="exact"/>
              <w:jc w:val="center"/>
              <w:rPr>
                <w:rFonts w:hint="eastAsia" w:ascii="Calibri" w:hAnsi="Calibri" w:eastAsia="宋体" w:cs="Times New Roman"/>
                <w:lang w:val="en-US" w:eastAsia="zh-CN"/>
              </w:rPr>
            </w:pPr>
            <w:r>
              <w:rPr>
                <w:rFonts w:hint="eastAsia" w:ascii="Calibri" w:hAnsi="Calibri" w:eastAsia="宋体" w:cs="Times New Roman"/>
                <w:lang w:val="en-US" w:eastAsia="zh-CN"/>
              </w:rPr>
              <w:t>2</w:t>
            </w:r>
          </w:p>
        </w:tc>
        <w:tc>
          <w:tcPr>
            <w:tcW w:w="8704" w:type="dxa"/>
            <w:tcBorders>
              <w:top w:val="single" w:color="000000" w:sz="8" w:space="0"/>
              <w:left w:val="single" w:color="000000" w:sz="8" w:space="0"/>
              <w:bottom w:val="single" w:color="000000" w:sz="8" w:space="0"/>
              <w:right w:val="single" w:color="000000" w:sz="8" w:space="0"/>
            </w:tcBorders>
            <w:vAlign w:val="top"/>
          </w:tcPr>
          <w:p w14:paraId="3979EE95">
            <w:pPr>
              <w:pageBreakBefore w:val="0"/>
              <w:kinsoku/>
              <w:overflowPunct/>
              <w:topLinePunct w:val="0"/>
              <w:bidi w:val="0"/>
              <w:spacing w:line="240" w:lineRule="auto"/>
              <w:rPr>
                <w:rFonts w:hint="eastAsia" w:ascii="宋体" w:hAnsi="宋体" w:cs="宋体"/>
                <w:b/>
                <w:bCs/>
                <w:spacing w:val="0"/>
                <w:sz w:val="24"/>
                <w:szCs w:val="24"/>
                <w:highlight w:val="none"/>
                <w:lang w:val="en-US" w:eastAsia="zh-CN"/>
              </w:rPr>
            </w:pPr>
            <w:r>
              <w:rPr>
                <w:rFonts w:hint="eastAsia" w:ascii="宋体" w:hAnsi="宋体" w:cs="宋体"/>
                <w:b/>
                <w:bCs/>
                <w:spacing w:val="0"/>
                <w:sz w:val="24"/>
                <w:szCs w:val="24"/>
                <w:highlight w:val="none"/>
                <w:lang w:val="en-US" w:eastAsia="zh-CN"/>
              </w:rPr>
              <w:t>未按招标文件规定的形式和金额提交投标保证金的；</w:t>
            </w:r>
          </w:p>
        </w:tc>
      </w:tr>
      <w:tr w14:paraId="03D3D6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65F4326">
            <w:pPr>
              <w:spacing w:line="290" w:lineRule="exact"/>
              <w:jc w:val="center"/>
              <w:rPr>
                <w:rFonts w:hint="eastAsia" w:ascii="Calibri" w:hAnsi="Calibri" w:eastAsia="宋体" w:cs="Times New Roman"/>
                <w:lang w:eastAsia="zh-CN"/>
              </w:rPr>
            </w:pPr>
            <w:r>
              <w:rPr>
                <w:rFonts w:hint="eastAsia" w:ascii="Calibri" w:hAnsi="Calibri" w:eastAsia="宋体" w:cs="Times New Roman"/>
                <w:lang w:val="en-US" w:eastAsia="zh-CN"/>
              </w:rPr>
              <w:t>3</w:t>
            </w:r>
          </w:p>
        </w:tc>
        <w:tc>
          <w:tcPr>
            <w:tcW w:w="8704" w:type="dxa"/>
            <w:tcBorders>
              <w:top w:val="single" w:color="000000" w:sz="8" w:space="0"/>
              <w:left w:val="single" w:color="000000" w:sz="8" w:space="0"/>
              <w:bottom w:val="single" w:color="000000" w:sz="8" w:space="0"/>
              <w:right w:val="single" w:color="000000" w:sz="8" w:space="0"/>
            </w:tcBorders>
            <w:vAlign w:val="top"/>
          </w:tcPr>
          <w:p w14:paraId="405A417A">
            <w:pPr>
              <w:pageBreakBefore w:val="0"/>
              <w:kinsoku/>
              <w:overflowPunct/>
              <w:topLinePunct w:val="0"/>
              <w:bidi w:val="0"/>
              <w:spacing w:line="240" w:lineRule="auto"/>
              <w:rPr>
                <w:rFonts w:ascii="Calibri" w:hAnsi="Calibri" w:eastAsia="宋体" w:cs="Times New Roman"/>
              </w:rPr>
            </w:pPr>
            <w:r>
              <w:rPr>
                <w:rFonts w:hint="eastAsia" w:ascii="宋体" w:hAnsi="宋体" w:eastAsia="宋体" w:cs="宋体"/>
                <w:sz w:val="24"/>
                <w:szCs w:val="24"/>
                <w:highlight w:val="none"/>
              </w:rPr>
              <w:t>将一个包或一个标段的内容拆开投标；</w:t>
            </w:r>
          </w:p>
        </w:tc>
      </w:tr>
      <w:tr w14:paraId="35A91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FC0FD1E">
            <w:pPr>
              <w:spacing w:line="290" w:lineRule="exact"/>
              <w:jc w:val="center"/>
              <w:rPr>
                <w:rFonts w:hint="eastAsia" w:ascii="Calibri" w:hAnsi="Calibri" w:eastAsia="宋体" w:cs="Times New Roman"/>
                <w:lang w:eastAsia="zh-CN"/>
              </w:rPr>
            </w:pPr>
            <w:r>
              <w:rPr>
                <w:rFonts w:hint="eastAsia" w:ascii="Calibri" w:hAnsi="Calibri" w:eastAsia="宋体" w:cs="Times New Roman"/>
                <w:lang w:val="en-US" w:eastAsia="zh-CN"/>
              </w:rPr>
              <w:t>4</w:t>
            </w:r>
          </w:p>
        </w:tc>
        <w:tc>
          <w:tcPr>
            <w:tcW w:w="8704" w:type="dxa"/>
            <w:tcBorders>
              <w:top w:val="single" w:color="000000" w:sz="8" w:space="0"/>
              <w:left w:val="single" w:color="000000" w:sz="8" w:space="0"/>
              <w:bottom w:val="single" w:color="000000" w:sz="8" w:space="0"/>
              <w:right w:val="single" w:color="000000" w:sz="8" w:space="0"/>
            </w:tcBorders>
            <w:vAlign w:val="top"/>
          </w:tcPr>
          <w:p w14:paraId="7FA3C555">
            <w:pPr>
              <w:pageBreakBefore w:val="0"/>
              <w:kinsoku/>
              <w:overflowPunct/>
              <w:topLinePunct w:val="0"/>
              <w:bidi w:val="0"/>
              <w:spacing w:line="240" w:lineRule="auto"/>
              <w:rPr>
                <w:rFonts w:ascii="Calibri" w:hAnsi="Calibri" w:eastAsia="宋体" w:cs="Times New Roman"/>
              </w:rPr>
            </w:pPr>
            <w:r>
              <w:rPr>
                <w:rFonts w:hint="eastAsia" w:ascii="宋体" w:hAnsi="宋体" w:eastAsia="宋体" w:cs="宋体"/>
                <w:sz w:val="24"/>
                <w:szCs w:val="24"/>
                <w:highlight w:val="none"/>
              </w:rPr>
              <w:t>对同一项目投标时，提供两套以上的投标方案（招标文件另有规定的除外）；</w:t>
            </w:r>
          </w:p>
        </w:tc>
      </w:tr>
      <w:tr w14:paraId="63BB2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BFD57C9">
            <w:pPr>
              <w:spacing w:line="290" w:lineRule="exact"/>
              <w:jc w:val="center"/>
              <w:rPr>
                <w:rFonts w:hint="eastAsia" w:ascii="Calibri" w:hAnsi="Calibri" w:eastAsia="宋体" w:cs="Times New Roman"/>
                <w:lang w:eastAsia="zh-CN"/>
              </w:rPr>
            </w:pPr>
            <w:r>
              <w:rPr>
                <w:rFonts w:hint="eastAsia" w:ascii="Calibri" w:hAnsi="Calibri" w:eastAsia="宋体" w:cs="Times New Roman"/>
                <w:lang w:val="en-US" w:eastAsia="zh-CN"/>
              </w:rPr>
              <w:t>5</w:t>
            </w:r>
          </w:p>
        </w:tc>
        <w:tc>
          <w:tcPr>
            <w:tcW w:w="8704" w:type="dxa"/>
            <w:tcBorders>
              <w:top w:val="single" w:color="000000" w:sz="8" w:space="0"/>
              <w:left w:val="single" w:color="000000" w:sz="8" w:space="0"/>
              <w:bottom w:val="single" w:color="000000" w:sz="8" w:space="0"/>
              <w:right w:val="single" w:color="000000" w:sz="8" w:space="0"/>
            </w:tcBorders>
            <w:vAlign w:val="top"/>
          </w:tcPr>
          <w:p w14:paraId="30A4BF52">
            <w:pPr>
              <w:pageBreakBefore w:val="0"/>
              <w:kinsoku/>
              <w:overflowPunct/>
              <w:topLinePunct w:val="0"/>
              <w:bidi w:val="0"/>
              <w:spacing w:line="240" w:lineRule="auto"/>
              <w:rPr>
                <w:rFonts w:ascii="Calibri" w:hAnsi="Calibri" w:eastAsia="宋体" w:cs="Times New Roman"/>
              </w:rPr>
            </w:pPr>
            <w:r>
              <w:rPr>
                <w:rFonts w:hint="eastAsia" w:ascii="宋体" w:hAnsi="宋体" w:eastAsia="宋体" w:cs="宋体"/>
                <w:sz w:val="24"/>
                <w:szCs w:val="24"/>
                <w:highlight w:val="none"/>
              </w:rPr>
              <w:t>所投货物、服务在技术、商务等方面没有实质性满足招标文件要求的（是否实质性满足招标文件要求，由评审委员会根据《实质性条款响应情况表》做出评判）；</w:t>
            </w:r>
          </w:p>
        </w:tc>
      </w:tr>
      <w:tr w14:paraId="1DB8F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EF5D01B">
            <w:pPr>
              <w:spacing w:line="290" w:lineRule="exact"/>
              <w:jc w:val="center"/>
              <w:rPr>
                <w:rFonts w:hint="eastAsia" w:ascii="Calibri" w:hAnsi="Calibri" w:eastAsia="宋体" w:cs="Times New Roman"/>
                <w:lang w:eastAsia="zh-CN"/>
              </w:rPr>
            </w:pPr>
            <w:r>
              <w:rPr>
                <w:rFonts w:hint="eastAsia" w:ascii="Calibri" w:hAnsi="Calibri" w:eastAsia="宋体" w:cs="Times New Roman"/>
                <w:lang w:val="en-US" w:eastAsia="zh-CN"/>
              </w:rPr>
              <w:t>6</w:t>
            </w:r>
          </w:p>
        </w:tc>
        <w:tc>
          <w:tcPr>
            <w:tcW w:w="8704" w:type="dxa"/>
            <w:tcBorders>
              <w:top w:val="single" w:color="000000" w:sz="8" w:space="0"/>
              <w:left w:val="single" w:color="000000" w:sz="8" w:space="0"/>
              <w:bottom w:val="single" w:color="000000" w:sz="8" w:space="0"/>
              <w:right w:val="single" w:color="000000" w:sz="8" w:space="0"/>
            </w:tcBorders>
            <w:vAlign w:val="top"/>
          </w:tcPr>
          <w:p w14:paraId="20D767F5">
            <w:pPr>
              <w:pageBreakBefore w:val="0"/>
              <w:kinsoku/>
              <w:overflowPunct/>
              <w:topLinePunct w:val="0"/>
              <w:bidi w:val="0"/>
              <w:spacing w:line="240" w:lineRule="auto"/>
              <w:rPr>
                <w:rFonts w:ascii="Calibri" w:hAnsi="Calibri" w:eastAsia="宋体" w:cs="Times New Roman"/>
              </w:rPr>
            </w:pPr>
            <w:bookmarkStart w:id="2" w:name="OLE_LINK16"/>
            <w:r>
              <w:rPr>
                <w:rFonts w:hint="eastAsia" w:ascii="宋体" w:hAnsi="宋体" w:eastAsia="宋体" w:cs="宋体"/>
                <w:sz w:val="24"/>
                <w:szCs w:val="24"/>
                <w:highlight w:val="none"/>
              </w:rPr>
              <w:t>未按招标文件所提供的样式填写《投标函》；未按招标文件所提供的《投标及履约承诺函》进行承诺；未按招标文件对投标文件组成的要求提供投标文件；</w:t>
            </w:r>
            <w:bookmarkEnd w:id="2"/>
          </w:p>
        </w:tc>
      </w:tr>
      <w:tr w14:paraId="3A302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8B37A99">
            <w:pPr>
              <w:spacing w:line="290" w:lineRule="exact"/>
              <w:jc w:val="center"/>
              <w:rPr>
                <w:rFonts w:hint="eastAsia" w:ascii="Calibri" w:hAnsi="Calibri" w:eastAsia="宋体" w:cs="Times New Roman"/>
                <w:lang w:eastAsia="zh-CN"/>
              </w:rPr>
            </w:pPr>
            <w:r>
              <w:rPr>
                <w:rFonts w:hint="eastAsia" w:ascii="Calibri" w:hAnsi="Calibri" w:eastAsia="宋体" w:cs="Times New Roman"/>
                <w:lang w:val="en-US" w:eastAsia="zh-CN"/>
              </w:rPr>
              <w:t>7</w:t>
            </w:r>
          </w:p>
        </w:tc>
        <w:tc>
          <w:tcPr>
            <w:tcW w:w="8704" w:type="dxa"/>
            <w:tcBorders>
              <w:top w:val="single" w:color="000000" w:sz="8" w:space="0"/>
              <w:left w:val="single" w:color="000000" w:sz="8" w:space="0"/>
              <w:bottom w:val="single" w:color="000000" w:sz="8" w:space="0"/>
              <w:right w:val="single" w:color="000000" w:sz="8" w:space="0"/>
            </w:tcBorders>
            <w:vAlign w:val="top"/>
          </w:tcPr>
          <w:p w14:paraId="04FD3A1B">
            <w:pPr>
              <w:pageBreakBefore w:val="0"/>
              <w:kinsoku/>
              <w:overflowPunct/>
              <w:topLinePunct w:val="0"/>
              <w:bidi w:val="0"/>
              <w:spacing w:line="240" w:lineRule="auto"/>
              <w:rPr>
                <w:rFonts w:ascii="Calibri" w:hAnsi="Calibri" w:eastAsia="宋体" w:cs="Times New Roman"/>
              </w:rPr>
            </w:pPr>
            <w:bookmarkStart w:id="3" w:name="OLE_LINK17"/>
            <w:r>
              <w:rPr>
                <w:rFonts w:hint="eastAsia" w:ascii="宋体" w:hAnsi="宋体" w:eastAsia="宋体" w:cs="宋体"/>
                <w:b/>
                <w:sz w:val="24"/>
                <w:szCs w:val="24"/>
              </w:rPr>
              <w:t>采购标的/服务清单/报价等任意一类</w:t>
            </w:r>
            <w:r>
              <w:rPr>
                <w:rFonts w:hint="eastAsia" w:ascii="宋体" w:hAnsi="宋体" w:eastAsia="宋体" w:cs="宋体"/>
                <w:sz w:val="24"/>
                <w:szCs w:val="24"/>
              </w:rPr>
              <w:t>有缺漏项或响应不全，或者对招标文件规定的项目需求内容或者需求数量进行修改，评审委员会判定投标响应不满足采购需求；</w:t>
            </w:r>
            <w:bookmarkEnd w:id="3"/>
          </w:p>
        </w:tc>
      </w:tr>
      <w:tr w14:paraId="15F53D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022180C">
            <w:pPr>
              <w:spacing w:line="290" w:lineRule="exact"/>
              <w:jc w:val="center"/>
              <w:rPr>
                <w:rFonts w:hint="eastAsia" w:ascii="Calibri" w:hAnsi="Calibri" w:eastAsia="宋体" w:cs="Times New Roman"/>
                <w:lang w:eastAsia="zh-CN"/>
              </w:rPr>
            </w:pPr>
            <w:r>
              <w:rPr>
                <w:rFonts w:hint="eastAsia" w:ascii="Calibri" w:hAnsi="Calibri" w:eastAsia="宋体" w:cs="Times New Roman"/>
                <w:lang w:val="en-US" w:eastAsia="zh-CN"/>
              </w:rPr>
              <w:t>8</w:t>
            </w:r>
          </w:p>
        </w:tc>
        <w:tc>
          <w:tcPr>
            <w:tcW w:w="8704" w:type="dxa"/>
            <w:tcBorders>
              <w:top w:val="single" w:color="000000" w:sz="8" w:space="0"/>
              <w:left w:val="single" w:color="000000" w:sz="8" w:space="0"/>
              <w:bottom w:val="single" w:color="000000" w:sz="8" w:space="0"/>
              <w:right w:val="single" w:color="000000" w:sz="8" w:space="0"/>
            </w:tcBorders>
            <w:vAlign w:val="top"/>
          </w:tcPr>
          <w:p w14:paraId="6A7BAA19">
            <w:pPr>
              <w:pageBreakBefore w:val="0"/>
              <w:kinsoku/>
              <w:overflowPunct/>
              <w:topLinePunct w:val="0"/>
              <w:bidi w:val="0"/>
              <w:spacing w:line="240" w:lineRule="auto"/>
              <w:rPr>
                <w:szCs w:val="21"/>
              </w:rPr>
            </w:pPr>
            <w:r>
              <w:rPr>
                <w:rFonts w:hint="eastAsia" w:ascii="宋体" w:hAnsi="宋体" w:eastAsia="宋体" w:cs="宋体"/>
                <w:sz w:val="24"/>
                <w:szCs w:val="24"/>
                <w:highlight w:val="none"/>
              </w:rPr>
              <w:t>投标文件存在列放位置错误，导致属于信息公开情形的没有被公开；</w:t>
            </w:r>
          </w:p>
        </w:tc>
      </w:tr>
      <w:tr w14:paraId="09FA0E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9BE0EF2">
            <w:pPr>
              <w:spacing w:line="290" w:lineRule="exact"/>
              <w:jc w:val="center"/>
              <w:rPr>
                <w:rFonts w:hint="eastAsia" w:ascii="Calibri" w:hAnsi="Calibri" w:eastAsia="宋体" w:cs="Times New Roman"/>
                <w:lang w:eastAsia="zh-CN"/>
              </w:rPr>
            </w:pPr>
            <w:r>
              <w:rPr>
                <w:rFonts w:hint="eastAsia" w:ascii="Calibri" w:hAnsi="Calibri" w:eastAsia="宋体" w:cs="Times New Roman"/>
                <w:lang w:val="en-US" w:eastAsia="zh-CN"/>
              </w:rPr>
              <w:t>9</w:t>
            </w:r>
          </w:p>
        </w:tc>
        <w:tc>
          <w:tcPr>
            <w:tcW w:w="8704" w:type="dxa"/>
            <w:tcBorders>
              <w:top w:val="single" w:color="000000" w:sz="8" w:space="0"/>
              <w:left w:val="single" w:color="000000" w:sz="8" w:space="0"/>
              <w:bottom w:val="single" w:color="000000" w:sz="8" w:space="0"/>
              <w:right w:val="single" w:color="000000" w:sz="8" w:space="0"/>
            </w:tcBorders>
            <w:vAlign w:val="top"/>
          </w:tcPr>
          <w:p w14:paraId="49C414E9">
            <w:pPr>
              <w:pageBreakBefore w:val="0"/>
              <w:kinsoku/>
              <w:overflowPunct/>
              <w:topLinePunct w:val="0"/>
              <w:bidi w:val="0"/>
              <w:spacing w:line="240" w:lineRule="auto"/>
              <w:rPr>
                <w:szCs w:val="21"/>
              </w:rPr>
            </w:pPr>
            <w:bookmarkStart w:id="4" w:name="OLE_LINK19"/>
            <w:r>
              <w:rPr>
                <w:rFonts w:hint="eastAsia" w:ascii="宋体" w:hAnsi="宋体" w:eastAsia="宋体" w:cs="宋体"/>
                <w:sz w:val="24"/>
                <w:szCs w:val="24"/>
              </w:rPr>
              <w:t>投标文件电子文档不得带病毒</w:t>
            </w:r>
            <w:bookmarkEnd w:id="4"/>
            <w:r>
              <w:rPr>
                <w:rFonts w:hint="eastAsia" w:ascii="宋体" w:hAnsi="宋体" w:eastAsia="宋体" w:cs="宋体"/>
                <w:sz w:val="24"/>
                <w:szCs w:val="24"/>
              </w:rPr>
              <w:t>；</w:t>
            </w:r>
          </w:p>
        </w:tc>
      </w:tr>
      <w:tr w14:paraId="770BFE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F382936">
            <w:pPr>
              <w:spacing w:line="290" w:lineRule="exact"/>
              <w:jc w:val="center"/>
              <w:rPr>
                <w:rFonts w:hint="default" w:ascii="Calibri" w:hAnsi="Calibri" w:eastAsia="宋体" w:cs="Times New Roman"/>
                <w:lang w:val="en-US" w:eastAsia="zh-CN"/>
              </w:rPr>
            </w:pPr>
            <w:r>
              <w:rPr>
                <w:rFonts w:hint="eastAsia" w:ascii="Calibri" w:hAnsi="Calibri" w:eastAsia="宋体" w:cs="Times New Roman"/>
                <w:lang w:val="en-US" w:eastAsia="zh-CN"/>
              </w:rPr>
              <w:t>10</w:t>
            </w:r>
          </w:p>
        </w:tc>
        <w:tc>
          <w:tcPr>
            <w:tcW w:w="8704" w:type="dxa"/>
            <w:tcBorders>
              <w:top w:val="single" w:color="000000" w:sz="8" w:space="0"/>
              <w:left w:val="single" w:color="000000" w:sz="8" w:space="0"/>
              <w:bottom w:val="single" w:color="000000" w:sz="8" w:space="0"/>
              <w:right w:val="single" w:color="000000" w:sz="8" w:space="0"/>
            </w:tcBorders>
            <w:vAlign w:val="top"/>
          </w:tcPr>
          <w:p w14:paraId="588E6175">
            <w:pPr>
              <w:pageBreakBefore w:val="0"/>
              <w:kinsoku/>
              <w:overflowPunct/>
              <w:topLinePunct w:val="0"/>
              <w:bidi w:val="0"/>
              <w:spacing w:line="240" w:lineRule="auto"/>
              <w:rPr>
                <w:rFonts w:ascii="宋体" w:hAnsi="宋体" w:eastAsia="宋体"/>
                <w:szCs w:val="21"/>
              </w:rPr>
            </w:pPr>
            <w:r>
              <w:rPr>
                <w:rFonts w:hint="eastAsia" w:ascii="宋体" w:hAnsi="宋体" w:eastAsia="宋体" w:cs="宋体"/>
                <w:sz w:val="24"/>
                <w:szCs w:val="24"/>
              </w:rPr>
              <w:t>投标文件用不属于本公司的电子密钥或电子营业执照进行加密的；</w:t>
            </w:r>
          </w:p>
        </w:tc>
      </w:tr>
      <w:tr w14:paraId="6A5B1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3E8726D">
            <w:pPr>
              <w:spacing w:line="290" w:lineRule="exact"/>
              <w:jc w:val="center"/>
              <w:rPr>
                <w:rFonts w:hint="default" w:ascii="Calibri" w:hAnsi="Calibri" w:eastAsia="宋体" w:cs="Times New Roman"/>
                <w:lang w:val="en-US" w:eastAsia="zh-CN"/>
              </w:rPr>
            </w:pPr>
            <w:r>
              <w:rPr>
                <w:rFonts w:hint="eastAsia" w:ascii="Calibri" w:hAnsi="Calibri" w:eastAsia="宋体" w:cs="Times New Roman"/>
                <w:lang w:val="en-US" w:eastAsia="zh-CN"/>
              </w:rPr>
              <w:t>11</w:t>
            </w:r>
          </w:p>
        </w:tc>
        <w:tc>
          <w:tcPr>
            <w:tcW w:w="8704" w:type="dxa"/>
            <w:tcBorders>
              <w:top w:val="single" w:color="000000" w:sz="8" w:space="0"/>
              <w:left w:val="single" w:color="000000" w:sz="8" w:space="0"/>
              <w:bottom w:val="single" w:color="000000" w:sz="8" w:space="0"/>
              <w:right w:val="single" w:color="000000" w:sz="8" w:space="0"/>
            </w:tcBorders>
            <w:vAlign w:val="top"/>
          </w:tcPr>
          <w:p w14:paraId="16CF49CE">
            <w:pPr>
              <w:pageBreakBefore w:val="0"/>
              <w:widowControl/>
              <w:kinsoku/>
              <w:overflowPunct/>
              <w:topLinePunct w:val="0"/>
              <w:bidi w:val="0"/>
              <w:spacing w:line="240" w:lineRule="auto"/>
              <w:jc w:val="left"/>
              <w:textAlignment w:val="top"/>
              <w:rPr>
                <w:szCs w:val="21"/>
              </w:rPr>
            </w:pPr>
            <w:r>
              <w:rPr>
                <w:rFonts w:hint="eastAsia" w:ascii="宋体" w:hAnsi="宋体" w:eastAsia="宋体" w:cs="宋体"/>
                <w:sz w:val="24"/>
                <w:szCs w:val="24"/>
                <w:highlight w:val="none"/>
              </w:rPr>
              <w:t>经核实，不同投标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的投标文件由同一电子设备编制、加密或者上传的；</w:t>
            </w:r>
          </w:p>
        </w:tc>
      </w:tr>
      <w:tr w14:paraId="0C5EE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D708424">
            <w:pPr>
              <w:spacing w:line="290" w:lineRule="exact"/>
              <w:jc w:val="center"/>
              <w:rPr>
                <w:rFonts w:hint="default" w:ascii="Calibri" w:hAnsi="Calibri" w:eastAsia="宋体" w:cs="Times New Roman"/>
                <w:lang w:val="en-US" w:eastAsia="zh-CN"/>
              </w:rPr>
            </w:pPr>
            <w:r>
              <w:rPr>
                <w:rFonts w:hint="eastAsia" w:ascii="Calibri" w:hAnsi="Calibri" w:eastAsia="宋体" w:cs="Times New Roman"/>
                <w:lang w:val="en-US" w:eastAsia="zh-CN"/>
              </w:rPr>
              <w:t>12</w:t>
            </w:r>
          </w:p>
        </w:tc>
        <w:tc>
          <w:tcPr>
            <w:tcW w:w="8704" w:type="dxa"/>
            <w:tcBorders>
              <w:top w:val="single" w:color="000000" w:sz="8" w:space="0"/>
              <w:left w:val="single" w:color="000000" w:sz="8" w:space="0"/>
              <w:bottom w:val="single" w:color="000000" w:sz="8" w:space="0"/>
              <w:right w:val="single" w:color="000000" w:sz="8" w:space="0"/>
            </w:tcBorders>
            <w:vAlign w:val="top"/>
          </w:tcPr>
          <w:p w14:paraId="783F915D">
            <w:pPr>
              <w:pageBreakBefore w:val="0"/>
              <w:kinsoku/>
              <w:overflowPunct/>
              <w:topLinePunct w:val="0"/>
              <w:bidi w:val="0"/>
              <w:spacing w:line="240" w:lineRule="auto"/>
              <w:rPr>
                <w:rFonts w:ascii="宋体" w:hAnsi="宋体" w:eastAsia="宋体"/>
              </w:rPr>
            </w:pPr>
            <w:r>
              <w:rPr>
                <w:rFonts w:hint="eastAsia" w:ascii="宋体" w:hAnsi="宋体" w:eastAsia="宋体" w:cs="宋体"/>
                <w:sz w:val="24"/>
                <w:szCs w:val="24"/>
                <w:highlight w:val="none"/>
              </w:rPr>
              <w:t>法律、法规、规章、规范性文件规定的其他情形。</w:t>
            </w:r>
          </w:p>
        </w:tc>
      </w:tr>
    </w:tbl>
    <w:p w14:paraId="428F9DA9">
      <w:pPr>
        <w:pStyle w:val="2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黑体" w:hAnsi="黑体" w:eastAsia="黑体"/>
          <w:sz w:val="40"/>
          <w:szCs w:val="40"/>
        </w:rPr>
      </w:pPr>
    </w:p>
    <w:p w14:paraId="1DA37A61">
      <w:pPr>
        <w:pStyle w:val="2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黑体" w:hAnsi="黑体" w:eastAsia="黑体"/>
          <w:sz w:val="40"/>
          <w:szCs w:val="40"/>
        </w:rPr>
      </w:pPr>
    </w:p>
    <w:p w14:paraId="28EED807">
      <w:pPr>
        <w:pStyle w:val="2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黑体" w:hAnsi="黑体" w:eastAsia="黑体"/>
          <w:sz w:val="40"/>
          <w:szCs w:val="40"/>
        </w:rPr>
      </w:pPr>
    </w:p>
    <w:p w14:paraId="0F63E51B">
      <w:pPr>
        <w:pStyle w:val="2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黑体" w:hAnsi="黑体" w:eastAsia="黑体"/>
          <w:sz w:val="40"/>
          <w:szCs w:val="40"/>
        </w:rPr>
      </w:pPr>
    </w:p>
    <w:p w14:paraId="46174BF9">
      <w:pPr>
        <w:rPr>
          <w:rFonts w:hint="eastAsia" w:ascii="黑体" w:hAnsi="黑体" w:eastAsia="黑体"/>
          <w:sz w:val="40"/>
          <w:szCs w:val="40"/>
        </w:rPr>
      </w:pPr>
      <w:r>
        <w:rPr>
          <w:rFonts w:hint="eastAsia" w:ascii="黑体" w:hAnsi="黑体" w:eastAsia="黑体"/>
          <w:sz w:val="40"/>
          <w:szCs w:val="40"/>
        </w:rPr>
        <w:br w:type="page"/>
      </w:r>
    </w:p>
    <w:p w14:paraId="5C8C5056">
      <w:pPr>
        <w:pStyle w:val="20"/>
        <w:keepNext w:val="0"/>
        <w:keepLines w:val="0"/>
        <w:pageBreakBefore w:val="0"/>
        <w:widowControl/>
        <w:kinsoku/>
        <w:wordWrap/>
        <w:overflowPunct/>
        <w:topLinePunct w:val="0"/>
        <w:autoSpaceDE/>
        <w:autoSpaceDN/>
        <w:bidi w:val="0"/>
        <w:adjustRightInd/>
        <w:snapToGrid/>
        <w:jc w:val="center"/>
        <w:textAlignment w:val="auto"/>
        <w:outlineLvl w:val="0"/>
        <w:rPr>
          <w:rFonts w:ascii="黑体" w:eastAsia="黑体"/>
          <w:sz w:val="40"/>
          <w:szCs w:val="40"/>
        </w:rPr>
      </w:pPr>
      <w:r>
        <w:rPr>
          <w:rFonts w:hint="eastAsia" w:ascii="黑体" w:hAnsi="黑体" w:eastAsia="黑体"/>
          <w:sz w:val="40"/>
          <w:szCs w:val="40"/>
        </w:rPr>
        <w:t>评标信息</w:t>
      </w:r>
    </w:p>
    <w:p w14:paraId="4C28C7C2">
      <w:r>
        <w:rPr>
          <w:rFonts w:ascii="宋体" w:hAnsi="宋体"/>
          <w:b/>
          <w:bCs/>
        </w:rPr>
        <w:t>评标方法：综合评分法</w:t>
      </w:r>
    </w:p>
    <w:p w14:paraId="236F6E82">
      <w:pPr>
        <w:pageBreakBefore w:val="0"/>
        <w:kinsoku/>
        <w:overflowPunct/>
        <w:topLinePunct w:val="0"/>
        <w:bidi w:val="0"/>
        <w:spacing w:line="440" w:lineRule="exact"/>
        <w:rPr>
          <w:rFonts w:hint="eastAsia" w:ascii="宋体" w:hAnsi="宋体" w:eastAsia="宋体" w:cs="宋体"/>
          <w:sz w:val="24"/>
          <w:szCs w:val="24"/>
        </w:rPr>
      </w:pPr>
      <w:r>
        <w:rPr>
          <w:rFonts w:hint="eastAsia" w:ascii="宋体" w:hAnsi="宋体" w:eastAsia="宋体" w:cs="宋体"/>
          <w:sz w:val="24"/>
          <w:szCs w:val="24"/>
        </w:rPr>
        <w:t>综合评分法，是指投标文件满足招标文件全部实质性要求，且按照招标文件规定的各项因素进行综合评审，评标总得分排名前列的投标人为中标候选人的评标方法。</w:t>
      </w:r>
    </w:p>
    <w:p w14:paraId="1D29AA56">
      <w:pPr>
        <w:pageBreakBefore w:val="0"/>
        <w:kinsoku/>
        <w:overflowPunct/>
        <w:topLinePunct w:val="0"/>
        <w:bidi w:val="0"/>
        <w:spacing w:line="440" w:lineRule="exact"/>
        <w:rPr>
          <w:rFonts w:hint="eastAsia" w:ascii="宋体" w:hAnsi="宋体" w:eastAsia="宋体" w:cs="宋体"/>
          <w:sz w:val="24"/>
          <w:szCs w:val="24"/>
        </w:rPr>
      </w:pPr>
      <w:r>
        <w:rPr>
          <w:rFonts w:hint="eastAsia" w:ascii="宋体" w:hAnsi="宋体" w:eastAsia="宋体" w:cs="宋体"/>
          <w:sz w:val="24"/>
          <w:szCs w:val="24"/>
        </w:rPr>
        <w:t>价格分计算方法：</w:t>
      </w:r>
    </w:p>
    <w:p w14:paraId="397F48D0">
      <w:pPr>
        <w:pageBreakBefore w:val="0"/>
        <w:kinsoku/>
        <w:overflowPunct/>
        <w:topLinePunct w:val="0"/>
        <w:bidi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采用</w:t>
      </w:r>
      <w:r>
        <w:rPr>
          <w:rFonts w:hint="eastAsia" w:ascii="宋体" w:hAnsi="宋体" w:eastAsia="宋体" w:cs="宋体"/>
          <w:b/>
          <w:bCs/>
          <w:sz w:val="24"/>
          <w:szCs w:val="24"/>
        </w:rPr>
        <w:t>高价优先法</w:t>
      </w:r>
      <w:r>
        <w:rPr>
          <w:rFonts w:hint="eastAsia" w:ascii="宋体" w:hAnsi="宋体" w:eastAsia="宋体" w:cs="宋体"/>
          <w:sz w:val="24"/>
          <w:szCs w:val="24"/>
        </w:rPr>
        <w:t>计算，即满足招标文件要求且投标价格最高的投标报价为评标基准价，其价格分为满分。其他投标人的价格分统一按照下列公式计算：</w:t>
      </w:r>
    </w:p>
    <w:p w14:paraId="1A47D813">
      <w:pPr>
        <w:pageBreakBefore w:val="0"/>
        <w:kinsoku/>
        <w:overflowPunct/>
        <w:topLinePunct w:val="0"/>
        <w:bidi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投标报价得分=(投标报价／评标基准价)×100分；</w:t>
      </w:r>
    </w:p>
    <w:p w14:paraId="76C59925">
      <w:pPr>
        <w:pageBreakBefore w:val="0"/>
        <w:kinsoku/>
        <w:overflowPunct/>
        <w:topLinePunct w:val="0"/>
        <w:bidi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 xml:space="preserve">评标总得分＝F1×A1＋F2×A2＋……＋Fn×An </w:t>
      </w:r>
    </w:p>
    <w:p w14:paraId="2145FB3E">
      <w:pPr>
        <w:pageBreakBefore w:val="0"/>
        <w:kinsoku/>
        <w:overflowPunct/>
        <w:topLinePunct w:val="0"/>
        <w:bidi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 xml:space="preserve">F1、F2……Fn分别为各项评审因素的得分； </w:t>
      </w:r>
    </w:p>
    <w:p w14:paraId="53935E41">
      <w:pPr>
        <w:pageBreakBefore w:val="0"/>
        <w:kinsoku/>
        <w:overflowPunct/>
        <w:topLinePunct w:val="0"/>
        <w:bidi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 xml:space="preserve">A1、A2、……An 分别为各项评审因素所占的权重(A1＋A2＋……＋An＝1)。 </w:t>
      </w:r>
    </w:p>
    <w:p w14:paraId="34B00E04">
      <w:pPr>
        <w:pageBreakBefore w:val="0"/>
        <w:kinsoku/>
        <w:overflowPunct/>
        <w:topLinePunct w:val="0"/>
        <w:bidi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 xml:space="preserve">评标过程中，不得去掉报价中的最高报价和最低报价。 </w:t>
      </w:r>
    </w:p>
    <w:tbl>
      <w:tblPr>
        <w:tblStyle w:val="23"/>
        <w:tblW w:w="9072"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120"/>
        <w:gridCol w:w="1068"/>
        <w:gridCol w:w="4524"/>
      </w:tblGrid>
      <w:tr w14:paraId="49E9E9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A230AED">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868"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ADA0160">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评分项</w:t>
            </w:r>
          </w:p>
        </w:tc>
        <w:tc>
          <w:tcPr>
            <w:tcW w:w="452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C8EF282">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权重(%)</w:t>
            </w:r>
          </w:p>
        </w:tc>
      </w:tr>
      <w:tr w14:paraId="3D4995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9" w:hRule="atLeast"/>
          <w:tblCellSpacing w:w="0" w:type="dxa"/>
          <w:jc w:val="center"/>
        </w:trPr>
        <w:tc>
          <w:tcPr>
            <w:tcW w:w="680" w:type="dxa"/>
            <w:vMerge w:val="restart"/>
            <w:tcBorders>
              <w:top w:val="single" w:color="000000" w:sz="8" w:space="0"/>
              <w:left w:val="single" w:color="000000" w:sz="8" w:space="0"/>
              <w:right w:val="single" w:color="000000" w:sz="8" w:space="0"/>
            </w:tcBorders>
            <w:noWrap w:val="0"/>
            <w:vAlign w:val="top"/>
          </w:tcPr>
          <w:p w14:paraId="0E677D07">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bCs/>
                <w:color w:val="0000FF"/>
                <w:sz w:val="24"/>
                <w:szCs w:val="24"/>
              </w:rPr>
            </w:pPr>
            <w:r>
              <w:rPr>
                <w:rFonts w:hint="eastAsia" w:asciiTheme="minorEastAsia" w:hAnsiTheme="minorEastAsia" w:eastAsiaTheme="minorEastAsia" w:cstheme="minorEastAsia"/>
                <w:b/>
                <w:bCs/>
                <w:color w:val="0000FF"/>
                <w:sz w:val="24"/>
                <w:szCs w:val="24"/>
              </w:rPr>
              <w:t>1</w:t>
            </w:r>
          </w:p>
        </w:tc>
        <w:tc>
          <w:tcPr>
            <w:tcW w:w="3868" w:type="dxa"/>
            <w:gridSpan w:val="3"/>
            <w:tcBorders>
              <w:top w:val="single" w:color="000000" w:sz="8" w:space="0"/>
              <w:left w:val="single" w:color="000000" w:sz="8" w:space="0"/>
              <w:bottom w:val="single" w:color="000000" w:sz="8" w:space="0"/>
              <w:right w:val="single" w:color="000000" w:sz="8" w:space="0"/>
            </w:tcBorders>
            <w:noWrap w:val="0"/>
            <w:vAlign w:val="top"/>
          </w:tcPr>
          <w:p w14:paraId="3CCD1867">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bCs/>
                <w:color w:val="0000FF"/>
                <w:sz w:val="24"/>
                <w:szCs w:val="24"/>
              </w:rPr>
            </w:pPr>
            <w:r>
              <w:rPr>
                <w:rFonts w:hint="eastAsia" w:asciiTheme="minorEastAsia" w:hAnsiTheme="minorEastAsia" w:eastAsiaTheme="minorEastAsia" w:cstheme="minorEastAsia"/>
                <w:b/>
                <w:bCs/>
                <w:color w:val="0000FF"/>
                <w:sz w:val="24"/>
                <w:szCs w:val="24"/>
              </w:rPr>
              <w:t>价格</w:t>
            </w:r>
          </w:p>
        </w:tc>
        <w:tc>
          <w:tcPr>
            <w:tcW w:w="4524" w:type="dxa"/>
            <w:tcBorders>
              <w:top w:val="single" w:color="000000" w:sz="8" w:space="0"/>
              <w:left w:val="single" w:color="000000" w:sz="8" w:space="0"/>
              <w:bottom w:val="single" w:color="000000" w:sz="8" w:space="0"/>
              <w:right w:val="single" w:color="000000" w:sz="8" w:space="0"/>
            </w:tcBorders>
            <w:noWrap w:val="0"/>
            <w:vAlign w:val="top"/>
          </w:tcPr>
          <w:p w14:paraId="36762E89">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cstheme="minorEastAsia"/>
                <w:b/>
                <w:bCs/>
                <w:color w:val="0000FF"/>
                <w:sz w:val="24"/>
                <w:szCs w:val="24"/>
                <w:lang w:val="en-US" w:eastAsia="zh-CN"/>
              </w:rPr>
              <w:t>2</w:t>
            </w:r>
          </w:p>
        </w:tc>
      </w:tr>
      <w:tr w14:paraId="7EE5F0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0" w:type="dxa"/>
            <w:vMerge w:val="continue"/>
            <w:tcBorders>
              <w:left w:val="single" w:color="000000" w:sz="8" w:space="0"/>
              <w:right w:val="single" w:color="000000" w:sz="8" w:space="0"/>
            </w:tcBorders>
            <w:noWrap w:val="0"/>
            <w:vAlign w:val="top"/>
          </w:tcPr>
          <w:p w14:paraId="09CD4F49">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0AB6760B">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序号</w:t>
            </w:r>
          </w:p>
        </w:tc>
        <w:tc>
          <w:tcPr>
            <w:tcW w:w="2120" w:type="dxa"/>
            <w:tcBorders>
              <w:top w:val="single" w:color="000000" w:sz="8" w:space="0"/>
              <w:left w:val="single" w:color="000000" w:sz="8" w:space="0"/>
              <w:bottom w:val="single" w:color="000000" w:sz="8" w:space="0"/>
              <w:right w:val="single" w:color="000000" w:sz="8" w:space="0"/>
            </w:tcBorders>
            <w:noWrap w:val="0"/>
            <w:vAlign w:val="center"/>
          </w:tcPr>
          <w:p w14:paraId="6C11A495">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评分因素</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51144334">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权重(%)</w:t>
            </w:r>
          </w:p>
        </w:tc>
        <w:tc>
          <w:tcPr>
            <w:tcW w:w="4524" w:type="dxa"/>
            <w:tcBorders>
              <w:top w:val="single" w:color="000000" w:sz="8" w:space="0"/>
              <w:left w:val="single" w:color="000000" w:sz="8" w:space="0"/>
              <w:bottom w:val="single" w:color="000000" w:sz="8" w:space="0"/>
              <w:right w:val="single" w:color="000000" w:sz="8" w:space="0"/>
            </w:tcBorders>
            <w:noWrap w:val="0"/>
            <w:vAlign w:val="center"/>
          </w:tcPr>
          <w:p w14:paraId="6EDA5F33">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评分准则</w:t>
            </w:r>
          </w:p>
        </w:tc>
      </w:tr>
      <w:tr w14:paraId="6A4B3F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21" w:hRule="atLeast"/>
          <w:tblCellSpacing w:w="0" w:type="dxa"/>
          <w:jc w:val="center"/>
        </w:trPr>
        <w:tc>
          <w:tcPr>
            <w:tcW w:w="680" w:type="dxa"/>
            <w:vMerge w:val="continue"/>
            <w:tcBorders>
              <w:left w:val="single" w:color="000000" w:sz="8" w:space="0"/>
              <w:right w:val="single" w:color="000000" w:sz="8" w:space="0"/>
            </w:tcBorders>
            <w:noWrap w:val="0"/>
            <w:vAlign w:val="top"/>
          </w:tcPr>
          <w:p w14:paraId="6D316CB4">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1B816BFA">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752A3D41">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23C958E3">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48E01743">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4311611B">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0DB7A8CE">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7EF15216">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635ED894">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2120" w:type="dxa"/>
            <w:tcBorders>
              <w:top w:val="single" w:color="000000" w:sz="8" w:space="0"/>
              <w:left w:val="single" w:color="000000" w:sz="8" w:space="0"/>
              <w:bottom w:val="single" w:color="000000" w:sz="8" w:space="0"/>
              <w:right w:val="single" w:color="000000" w:sz="8" w:space="0"/>
            </w:tcBorders>
            <w:noWrap w:val="0"/>
            <w:vAlign w:val="top"/>
          </w:tcPr>
          <w:p w14:paraId="78E31D75">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409640A9">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2245C076">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3B6C4D86">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2ABFD480">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5544E0BA">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5D75C9DE">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59B5D3B6">
            <w:pPr>
              <w:pageBreakBefore w:val="0"/>
              <w:kinsoku/>
              <w:wordWrap w:val="0"/>
              <w:overflowPunct/>
              <w:topLinePunct w:val="0"/>
              <w:bidi w:val="0"/>
              <w:spacing w:line="440" w:lineRule="exact"/>
              <w:jc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sz w:val="24"/>
                <w:lang w:val="en-US" w:eastAsia="zh-CN"/>
              </w:rPr>
              <w:t>分成系数</w:t>
            </w:r>
          </w:p>
        </w:tc>
        <w:tc>
          <w:tcPr>
            <w:tcW w:w="1068" w:type="dxa"/>
            <w:tcBorders>
              <w:top w:val="single" w:color="000000" w:sz="8" w:space="0"/>
              <w:left w:val="single" w:color="000000" w:sz="8" w:space="0"/>
              <w:bottom w:val="single" w:color="000000" w:sz="8" w:space="0"/>
              <w:right w:val="single" w:color="000000" w:sz="8" w:space="0"/>
            </w:tcBorders>
            <w:noWrap w:val="0"/>
            <w:vAlign w:val="top"/>
          </w:tcPr>
          <w:p w14:paraId="05F3B3ED">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0C97E1A4">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30C006FB">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02A13D28">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78A660D1">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522B005B">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val="0"/>
                <w:bCs w:val="0"/>
                <w:color w:val="auto"/>
                <w:sz w:val="24"/>
                <w:szCs w:val="24"/>
                <w:lang w:val="en-US" w:eastAsia="zh-CN"/>
              </w:rPr>
            </w:pPr>
          </w:p>
          <w:p w14:paraId="2B1CB045">
            <w:pPr>
              <w:pageBreakBefore w:val="0"/>
              <w:kinsoku/>
              <w:wordWrap w:val="0"/>
              <w:overflowPunct/>
              <w:topLinePunct w:val="0"/>
              <w:bidi w:val="0"/>
              <w:spacing w:line="440" w:lineRule="exact"/>
              <w:jc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w:t>
            </w:r>
          </w:p>
        </w:tc>
        <w:tc>
          <w:tcPr>
            <w:tcW w:w="4524" w:type="dxa"/>
            <w:tcBorders>
              <w:top w:val="single" w:color="000000" w:sz="8" w:space="0"/>
              <w:left w:val="single" w:color="000000" w:sz="8" w:space="0"/>
              <w:bottom w:val="single" w:color="000000" w:sz="8" w:space="0"/>
              <w:right w:val="single" w:color="000000" w:sz="8" w:space="0"/>
            </w:tcBorders>
            <w:noWrap w:val="0"/>
            <w:vAlign w:val="top"/>
          </w:tcPr>
          <w:p w14:paraId="366B888B">
            <w:pPr>
              <w:pageBreakBefore w:val="0"/>
              <w:kinsoku/>
              <w:wordWrap w:val="0"/>
              <w:overflowPunct/>
              <w:topLinePunct w:val="0"/>
              <w:bidi w:val="0"/>
              <w:spacing w:line="440" w:lineRule="exact"/>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（一）评审内容：</w:t>
            </w:r>
          </w:p>
          <w:p w14:paraId="4F4F991E">
            <w:pPr>
              <w:pageBreakBefore w:val="0"/>
              <w:kinsoku/>
              <w:wordWrap w:val="0"/>
              <w:overflowPunct/>
              <w:topLinePunct w:val="0"/>
              <w:bidi w:val="0"/>
              <w:spacing w:line="440" w:lineRule="exact"/>
              <w:jc w:val="both"/>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评审委员会对投标人的提供的</w:t>
            </w:r>
            <w:r>
              <w:rPr>
                <w:rFonts w:hint="eastAsia" w:asciiTheme="minorEastAsia" w:hAnsiTheme="minorEastAsia" w:cstheme="minorEastAsia"/>
                <w:b w:val="0"/>
                <w:bCs w:val="0"/>
                <w:sz w:val="24"/>
                <w:lang w:val="en-US" w:eastAsia="zh-CN"/>
              </w:rPr>
              <w:t>分成系数</w:t>
            </w:r>
            <w:r>
              <w:rPr>
                <w:rFonts w:hint="eastAsia" w:asciiTheme="minorEastAsia" w:hAnsiTheme="minorEastAsia" w:eastAsiaTheme="minorEastAsia" w:cstheme="minorEastAsia"/>
                <w:b w:val="0"/>
                <w:bCs w:val="0"/>
                <w:kern w:val="2"/>
                <w:sz w:val="24"/>
                <w:szCs w:val="24"/>
                <w:lang w:val="en-US" w:eastAsia="zh-CN" w:bidi="ar-SA"/>
              </w:rPr>
              <w:t>进行评审，</w:t>
            </w:r>
            <w:r>
              <w:rPr>
                <w:rFonts w:hint="eastAsia" w:asciiTheme="minorEastAsia" w:hAnsiTheme="minorEastAsia" w:cstheme="minorEastAsia"/>
                <w:b w:val="0"/>
                <w:bCs w:val="0"/>
                <w:sz w:val="24"/>
                <w:lang w:val="en-US" w:eastAsia="zh-CN"/>
              </w:rPr>
              <w:t>分成系数</w:t>
            </w:r>
            <w:r>
              <w:rPr>
                <w:rFonts w:hint="eastAsia" w:asciiTheme="minorEastAsia" w:hAnsiTheme="minorEastAsia" w:eastAsiaTheme="minorEastAsia" w:cstheme="minorEastAsia"/>
                <w:b w:val="0"/>
                <w:bCs w:val="0"/>
                <w:kern w:val="2"/>
                <w:sz w:val="24"/>
                <w:szCs w:val="24"/>
                <w:lang w:val="en-US" w:eastAsia="zh-CN" w:bidi="ar-SA"/>
              </w:rPr>
              <w:t>应大于或等于</w:t>
            </w:r>
            <w:r>
              <w:rPr>
                <w:rFonts w:hint="eastAsia" w:asciiTheme="minorEastAsia" w:hAnsiTheme="minorEastAsia" w:cstheme="minorEastAsia"/>
                <w:b w:val="0"/>
                <w:bCs w:val="0"/>
                <w:kern w:val="2"/>
                <w:sz w:val="24"/>
                <w:szCs w:val="24"/>
                <w:lang w:val="en-US" w:eastAsia="zh-CN" w:bidi="ar-SA"/>
              </w:rPr>
              <w:t>5%</w:t>
            </w:r>
            <w:r>
              <w:rPr>
                <w:rFonts w:hint="eastAsia" w:asciiTheme="minorEastAsia" w:hAnsiTheme="minorEastAsia" w:eastAsiaTheme="minorEastAsia" w:cstheme="minorEastAsia"/>
                <w:b w:val="0"/>
                <w:bCs w:val="0"/>
                <w:kern w:val="2"/>
                <w:sz w:val="24"/>
                <w:szCs w:val="24"/>
                <w:lang w:val="en-US" w:eastAsia="zh-CN" w:bidi="ar-SA"/>
              </w:rPr>
              <w:t>。</w:t>
            </w:r>
          </w:p>
          <w:p w14:paraId="4A61EE3F">
            <w:pPr>
              <w:pageBreakBefore w:val="0"/>
              <w:kinsoku/>
              <w:wordWrap w:val="0"/>
              <w:overflowPunct/>
              <w:topLinePunct w:val="0"/>
              <w:bidi w:val="0"/>
              <w:spacing w:line="44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采用高价优先法计算，即满足招标文件要求且投标价格最高的投标报价为评标基准价，其本项得分为100分。其他投标人的价格分统一按照下列公式计算：</w:t>
            </w:r>
          </w:p>
          <w:p w14:paraId="526613A5">
            <w:pPr>
              <w:pageBreakBefore w:val="0"/>
              <w:kinsoku/>
              <w:wordWrap w:val="0"/>
              <w:overflowPunct/>
              <w:topLinePunct w:val="0"/>
              <w:bidi w:val="0"/>
              <w:spacing w:line="44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投标报价得分=(投标报价／评标基准价)×100分； </w:t>
            </w:r>
          </w:p>
          <w:p w14:paraId="20887B9D">
            <w:pPr>
              <w:pStyle w:val="44"/>
              <w:pageBreakBefore w:val="0"/>
              <w:kinsoku/>
              <w:overflowPunct/>
              <w:topLinePunct w:val="0"/>
              <w:bidi w:val="0"/>
              <w:spacing w:before="51" w:line="440" w:lineRule="exact"/>
              <w:jc w:val="left"/>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sz w:val="24"/>
                <w:szCs w:val="24"/>
                <w:highlight w:val="none"/>
              </w:rPr>
              <w:t>（二）</w:t>
            </w:r>
            <w:r>
              <w:rPr>
                <w:rFonts w:hint="eastAsia" w:asciiTheme="minorEastAsia" w:hAnsiTheme="minorEastAsia" w:eastAsiaTheme="minorEastAsia" w:cstheme="minorEastAsia"/>
                <w:b/>
                <w:bCs w:val="0"/>
                <w:kern w:val="2"/>
                <w:sz w:val="24"/>
                <w:szCs w:val="24"/>
                <w:lang w:val="en-US" w:eastAsia="zh-CN" w:bidi="ar-SA"/>
              </w:rPr>
              <w:t>证明材料：</w:t>
            </w:r>
          </w:p>
          <w:p w14:paraId="1F9829BA">
            <w:pPr>
              <w:pageBreakBefore w:val="0"/>
              <w:kinsoku/>
              <w:wordWrap w:val="0"/>
              <w:overflowPunct/>
              <w:topLinePunct w:val="0"/>
              <w:bidi w:val="0"/>
              <w:spacing w:line="440" w:lineRule="exact"/>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投标人提供“第</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章</w:t>
            </w:r>
            <w:r>
              <w:rPr>
                <w:rFonts w:hint="eastAsia" w:asciiTheme="minorEastAsia" w:hAnsiTheme="minorEastAsia" w:eastAsiaTheme="minorEastAsia" w:cstheme="minorEastAsia"/>
                <w:sz w:val="24"/>
                <w:szCs w:val="24"/>
                <w:highlight w:val="none"/>
                <w:lang w:val="en-US" w:eastAsia="zh-CN"/>
              </w:rPr>
              <w:t>第4点项目报价表</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w:t>
            </w:r>
          </w:p>
          <w:p w14:paraId="58C0196F">
            <w:pPr>
              <w:pageBreakBefore w:val="0"/>
              <w:numPr>
                <w:ilvl w:val="0"/>
                <w:numId w:val="0"/>
              </w:numPr>
              <w:kinsoku/>
              <w:wordWrap/>
              <w:overflowPunct/>
              <w:topLinePunct w:val="0"/>
              <w:bidi w:val="0"/>
              <w:spacing w:line="440" w:lineRule="exact"/>
              <w:jc w:val="left"/>
              <w:rPr>
                <w:rFonts w:hint="eastAsia" w:asciiTheme="minorEastAsia" w:hAnsiTheme="minorEastAsia" w:eastAsiaTheme="minorEastAsia" w:cstheme="minorEastAsia"/>
                <w:sz w:val="24"/>
                <w:szCs w:val="24"/>
                <w:highlight w:val="none"/>
                <w:lang w:val="en-US" w:eastAsia="zh-CN"/>
              </w:rPr>
            </w:pPr>
            <w:bookmarkStart w:id="5" w:name="OLE_LINK18"/>
            <w:r>
              <w:rPr>
                <w:rFonts w:hint="eastAsia" w:asciiTheme="minorEastAsia" w:hAnsiTheme="minorEastAsia" w:eastAsiaTheme="minorEastAsia" w:cstheme="minorEastAsia"/>
                <w:color w:val="auto"/>
                <w:sz w:val="24"/>
                <w:szCs w:val="24"/>
                <w:highlight w:val="none"/>
                <w:lang w:val="en-US" w:eastAsia="zh-CN"/>
              </w:rPr>
              <w:t>备</w:t>
            </w: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sz w:val="24"/>
                <w:szCs w:val="24"/>
                <w:highlight w:val="none"/>
                <w:lang w:val="zh-CN" w:eastAsia="zh-CN"/>
              </w:rPr>
              <w:t>计</w:t>
            </w:r>
            <w:r>
              <w:rPr>
                <w:rFonts w:hint="eastAsia" w:asciiTheme="minorEastAsia" w:hAnsiTheme="minorEastAsia" w:eastAsiaTheme="minorEastAsia" w:cstheme="minorEastAsia"/>
                <w:color w:val="auto"/>
                <w:sz w:val="24"/>
                <w:szCs w:val="24"/>
                <w:highlight w:val="none"/>
                <w:lang w:val="zh-CN" w:eastAsia="zh-CN"/>
              </w:rPr>
              <w:t>分</w:t>
            </w:r>
            <w:r>
              <w:rPr>
                <w:rFonts w:hint="eastAsia" w:asciiTheme="minorEastAsia" w:hAnsiTheme="minorEastAsia" w:eastAsiaTheme="minorEastAsia" w:cstheme="minorEastAsia"/>
                <w:color w:val="000000"/>
                <w:sz w:val="24"/>
                <w:szCs w:val="24"/>
                <w:highlight w:val="none"/>
                <w:lang w:val="zh-CN"/>
              </w:rPr>
              <w:t>按照四舍五入的方法计算，保留小数点后两位。</w:t>
            </w:r>
            <w:bookmarkEnd w:id="5"/>
          </w:p>
        </w:tc>
      </w:tr>
      <w:tr w14:paraId="3BC67B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2D767E28">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bCs/>
                <w:color w:val="0000FF"/>
                <w:sz w:val="24"/>
                <w:szCs w:val="24"/>
              </w:rPr>
            </w:pPr>
            <w:r>
              <w:rPr>
                <w:rFonts w:hint="eastAsia" w:asciiTheme="minorEastAsia" w:hAnsiTheme="minorEastAsia" w:eastAsiaTheme="minorEastAsia" w:cstheme="minorEastAsia"/>
                <w:b/>
                <w:bCs/>
                <w:color w:val="0000FF"/>
                <w:sz w:val="24"/>
                <w:szCs w:val="24"/>
              </w:rPr>
              <w:t>2</w:t>
            </w:r>
          </w:p>
        </w:tc>
        <w:tc>
          <w:tcPr>
            <w:tcW w:w="3868" w:type="dxa"/>
            <w:gridSpan w:val="3"/>
            <w:tcBorders>
              <w:top w:val="single" w:color="000000" w:sz="8" w:space="0"/>
              <w:left w:val="single" w:color="000000" w:sz="8" w:space="0"/>
              <w:bottom w:val="single" w:color="000000" w:sz="8" w:space="0"/>
              <w:right w:val="single" w:color="000000" w:sz="8" w:space="0"/>
            </w:tcBorders>
            <w:noWrap w:val="0"/>
            <w:vAlign w:val="top"/>
          </w:tcPr>
          <w:p w14:paraId="671C2802">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bCs/>
                <w:color w:val="0000FF"/>
                <w:sz w:val="24"/>
                <w:szCs w:val="24"/>
              </w:rPr>
            </w:pPr>
            <w:r>
              <w:rPr>
                <w:rFonts w:hint="eastAsia" w:asciiTheme="minorEastAsia" w:hAnsiTheme="minorEastAsia" w:eastAsiaTheme="minorEastAsia" w:cstheme="minorEastAsia"/>
                <w:b/>
                <w:bCs/>
                <w:color w:val="0000FF"/>
                <w:sz w:val="24"/>
                <w:szCs w:val="24"/>
              </w:rPr>
              <w:t>技术部分</w:t>
            </w:r>
          </w:p>
        </w:tc>
        <w:tc>
          <w:tcPr>
            <w:tcW w:w="4524" w:type="dxa"/>
            <w:tcBorders>
              <w:top w:val="single" w:color="000000" w:sz="8" w:space="0"/>
              <w:left w:val="single" w:color="000000" w:sz="8" w:space="0"/>
              <w:bottom w:val="single" w:color="000000" w:sz="8" w:space="0"/>
              <w:right w:val="single" w:color="000000" w:sz="8" w:space="0"/>
            </w:tcBorders>
            <w:noWrap w:val="0"/>
            <w:vAlign w:val="top"/>
          </w:tcPr>
          <w:p w14:paraId="08871E8C">
            <w:pPr>
              <w:pageBreakBefore w:val="0"/>
              <w:kinsoku/>
              <w:wordWrap w:val="0"/>
              <w:overflowPunct/>
              <w:topLinePunct w:val="0"/>
              <w:bidi w:val="0"/>
              <w:spacing w:line="440" w:lineRule="exact"/>
              <w:jc w:val="center"/>
              <w:rPr>
                <w:rFonts w:hint="default" w:asciiTheme="minorEastAsia" w:hAnsiTheme="minorEastAsia" w:eastAsiaTheme="minorEastAsia" w:cstheme="minorEastAsia"/>
                <w:b/>
                <w:bCs/>
                <w:color w:val="0000FF"/>
                <w:sz w:val="24"/>
                <w:szCs w:val="24"/>
                <w:lang w:val="en-US" w:eastAsia="zh-CN"/>
              </w:rPr>
            </w:pPr>
            <w:r>
              <w:rPr>
                <w:rFonts w:hint="eastAsia" w:asciiTheme="minorEastAsia" w:hAnsiTheme="minorEastAsia" w:cstheme="minorEastAsia"/>
                <w:b/>
                <w:bCs/>
                <w:color w:val="0000FF"/>
                <w:sz w:val="24"/>
                <w:szCs w:val="24"/>
                <w:lang w:val="en-US" w:eastAsia="zh-CN"/>
              </w:rPr>
              <w:t>70</w:t>
            </w:r>
          </w:p>
        </w:tc>
      </w:tr>
      <w:tr w14:paraId="35897B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8AD5A2B">
            <w:pPr>
              <w:pageBreakBefore w:val="0"/>
              <w:kinsoku/>
              <w:overflowPunct/>
              <w:topLinePunct w:val="0"/>
              <w:bidi w:val="0"/>
              <w:spacing w:line="440" w:lineRule="exact"/>
              <w:rPr>
                <w:rFonts w:hint="eastAsia" w:asciiTheme="minorEastAsia" w:hAnsiTheme="minorEastAsia" w:eastAsiaTheme="minorEastAsia" w:cstheme="minorEastAsia"/>
                <w:b/>
                <w:bCs/>
                <w:color w:val="0000FF"/>
                <w:sz w:val="24"/>
                <w:szCs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61C9D682">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12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B070DEA">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评分因素</w:t>
            </w:r>
          </w:p>
        </w:tc>
        <w:tc>
          <w:tcPr>
            <w:tcW w:w="1068"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D48A265">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权重(%)</w:t>
            </w:r>
          </w:p>
        </w:tc>
        <w:tc>
          <w:tcPr>
            <w:tcW w:w="452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439A1C57">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评分准则</w:t>
            </w:r>
          </w:p>
        </w:tc>
      </w:tr>
      <w:tr w14:paraId="4D94D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7DD952">
            <w:pPr>
              <w:pageBreakBefore w:val="0"/>
              <w:kinsoku/>
              <w:overflowPunct/>
              <w:topLinePunct w:val="0"/>
              <w:bidi w:val="0"/>
              <w:spacing w:line="440" w:lineRule="exact"/>
              <w:rPr>
                <w:rFonts w:hint="eastAsia" w:asciiTheme="minorEastAsia" w:hAnsiTheme="minorEastAsia" w:eastAsiaTheme="minorEastAsia" w:cstheme="minorEastAsia"/>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57F2CFD3">
            <w:pPr>
              <w:pageBreakBefore w:val="0"/>
              <w:kinsoku/>
              <w:wordWrap w:val="0"/>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1506480D">
            <w:pPr>
              <w:pageBreakBefore w:val="0"/>
              <w:kinsoku/>
              <w:wordWrap w:val="0"/>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7B7DDC5C">
            <w:pPr>
              <w:pageBreakBefore w:val="0"/>
              <w:kinsoku/>
              <w:wordWrap w:val="0"/>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2120" w:type="dxa"/>
            <w:tcBorders>
              <w:top w:val="single" w:color="000000" w:sz="8" w:space="0"/>
              <w:left w:val="single" w:color="000000" w:sz="8" w:space="0"/>
              <w:bottom w:val="single" w:color="000000" w:sz="8" w:space="0"/>
              <w:right w:val="single" w:color="000000" w:sz="8" w:space="0"/>
            </w:tcBorders>
            <w:noWrap w:val="0"/>
            <w:vAlign w:val="center"/>
          </w:tcPr>
          <w:p w14:paraId="4E375789">
            <w:pPr>
              <w:pageBreakBefore w:val="0"/>
              <w:kinsoku/>
              <w:overflowPunct/>
              <w:topLinePunct w:val="0"/>
              <w:bidi w:val="0"/>
              <w:spacing w:beforeLines="20" w:afterLines="20" w:line="440" w:lineRule="exact"/>
              <w:ind w:firstLine="0" w:firstLineChars="0"/>
              <w:jc w:val="center"/>
              <w:rPr>
                <w:rFonts w:hint="eastAsia" w:asciiTheme="minorEastAsia" w:hAnsiTheme="minorEastAsia" w:eastAsiaTheme="minorEastAsia" w:cstheme="minorEastAsia"/>
                <w:sz w:val="24"/>
                <w:szCs w:val="24"/>
                <w:lang w:val="en-US" w:eastAsia="zh-CN"/>
              </w:rPr>
            </w:pPr>
          </w:p>
          <w:p w14:paraId="42EF5BB7">
            <w:pPr>
              <w:pageBreakBefore w:val="0"/>
              <w:kinsoku/>
              <w:overflowPunct/>
              <w:topLinePunct w:val="0"/>
              <w:bidi w:val="0"/>
              <w:spacing w:beforeLines="20" w:afterLines="20" w:line="440" w:lineRule="exact"/>
              <w:jc w:val="center"/>
              <w:rPr>
                <w:rFonts w:hint="eastAsia" w:asciiTheme="minorEastAsia" w:hAnsiTheme="minorEastAsia" w:eastAsiaTheme="minorEastAsia" w:cstheme="minorEastAsia"/>
                <w:color w:val="000000"/>
                <w:spacing w:val="6"/>
                <w:sz w:val="24"/>
                <w:szCs w:val="24"/>
              </w:rPr>
            </w:pPr>
            <w:r>
              <w:rPr>
                <w:rFonts w:hint="eastAsia" w:asciiTheme="minorEastAsia" w:hAnsiTheme="minorEastAsia" w:eastAsiaTheme="minorEastAsia" w:cstheme="minorEastAsia"/>
                <w:sz w:val="24"/>
                <w:szCs w:val="24"/>
                <w:highlight w:val="none"/>
                <w:lang w:val="en-US" w:eastAsia="zh-CN"/>
              </w:rPr>
              <w:t>整体项目运营方案</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6427E954">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4D3D39CB">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1879213F">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603BE8BE">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22B85E4C">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39F2DAB6">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2065B0B1">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w:t>
            </w:r>
          </w:p>
          <w:p w14:paraId="1F11127B">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325EB3DE">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52071BDB">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3708DF5B">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7C9C378C">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17E0F498">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tc>
        <w:tc>
          <w:tcPr>
            <w:tcW w:w="4524" w:type="dxa"/>
            <w:tcBorders>
              <w:top w:val="single" w:color="000000" w:sz="8" w:space="0"/>
              <w:left w:val="single" w:color="000000" w:sz="8" w:space="0"/>
              <w:bottom w:val="single" w:color="000000" w:sz="8" w:space="0"/>
              <w:right w:val="single" w:color="000000" w:sz="8" w:space="0"/>
            </w:tcBorders>
            <w:noWrap w:val="0"/>
            <w:vAlign w:val="top"/>
          </w:tcPr>
          <w:p w14:paraId="6534493D">
            <w:pP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（一）评审内容：</w:t>
            </w:r>
          </w:p>
          <w:p w14:paraId="23C020B4">
            <w:pPr>
              <w:pageBreakBefore w:val="0"/>
              <w:kinsoku/>
              <w:wordWrap/>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投标供应商针对本项目运营配套服务，根据场地情况、目标人群的特点和需求，制订详尽的整体项目经营方案。方案包括但不限于：</w:t>
            </w:r>
          </w:p>
          <w:p w14:paraId="34A03D42">
            <w:pPr>
              <w:pageBreakBefore w:val="0"/>
              <w:kinsoku/>
              <w:wordWrap/>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1.项目定位分析及经营理念；</w:t>
            </w:r>
          </w:p>
          <w:p w14:paraId="1F18ECAA">
            <w:pPr>
              <w:pageBreakBefore w:val="0"/>
              <w:kinsoku/>
              <w:wordWrap/>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2.开展公益及宣传活动的详细方案；</w:t>
            </w:r>
          </w:p>
          <w:p w14:paraId="7E535A7B">
            <w:pPr>
              <w:pageBreakBefore w:val="0"/>
              <w:kinsoku/>
              <w:wordWrap/>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3.正常经营的质量保障方案（价格定位，服务规范及优惠措施等）；</w:t>
            </w:r>
          </w:p>
          <w:p w14:paraId="317A6914">
            <w:pPr>
              <w:pageBreakBefore w:val="0"/>
              <w:kinsoku/>
              <w:wordWrap/>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4.项目实施的工作流程及管理措施；</w:t>
            </w:r>
          </w:p>
          <w:p w14:paraId="5AE321FF">
            <w:pPr>
              <w:pageBreakBefore w:val="0"/>
              <w:kinsoku/>
              <w:wordWrap/>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5.服务预期效果情况。</w:t>
            </w:r>
          </w:p>
          <w:p w14:paraId="55C36A3D">
            <w:pPr>
              <w:pageBreakBefore w:val="0"/>
              <w:kinsoku/>
              <w:overflowPunct/>
              <w:topLinePunct w:val="0"/>
              <w:bidi w:val="0"/>
              <w:spacing w:line="440" w:lineRule="exact"/>
              <w:jc w:val="left"/>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（二）评审依据：</w:t>
            </w:r>
          </w:p>
          <w:p w14:paraId="01FC142D">
            <w:pPr>
              <w:pageBreakBefore w:val="0"/>
              <w:kinsoku/>
              <w:wordWrap/>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1.方案中5项全部包含的得</w:t>
            </w:r>
            <w:r>
              <w:rPr>
                <w:rFonts w:hint="eastAsia" w:asciiTheme="minorEastAsia" w:hAnsiTheme="minorEastAsia" w:cstheme="minorEastAsia"/>
                <w:b w:val="0"/>
                <w:bCs w:val="0"/>
                <w:kern w:val="2"/>
                <w:sz w:val="24"/>
                <w:szCs w:val="24"/>
                <w:highlight w:val="none"/>
                <w:lang w:val="en-US" w:eastAsia="zh-CN" w:bidi="ar-SA"/>
              </w:rPr>
              <w:t>40</w:t>
            </w:r>
            <w:r>
              <w:rPr>
                <w:rFonts w:hint="eastAsia" w:asciiTheme="minorEastAsia" w:hAnsiTheme="minorEastAsia" w:eastAsiaTheme="minorEastAsia" w:cstheme="minorEastAsia"/>
                <w:b w:val="0"/>
                <w:bCs w:val="0"/>
                <w:kern w:val="2"/>
                <w:sz w:val="24"/>
                <w:szCs w:val="24"/>
                <w:highlight w:val="none"/>
                <w:lang w:val="en-US" w:eastAsia="zh-CN" w:bidi="ar-SA"/>
              </w:rPr>
              <w:t>分</w:t>
            </w:r>
            <w:r>
              <w:rPr>
                <w:rFonts w:hint="eastAsia" w:asciiTheme="minorEastAsia" w:hAnsiTheme="minorEastAsia" w:cstheme="minorEastAsia"/>
                <w:b w:val="0"/>
                <w:bCs w:val="0"/>
                <w:kern w:val="2"/>
                <w:sz w:val="24"/>
                <w:szCs w:val="24"/>
                <w:highlight w:val="none"/>
                <w:lang w:val="en-US" w:eastAsia="zh-CN" w:bidi="ar-SA"/>
              </w:rPr>
              <w:t>，否则不得分</w:t>
            </w:r>
            <w:r>
              <w:rPr>
                <w:rFonts w:hint="eastAsia" w:asciiTheme="minorEastAsia" w:hAnsiTheme="minorEastAsia" w:eastAsiaTheme="minorEastAsia" w:cstheme="minorEastAsia"/>
                <w:b w:val="0"/>
                <w:bCs w:val="0"/>
                <w:kern w:val="2"/>
                <w:sz w:val="24"/>
                <w:szCs w:val="24"/>
                <w:highlight w:val="none"/>
                <w:lang w:val="en-US" w:eastAsia="zh-CN" w:bidi="ar-SA"/>
              </w:rPr>
              <w:t>。</w:t>
            </w:r>
          </w:p>
          <w:p w14:paraId="3658D13D">
            <w:pPr>
              <w:pageBreakBefore w:val="0"/>
              <w:kinsoku/>
              <w:wordWrap/>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2.在第1点基础上，评审委员会根据各投标供应商的具体响应内容进一步评审：</w:t>
            </w:r>
          </w:p>
          <w:p w14:paraId="14DF4A09">
            <w:pPr>
              <w:pageBreakBefore w:val="0"/>
              <w:kinsoku/>
              <w:wordWrap/>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（1）评审为优（定位分析透彻、细致、重点突出，整体运营方案详细具体，组织保障措施合理性、科学性高，方案更贴合项目需求，提供图文讲解且可行性强）的，得</w:t>
            </w:r>
            <w:r>
              <w:rPr>
                <w:rFonts w:hint="eastAsia" w:asciiTheme="minorEastAsia" w:hAnsiTheme="minorEastAsia" w:cstheme="minorEastAsia"/>
                <w:b w:val="0"/>
                <w:bCs w:val="0"/>
                <w:kern w:val="2"/>
                <w:sz w:val="24"/>
                <w:szCs w:val="24"/>
                <w:highlight w:val="none"/>
                <w:lang w:val="en-US" w:eastAsia="zh-CN" w:bidi="ar-SA"/>
              </w:rPr>
              <w:t>60</w:t>
            </w:r>
            <w:r>
              <w:rPr>
                <w:rFonts w:hint="eastAsia" w:asciiTheme="minorEastAsia" w:hAnsiTheme="minorEastAsia" w:eastAsiaTheme="minorEastAsia" w:cstheme="minorEastAsia"/>
                <w:b w:val="0"/>
                <w:bCs w:val="0"/>
                <w:kern w:val="2"/>
                <w:sz w:val="24"/>
                <w:szCs w:val="24"/>
                <w:highlight w:val="none"/>
                <w:lang w:val="en-US" w:eastAsia="zh-CN" w:bidi="ar-SA"/>
              </w:rPr>
              <w:t>分；</w:t>
            </w:r>
          </w:p>
          <w:p w14:paraId="1B4882BF">
            <w:pPr>
              <w:pageBreakBefore w:val="0"/>
              <w:kinsoku/>
              <w:wordWrap/>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（2）评审为良（定位分析较为完整、较为细致、重点较为突出，整体运营方案较为详细，组织保障措施合理性、科学性较高，方案较为贴合项目需求，提供图文讲解且可行性较强）的，得</w:t>
            </w:r>
            <w:r>
              <w:rPr>
                <w:rFonts w:hint="eastAsia" w:asciiTheme="minorEastAsia" w:hAnsiTheme="minorEastAsia" w:cstheme="minorEastAsia"/>
                <w:b w:val="0"/>
                <w:bCs w:val="0"/>
                <w:kern w:val="2"/>
                <w:sz w:val="24"/>
                <w:szCs w:val="24"/>
                <w:highlight w:val="none"/>
                <w:lang w:val="en-US" w:eastAsia="zh-CN" w:bidi="ar-SA"/>
              </w:rPr>
              <w:t>40</w:t>
            </w:r>
            <w:r>
              <w:rPr>
                <w:rFonts w:hint="eastAsia" w:asciiTheme="minorEastAsia" w:hAnsiTheme="minorEastAsia" w:eastAsiaTheme="minorEastAsia" w:cstheme="minorEastAsia"/>
                <w:b w:val="0"/>
                <w:bCs w:val="0"/>
                <w:kern w:val="2"/>
                <w:sz w:val="24"/>
                <w:szCs w:val="24"/>
                <w:highlight w:val="none"/>
                <w:lang w:val="en-US" w:eastAsia="zh-CN" w:bidi="ar-SA"/>
              </w:rPr>
              <w:t>分；</w:t>
            </w:r>
          </w:p>
          <w:p w14:paraId="1B4E9A5A">
            <w:pPr>
              <w:pageBreakBefore w:val="0"/>
              <w:kinsoku/>
              <w:wordWrap/>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（3）评审为中（定位分析不太全面，关键信息分析不够准确，运营方案一般，方案贴合项目需求一般，提供图文讲解且可行性一般）的，得</w:t>
            </w:r>
            <w:r>
              <w:rPr>
                <w:rFonts w:hint="eastAsia" w:asciiTheme="minorEastAsia" w:hAnsiTheme="minorEastAsia" w:cstheme="minorEastAsia"/>
                <w:b w:val="0"/>
                <w:bCs w:val="0"/>
                <w:kern w:val="2"/>
                <w:sz w:val="24"/>
                <w:szCs w:val="24"/>
                <w:highlight w:val="none"/>
                <w:lang w:val="en-US" w:eastAsia="zh-CN" w:bidi="ar-SA"/>
              </w:rPr>
              <w:t>20</w:t>
            </w:r>
            <w:r>
              <w:rPr>
                <w:rFonts w:hint="eastAsia" w:asciiTheme="minorEastAsia" w:hAnsiTheme="minorEastAsia" w:eastAsiaTheme="minorEastAsia" w:cstheme="minorEastAsia"/>
                <w:b w:val="0"/>
                <w:bCs w:val="0"/>
                <w:kern w:val="2"/>
                <w:sz w:val="24"/>
                <w:szCs w:val="24"/>
                <w:highlight w:val="none"/>
                <w:lang w:val="en-US" w:eastAsia="zh-CN" w:bidi="ar-SA"/>
              </w:rPr>
              <w:t>分，</w:t>
            </w:r>
          </w:p>
          <w:p w14:paraId="1CA05ADA">
            <w:pPr>
              <w:pageBreakBefore w:val="0"/>
              <w:kinsoku/>
              <w:wordWrap/>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（4）评审为差（方案制定内容不完整，方案不合理、不可行、找不出重点）或未提供不得分。</w:t>
            </w:r>
          </w:p>
          <w:p w14:paraId="5FAE9F02">
            <w:pPr>
              <w:pageBreakBefore w:val="0"/>
              <w:kinsoku/>
              <w:overflowPunct/>
              <w:topLinePunct w:val="0"/>
              <w:bidi w:val="0"/>
              <w:spacing w:line="4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如评审为差，评审专家须书面说明理由，并记录在档。</w:t>
            </w:r>
          </w:p>
          <w:p w14:paraId="3E75A103">
            <w:pPr>
              <w:pageBreakBefore w:val="0"/>
              <w:kinsoku/>
              <w:overflowPunct/>
              <w:topLinePunct w:val="0"/>
              <w:bidi w:val="0"/>
              <w:spacing w:line="440" w:lineRule="exact"/>
              <w:jc w:val="left"/>
              <w:rPr>
                <w:rFonts w:hint="default" w:asciiTheme="minorEastAsia" w:hAnsiTheme="minorEastAsia" w:eastAsiaTheme="minorEastAsia" w:cstheme="minorEastAsia"/>
                <w:color w:val="000000"/>
                <w:sz w:val="24"/>
                <w:szCs w:val="24"/>
                <w:lang w:val="en-US" w:eastAsia="zh-CN"/>
              </w:rPr>
            </w:pPr>
          </w:p>
        </w:tc>
      </w:tr>
      <w:tr w14:paraId="5713FE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CB2DB38">
            <w:pPr>
              <w:pageBreakBefore w:val="0"/>
              <w:kinsoku/>
              <w:overflowPunct/>
              <w:topLinePunct w:val="0"/>
              <w:bidi w:val="0"/>
              <w:spacing w:line="440" w:lineRule="exact"/>
              <w:rPr>
                <w:rFonts w:hint="eastAsia" w:asciiTheme="minorEastAsia" w:hAnsiTheme="minorEastAsia" w:eastAsiaTheme="minorEastAsia" w:cstheme="minorEastAsia"/>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0CF82169">
            <w:pPr>
              <w:pageBreakBefore w:val="0"/>
              <w:kinsoku/>
              <w:wordWrap w:val="0"/>
              <w:overflowPunct/>
              <w:topLinePunct w:val="0"/>
              <w:bidi w:val="0"/>
              <w:spacing w:line="440" w:lineRule="exact"/>
              <w:ind w:firstLine="240" w:firstLineChars="100"/>
              <w:jc w:val="both"/>
              <w:rPr>
                <w:rFonts w:hint="eastAsia" w:asciiTheme="minorEastAsia" w:hAnsiTheme="minorEastAsia" w:eastAsiaTheme="minorEastAsia" w:cstheme="minorEastAsia"/>
                <w:color w:val="000000"/>
                <w:sz w:val="24"/>
                <w:szCs w:val="24"/>
                <w:lang w:val="en-US" w:eastAsia="zh-CN"/>
              </w:rPr>
            </w:pPr>
          </w:p>
          <w:p w14:paraId="45B63386">
            <w:pPr>
              <w:pageBreakBefore w:val="0"/>
              <w:kinsoku/>
              <w:wordWrap w:val="0"/>
              <w:overflowPunct/>
              <w:topLinePunct w:val="0"/>
              <w:bidi w:val="0"/>
              <w:spacing w:line="440" w:lineRule="exact"/>
              <w:ind w:firstLine="240" w:firstLineChars="100"/>
              <w:jc w:val="both"/>
              <w:rPr>
                <w:rFonts w:hint="eastAsia" w:asciiTheme="minorEastAsia" w:hAnsiTheme="minorEastAsia" w:eastAsiaTheme="minorEastAsia" w:cstheme="minorEastAsia"/>
                <w:color w:val="000000"/>
                <w:sz w:val="24"/>
                <w:szCs w:val="24"/>
                <w:lang w:val="en-US" w:eastAsia="zh-CN"/>
              </w:rPr>
            </w:pPr>
          </w:p>
          <w:p w14:paraId="0F97EEA6">
            <w:pPr>
              <w:pageBreakBefore w:val="0"/>
              <w:kinsoku/>
              <w:wordWrap w:val="0"/>
              <w:overflowPunct/>
              <w:topLinePunct w:val="0"/>
              <w:bidi w:val="0"/>
              <w:spacing w:line="440" w:lineRule="exact"/>
              <w:ind w:firstLine="240" w:firstLineChars="100"/>
              <w:jc w:val="both"/>
              <w:rPr>
                <w:rFonts w:hint="eastAsia" w:asciiTheme="minorEastAsia" w:hAnsiTheme="minorEastAsia" w:eastAsiaTheme="minorEastAsia" w:cstheme="minorEastAsia"/>
                <w:color w:val="000000"/>
                <w:sz w:val="24"/>
                <w:szCs w:val="24"/>
                <w:lang w:val="en-US" w:eastAsia="zh-CN"/>
              </w:rPr>
            </w:pPr>
          </w:p>
          <w:p w14:paraId="5917D09B">
            <w:pPr>
              <w:pageBreakBefore w:val="0"/>
              <w:kinsoku/>
              <w:wordWrap w:val="0"/>
              <w:overflowPunct/>
              <w:topLinePunct w:val="0"/>
              <w:bidi w:val="0"/>
              <w:spacing w:line="440" w:lineRule="exact"/>
              <w:ind w:firstLine="240" w:firstLineChars="100"/>
              <w:jc w:val="both"/>
              <w:rPr>
                <w:rFonts w:hint="eastAsia" w:asciiTheme="minorEastAsia" w:hAnsiTheme="minorEastAsia" w:eastAsiaTheme="minorEastAsia" w:cstheme="minorEastAsia"/>
                <w:color w:val="000000"/>
                <w:sz w:val="24"/>
                <w:szCs w:val="24"/>
                <w:lang w:val="en-US" w:eastAsia="zh-CN"/>
              </w:rPr>
            </w:pPr>
          </w:p>
          <w:p w14:paraId="11C900B8">
            <w:pPr>
              <w:pageBreakBefore w:val="0"/>
              <w:kinsoku/>
              <w:wordWrap w:val="0"/>
              <w:overflowPunct/>
              <w:topLinePunct w:val="0"/>
              <w:bidi w:val="0"/>
              <w:spacing w:line="440" w:lineRule="exact"/>
              <w:ind w:firstLine="240" w:firstLineChars="100"/>
              <w:jc w:val="both"/>
              <w:rPr>
                <w:rFonts w:hint="eastAsia" w:asciiTheme="minorEastAsia" w:hAnsiTheme="minorEastAsia" w:eastAsiaTheme="minorEastAsia" w:cstheme="minorEastAsia"/>
                <w:color w:val="000000"/>
                <w:sz w:val="24"/>
                <w:szCs w:val="24"/>
                <w:lang w:val="en-US" w:eastAsia="zh-CN"/>
              </w:rPr>
            </w:pPr>
          </w:p>
          <w:p w14:paraId="147799EF">
            <w:pPr>
              <w:pageBreakBefore w:val="0"/>
              <w:kinsoku/>
              <w:wordWrap w:val="0"/>
              <w:overflowPunct/>
              <w:topLinePunct w:val="0"/>
              <w:bidi w:val="0"/>
              <w:spacing w:line="440" w:lineRule="exact"/>
              <w:jc w:val="both"/>
              <w:rPr>
                <w:rFonts w:hint="eastAsia" w:asciiTheme="minorEastAsia" w:hAnsiTheme="minorEastAsia" w:eastAsiaTheme="minorEastAsia" w:cstheme="minorEastAsia"/>
                <w:color w:val="000000"/>
                <w:sz w:val="24"/>
                <w:szCs w:val="24"/>
                <w:lang w:val="en-US" w:eastAsia="zh-CN"/>
              </w:rPr>
            </w:pPr>
          </w:p>
          <w:p w14:paraId="2B170B7D">
            <w:pPr>
              <w:pageBreakBefore w:val="0"/>
              <w:kinsoku/>
              <w:wordWrap w:val="0"/>
              <w:overflowPunct/>
              <w:topLinePunct w:val="0"/>
              <w:bidi w:val="0"/>
              <w:spacing w:line="440" w:lineRule="exact"/>
              <w:jc w:val="both"/>
              <w:rPr>
                <w:rFonts w:hint="eastAsia" w:asciiTheme="minorEastAsia" w:hAnsiTheme="minorEastAsia" w:eastAsiaTheme="minorEastAsia" w:cstheme="minorEastAsia"/>
                <w:color w:val="000000"/>
                <w:sz w:val="24"/>
                <w:szCs w:val="24"/>
                <w:lang w:val="en-US" w:eastAsia="zh-CN"/>
              </w:rPr>
            </w:pPr>
          </w:p>
          <w:p w14:paraId="4114F94B">
            <w:pPr>
              <w:pageBreakBefore w:val="0"/>
              <w:kinsoku/>
              <w:wordWrap w:val="0"/>
              <w:overflowPunct/>
              <w:topLinePunct w:val="0"/>
              <w:bidi w:val="0"/>
              <w:spacing w:line="440" w:lineRule="exact"/>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p w14:paraId="7CF546ED">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color w:val="000000"/>
                <w:sz w:val="24"/>
                <w:szCs w:val="24"/>
                <w:lang w:val="en-US" w:eastAsia="zh-CN"/>
              </w:rPr>
            </w:pPr>
          </w:p>
          <w:p w14:paraId="0B0E2487">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color w:val="000000"/>
                <w:sz w:val="24"/>
                <w:szCs w:val="24"/>
                <w:lang w:val="en-US" w:eastAsia="zh-CN"/>
              </w:rPr>
            </w:pPr>
          </w:p>
          <w:p w14:paraId="70299EFE">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color w:val="000000"/>
                <w:sz w:val="24"/>
                <w:szCs w:val="24"/>
                <w:lang w:val="en-US" w:eastAsia="zh-CN"/>
              </w:rPr>
            </w:pPr>
          </w:p>
          <w:p w14:paraId="4E989F60">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color w:val="000000"/>
                <w:sz w:val="24"/>
                <w:szCs w:val="24"/>
                <w:lang w:val="en-US" w:eastAsia="zh-CN"/>
              </w:rPr>
            </w:pPr>
          </w:p>
          <w:p w14:paraId="31D67DC6">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color w:val="000000"/>
                <w:sz w:val="24"/>
                <w:szCs w:val="24"/>
                <w:lang w:val="en-US" w:eastAsia="zh-CN"/>
              </w:rPr>
            </w:pPr>
          </w:p>
          <w:p w14:paraId="50B75666">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color w:val="000000"/>
                <w:sz w:val="24"/>
                <w:szCs w:val="24"/>
                <w:lang w:val="en-US" w:eastAsia="zh-CN"/>
              </w:rPr>
            </w:pPr>
          </w:p>
          <w:p w14:paraId="3F1E6BBA">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color w:val="000000"/>
                <w:sz w:val="24"/>
                <w:szCs w:val="24"/>
                <w:lang w:val="en-US" w:eastAsia="zh-CN"/>
              </w:rPr>
            </w:pPr>
          </w:p>
        </w:tc>
        <w:tc>
          <w:tcPr>
            <w:tcW w:w="2120" w:type="dxa"/>
            <w:tcBorders>
              <w:top w:val="single" w:color="000000" w:sz="8" w:space="0"/>
              <w:left w:val="single" w:color="000000" w:sz="8" w:space="0"/>
              <w:bottom w:val="single" w:color="000000" w:sz="8" w:space="0"/>
              <w:right w:val="single" w:color="000000" w:sz="8" w:space="0"/>
            </w:tcBorders>
            <w:noWrap w:val="0"/>
            <w:vAlign w:val="center"/>
          </w:tcPr>
          <w:p w14:paraId="5AD91331">
            <w:pPr>
              <w:pageBreakBefore w:val="0"/>
              <w:kinsoku/>
              <w:overflowPunct/>
              <w:topLinePunct w:val="0"/>
              <w:bidi w:val="0"/>
              <w:spacing w:beforeLines="20" w:afterLines="20" w:line="440" w:lineRule="exact"/>
              <w:ind w:firstLine="0" w:firstLineChars="0"/>
              <w:jc w:val="both"/>
              <w:rPr>
                <w:rFonts w:hint="eastAsia" w:asciiTheme="minorEastAsia" w:hAnsiTheme="minorEastAsia" w:eastAsiaTheme="minorEastAsia" w:cstheme="minorEastAsia"/>
                <w:color w:val="000000"/>
                <w:spacing w:val="6"/>
                <w:sz w:val="24"/>
                <w:szCs w:val="24"/>
              </w:rPr>
            </w:pPr>
            <w:r>
              <w:rPr>
                <w:rFonts w:hint="eastAsia" w:asciiTheme="minorEastAsia" w:hAnsiTheme="minorEastAsia" w:eastAsiaTheme="minorEastAsia" w:cstheme="minorEastAsia"/>
                <w:spacing w:val="6"/>
                <w:sz w:val="24"/>
                <w:szCs w:val="24"/>
                <w:lang w:val="en-US" w:eastAsia="zh-CN"/>
              </w:rPr>
              <w:t>管理制度</w:t>
            </w:r>
          </w:p>
        </w:tc>
        <w:tc>
          <w:tcPr>
            <w:tcW w:w="1068" w:type="dxa"/>
            <w:tcBorders>
              <w:top w:val="single" w:color="000000" w:sz="8" w:space="0"/>
              <w:left w:val="single" w:color="000000" w:sz="8" w:space="0"/>
              <w:bottom w:val="single" w:color="000000" w:sz="8" w:space="0"/>
              <w:right w:val="single" w:color="000000" w:sz="8" w:space="0"/>
            </w:tcBorders>
            <w:noWrap w:val="0"/>
            <w:vAlign w:val="top"/>
          </w:tcPr>
          <w:p w14:paraId="7DE00711">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2E7A5778">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75008C81">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p>
          <w:p w14:paraId="3F1B4B02">
            <w:pPr>
              <w:pageBreakBefore w:val="0"/>
              <w:widowControl/>
              <w:kinsoku/>
              <w:overflowPunct/>
              <w:topLinePunct w:val="0"/>
              <w:bidi w:val="0"/>
              <w:spacing w:line="440" w:lineRule="exact"/>
              <w:ind w:firstLine="240" w:firstLineChars="100"/>
              <w:jc w:val="both"/>
              <w:rPr>
                <w:rFonts w:hint="eastAsia" w:asciiTheme="minorEastAsia" w:hAnsiTheme="minorEastAsia" w:eastAsiaTheme="minorEastAsia" w:cstheme="minorEastAsia"/>
                <w:color w:val="000000"/>
                <w:sz w:val="24"/>
                <w:szCs w:val="24"/>
                <w:lang w:val="en-US" w:eastAsia="zh-CN"/>
              </w:rPr>
            </w:pPr>
          </w:p>
          <w:p w14:paraId="62005D41">
            <w:pPr>
              <w:pageBreakBefore w:val="0"/>
              <w:widowControl/>
              <w:kinsoku/>
              <w:overflowPunct/>
              <w:topLinePunct w:val="0"/>
              <w:bidi w:val="0"/>
              <w:spacing w:line="440" w:lineRule="exact"/>
              <w:ind w:firstLine="240" w:firstLineChars="100"/>
              <w:jc w:val="both"/>
              <w:rPr>
                <w:rFonts w:hint="eastAsia" w:asciiTheme="minorEastAsia" w:hAnsiTheme="minorEastAsia" w:eastAsiaTheme="minorEastAsia" w:cstheme="minorEastAsia"/>
                <w:color w:val="000000"/>
                <w:sz w:val="24"/>
                <w:szCs w:val="24"/>
                <w:lang w:val="en-US" w:eastAsia="zh-CN"/>
              </w:rPr>
            </w:pPr>
          </w:p>
          <w:p w14:paraId="0054D436">
            <w:pPr>
              <w:pageBreakBefore w:val="0"/>
              <w:widowControl/>
              <w:kinsoku/>
              <w:overflowPunct/>
              <w:topLinePunct w:val="0"/>
              <w:bidi w:val="0"/>
              <w:spacing w:line="440" w:lineRule="exact"/>
              <w:ind w:firstLine="240" w:firstLineChars="100"/>
              <w:jc w:val="both"/>
              <w:rPr>
                <w:rFonts w:hint="eastAsia" w:asciiTheme="minorEastAsia" w:hAnsiTheme="minorEastAsia" w:eastAsiaTheme="minorEastAsia" w:cstheme="minorEastAsia"/>
                <w:color w:val="000000"/>
                <w:sz w:val="24"/>
                <w:szCs w:val="24"/>
                <w:lang w:val="en-US" w:eastAsia="zh-CN"/>
              </w:rPr>
            </w:pPr>
          </w:p>
          <w:p w14:paraId="2AA35618">
            <w:pPr>
              <w:pageBreakBefore w:val="0"/>
              <w:widowControl/>
              <w:kinsoku/>
              <w:overflowPunct/>
              <w:topLinePunct w:val="0"/>
              <w:bidi w:val="0"/>
              <w:spacing w:line="440" w:lineRule="exact"/>
              <w:ind w:firstLine="240" w:firstLineChars="100"/>
              <w:jc w:val="both"/>
              <w:rPr>
                <w:rFonts w:hint="eastAsia" w:asciiTheme="minorEastAsia" w:hAnsiTheme="minorEastAsia" w:eastAsiaTheme="minorEastAsia" w:cstheme="minorEastAsia"/>
                <w:color w:val="000000"/>
                <w:sz w:val="24"/>
                <w:szCs w:val="24"/>
                <w:lang w:val="en-US" w:eastAsia="zh-CN"/>
              </w:rPr>
            </w:pPr>
          </w:p>
          <w:p w14:paraId="5802E386">
            <w:pPr>
              <w:pageBreakBefore w:val="0"/>
              <w:widowControl/>
              <w:kinsoku/>
              <w:overflowPunct/>
              <w:topLinePunct w:val="0"/>
              <w:bidi w:val="0"/>
              <w:spacing w:line="440" w:lineRule="exact"/>
              <w:ind w:firstLine="240" w:firstLineChars="100"/>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15</w:t>
            </w:r>
          </w:p>
        </w:tc>
        <w:tc>
          <w:tcPr>
            <w:tcW w:w="4524" w:type="dxa"/>
            <w:tcBorders>
              <w:top w:val="single" w:color="000000" w:sz="8" w:space="0"/>
              <w:left w:val="single" w:color="000000" w:sz="8" w:space="0"/>
              <w:bottom w:val="single" w:color="000000" w:sz="8" w:space="0"/>
              <w:right w:val="single" w:color="000000" w:sz="8" w:space="0"/>
            </w:tcBorders>
            <w:noWrap w:val="0"/>
            <w:vAlign w:val="top"/>
          </w:tcPr>
          <w:p w14:paraId="7D12D92C">
            <w:pPr>
              <w:pageBreakBefore w:val="0"/>
              <w:kinsoku/>
              <w:overflowPunct/>
              <w:topLinePunct w:val="0"/>
              <w:bidi w:val="0"/>
              <w:spacing w:line="440" w:lineRule="exact"/>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（一）评审内容：</w:t>
            </w:r>
          </w:p>
          <w:p w14:paraId="471AE33F">
            <w:pPr>
              <w:pageBreakBefore w:val="0"/>
              <w:kinsoku/>
              <w:wordWrap w:val="0"/>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GB"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针对投标人提供的管理制度进行评价，内容包含但不限于：</w:t>
            </w:r>
          </w:p>
          <w:p w14:paraId="7A4C2FDC">
            <w:pPr>
              <w:pageBreakBefore w:val="0"/>
              <w:kinsoku/>
              <w:wordWrap w:val="0"/>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GB"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1.运营管理架构；</w:t>
            </w:r>
          </w:p>
          <w:p w14:paraId="56C27627">
            <w:pPr>
              <w:pageBreakBefore w:val="0"/>
              <w:kinsoku/>
              <w:wordWrap w:val="0"/>
              <w:overflowPunct/>
              <w:topLinePunct w:val="0"/>
              <w:bidi w:val="0"/>
              <w:spacing w:line="440" w:lineRule="exact"/>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2.团队管理制度；</w:t>
            </w:r>
          </w:p>
          <w:p w14:paraId="1A259E95">
            <w:pPr>
              <w:pageBreakBefore w:val="0"/>
              <w:kinsoku/>
              <w:overflowPunct/>
              <w:topLinePunct w:val="0"/>
              <w:bidi w:val="0"/>
              <w:spacing w:line="440" w:lineRule="exact"/>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（二）评审依据：</w:t>
            </w:r>
          </w:p>
          <w:p w14:paraId="5AA2C2D1">
            <w:pPr>
              <w:pageBreakBefore w:val="0"/>
              <w:kinsoku/>
              <w:overflowPunct/>
              <w:topLinePunct w:val="0"/>
              <w:bidi w:val="0"/>
              <w:spacing w:line="4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1.方案中2项全部包含的得</w:t>
            </w:r>
            <w:r>
              <w:rPr>
                <w:rFonts w:hint="eastAsia" w:asciiTheme="minorEastAsia" w:hAnsiTheme="minorEastAsia" w:cstheme="minorEastAsia"/>
                <w:color w:val="000000"/>
                <w:sz w:val="24"/>
                <w:szCs w:val="24"/>
                <w:lang w:val="en-US" w:eastAsia="zh-CN"/>
              </w:rPr>
              <w:t>40</w:t>
            </w:r>
            <w:r>
              <w:rPr>
                <w:rFonts w:hint="eastAsia" w:asciiTheme="minorEastAsia" w:hAnsiTheme="minorEastAsia" w:eastAsiaTheme="minorEastAsia" w:cstheme="minorEastAsia"/>
                <w:color w:val="000000"/>
                <w:sz w:val="24"/>
                <w:szCs w:val="24"/>
              </w:rPr>
              <w:t>分</w:t>
            </w:r>
            <w:r>
              <w:rPr>
                <w:rFonts w:hint="eastAsia" w:asciiTheme="minorEastAsia" w:hAnsiTheme="minorEastAsia" w:cstheme="minorEastAsia"/>
                <w:color w:val="000000"/>
                <w:sz w:val="24"/>
                <w:szCs w:val="24"/>
                <w:lang w:eastAsia="zh-CN"/>
              </w:rPr>
              <w:t>，否则不得分</w:t>
            </w:r>
            <w:r>
              <w:rPr>
                <w:rFonts w:hint="eastAsia" w:asciiTheme="minorEastAsia" w:hAnsiTheme="minorEastAsia" w:eastAsiaTheme="minorEastAsia" w:cstheme="minorEastAsia"/>
                <w:color w:val="000000"/>
                <w:sz w:val="24"/>
                <w:szCs w:val="24"/>
              </w:rPr>
              <w:t>。</w:t>
            </w:r>
          </w:p>
          <w:p w14:paraId="18269A9E">
            <w:pPr>
              <w:pageBreakBefore w:val="0"/>
              <w:kinsoku/>
              <w:overflowPunct/>
              <w:topLinePunct w:val="0"/>
              <w:bidi w:val="0"/>
              <w:spacing w:line="4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2.在第1点基础上，评审委员会根据各投标供应商的具体响应内容进一步评审：</w:t>
            </w:r>
          </w:p>
          <w:p w14:paraId="28E7A326">
            <w:pPr>
              <w:pageBreakBefore w:val="0"/>
              <w:kinsoku/>
              <w:overflowPunct/>
              <w:topLinePunct w:val="0"/>
              <w:bidi w:val="0"/>
              <w:spacing w:line="4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（1）评审为优（管理制度针对性强、全面具体，科学合理，处置措施妥善得当、可操作性强，）的加</w:t>
            </w:r>
            <w:r>
              <w:rPr>
                <w:rFonts w:hint="eastAsia" w:asciiTheme="minorEastAsia" w:hAnsiTheme="minorEastAsia" w:cstheme="minorEastAsia"/>
                <w:color w:val="000000"/>
                <w:sz w:val="24"/>
                <w:szCs w:val="24"/>
                <w:lang w:val="en-US" w:eastAsia="zh-CN"/>
              </w:rPr>
              <w:t>60</w:t>
            </w:r>
            <w:r>
              <w:rPr>
                <w:rFonts w:hint="eastAsia" w:asciiTheme="minorEastAsia" w:hAnsiTheme="minorEastAsia" w:eastAsiaTheme="minorEastAsia" w:cstheme="minorEastAsia"/>
                <w:color w:val="000000"/>
                <w:sz w:val="24"/>
                <w:szCs w:val="24"/>
              </w:rPr>
              <w:t>分；</w:t>
            </w:r>
          </w:p>
          <w:p w14:paraId="5CEB7269">
            <w:pPr>
              <w:pageBreakBefore w:val="0"/>
              <w:kinsoku/>
              <w:overflowPunct/>
              <w:topLinePunct w:val="0"/>
              <w:bidi w:val="0"/>
              <w:spacing w:line="4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（2）评审为良（管理制度针对性较强，较全面，科学合理，处置措施较妥善得当、可操作性较好的）加</w:t>
            </w:r>
            <w:r>
              <w:rPr>
                <w:rFonts w:hint="eastAsia" w:asciiTheme="minorEastAsia" w:hAnsiTheme="minorEastAsia" w:cstheme="minorEastAsia"/>
                <w:color w:val="000000"/>
                <w:sz w:val="24"/>
                <w:szCs w:val="24"/>
                <w:lang w:val="en-US" w:eastAsia="zh-CN"/>
              </w:rPr>
              <w:t>40</w:t>
            </w:r>
            <w:r>
              <w:rPr>
                <w:rFonts w:hint="eastAsia" w:asciiTheme="minorEastAsia" w:hAnsiTheme="minorEastAsia" w:eastAsiaTheme="minorEastAsia" w:cstheme="minorEastAsia"/>
                <w:color w:val="000000"/>
                <w:sz w:val="24"/>
                <w:szCs w:val="24"/>
              </w:rPr>
              <w:t>分；</w:t>
            </w:r>
          </w:p>
          <w:p w14:paraId="3B81A952">
            <w:pPr>
              <w:pageBreakBefore w:val="0"/>
              <w:kinsoku/>
              <w:overflowPunct/>
              <w:topLinePunct w:val="0"/>
              <w:bidi w:val="0"/>
              <w:spacing w:line="4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（3）评审为中（管理制度针对性一般，处置措施合理性、可操作性一般）的加</w:t>
            </w:r>
            <w:r>
              <w:rPr>
                <w:rFonts w:hint="eastAsia" w:asciiTheme="minorEastAsia" w:hAnsi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分；</w:t>
            </w:r>
          </w:p>
          <w:p w14:paraId="606066B7">
            <w:pPr>
              <w:pageBreakBefore w:val="0"/>
              <w:kinsoku/>
              <w:overflowPunct/>
              <w:topLinePunct w:val="0"/>
              <w:bidi w:val="0"/>
              <w:spacing w:line="4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（4）评审为差（管理制度针对性差，无可操作性）的不得分。</w:t>
            </w:r>
          </w:p>
          <w:p w14:paraId="3C2A4258">
            <w:pPr>
              <w:pageBreakBefore w:val="0"/>
              <w:kinsoku/>
              <w:overflowPunct/>
              <w:topLinePunct w:val="0"/>
              <w:bidi w:val="0"/>
              <w:spacing w:line="440" w:lineRule="exact"/>
              <w:jc w:val="left"/>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color w:val="000000"/>
                <w:sz w:val="24"/>
                <w:szCs w:val="24"/>
              </w:rPr>
              <w:t>如评审为差，评审专家须书面说明理由，并记录在档。</w:t>
            </w:r>
          </w:p>
        </w:tc>
      </w:tr>
      <w:tr w14:paraId="79CA7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4EA288">
            <w:pPr>
              <w:pageBreakBefore w:val="0"/>
              <w:kinsoku/>
              <w:overflowPunct/>
              <w:topLinePunct w:val="0"/>
              <w:bidi w:val="0"/>
              <w:spacing w:line="440" w:lineRule="exact"/>
              <w:rPr>
                <w:rFonts w:hint="eastAsia" w:asciiTheme="minorEastAsia" w:hAnsiTheme="minorEastAsia" w:eastAsiaTheme="minorEastAsia" w:cstheme="minorEastAsia"/>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761EE1EA">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53683E29">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61D04693">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6B0A2E02">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5506B669">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sz w:val="24"/>
                <w:szCs w:val="24"/>
                <w:lang w:val="en-US" w:eastAsia="zh-CN"/>
              </w:rPr>
            </w:pPr>
          </w:p>
          <w:p w14:paraId="358B3E6A">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sz w:val="24"/>
                <w:szCs w:val="24"/>
                <w:lang w:val="en-US" w:eastAsia="zh-CN"/>
              </w:rPr>
            </w:pPr>
          </w:p>
          <w:p w14:paraId="48C96A06">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sz w:val="24"/>
                <w:szCs w:val="24"/>
                <w:lang w:val="en-US" w:eastAsia="zh-CN"/>
              </w:rPr>
            </w:pPr>
          </w:p>
          <w:p w14:paraId="6D9ED4E1">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sz w:val="24"/>
                <w:szCs w:val="24"/>
                <w:lang w:val="en-US" w:eastAsia="zh-CN"/>
              </w:rPr>
            </w:pPr>
          </w:p>
          <w:p w14:paraId="4DFB557A">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sz w:val="24"/>
                <w:szCs w:val="24"/>
                <w:lang w:val="en-US" w:eastAsia="zh-CN"/>
              </w:rPr>
            </w:pPr>
          </w:p>
          <w:p w14:paraId="56B1B358">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sz w:val="24"/>
                <w:szCs w:val="24"/>
                <w:lang w:val="en-US" w:eastAsia="zh-CN"/>
              </w:rPr>
            </w:pPr>
          </w:p>
          <w:p w14:paraId="4B9F1715">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sz w:val="24"/>
                <w:szCs w:val="24"/>
                <w:lang w:val="en-US" w:eastAsia="zh-CN"/>
              </w:rPr>
            </w:pPr>
          </w:p>
          <w:p w14:paraId="303F8AD0">
            <w:pPr>
              <w:pageBreakBefore w:val="0"/>
              <w:kinsoku/>
              <w:wordWrap w:val="0"/>
              <w:overflowPunct/>
              <w:topLinePunct w:val="0"/>
              <w:bidi w:val="0"/>
              <w:spacing w:line="440" w:lineRule="exact"/>
              <w:ind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120" w:type="dxa"/>
            <w:tcBorders>
              <w:top w:val="single" w:color="000000" w:sz="8" w:space="0"/>
              <w:left w:val="single" w:color="000000" w:sz="8" w:space="0"/>
              <w:bottom w:val="single" w:color="000000" w:sz="8" w:space="0"/>
              <w:right w:val="single" w:color="000000" w:sz="8" w:space="0"/>
            </w:tcBorders>
            <w:noWrap w:val="0"/>
            <w:vAlign w:val="center"/>
          </w:tcPr>
          <w:p w14:paraId="793E46C5">
            <w:pPr>
              <w:pageBreakBefore w:val="0"/>
              <w:kinsoku/>
              <w:overflowPunct/>
              <w:topLinePunct w:val="0"/>
              <w:bidi w:val="0"/>
              <w:spacing w:beforeLines="20" w:afterLines="20" w:line="440" w:lineRule="exact"/>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z w:val="24"/>
                <w:szCs w:val="24"/>
                <w:highlight w:val="none"/>
                <w:lang w:val="en-US" w:eastAsia="zh-CN"/>
              </w:rPr>
              <w:t>应急预案及处置措施</w:t>
            </w:r>
          </w:p>
        </w:tc>
        <w:tc>
          <w:tcPr>
            <w:tcW w:w="1068" w:type="dxa"/>
            <w:tcBorders>
              <w:top w:val="single" w:color="000000" w:sz="8" w:space="0"/>
              <w:left w:val="single" w:color="000000" w:sz="8" w:space="0"/>
              <w:bottom w:val="single" w:color="000000" w:sz="8" w:space="0"/>
              <w:right w:val="single" w:color="000000" w:sz="8" w:space="0"/>
            </w:tcBorders>
            <w:noWrap w:val="0"/>
            <w:vAlign w:val="top"/>
          </w:tcPr>
          <w:p w14:paraId="29BB2FEC">
            <w:pPr>
              <w:pageBreakBefore w:val="0"/>
              <w:widowControl/>
              <w:kinsoku/>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03965F12">
            <w:pPr>
              <w:pageBreakBefore w:val="0"/>
              <w:widowControl/>
              <w:kinsoku/>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73A76FFE">
            <w:pPr>
              <w:pageBreakBefore w:val="0"/>
              <w:widowControl/>
              <w:kinsoku/>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34340135">
            <w:pPr>
              <w:pageBreakBefore w:val="0"/>
              <w:widowControl/>
              <w:kinsoku/>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561D859E">
            <w:pPr>
              <w:pageBreakBefore w:val="0"/>
              <w:widowControl/>
              <w:kinsoku/>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52819044">
            <w:pPr>
              <w:pageBreakBefore w:val="0"/>
              <w:widowControl/>
              <w:kinsoku/>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76BD23E9">
            <w:pPr>
              <w:pageBreakBefore w:val="0"/>
              <w:widowControl/>
              <w:kinsoku/>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0C9C5496">
            <w:pPr>
              <w:pageBreakBefore w:val="0"/>
              <w:widowControl/>
              <w:kinsoku/>
              <w:overflowPunct/>
              <w:topLinePunct w:val="0"/>
              <w:bidi w:val="0"/>
              <w:spacing w:line="440" w:lineRule="exact"/>
              <w:ind w:firstLine="240" w:firstLineChars="100"/>
              <w:jc w:val="both"/>
              <w:rPr>
                <w:rFonts w:hint="eastAsia" w:asciiTheme="minorEastAsia" w:hAnsiTheme="minorEastAsia" w:eastAsiaTheme="minorEastAsia" w:cstheme="minorEastAsia"/>
                <w:sz w:val="24"/>
                <w:szCs w:val="24"/>
                <w:lang w:val="en-US" w:eastAsia="zh-CN"/>
              </w:rPr>
            </w:pPr>
          </w:p>
          <w:p w14:paraId="3E9B883E">
            <w:pPr>
              <w:pageBreakBefore w:val="0"/>
              <w:widowControl/>
              <w:kinsoku/>
              <w:overflowPunct/>
              <w:topLinePunct w:val="0"/>
              <w:bidi w:val="0"/>
              <w:spacing w:line="440" w:lineRule="exact"/>
              <w:ind w:firstLine="240" w:firstLineChars="100"/>
              <w:jc w:val="both"/>
              <w:rPr>
                <w:rFonts w:hint="eastAsia" w:asciiTheme="minorEastAsia" w:hAnsiTheme="minorEastAsia" w:eastAsiaTheme="minorEastAsia" w:cstheme="minorEastAsia"/>
                <w:sz w:val="24"/>
                <w:szCs w:val="24"/>
                <w:lang w:val="en-US" w:eastAsia="zh-CN"/>
              </w:rPr>
            </w:pPr>
          </w:p>
          <w:p w14:paraId="02774350">
            <w:pPr>
              <w:pageBreakBefore w:val="0"/>
              <w:widowControl/>
              <w:kinsoku/>
              <w:overflowPunct/>
              <w:topLinePunct w:val="0"/>
              <w:bidi w:val="0"/>
              <w:spacing w:line="440" w:lineRule="exact"/>
              <w:ind w:firstLine="240" w:firstLineChars="100"/>
              <w:jc w:val="both"/>
              <w:rPr>
                <w:rFonts w:hint="eastAsia" w:asciiTheme="minorEastAsia" w:hAnsiTheme="minorEastAsia" w:eastAsiaTheme="minorEastAsia" w:cstheme="minorEastAsia"/>
                <w:sz w:val="24"/>
                <w:szCs w:val="24"/>
                <w:lang w:val="en-US" w:eastAsia="zh-CN"/>
              </w:rPr>
            </w:pPr>
          </w:p>
          <w:p w14:paraId="4888EE38">
            <w:pPr>
              <w:pageBreakBefore w:val="0"/>
              <w:widowControl/>
              <w:kinsoku/>
              <w:overflowPunct/>
              <w:topLinePunct w:val="0"/>
              <w:bidi w:val="0"/>
              <w:spacing w:line="440" w:lineRule="exact"/>
              <w:ind w:firstLine="240" w:firstLineChars="100"/>
              <w:jc w:val="both"/>
              <w:rPr>
                <w:rFonts w:hint="eastAsia" w:asciiTheme="minorEastAsia" w:hAnsiTheme="minorEastAsia" w:eastAsiaTheme="minorEastAsia" w:cstheme="minorEastAsia"/>
                <w:sz w:val="24"/>
                <w:szCs w:val="24"/>
                <w:lang w:val="en-US" w:eastAsia="zh-CN"/>
              </w:rPr>
            </w:pPr>
          </w:p>
          <w:p w14:paraId="6917BA6A">
            <w:pPr>
              <w:pageBreakBefore w:val="0"/>
              <w:widowControl/>
              <w:kinsoku/>
              <w:overflowPunct/>
              <w:topLinePunct w:val="0"/>
              <w:bidi w:val="0"/>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20</w:t>
            </w:r>
          </w:p>
          <w:p w14:paraId="14B22179">
            <w:pPr>
              <w:pageBreakBefore w:val="0"/>
              <w:widowControl/>
              <w:kinsoku/>
              <w:overflowPunct/>
              <w:topLinePunct w:val="0"/>
              <w:bidi w:val="0"/>
              <w:spacing w:line="440" w:lineRule="exact"/>
              <w:ind w:firstLine="240" w:firstLineChars="100"/>
              <w:jc w:val="both"/>
              <w:rPr>
                <w:rFonts w:hint="eastAsia" w:asciiTheme="minorEastAsia" w:hAnsiTheme="minorEastAsia" w:eastAsiaTheme="minorEastAsia" w:cstheme="minorEastAsia"/>
                <w:sz w:val="24"/>
                <w:szCs w:val="24"/>
                <w:lang w:val="en-US" w:eastAsia="zh-CN"/>
              </w:rPr>
            </w:pPr>
          </w:p>
        </w:tc>
        <w:tc>
          <w:tcPr>
            <w:tcW w:w="4524" w:type="dxa"/>
            <w:tcBorders>
              <w:top w:val="single" w:color="000000" w:sz="8" w:space="0"/>
              <w:left w:val="single" w:color="000000" w:sz="8" w:space="0"/>
              <w:bottom w:val="single" w:color="000000" w:sz="8" w:space="0"/>
              <w:right w:val="single" w:color="000000" w:sz="8" w:space="0"/>
            </w:tcBorders>
            <w:noWrap w:val="0"/>
            <w:vAlign w:val="top"/>
          </w:tcPr>
          <w:p w14:paraId="04EC1073">
            <w:pPr>
              <w:keepNext w:val="0"/>
              <w:keepLines w:val="0"/>
              <w:pageBreakBefore w:val="0"/>
              <w:widowControl w:val="0"/>
              <w:kinsoku/>
              <w:wordWrap/>
              <w:overflowPunct/>
              <w:topLinePunct w:val="0"/>
              <w:autoSpaceDE/>
              <w:autoSpaceDN/>
              <w:bidi w:val="0"/>
              <w:adjustRightInd/>
              <w:snapToGrid/>
              <w:spacing w:after="60" w:line="312" w:lineRule="auto"/>
              <w:jc w:val="left"/>
              <w:textAlignment w:val="auto"/>
              <w:rPr>
                <w:rFonts w:hint="eastAsia" w:asciiTheme="minorEastAsia" w:hAnsiTheme="minorEastAsia" w:eastAsiaTheme="minorEastAsia" w:cstheme="minorEastAsia"/>
                <w:b/>
                <w:bCs/>
                <w:sz w:val="24"/>
                <w:szCs w:val="24"/>
                <w:highlight w:val="none"/>
                <w:lang w:val="zh-CN" w:eastAsia="zh-CN"/>
              </w:rPr>
            </w:pPr>
            <w:r>
              <w:rPr>
                <w:rFonts w:hint="eastAsia" w:asciiTheme="minorEastAsia" w:hAnsiTheme="minorEastAsia" w:eastAsiaTheme="minorEastAsia" w:cstheme="minorEastAsia"/>
                <w:b/>
                <w:bCs/>
                <w:sz w:val="24"/>
                <w:szCs w:val="24"/>
                <w:highlight w:val="none"/>
                <w:lang w:val="zh-CN"/>
              </w:rPr>
              <w:t>（一）</w:t>
            </w:r>
            <w:r>
              <w:rPr>
                <w:rFonts w:hint="eastAsia" w:asciiTheme="minorEastAsia" w:hAnsiTheme="minorEastAsia" w:eastAsiaTheme="minorEastAsia" w:cstheme="minorEastAsia"/>
                <w:b/>
                <w:bCs/>
                <w:sz w:val="24"/>
                <w:szCs w:val="24"/>
                <w:highlight w:val="none"/>
              </w:rPr>
              <w:t>评审内容</w:t>
            </w:r>
            <w:r>
              <w:rPr>
                <w:rFonts w:hint="eastAsia" w:asciiTheme="minorEastAsia" w:hAnsiTheme="minorEastAsia" w:eastAsiaTheme="minorEastAsia" w:cstheme="minorEastAsia"/>
                <w:b/>
                <w:bCs/>
                <w:sz w:val="24"/>
                <w:szCs w:val="24"/>
                <w:highlight w:val="none"/>
                <w:lang w:eastAsia="zh-CN"/>
              </w:rPr>
              <w:t>：</w:t>
            </w:r>
          </w:p>
          <w:p w14:paraId="4BEF1E2D">
            <w:pPr>
              <w:keepNext w:val="0"/>
              <w:keepLines w:val="0"/>
              <w:pageBreakBefore w:val="0"/>
              <w:widowControl w:val="0"/>
              <w:kinsoku/>
              <w:wordWrap/>
              <w:overflowPunct/>
              <w:topLinePunct w:val="0"/>
              <w:autoSpaceDE/>
              <w:autoSpaceDN/>
              <w:bidi w:val="0"/>
              <w:adjustRightInd/>
              <w:snapToGrid/>
              <w:spacing w:after="60" w:line="312" w:lineRule="auto"/>
              <w:jc w:val="left"/>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针对本项目制定的各类应急预案、预防及改进措施，内容包含但不限于：</w:t>
            </w:r>
          </w:p>
          <w:p w14:paraId="4A27111B">
            <w:pPr>
              <w:keepNext w:val="0"/>
              <w:keepLines w:val="0"/>
              <w:pageBreakBefore w:val="0"/>
              <w:widowControl w:val="0"/>
              <w:kinsoku/>
              <w:wordWrap/>
              <w:overflowPunct/>
              <w:topLinePunct w:val="0"/>
              <w:autoSpaceDE/>
              <w:autoSpaceDN/>
              <w:bidi w:val="0"/>
              <w:adjustRightInd/>
              <w:snapToGrid/>
              <w:spacing w:after="60" w:line="312" w:lineRule="auto"/>
              <w:jc w:val="left"/>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1.火灾紧急处理预案；</w:t>
            </w:r>
          </w:p>
          <w:p w14:paraId="56C8E658">
            <w:pPr>
              <w:keepNext w:val="0"/>
              <w:keepLines w:val="0"/>
              <w:pageBreakBefore w:val="0"/>
              <w:widowControl w:val="0"/>
              <w:kinsoku/>
              <w:wordWrap/>
              <w:overflowPunct/>
              <w:topLinePunct w:val="0"/>
              <w:autoSpaceDE/>
              <w:autoSpaceDN/>
              <w:bidi w:val="0"/>
              <w:adjustRightInd/>
              <w:snapToGrid/>
              <w:spacing w:after="60" w:line="312" w:lineRule="auto"/>
              <w:jc w:val="left"/>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2.停电事故处理应急预案；</w:t>
            </w:r>
          </w:p>
          <w:p w14:paraId="62C22F43">
            <w:pPr>
              <w:keepNext w:val="0"/>
              <w:keepLines w:val="0"/>
              <w:pageBreakBefore w:val="0"/>
              <w:widowControl w:val="0"/>
              <w:kinsoku/>
              <w:wordWrap/>
              <w:overflowPunct/>
              <w:topLinePunct w:val="0"/>
              <w:autoSpaceDE/>
              <w:autoSpaceDN/>
              <w:bidi w:val="0"/>
              <w:adjustRightInd/>
              <w:snapToGrid/>
              <w:spacing w:after="60" w:line="312" w:lineRule="auto"/>
              <w:jc w:val="left"/>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3.投诉、舆论处置措施；</w:t>
            </w:r>
          </w:p>
          <w:p w14:paraId="4D001978">
            <w:pPr>
              <w:keepNext w:val="0"/>
              <w:keepLines w:val="0"/>
              <w:pageBreakBefore w:val="0"/>
              <w:widowControl w:val="0"/>
              <w:kinsoku/>
              <w:wordWrap/>
              <w:overflowPunct/>
              <w:topLinePunct w:val="0"/>
              <w:autoSpaceDE/>
              <w:autoSpaceDN/>
              <w:bidi w:val="0"/>
              <w:adjustRightInd/>
              <w:snapToGrid/>
              <w:spacing w:after="60" w:line="312" w:lineRule="auto"/>
              <w:jc w:val="left"/>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4.暴雨、台风等极端天气应急预案；</w:t>
            </w:r>
          </w:p>
          <w:p w14:paraId="4C0DF744">
            <w:pPr>
              <w:keepNext w:val="0"/>
              <w:keepLines w:val="0"/>
              <w:pageBreakBefore w:val="0"/>
              <w:widowControl w:val="0"/>
              <w:kinsoku/>
              <w:wordWrap/>
              <w:overflowPunct/>
              <w:topLinePunct w:val="0"/>
              <w:autoSpaceDE/>
              <w:autoSpaceDN/>
              <w:bidi w:val="0"/>
              <w:adjustRightInd/>
              <w:snapToGrid/>
              <w:spacing w:after="60" w:line="312" w:lineRule="auto"/>
              <w:jc w:val="left"/>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5.场内人员人身伤害紧急处置预案。</w:t>
            </w:r>
          </w:p>
          <w:p w14:paraId="50B246FA">
            <w:pPr>
              <w:keepNext w:val="0"/>
              <w:keepLines w:val="0"/>
              <w:pageBreakBefore w:val="0"/>
              <w:widowControl w:val="0"/>
              <w:kinsoku/>
              <w:wordWrap/>
              <w:overflowPunct/>
              <w:topLinePunct w:val="0"/>
              <w:autoSpaceDE/>
              <w:autoSpaceDN/>
              <w:bidi w:val="0"/>
              <w:adjustRightInd/>
              <w:snapToGrid/>
              <w:spacing w:after="60" w:line="312" w:lineRule="auto"/>
              <w:jc w:val="left"/>
              <w:textAlignment w:val="auto"/>
              <w:rPr>
                <w:rFonts w:hint="eastAsia" w:asciiTheme="minorEastAsia" w:hAnsiTheme="minorEastAsia" w:eastAsiaTheme="minorEastAsia" w:cstheme="minorEastAsia"/>
                <w:b/>
                <w:bCs/>
                <w:sz w:val="24"/>
                <w:szCs w:val="24"/>
                <w:highlight w:val="none"/>
                <w:lang w:val="zh-CN"/>
              </w:rPr>
            </w:pPr>
            <w:r>
              <w:rPr>
                <w:rFonts w:hint="eastAsia" w:asciiTheme="minorEastAsia" w:hAnsiTheme="minorEastAsia" w:eastAsiaTheme="minorEastAsia" w:cstheme="minorEastAsia"/>
                <w:b/>
                <w:bCs/>
                <w:sz w:val="24"/>
                <w:szCs w:val="24"/>
                <w:highlight w:val="none"/>
                <w:lang w:val="zh-CN"/>
              </w:rPr>
              <w:t>（二）评审依据：</w:t>
            </w:r>
          </w:p>
          <w:p w14:paraId="5C7C5809">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1.方案中5项全部包含的得</w:t>
            </w:r>
            <w:r>
              <w:rPr>
                <w:rFonts w:hint="eastAsia" w:asciiTheme="minorEastAsia" w:hAnsiTheme="minorEastAsia" w:cstheme="minorEastAsia"/>
                <w:color w:val="000000"/>
                <w:sz w:val="24"/>
                <w:szCs w:val="24"/>
                <w:lang w:val="en-US" w:eastAsia="zh-CN"/>
              </w:rPr>
              <w:t>50</w:t>
            </w:r>
            <w:r>
              <w:rPr>
                <w:rFonts w:hint="eastAsia" w:asciiTheme="minorEastAsia" w:hAnsiTheme="minorEastAsia" w:eastAsiaTheme="minorEastAsia" w:cstheme="minorEastAsia"/>
                <w:color w:val="000000"/>
                <w:sz w:val="24"/>
                <w:szCs w:val="24"/>
              </w:rPr>
              <w:t>分</w:t>
            </w:r>
            <w:r>
              <w:rPr>
                <w:rFonts w:hint="eastAsia" w:asciiTheme="minorEastAsia" w:hAnsiTheme="minorEastAsia" w:cstheme="minorEastAsia"/>
                <w:color w:val="000000"/>
                <w:sz w:val="24"/>
                <w:szCs w:val="24"/>
                <w:lang w:eastAsia="zh-CN"/>
              </w:rPr>
              <w:t>，否则不得分</w:t>
            </w:r>
            <w:r>
              <w:rPr>
                <w:rFonts w:hint="eastAsia" w:asciiTheme="minorEastAsia" w:hAnsiTheme="minorEastAsia" w:eastAsiaTheme="minorEastAsia" w:cstheme="minorEastAsia"/>
                <w:color w:val="000000"/>
                <w:sz w:val="24"/>
                <w:szCs w:val="24"/>
              </w:rPr>
              <w:t>。</w:t>
            </w:r>
          </w:p>
          <w:p w14:paraId="67D89F0C">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2.在第1点基础上，评审委员会根据各投标供应商的具体响应内容进一步评审：</w:t>
            </w:r>
          </w:p>
          <w:p w14:paraId="3EAB6342">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（1）评审为优（应急预案针对性强、全面具体，科学合理，处置措施妥善得当、可操作性强，）的加</w:t>
            </w:r>
            <w:r>
              <w:rPr>
                <w:rFonts w:hint="eastAsia" w:asciiTheme="minorEastAsia" w:hAnsiTheme="minorEastAsia" w:cstheme="minorEastAsia"/>
                <w:color w:val="000000"/>
                <w:sz w:val="24"/>
                <w:szCs w:val="24"/>
                <w:lang w:val="en-US" w:eastAsia="zh-CN"/>
              </w:rPr>
              <w:t>50</w:t>
            </w:r>
            <w:r>
              <w:rPr>
                <w:rFonts w:hint="eastAsia" w:asciiTheme="minorEastAsia" w:hAnsiTheme="minorEastAsia" w:eastAsiaTheme="minorEastAsia" w:cstheme="minorEastAsia"/>
                <w:color w:val="000000"/>
                <w:sz w:val="24"/>
                <w:szCs w:val="24"/>
              </w:rPr>
              <w:t>分；</w:t>
            </w:r>
          </w:p>
          <w:p w14:paraId="2EDBC52E">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（2）评审为良（应急预案针对性较强，较全面，科学合理，处置措施较妥善得当、可操作性较好的）加</w:t>
            </w:r>
            <w:r>
              <w:rPr>
                <w:rFonts w:hint="eastAsia" w:asciiTheme="minorEastAsia" w:hAnsiTheme="minorEastAsia" w:cstheme="minorEastAsia"/>
                <w:color w:val="000000"/>
                <w:sz w:val="24"/>
                <w:szCs w:val="24"/>
                <w:lang w:val="en-US" w:eastAsia="zh-CN"/>
              </w:rPr>
              <w:t>30</w:t>
            </w:r>
            <w:r>
              <w:rPr>
                <w:rFonts w:hint="eastAsia" w:asciiTheme="minorEastAsia" w:hAnsiTheme="minorEastAsia" w:eastAsiaTheme="minorEastAsia" w:cstheme="minorEastAsia"/>
                <w:color w:val="000000"/>
                <w:sz w:val="24"/>
                <w:szCs w:val="24"/>
              </w:rPr>
              <w:t>分；</w:t>
            </w:r>
          </w:p>
          <w:p w14:paraId="20591CDE">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（3）评审为中（应急预案针对性一般，处置措施合理性、可操作性一般）的加</w:t>
            </w:r>
            <w:r>
              <w:rPr>
                <w:rFonts w:hint="eastAsia" w:asciiTheme="minorEastAsia" w:hAnsiTheme="minorEastAsia" w:cstheme="minorEastAsia"/>
                <w:color w:val="000000"/>
                <w:sz w:val="24"/>
                <w:szCs w:val="24"/>
                <w:lang w:val="en-US" w:eastAsia="zh-CN"/>
              </w:rPr>
              <w:t>15</w:t>
            </w:r>
            <w:r>
              <w:rPr>
                <w:rFonts w:hint="eastAsia" w:asciiTheme="minorEastAsia" w:hAnsiTheme="minorEastAsia" w:eastAsiaTheme="minorEastAsia" w:cstheme="minorEastAsia"/>
                <w:color w:val="000000"/>
                <w:sz w:val="24"/>
                <w:szCs w:val="24"/>
              </w:rPr>
              <w:t>分；</w:t>
            </w:r>
          </w:p>
          <w:p w14:paraId="123CDEFB">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（4）评审为差（应急预案针对性差，无可操作性）的不得分。</w:t>
            </w:r>
          </w:p>
          <w:p w14:paraId="45F26FA5">
            <w:pPr>
              <w:keepNext w:val="0"/>
              <w:keepLines w:val="0"/>
              <w:pageBreakBefore w:val="0"/>
              <w:widowControl w:val="0"/>
              <w:kinsoku/>
              <w:wordWrap/>
              <w:overflowPunct/>
              <w:topLinePunct w:val="0"/>
              <w:autoSpaceDE/>
              <w:autoSpaceDN/>
              <w:bidi w:val="0"/>
              <w:adjustRightInd/>
              <w:snapToGrid/>
              <w:spacing w:after="60" w:line="312" w:lineRule="auto"/>
              <w:jc w:val="left"/>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color w:val="000000"/>
                <w:sz w:val="24"/>
                <w:szCs w:val="24"/>
              </w:rPr>
              <w:t>如评审为差，评审专家须书面说明理由，并记录在档。</w:t>
            </w:r>
          </w:p>
        </w:tc>
      </w:tr>
      <w:tr w14:paraId="28D8F9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B73BC8">
            <w:pPr>
              <w:pageBreakBefore w:val="0"/>
              <w:kinsoku/>
              <w:overflowPunct/>
              <w:topLinePunct w:val="0"/>
              <w:bidi w:val="0"/>
              <w:spacing w:line="440" w:lineRule="exact"/>
              <w:rPr>
                <w:rFonts w:hint="eastAsia" w:asciiTheme="minorEastAsia" w:hAnsiTheme="minorEastAsia" w:eastAsiaTheme="minorEastAsia" w:cstheme="minorEastAsia"/>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128F1211">
            <w:pPr>
              <w:pageBreakBefore w:val="0"/>
              <w:kinsoku/>
              <w:overflowPunct/>
              <w:topLinePunct w:val="0"/>
              <w:bidi w:val="0"/>
              <w:spacing w:after="60" w:line="440" w:lineRule="exact"/>
              <w:jc w:val="left"/>
              <w:rPr>
                <w:rFonts w:hint="eastAsia" w:asciiTheme="minorEastAsia" w:hAnsiTheme="minorEastAsia" w:eastAsiaTheme="minorEastAsia" w:cstheme="minorEastAsia"/>
                <w:sz w:val="24"/>
                <w:szCs w:val="24"/>
                <w:highlight w:val="none"/>
                <w:lang w:val="en-US" w:eastAsia="zh-CN"/>
              </w:rPr>
            </w:pPr>
          </w:p>
          <w:p w14:paraId="046A8413">
            <w:pPr>
              <w:pageBreakBefore w:val="0"/>
              <w:kinsoku/>
              <w:overflowPunct/>
              <w:topLinePunct w:val="0"/>
              <w:bidi w:val="0"/>
              <w:spacing w:after="60" w:line="440" w:lineRule="exact"/>
              <w:ind w:firstLine="240" w:firstLineChars="100"/>
              <w:jc w:val="left"/>
              <w:rPr>
                <w:rFonts w:hint="eastAsia" w:asciiTheme="minorEastAsia" w:hAnsiTheme="minorEastAsia" w:eastAsiaTheme="minorEastAsia" w:cstheme="minorEastAsia"/>
                <w:sz w:val="24"/>
                <w:szCs w:val="24"/>
                <w:highlight w:val="none"/>
                <w:lang w:val="en-US" w:eastAsia="zh-CN"/>
              </w:rPr>
            </w:pPr>
          </w:p>
          <w:p w14:paraId="4B00F0E9">
            <w:pPr>
              <w:pageBreakBefore w:val="0"/>
              <w:kinsoku/>
              <w:overflowPunct/>
              <w:topLinePunct w:val="0"/>
              <w:bidi w:val="0"/>
              <w:spacing w:after="60" w:line="440" w:lineRule="exact"/>
              <w:ind w:firstLine="240" w:firstLineChars="100"/>
              <w:jc w:val="left"/>
              <w:rPr>
                <w:rFonts w:hint="eastAsia" w:asciiTheme="minorEastAsia" w:hAnsiTheme="minorEastAsia" w:eastAsiaTheme="minorEastAsia" w:cstheme="minorEastAsia"/>
                <w:sz w:val="24"/>
                <w:szCs w:val="24"/>
                <w:highlight w:val="none"/>
                <w:lang w:val="en-US" w:eastAsia="zh-CN"/>
              </w:rPr>
            </w:pPr>
          </w:p>
          <w:p w14:paraId="71E09FA4">
            <w:pPr>
              <w:pageBreakBefore w:val="0"/>
              <w:kinsoku/>
              <w:overflowPunct/>
              <w:topLinePunct w:val="0"/>
              <w:bidi w:val="0"/>
              <w:spacing w:after="60" w:line="440" w:lineRule="exact"/>
              <w:ind w:firstLine="240" w:firstLineChars="100"/>
              <w:jc w:val="left"/>
              <w:rPr>
                <w:rFonts w:hint="eastAsia" w:asciiTheme="minorEastAsia" w:hAnsiTheme="minorEastAsia" w:eastAsiaTheme="minorEastAsia" w:cstheme="minorEastAsia"/>
                <w:sz w:val="24"/>
                <w:szCs w:val="24"/>
                <w:highlight w:val="none"/>
                <w:lang w:val="en-US" w:eastAsia="zh-CN"/>
              </w:rPr>
            </w:pPr>
          </w:p>
          <w:p w14:paraId="1F0D549B">
            <w:pPr>
              <w:pageBreakBefore w:val="0"/>
              <w:kinsoku/>
              <w:overflowPunct/>
              <w:topLinePunct w:val="0"/>
              <w:bidi w:val="0"/>
              <w:spacing w:after="60" w:line="440" w:lineRule="exact"/>
              <w:ind w:firstLine="240" w:firstLineChars="100"/>
              <w:jc w:val="left"/>
              <w:rPr>
                <w:rFonts w:hint="eastAsia" w:asciiTheme="minorEastAsia" w:hAnsiTheme="minorEastAsia" w:eastAsiaTheme="minorEastAsia" w:cstheme="minorEastAsia"/>
                <w:sz w:val="24"/>
                <w:szCs w:val="24"/>
                <w:highlight w:val="none"/>
                <w:lang w:val="en-US" w:eastAsia="zh-CN"/>
              </w:rPr>
            </w:pPr>
          </w:p>
          <w:p w14:paraId="1B7FD7A3">
            <w:pPr>
              <w:pageBreakBefore w:val="0"/>
              <w:kinsoku/>
              <w:overflowPunct/>
              <w:topLinePunct w:val="0"/>
              <w:bidi w:val="0"/>
              <w:spacing w:after="60" w:line="440" w:lineRule="exact"/>
              <w:ind w:firstLine="240" w:firstLineChars="1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p>
        </w:tc>
        <w:tc>
          <w:tcPr>
            <w:tcW w:w="2120" w:type="dxa"/>
            <w:tcBorders>
              <w:top w:val="single" w:color="000000" w:sz="8" w:space="0"/>
              <w:left w:val="single" w:color="000000" w:sz="8" w:space="0"/>
              <w:bottom w:val="single" w:color="000000" w:sz="8" w:space="0"/>
              <w:right w:val="single" w:color="000000" w:sz="8" w:space="0"/>
            </w:tcBorders>
            <w:noWrap w:val="0"/>
            <w:vAlign w:val="top"/>
          </w:tcPr>
          <w:p w14:paraId="2730FFFD">
            <w:pPr>
              <w:pageBreakBefore w:val="0"/>
              <w:kinsoku/>
              <w:overflowPunct/>
              <w:topLinePunct w:val="0"/>
              <w:bidi w:val="0"/>
              <w:spacing w:after="60" w:line="440" w:lineRule="exact"/>
              <w:jc w:val="left"/>
              <w:rPr>
                <w:rFonts w:hint="eastAsia" w:asciiTheme="minorEastAsia" w:hAnsiTheme="minorEastAsia" w:eastAsiaTheme="minorEastAsia" w:cstheme="minorEastAsia"/>
                <w:sz w:val="24"/>
                <w:szCs w:val="24"/>
                <w:highlight w:val="none"/>
                <w:lang w:val="zh-CN"/>
              </w:rPr>
            </w:pPr>
          </w:p>
          <w:p w14:paraId="0D04D75B">
            <w:pPr>
              <w:pageBreakBefore w:val="0"/>
              <w:kinsoku/>
              <w:overflowPunct/>
              <w:topLinePunct w:val="0"/>
              <w:bidi w:val="0"/>
              <w:spacing w:after="60" w:line="440" w:lineRule="exact"/>
              <w:jc w:val="left"/>
              <w:rPr>
                <w:rFonts w:hint="eastAsia" w:asciiTheme="minorEastAsia" w:hAnsiTheme="minorEastAsia" w:eastAsiaTheme="minorEastAsia" w:cstheme="minorEastAsia"/>
                <w:sz w:val="24"/>
                <w:szCs w:val="24"/>
                <w:highlight w:val="none"/>
                <w:lang w:val="zh-CN"/>
              </w:rPr>
            </w:pPr>
          </w:p>
          <w:p w14:paraId="7E030ED5">
            <w:pPr>
              <w:pageBreakBefore w:val="0"/>
              <w:kinsoku/>
              <w:overflowPunct/>
              <w:topLinePunct w:val="0"/>
              <w:bidi w:val="0"/>
              <w:spacing w:after="60" w:line="440" w:lineRule="exact"/>
              <w:jc w:val="left"/>
              <w:rPr>
                <w:rFonts w:hint="eastAsia" w:asciiTheme="minorEastAsia" w:hAnsiTheme="minorEastAsia" w:eastAsiaTheme="minorEastAsia" w:cstheme="minorEastAsia"/>
                <w:sz w:val="24"/>
                <w:szCs w:val="24"/>
                <w:highlight w:val="none"/>
                <w:lang w:val="zh-CN"/>
              </w:rPr>
            </w:pPr>
          </w:p>
          <w:p w14:paraId="038A120B">
            <w:pPr>
              <w:pageBreakBefore w:val="0"/>
              <w:kinsoku/>
              <w:overflowPunct/>
              <w:topLinePunct w:val="0"/>
              <w:bidi w:val="0"/>
              <w:spacing w:after="60" w:line="440" w:lineRule="exact"/>
              <w:jc w:val="left"/>
              <w:rPr>
                <w:rFonts w:hint="eastAsia" w:asciiTheme="minorEastAsia" w:hAnsiTheme="minorEastAsia" w:eastAsiaTheme="minorEastAsia" w:cstheme="minorEastAsia"/>
                <w:sz w:val="24"/>
                <w:szCs w:val="24"/>
                <w:highlight w:val="none"/>
                <w:lang w:val="zh-CN"/>
              </w:rPr>
            </w:pPr>
          </w:p>
          <w:p w14:paraId="44EBE0AD">
            <w:pPr>
              <w:pageBreakBefore w:val="0"/>
              <w:kinsoku/>
              <w:overflowPunct/>
              <w:topLinePunct w:val="0"/>
              <w:bidi w:val="0"/>
              <w:spacing w:after="60" w:line="440" w:lineRule="exact"/>
              <w:jc w:val="left"/>
              <w:rPr>
                <w:rFonts w:hint="eastAsia" w:asciiTheme="minorEastAsia" w:hAnsiTheme="minorEastAsia" w:eastAsiaTheme="minorEastAsia" w:cstheme="minorEastAsia"/>
                <w:sz w:val="24"/>
                <w:szCs w:val="24"/>
                <w:highlight w:val="none"/>
                <w:lang w:val="zh-CN"/>
              </w:rPr>
            </w:pPr>
          </w:p>
          <w:p w14:paraId="3D8A9736">
            <w:pPr>
              <w:pageBreakBefore w:val="0"/>
              <w:kinsoku/>
              <w:overflowPunct/>
              <w:topLinePunct w:val="0"/>
              <w:bidi w:val="0"/>
              <w:spacing w:after="60" w:line="440" w:lineRule="exact"/>
              <w:jc w:val="left"/>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拟安排的项目负责人情况（仅限一人）</w:t>
            </w:r>
          </w:p>
        </w:tc>
        <w:tc>
          <w:tcPr>
            <w:tcW w:w="1068" w:type="dxa"/>
            <w:tcBorders>
              <w:top w:val="single" w:color="000000" w:sz="8" w:space="0"/>
              <w:left w:val="single" w:color="000000" w:sz="8" w:space="0"/>
              <w:bottom w:val="single" w:color="000000" w:sz="8" w:space="0"/>
              <w:right w:val="single" w:color="000000" w:sz="8" w:space="0"/>
            </w:tcBorders>
            <w:noWrap w:val="0"/>
            <w:vAlign w:val="top"/>
          </w:tcPr>
          <w:p w14:paraId="1E029260">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185E6718">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3DB2A5B7">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528C80E4">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428B822D">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7C3E2E5F">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549BD8DE">
            <w:pPr>
              <w:pageBreakBefore w:val="0"/>
              <w:kinsoku/>
              <w:wordWrap w:val="0"/>
              <w:overflowPunct/>
              <w:topLinePunct w:val="0"/>
              <w:bidi w:val="0"/>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10</w:t>
            </w:r>
          </w:p>
        </w:tc>
        <w:tc>
          <w:tcPr>
            <w:tcW w:w="4524" w:type="dxa"/>
            <w:tcBorders>
              <w:top w:val="single" w:color="000000" w:sz="8" w:space="0"/>
              <w:left w:val="single" w:color="000000" w:sz="8" w:space="0"/>
              <w:bottom w:val="single" w:color="000000" w:sz="8" w:space="0"/>
              <w:right w:val="single" w:color="000000" w:sz="8" w:space="0"/>
            </w:tcBorders>
            <w:noWrap w:val="0"/>
            <w:vAlign w:val="top"/>
          </w:tcPr>
          <w:p w14:paraId="7101096C">
            <w:pPr>
              <w:pageBreakBefore w:val="0"/>
              <w:kinsoku/>
              <w:wordWrap w:val="0"/>
              <w:overflowPunct/>
              <w:topLinePunct w:val="0"/>
              <w:bidi w:val="0"/>
              <w:spacing w:after="0" w:line="440" w:lineRule="exact"/>
              <w:jc w:val="left"/>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val="zh-CN"/>
              </w:rPr>
              <w:t>评审内容：</w:t>
            </w:r>
          </w:p>
          <w:p w14:paraId="283F8FF2">
            <w:pPr>
              <w:pageBreakBefore w:val="0"/>
              <w:kinsoku/>
              <w:wordWrap w:val="0"/>
              <w:overflowPunct/>
              <w:topLinePunct w:val="0"/>
              <w:bidi w:val="0"/>
              <w:spacing w:after="0" w:line="440" w:lineRule="exact"/>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拟安排的项目负责人须为投标人</w:t>
            </w:r>
            <w:r>
              <w:rPr>
                <w:rFonts w:hint="eastAsia" w:asciiTheme="minorEastAsia" w:hAnsiTheme="minorEastAsia" w:eastAsiaTheme="minorEastAsia" w:cstheme="minorEastAsia"/>
                <w:color w:val="auto"/>
                <w:sz w:val="24"/>
                <w:szCs w:val="24"/>
                <w:highlight w:val="none"/>
                <w:lang w:eastAsia="zh-CN"/>
              </w:rPr>
              <w:t>自有员工</w:t>
            </w:r>
            <w:r>
              <w:rPr>
                <w:rFonts w:hint="eastAsia" w:asciiTheme="minorEastAsia" w:hAnsiTheme="minorEastAsia" w:eastAsiaTheme="minorEastAsia" w:cstheme="minorEastAsia"/>
                <w:color w:val="auto"/>
                <w:sz w:val="24"/>
                <w:szCs w:val="24"/>
                <w:highlight w:val="none"/>
              </w:rPr>
              <w:t>（以社保为准），否则本项不得分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在此基础上</w:t>
            </w:r>
            <w:r>
              <w:rPr>
                <w:rFonts w:hint="eastAsia" w:asciiTheme="minorEastAsia" w:hAnsiTheme="minorEastAsia" w:eastAsiaTheme="minorEastAsia" w:cstheme="minorEastAsia"/>
                <w:color w:val="auto"/>
                <w:sz w:val="24"/>
                <w:szCs w:val="24"/>
                <w:highlight w:val="none"/>
                <w:lang w:val="zh-CN"/>
              </w:rPr>
              <w:t>：</w:t>
            </w:r>
          </w:p>
          <w:p w14:paraId="2BD25E32">
            <w:pPr>
              <w:pageBreakBefore w:val="0"/>
              <w:numPr>
                <w:ilvl w:val="0"/>
                <w:numId w:val="0"/>
              </w:numPr>
              <w:kinsoku/>
              <w:wordWrap w:val="0"/>
              <w:overflowPunct/>
              <w:topLinePunct w:val="0"/>
              <w:bidi w:val="0"/>
              <w:spacing w:after="0" w:line="440" w:lineRule="exact"/>
              <w:jc w:val="left"/>
              <w:rPr>
                <w:rFonts w:hint="eastAsia" w:asciiTheme="minorEastAsia" w:hAnsiTheme="minorEastAsia" w:eastAsiaTheme="minorEastAsia" w:cstheme="minorEastAsia"/>
                <w:color w:val="auto"/>
                <w:sz w:val="24"/>
                <w:szCs w:val="24"/>
                <w:highlight w:val="none"/>
                <w:lang w:val="en-US" w:eastAsia="zh-CN"/>
              </w:rPr>
            </w:pPr>
            <w:bookmarkStart w:id="6" w:name="OLE_LINK9"/>
            <w:r>
              <w:rPr>
                <w:rFonts w:hint="eastAsia" w:asciiTheme="minorEastAsia" w:hAnsiTheme="minorEastAsia" w:eastAsiaTheme="minorEastAsia" w:cstheme="minorEastAsia"/>
                <w:color w:val="auto"/>
                <w:kern w:val="2"/>
                <w:sz w:val="24"/>
                <w:szCs w:val="24"/>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具有</w:t>
            </w:r>
            <w:r>
              <w:rPr>
                <w:rFonts w:hint="eastAsia" w:asciiTheme="minorEastAsia" w:hAnsiTheme="minorEastAsia" w:cstheme="minorEastAsia"/>
                <w:color w:val="auto"/>
                <w:sz w:val="24"/>
                <w:szCs w:val="24"/>
                <w:highlight w:val="none"/>
                <w:lang w:val="en-US" w:eastAsia="zh-CN"/>
              </w:rPr>
              <w:t>大专</w:t>
            </w:r>
            <w:r>
              <w:rPr>
                <w:rFonts w:hint="eastAsia" w:asciiTheme="minorEastAsia" w:hAnsiTheme="minorEastAsia" w:eastAsiaTheme="minorEastAsia" w:cstheme="minorEastAsia"/>
                <w:color w:val="auto"/>
                <w:sz w:val="24"/>
                <w:szCs w:val="24"/>
                <w:highlight w:val="none"/>
                <w:lang w:val="en-US" w:eastAsia="zh-CN"/>
              </w:rPr>
              <w:t>或以上学历的得</w:t>
            </w:r>
            <w:r>
              <w:rPr>
                <w:rFonts w:hint="eastAsia" w:asciiTheme="minorEastAsia" w:hAnsi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lang w:val="en-US" w:eastAsia="zh-CN"/>
              </w:rPr>
              <w:t>分。</w:t>
            </w:r>
          </w:p>
          <w:p w14:paraId="15F36B50">
            <w:pPr>
              <w:pageBreakBefore w:val="0"/>
              <w:numPr>
                <w:ilvl w:val="0"/>
                <w:numId w:val="0"/>
              </w:numPr>
              <w:kinsoku/>
              <w:wordWrap w:val="0"/>
              <w:overflowPunct/>
              <w:topLinePunct w:val="0"/>
              <w:bidi w:val="0"/>
              <w:spacing w:after="0"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cstheme="minorEastAsia"/>
                <w:color w:val="auto"/>
                <w:kern w:val="2"/>
                <w:sz w:val="24"/>
                <w:szCs w:val="24"/>
                <w:lang w:val="en-US" w:eastAsia="zh-CN" w:bidi="ar-SA"/>
              </w:rPr>
              <w:t>二</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eastAsiaTheme="minorEastAsia" w:cstheme="minorEastAsia"/>
                <w:color w:val="auto"/>
                <w:sz w:val="24"/>
                <w:szCs w:val="24"/>
                <w:highlight w:val="none"/>
                <w:lang w:val="en-US" w:eastAsia="zh-CN"/>
              </w:rPr>
              <w:t>具有</w:t>
            </w:r>
            <w:r>
              <w:rPr>
                <w:rFonts w:hint="eastAsia" w:asciiTheme="minorEastAsia" w:hAnsiTheme="minorEastAsia" w:cstheme="minorEastAsia"/>
                <w:color w:val="auto"/>
                <w:sz w:val="24"/>
                <w:szCs w:val="24"/>
                <w:highlight w:val="none"/>
                <w:lang w:val="en-US" w:eastAsia="zh-CN"/>
              </w:rPr>
              <w:t>儿童</w:t>
            </w:r>
            <w:r>
              <w:rPr>
                <w:rFonts w:hint="eastAsia" w:asciiTheme="minorEastAsia" w:hAnsiTheme="minorEastAsia" w:eastAsiaTheme="minorEastAsia" w:cstheme="minorEastAsia"/>
                <w:color w:val="auto"/>
                <w:sz w:val="24"/>
                <w:szCs w:val="24"/>
                <w:highlight w:val="none"/>
                <w:lang w:val="en-US" w:eastAsia="zh-CN"/>
              </w:rPr>
              <w:t>游乐设施运营管理项目经验的，得</w:t>
            </w:r>
            <w:r>
              <w:rPr>
                <w:rFonts w:hint="eastAsia" w:asciiTheme="minorEastAsia" w:hAnsi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lang w:val="en-US" w:eastAsia="zh-CN"/>
              </w:rPr>
              <w:t>分，最高得</w:t>
            </w:r>
            <w:r>
              <w:rPr>
                <w:rFonts w:hint="eastAsia" w:asciiTheme="minorEastAsia" w:hAnsi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lang w:val="en-US" w:eastAsia="zh-CN"/>
              </w:rPr>
              <w:t>分。</w:t>
            </w:r>
          </w:p>
          <w:p w14:paraId="5BA9B672">
            <w:pPr>
              <w:pageBreakBefore w:val="0"/>
              <w:numPr>
                <w:ilvl w:val="0"/>
                <w:numId w:val="0"/>
              </w:numPr>
              <w:kinsoku/>
              <w:wordWrap w:val="0"/>
              <w:overflowPunct/>
              <w:topLinePunct w:val="0"/>
              <w:bidi w:val="0"/>
              <w:spacing w:after="0" w:line="440" w:lineRule="exact"/>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第</w:t>
            </w:r>
            <w:r>
              <w:rPr>
                <w:rFonts w:hint="eastAsia" w:asciiTheme="minorEastAsia" w:hAnsiTheme="minorEastAsia" w:eastAsiaTheme="minorEastAsia" w:cstheme="minorEastAsia"/>
                <w:color w:val="auto"/>
                <w:kern w:val="2"/>
                <w:sz w:val="24"/>
                <w:szCs w:val="24"/>
                <w:lang w:val="en-US" w:eastAsia="zh-CN" w:bidi="ar-SA"/>
              </w:rPr>
              <w:t>（一）</w:t>
            </w:r>
            <w:r>
              <w:rPr>
                <w:rFonts w:hint="eastAsia" w:asciiTheme="minorEastAsia" w:hAnsiTheme="minorEastAsia" w:cstheme="minorEastAsia"/>
                <w:color w:val="auto"/>
                <w:kern w:val="2"/>
                <w:sz w:val="24"/>
                <w:szCs w:val="24"/>
                <w:lang w:val="en-US" w:eastAsia="zh-CN" w:bidi="ar-SA"/>
              </w:rPr>
              <w:t>（二）项累计得分，满分100分。</w:t>
            </w:r>
          </w:p>
          <w:bookmarkEnd w:id="6"/>
          <w:p w14:paraId="4C5E0120">
            <w:pPr>
              <w:pageBreakBefore w:val="0"/>
              <w:numPr>
                <w:ilvl w:val="0"/>
                <w:numId w:val="1"/>
              </w:numPr>
              <w:kinsoku/>
              <w:wordWrap w:val="0"/>
              <w:overflowPunct/>
              <w:topLinePunct w:val="0"/>
              <w:bidi w:val="0"/>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highlight w:val="none"/>
                <w:lang w:val="zh-CN"/>
              </w:rPr>
              <w:t>评审依据：</w:t>
            </w:r>
          </w:p>
          <w:p w14:paraId="62434B3B">
            <w:pPr>
              <w:pageBreakBefore w:val="0"/>
              <w:kinsoku/>
              <w:wordWrap w:val="0"/>
              <w:overflowPunct/>
              <w:topLinePunct w:val="0"/>
              <w:bidi w:val="0"/>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要求提供近三个月的任意一个月的社保证明作为员工的证明依据。若员工</w:t>
            </w:r>
            <w:r>
              <w:rPr>
                <w:rFonts w:hint="eastAsia" w:asciiTheme="minorEastAsia" w:hAnsiTheme="minorEastAsia" w:eastAsiaTheme="minorEastAsia" w:cstheme="minorEastAsia"/>
                <w:bCs/>
                <w:color w:val="auto"/>
                <w:sz w:val="24"/>
                <w:szCs w:val="24"/>
                <w:highlight w:val="none"/>
                <w:lang w:val="en-US" w:eastAsia="zh-CN"/>
              </w:rPr>
              <w:t>所在单位</w:t>
            </w:r>
            <w:r>
              <w:rPr>
                <w:rFonts w:hint="eastAsia" w:asciiTheme="minorEastAsia" w:hAnsiTheme="minorEastAsia" w:eastAsiaTheme="minorEastAsia" w:cstheme="minorEastAsia"/>
                <w:bCs/>
                <w:color w:val="auto"/>
                <w:sz w:val="24"/>
                <w:szCs w:val="24"/>
                <w:highlight w:val="none"/>
              </w:rPr>
              <w:t>成立不足三个月的，</w:t>
            </w:r>
            <w:r>
              <w:rPr>
                <w:rFonts w:hint="eastAsia" w:asciiTheme="minorEastAsia" w:hAnsiTheme="minorEastAsia" w:eastAsiaTheme="minorEastAsia" w:cstheme="minorEastAsia"/>
                <w:bCs/>
                <w:color w:val="auto"/>
                <w:sz w:val="24"/>
                <w:szCs w:val="24"/>
                <w:highlight w:val="none"/>
                <w:lang w:eastAsia="zh-CN"/>
              </w:rPr>
              <w:t>须</w:t>
            </w:r>
            <w:r>
              <w:rPr>
                <w:rFonts w:hint="eastAsia" w:asciiTheme="minorEastAsia" w:hAnsiTheme="minorEastAsia" w:eastAsiaTheme="minorEastAsia" w:cstheme="minorEastAsia"/>
                <w:bCs/>
                <w:color w:val="auto"/>
                <w:sz w:val="24"/>
                <w:szCs w:val="24"/>
                <w:highlight w:val="none"/>
              </w:rPr>
              <w:t>提供成立情况说明函（格式自拟），无需提供相关人员社保，亦可得分；若为退休返聘人员，需提供说明函（格式自拟），无需提供相关人员社保，亦可得分。</w:t>
            </w:r>
          </w:p>
          <w:p w14:paraId="41B3CCEB">
            <w:pPr>
              <w:pageBreakBefore w:val="0"/>
              <w:kinsoku/>
              <w:wordWrap w:val="0"/>
              <w:overflowPunct/>
              <w:topLinePunct w:val="0"/>
              <w:bidi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14:paraId="05BE6E30">
            <w:pPr>
              <w:pageBreakBefore w:val="0"/>
              <w:kinsoku/>
              <w:wordWrap w:val="0"/>
              <w:overflowPunct/>
              <w:topLinePunct w:val="0"/>
              <w:bidi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14:paraId="4031FF11">
            <w:pPr>
              <w:pageBreakBefore w:val="0"/>
              <w:numPr>
                <w:ilvl w:val="0"/>
                <w:numId w:val="0"/>
              </w:numPr>
              <w:kinsoku/>
              <w:wordWrap w:val="0"/>
              <w:overflowPunct/>
              <w:topLinePunct w:val="0"/>
              <w:bidi w:val="0"/>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涉及考察人员工作经验的，要求提供项目合同关键信息作为得分依据，通过合同关键信息无法判断是否得分的，还须同时提供合同甲方出具的证明文件。</w:t>
            </w:r>
          </w:p>
          <w:p w14:paraId="1C9C4C68">
            <w:pPr>
              <w:pageBreakBefore w:val="0"/>
              <w:numPr>
                <w:ilvl w:val="0"/>
                <w:numId w:val="0"/>
              </w:numPr>
              <w:kinsoku/>
              <w:wordWrap w:val="0"/>
              <w:overflowPunct/>
              <w:topLinePunct w:val="0"/>
              <w:bidi w:val="0"/>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.如为联合体投标，联合体各方证明材料均可得分。</w:t>
            </w:r>
          </w:p>
          <w:p w14:paraId="505141A9">
            <w:pPr>
              <w:pageBreakBefore w:val="0"/>
              <w:kinsoku/>
              <w:wordWrap w:val="0"/>
              <w:overflowPunct/>
              <w:topLinePunct w:val="0"/>
              <w:bidi w:val="0"/>
              <w:spacing w:line="440" w:lineRule="exac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w:t>
            </w:r>
            <w:r>
              <w:rPr>
                <w:rFonts w:hint="eastAsia" w:asciiTheme="minorEastAsia" w:hAnsiTheme="minorEastAsia" w:eastAsiaTheme="minorEastAsia" w:cstheme="minorEastAsia"/>
                <w:color w:val="auto"/>
                <w:sz w:val="24"/>
                <w:szCs w:val="24"/>
                <w:highlight w:val="none"/>
              </w:rPr>
              <w:t>注：以上资料均要求提供扫描件，评分中出现无证明资料或证书过期或专家无法凭所提供资料判断是否得分的情况，一律作不得分处理。</w:t>
            </w:r>
          </w:p>
        </w:tc>
      </w:tr>
      <w:tr w14:paraId="4EAFA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33F732F0">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bCs/>
                <w:color w:val="0000FF"/>
                <w:sz w:val="24"/>
                <w:szCs w:val="24"/>
              </w:rPr>
            </w:pPr>
            <w:r>
              <w:rPr>
                <w:rFonts w:hint="eastAsia" w:asciiTheme="minorEastAsia" w:hAnsiTheme="minorEastAsia" w:eastAsiaTheme="minorEastAsia" w:cstheme="minorEastAsia"/>
                <w:b/>
                <w:bCs/>
                <w:color w:val="0000FF"/>
                <w:sz w:val="24"/>
                <w:szCs w:val="24"/>
              </w:rPr>
              <w:t>3</w:t>
            </w:r>
          </w:p>
        </w:tc>
        <w:tc>
          <w:tcPr>
            <w:tcW w:w="3868" w:type="dxa"/>
            <w:gridSpan w:val="3"/>
            <w:tcBorders>
              <w:top w:val="single" w:color="000000" w:sz="8" w:space="0"/>
              <w:left w:val="single" w:color="000000" w:sz="8" w:space="0"/>
              <w:bottom w:val="single" w:color="000000" w:sz="8" w:space="0"/>
              <w:right w:val="single" w:color="000000" w:sz="8" w:space="0"/>
            </w:tcBorders>
            <w:noWrap w:val="0"/>
            <w:vAlign w:val="top"/>
          </w:tcPr>
          <w:p w14:paraId="43271770">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bCs/>
                <w:color w:val="0000FF"/>
                <w:sz w:val="24"/>
                <w:szCs w:val="24"/>
              </w:rPr>
            </w:pPr>
            <w:r>
              <w:rPr>
                <w:rFonts w:hint="eastAsia" w:asciiTheme="minorEastAsia" w:hAnsiTheme="minorEastAsia" w:eastAsiaTheme="minorEastAsia" w:cstheme="minorEastAsia"/>
                <w:b/>
                <w:bCs/>
                <w:color w:val="0000FF"/>
                <w:sz w:val="24"/>
                <w:szCs w:val="24"/>
              </w:rPr>
              <w:t>综合实力</w:t>
            </w:r>
          </w:p>
        </w:tc>
        <w:tc>
          <w:tcPr>
            <w:tcW w:w="4524" w:type="dxa"/>
            <w:tcBorders>
              <w:top w:val="single" w:color="000000" w:sz="8" w:space="0"/>
              <w:left w:val="single" w:color="000000" w:sz="8" w:space="0"/>
              <w:bottom w:val="single" w:color="000000" w:sz="8" w:space="0"/>
              <w:right w:val="single" w:color="000000" w:sz="8" w:space="0"/>
            </w:tcBorders>
            <w:noWrap w:val="0"/>
            <w:vAlign w:val="top"/>
          </w:tcPr>
          <w:p w14:paraId="20BECB08">
            <w:pPr>
              <w:pageBreakBefore w:val="0"/>
              <w:kinsoku/>
              <w:wordWrap w:val="0"/>
              <w:overflowPunct/>
              <w:topLinePunct w:val="0"/>
              <w:bidi w:val="0"/>
              <w:spacing w:line="440" w:lineRule="exact"/>
              <w:jc w:val="center"/>
              <w:rPr>
                <w:rFonts w:hint="default" w:asciiTheme="minorEastAsia" w:hAnsiTheme="minorEastAsia" w:eastAsiaTheme="minorEastAsia" w:cstheme="minorEastAsia"/>
                <w:b/>
                <w:bCs/>
                <w:color w:val="0000FF"/>
                <w:sz w:val="24"/>
                <w:szCs w:val="24"/>
                <w:lang w:val="en-US" w:eastAsia="zh-CN"/>
              </w:rPr>
            </w:pPr>
            <w:r>
              <w:rPr>
                <w:rFonts w:hint="eastAsia" w:asciiTheme="minorEastAsia" w:hAnsiTheme="minorEastAsia" w:cstheme="minorEastAsia"/>
                <w:b/>
                <w:bCs/>
                <w:color w:val="0000FF"/>
                <w:sz w:val="24"/>
                <w:szCs w:val="24"/>
                <w:lang w:val="en-US" w:eastAsia="zh-CN"/>
              </w:rPr>
              <w:t>23</w:t>
            </w:r>
          </w:p>
        </w:tc>
      </w:tr>
      <w:tr w14:paraId="2C184D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57E12D67">
            <w:pPr>
              <w:pageBreakBefore w:val="0"/>
              <w:kinsoku/>
              <w:overflowPunct/>
              <w:topLinePunct w:val="0"/>
              <w:bidi w:val="0"/>
              <w:spacing w:line="440" w:lineRule="exact"/>
              <w:rPr>
                <w:rFonts w:hint="eastAsia" w:asciiTheme="minorEastAsia" w:hAnsiTheme="minorEastAsia" w:eastAsiaTheme="minorEastAsia" w:cstheme="minorEastAsia"/>
                <w:b/>
                <w:bCs/>
                <w:color w:val="0000FF"/>
                <w:sz w:val="24"/>
                <w:szCs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2D4B665">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12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386AD7E">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评分因素</w:t>
            </w:r>
          </w:p>
        </w:tc>
        <w:tc>
          <w:tcPr>
            <w:tcW w:w="1068"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356C732">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权重(%)</w:t>
            </w:r>
          </w:p>
        </w:tc>
        <w:tc>
          <w:tcPr>
            <w:tcW w:w="452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2361F67">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评分准则</w:t>
            </w:r>
          </w:p>
        </w:tc>
      </w:tr>
      <w:tr w14:paraId="521955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blCellSpacing w:w="0" w:type="dxa"/>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C984589">
            <w:pPr>
              <w:pageBreakBefore w:val="0"/>
              <w:kinsoku/>
              <w:overflowPunct/>
              <w:topLinePunct w:val="0"/>
              <w:bidi w:val="0"/>
              <w:spacing w:line="440" w:lineRule="exact"/>
              <w:rPr>
                <w:rFonts w:hint="eastAsia" w:asciiTheme="minorEastAsia" w:hAnsiTheme="minorEastAsia" w:eastAsiaTheme="minorEastAsia" w:cstheme="minorEastAsia"/>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14:paraId="28A0673C">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rPr>
            </w:pPr>
          </w:p>
          <w:p w14:paraId="16229AE2">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rPr>
            </w:pPr>
          </w:p>
          <w:p w14:paraId="2D6FAA72">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rPr>
            </w:pPr>
          </w:p>
          <w:p w14:paraId="12642E39">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rPr>
            </w:pPr>
          </w:p>
          <w:p w14:paraId="4157C3F0">
            <w:pPr>
              <w:pageBreakBefore w:val="0"/>
              <w:kinsoku/>
              <w:wordWrap w:val="0"/>
              <w:overflowPunct/>
              <w:topLinePunct w:val="0"/>
              <w:bidi w:val="0"/>
              <w:spacing w:line="44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20" w:type="dxa"/>
            <w:tcBorders>
              <w:top w:val="single" w:color="000000" w:sz="8" w:space="0"/>
              <w:left w:val="single" w:color="000000" w:sz="8" w:space="0"/>
              <w:bottom w:val="single" w:color="000000" w:sz="8" w:space="0"/>
              <w:right w:val="single" w:color="000000" w:sz="8" w:space="0"/>
            </w:tcBorders>
            <w:noWrap w:val="0"/>
            <w:vAlign w:val="top"/>
          </w:tcPr>
          <w:p w14:paraId="54ACF0BE">
            <w:pPr>
              <w:pageBreakBefore w:val="0"/>
              <w:widowControl/>
              <w:kinsoku/>
              <w:overflowPunct/>
              <w:topLinePunct w:val="0"/>
              <w:bidi w:val="0"/>
              <w:spacing w:line="440" w:lineRule="exact"/>
              <w:jc w:val="left"/>
              <w:rPr>
                <w:rFonts w:hint="eastAsia" w:asciiTheme="minorEastAsia" w:hAnsiTheme="minorEastAsia" w:eastAsiaTheme="minorEastAsia" w:cstheme="minorEastAsia"/>
                <w:spacing w:val="7"/>
                <w:sz w:val="24"/>
                <w:szCs w:val="24"/>
              </w:rPr>
            </w:pPr>
          </w:p>
          <w:p w14:paraId="380007D1">
            <w:pPr>
              <w:pageBreakBefore w:val="0"/>
              <w:widowControl/>
              <w:kinsoku/>
              <w:overflowPunct/>
              <w:topLinePunct w:val="0"/>
              <w:bidi w:val="0"/>
              <w:spacing w:line="440" w:lineRule="exact"/>
              <w:jc w:val="left"/>
              <w:rPr>
                <w:rFonts w:hint="eastAsia" w:asciiTheme="minorEastAsia" w:hAnsiTheme="minorEastAsia" w:eastAsiaTheme="minorEastAsia" w:cstheme="minorEastAsia"/>
                <w:spacing w:val="7"/>
                <w:sz w:val="24"/>
                <w:szCs w:val="24"/>
              </w:rPr>
            </w:pPr>
          </w:p>
          <w:p w14:paraId="509108AC">
            <w:pPr>
              <w:pageBreakBefore w:val="0"/>
              <w:widowControl/>
              <w:kinsoku/>
              <w:overflowPunct/>
              <w:topLinePunct w:val="0"/>
              <w:bidi w:val="0"/>
              <w:spacing w:line="440" w:lineRule="exact"/>
              <w:jc w:val="left"/>
              <w:rPr>
                <w:rFonts w:hint="eastAsia" w:asciiTheme="minorEastAsia" w:hAnsiTheme="minorEastAsia" w:eastAsiaTheme="minorEastAsia" w:cstheme="minorEastAsia"/>
                <w:spacing w:val="7"/>
                <w:sz w:val="24"/>
                <w:szCs w:val="24"/>
              </w:rPr>
            </w:pPr>
          </w:p>
          <w:p w14:paraId="7B945DC6">
            <w:pPr>
              <w:pageBreakBefore w:val="0"/>
              <w:widowControl/>
              <w:kinsoku/>
              <w:overflowPunct/>
              <w:topLinePunct w:val="0"/>
              <w:bidi w:val="0"/>
              <w:spacing w:line="440" w:lineRule="exact"/>
              <w:jc w:val="left"/>
              <w:rPr>
                <w:rFonts w:hint="eastAsia" w:asciiTheme="minorEastAsia" w:hAnsiTheme="minorEastAsia" w:eastAsiaTheme="minorEastAsia" w:cstheme="minorEastAsia"/>
                <w:spacing w:val="7"/>
                <w:sz w:val="24"/>
                <w:szCs w:val="24"/>
              </w:rPr>
            </w:pPr>
          </w:p>
          <w:p w14:paraId="70DC4CBB">
            <w:pPr>
              <w:pageBreakBefore w:val="0"/>
              <w:widowControl/>
              <w:kinsoku/>
              <w:overflowPunct/>
              <w:topLinePunct w:val="0"/>
              <w:bidi w:val="0"/>
              <w:spacing w:line="440"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同类业绩</w:t>
            </w:r>
          </w:p>
        </w:tc>
        <w:tc>
          <w:tcPr>
            <w:tcW w:w="1068" w:type="dxa"/>
            <w:tcBorders>
              <w:top w:val="single" w:color="000000" w:sz="8" w:space="0"/>
              <w:left w:val="single" w:color="000000" w:sz="8" w:space="0"/>
              <w:bottom w:val="single" w:color="000000" w:sz="8" w:space="0"/>
              <w:right w:val="single" w:color="000000" w:sz="8" w:space="0"/>
            </w:tcBorders>
            <w:noWrap w:val="0"/>
            <w:vAlign w:val="top"/>
          </w:tcPr>
          <w:p w14:paraId="5965E5FD">
            <w:pPr>
              <w:pageBreakBefore w:val="0"/>
              <w:widowControl/>
              <w:kinsoku/>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02A127E2">
            <w:pPr>
              <w:pageBreakBefore w:val="0"/>
              <w:widowControl/>
              <w:kinsoku/>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7C35728B">
            <w:pPr>
              <w:pageBreakBefore w:val="0"/>
              <w:widowControl/>
              <w:kinsoku/>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5938B567">
            <w:pPr>
              <w:pageBreakBefore w:val="0"/>
              <w:widowControl/>
              <w:kinsoku/>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p>
          <w:p w14:paraId="6FDD399B">
            <w:pPr>
              <w:pageBreakBefore w:val="0"/>
              <w:widowControl/>
              <w:kinsoku/>
              <w:overflowPunct/>
              <w:topLinePunct w:val="0"/>
              <w:bidi w:val="0"/>
              <w:spacing w:line="440" w:lineRule="exact"/>
              <w:ind w:firstLine="240" w:firstLineChars="1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18</w:t>
            </w:r>
          </w:p>
        </w:tc>
        <w:tc>
          <w:tcPr>
            <w:tcW w:w="4524" w:type="dxa"/>
            <w:tcBorders>
              <w:top w:val="single" w:color="000000" w:sz="8" w:space="0"/>
              <w:left w:val="single" w:color="000000" w:sz="8" w:space="0"/>
              <w:bottom w:val="single" w:color="000000" w:sz="8" w:space="0"/>
              <w:right w:val="single" w:color="000000" w:sz="8" w:space="0"/>
            </w:tcBorders>
            <w:noWrap w:val="0"/>
            <w:vAlign w:val="top"/>
          </w:tcPr>
          <w:p w14:paraId="5DE239CA">
            <w:pPr>
              <w:pageBreakBefore w:val="0"/>
              <w:numPr>
                <w:ilvl w:val="0"/>
                <w:numId w:val="0"/>
              </w:numPr>
              <w:kinsoku/>
              <w:overflowPunct/>
              <w:topLinePunct w:val="0"/>
              <w:bidi w:val="0"/>
              <w:spacing w:after="60" w:line="440" w:lineRule="exact"/>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val="zh-CN"/>
              </w:rPr>
              <w:t>评审内容：</w:t>
            </w:r>
          </w:p>
          <w:p w14:paraId="541773A6">
            <w:pPr>
              <w:pageBreakBefore w:val="0"/>
              <w:numPr>
                <w:ilvl w:val="0"/>
                <w:numId w:val="0"/>
              </w:numPr>
              <w:kinsoku/>
              <w:overflowPunct/>
              <w:topLinePunct w:val="0"/>
              <w:bidi w:val="0"/>
              <w:spacing w:after="60" w:line="440" w:lineRule="exact"/>
              <w:jc w:val="left"/>
              <w:rPr>
                <w:rFonts w:hint="eastAsia" w:asciiTheme="minorEastAsia" w:hAnsi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投标人2022年1月1日至本项目投标截止日止（以合同签订日期计算）具有儿童游乐设施投资运营类项目业绩的</w:t>
            </w:r>
            <w:r>
              <w:rPr>
                <w:rFonts w:hint="eastAsia" w:asciiTheme="minorEastAsia" w:hAnsiTheme="minorEastAsia" w:cstheme="minorEastAsia"/>
                <w:b w:val="0"/>
                <w:bCs/>
                <w:color w:val="auto"/>
                <w:sz w:val="24"/>
                <w:szCs w:val="24"/>
                <w:highlight w:val="none"/>
                <w:lang w:val="en-US" w:eastAsia="zh-CN"/>
              </w:rPr>
              <w:t>，每提供一项</w:t>
            </w:r>
            <w:r>
              <w:rPr>
                <w:rFonts w:hint="eastAsia" w:asciiTheme="minorEastAsia" w:hAnsiTheme="minorEastAsia" w:eastAsiaTheme="minorEastAsia" w:cstheme="minorEastAsia"/>
                <w:b w:val="0"/>
                <w:bCs/>
                <w:color w:val="auto"/>
                <w:sz w:val="24"/>
                <w:szCs w:val="24"/>
                <w:highlight w:val="none"/>
                <w:lang w:val="en-US" w:eastAsia="zh-CN"/>
              </w:rPr>
              <w:t>得</w:t>
            </w:r>
            <w:r>
              <w:rPr>
                <w:rFonts w:hint="eastAsia" w:asciiTheme="minorEastAsia" w:hAnsi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0分</w:t>
            </w:r>
            <w:r>
              <w:rPr>
                <w:rFonts w:hint="eastAsia" w:asciiTheme="minorEastAsia" w:hAnsiTheme="minorEastAsia" w:cstheme="minorEastAsia"/>
                <w:b w:val="0"/>
                <w:bCs/>
                <w:color w:val="auto"/>
                <w:sz w:val="24"/>
                <w:szCs w:val="24"/>
                <w:highlight w:val="none"/>
                <w:lang w:val="en-US" w:eastAsia="zh-CN"/>
              </w:rPr>
              <w:t>，最高</w:t>
            </w:r>
            <w:bookmarkStart w:id="7" w:name="OLE_LINK4"/>
            <w:r>
              <w:rPr>
                <w:rFonts w:hint="eastAsia" w:asciiTheme="minorEastAsia" w:hAnsiTheme="minorEastAsia" w:cstheme="minorEastAsia"/>
                <w:b w:val="0"/>
                <w:bCs/>
                <w:color w:val="auto"/>
                <w:sz w:val="24"/>
                <w:szCs w:val="24"/>
                <w:highlight w:val="none"/>
                <w:lang w:val="en-US" w:eastAsia="zh-CN"/>
              </w:rPr>
              <w:t>得</w:t>
            </w:r>
            <w:bookmarkEnd w:id="7"/>
            <w:r>
              <w:rPr>
                <w:rFonts w:hint="eastAsia" w:asciiTheme="minorEastAsia" w:hAnsiTheme="minorEastAsia" w:cstheme="minorEastAsia"/>
                <w:b w:val="0"/>
                <w:bCs/>
                <w:color w:val="auto"/>
                <w:sz w:val="24"/>
                <w:szCs w:val="24"/>
                <w:highlight w:val="none"/>
                <w:lang w:val="en-US" w:eastAsia="zh-CN"/>
              </w:rPr>
              <w:t>80分</w:t>
            </w:r>
            <w:r>
              <w:rPr>
                <w:rFonts w:hint="eastAsia" w:asciiTheme="minorEastAsia" w:hAnsiTheme="minorEastAsia" w:eastAsiaTheme="minorEastAsia" w:cstheme="minorEastAsia"/>
                <w:b w:val="0"/>
                <w:bCs/>
                <w:color w:val="auto"/>
                <w:sz w:val="24"/>
                <w:szCs w:val="24"/>
                <w:highlight w:val="none"/>
                <w:lang w:val="en-US" w:eastAsia="zh-CN"/>
              </w:rPr>
              <w:t>；在此基础上，</w:t>
            </w:r>
            <w:r>
              <w:rPr>
                <w:rFonts w:hint="eastAsia" w:asciiTheme="minorEastAsia" w:hAnsiTheme="minorEastAsia" w:cstheme="minorEastAsia"/>
                <w:b w:val="0"/>
                <w:bCs/>
                <w:color w:val="auto"/>
                <w:sz w:val="24"/>
                <w:szCs w:val="24"/>
                <w:highlight w:val="none"/>
                <w:lang w:val="en-US" w:eastAsia="zh-CN"/>
              </w:rPr>
              <w:t>以上</w:t>
            </w:r>
            <w:r>
              <w:rPr>
                <w:rFonts w:hint="eastAsia" w:asciiTheme="minorEastAsia" w:hAnsiTheme="minorEastAsia" w:eastAsiaTheme="minorEastAsia" w:cstheme="minorEastAsia"/>
                <w:b w:val="0"/>
                <w:bCs/>
                <w:color w:val="auto"/>
                <w:sz w:val="24"/>
                <w:szCs w:val="24"/>
                <w:highlight w:val="none"/>
                <w:lang w:val="en-US" w:eastAsia="zh-CN"/>
              </w:rPr>
              <w:t>项目履约评价为优/优秀/满意或最高评价的，</w:t>
            </w:r>
            <w:r>
              <w:rPr>
                <w:rFonts w:hint="eastAsia" w:asciiTheme="minorEastAsia" w:hAnsiTheme="minorEastAsia" w:cstheme="minorEastAsia"/>
                <w:b w:val="0"/>
                <w:bCs/>
                <w:color w:val="auto"/>
                <w:sz w:val="24"/>
                <w:szCs w:val="24"/>
                <w:highlight w:val="none"/>
                <w:lang w:val="en-US" w:eastAsia="zh-CN"/>
              </w:rPr>
              <w:t>每提供一项得1</w:t>
            </w:r>
            <w:r>
              <w:rPr>
                <w:rFonts w:hint="eastAsia" w:asciiTheme="minorEastAsia" w:hAnsiTheme="minorEastAsia" w:eastAsiaTheme="minorEastAsia" w:cstheme="minorEastAsia"/>
                <w:b w:val="0"/>
                <w:bCs/>
                <w:color w:val="auto"/>
                <w:sz w:val="24"/>
                <w:szCs w:val="24"/>
                <w:highlight w:val="none"/>
                <w:lang w:val="en-US" w:eastAsia="zh-CN"/>
              </w:rPr>
              <w:t xml:space="preserve">0分， </w:t>
            </w:r>
            <w:r>
              <w:rPr>
                <w:rFonts w:hint="eastAsia" w:asciiTheme="minorEastAsia" w:hAnsiTheme="minorEastAsia" w:cstheme="minorEastAsia"/>
                <w:b w:val="0"/>
                <w:bCs/>
                <w:color w:val="auto"/>
                <w:sz w:val="24"/>
                <w:szCs w:val="24"/>
                <w:highlight w:val="none"/>
                <w:lang w:val="en-US" w:eastAsia="zh-CN"/>
              </w:rPr>
              <w:t>最高得20分。</w:t>
            </w:r>
          </w:p>
          <w:p w14:paraId="1009F89C">
            <w:pPr>
              <w:pageBreakBefore w:val="0"/>
              <w:numPr>
                <w:ilvl w:val="0"/>
                <w:numId w:val="0"/>
              </w:numPr>
              <w:kinsoku/>
              <w:overflowPunct/>
              <w:topLinePunct w:val="0"/>
              <w:bidi w:val="0"/>
              <w:spacing w:after="60" w:line="440" w:lineRule="exact"/>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本项累计</w:t>
            </w:r>
            <w:r>
              <w:rPr>
                <w:rFonts w:hint="eastAsia" w:asciiTheme="minorEastAsia" w:hAnsiTheme="minorEastAsia" w:eastAsiaTheme="minorEastAsia" w:cstheme="minorEastAsia"/>
                <w:b w:val="0"/>
                <w:bCs/>
                <w:color w:val="auto"/>
                <w:sz w:val="24"/>
                <w:szCs w:val="24"/>
                <w:highlight w:val="none"/>
                <w:lang w:val="en-US" w:eastAsia="zh-CN"/>
              </w:rPr>
              <w:t>最高得100分。</w:t>
            </w:r>
          </w:p>
          <w:p w14:paraId="73D1B48A">
            <w:pPr>
              <w:pageBreakBefore w:val="0"/>
              <w:numPr>
                <w:ilvl w:val="0"/>
                <w:numId w:val="0"/>
              </w:numPr>
              <w:kinsoku/>
              <w:overflowPunct/>
              <w:topLinePunct w:val="0"/>
              <w:bidi w:val="0"/>
              <w:spacing w:after="60" w:line="440" w:lineRule="exact"/>
              <w:jc w:val="left"/>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二、</w:t>
            </w:r>
            <w:r>
              <w:rPr>
                <w:rFonts w:hint="eastAsia" w:asciiTheme="minorEastAsia" w:hAnsiTheme="minorEastAsia" w:eastAsiaTheme="minorEastAsia" w:cstheme="minorEastAsia"/>
                <w:b/>
                <w:bCs w:val="0"/>
                <w:color w:val="auto"/>
                <w:sz w:val="24"/>
                <w:szCs w:val="24"/>
                <w:highlight w:val="none"/>
              </w:rPr>
              <w:t>评分依据：</w:t>
            </w:r>
          </w:p>
          <w:p w14:paraId="2F39C783">
            <w:pPr>
              <w:pageBreakBefore w:val="0"/>
              <w:numPr>
                <w:ilvl w:val="0"/>
                <w:numId w:val="0"/>
              </w:numPr>
              <w:kinsoku/>
              <w:overflowPunct/>
              <w:topLinePunct w:val="0"/>
              <w:bidi w:val="0"/>
              <w:spacing w:after="60" w:line="440" w:lineRule="exact"/>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lang w:val="en-US" w:eastAsia="zh-CN"/>
              </w:rPr>
              <w:t>要求提供合同关键信息（包括但不限于合同标的、签订时间、双方签章页）作为得分依据，通过合同关键信息无法判断是否得分的，还须同时提供能证明得分的其它证明资料，如合同甲方出具的证明文件或项目报告。</w:t>
            </w:r>
          </w:p>
          <w:p w14:paraId="1252977D">
            <w:pPr>
              <w:pageBreakBefore w:val="0"/>
              <w:numPr>
                <w:ilvl w:val="0"/>
                <w:numId w:val="0"/>
              </w:numPr>
              <w:kinsoku/>
              <w:overflowPunct/>
              <w:topLinePunct w:val="0"/>
              <w:bidi w:val="0"/>
              <w:spacing w:after="60" w:line="440" w:lineRule="exact"/>
              <w:jc w:val="left"/>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2.提供加盖合同甲方公章（或甲方业务章）项目履约评价或验收合格证明文件扫描件。</w:t>
            </w:r>
          </w:p>
          <w:p w14:paraId="4CE44B24">
            <w:pPr>
              <w:pageBreakBefore w:val="0"/>
              <w:numPr>
                <w:ilvl w:val="0"/>
                <w:numId w:val="0"/>
              </w:numPr>
              <w:kinsoku/>
              <w:overflowPunct/>
              <w:topLinePunct w:val="0"/>
              <w:bidi w:val="0"/>
              <w:spacing w:after="60" w:line="440" w:lineRule="exact"/>
              <w:jc w:val="left"/>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3.如为联合体投标，联合体各方证明材料均可得分</w:t>
            </w:r>
          </w:p>
          <w:p w14:paraId="4102B0F5">
            <w:pPr>
              <w:pageBreakBefore w:val="0"/>
              <w:numPr>
                <w:ilvl w:val="0"/>
                <w:numId w:val="0"/>
              </w:numPr>
              <w:kinsoku/>
              <w:overflowPunct/>
              <w:topLinePunct w:val="0"/>
              <w:bidi w:val="0"/>
              <w:spacing w:after="60"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color w:val="auto"/>
                <w:sz w:val="24"/>
                <w:szCs w:val="24"/>
                <w:highlight w:val="none"/>
                <w:lang w:val="en-US" w:eastAsia="zh-CN"/>
              </w:rPr>
              <w:t>备注：以上资料均要求提供扫描件，评分中出现无证明资料或证书过期或专家无法凭所提供资料判断是否得分的情况，一律作不得分处理。</w:t>
            </w:r>
            <w:r>
              <w:rPr>
                <w:rFonts w:hint="eastAsia" w:asciiTheme="minorEastAsia" w:hAnsiTheme="minorEastAsia" w:eastAsiaTheme="minorEastAsia" w:cstheme="minorEastAsia"/>
                <w:color w:val="auto"/>
                <w:sz w:val="24"/>
                <w:szCs w:val="24"/>
                <w:highlight w:val="none"/>
                <w:lang w:val="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rPr>
              <w:t xml:space="preserve"> </w:t>
            </w:r>
          </w:p>
        </w:tc>
      </w:tr>
      <w:tr w14:paraId="47B759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blCellSpacing w:w="0" w:type="dxa"/>
          <w:jc w:val="center"/>
        </w:trPr>
        <w:tc>
          <w:tcPr>
            <w:tcW w:w="680" w:type="dxa"/>
            <w:tcBorders>
              <w:top w:val="single" w:color="000000" w:sz="8" w:space="0"/>
              <w:left w:val="single" w:color="000000" w:sz="8" w:space="0"/>
              <w:bottom w:val="single" w:color="000000" w:sz="8" w:space="0"/>
              <w:right w:val="single" w:color="000000" w:sz="8" w:space="0"/>
            </w:tcBorders>
            <w:noWrap w:val="0"/>
            <w:vAlign w:val="center"/>
          </w:tcPr>
          <w:p w14:paraId="4A9D0CCB">
            <w:pPr>
              <w:pageBreakBefore w:val="0"/>
              <w:kinsoku/>
              <w:overflowPunct/>
              <w:topLinePunct w:val="0"/>
              <w:bidi w:val="0"/>
              <w:spacing w:line="440" w:lineRule="exact"/>
              <w:rPr>
                <w:rFonts w:hint="eastAsia" w:asciiTheme="minorEastAsia" w:hAnsiTheme="minorEastAsia" w:eastAsiaTheme="minorEastAsia" w:cstheme="minorEastAsia"/>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61EC2B33">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2120" w:type="dxa"/>
            <w:tcBorders>
              <w:top w:val="single" w:color="000000" w:sz="8" w:space="0"/>
              <w:left w:val="single" w:color="000000" w:sz="8" w:space="0"/>
              <w:bottom w:val="single" w:color="000000" w:sz="8" w:space="0"/>
              <w:right w:val="single" w:color="000000" w:sz="8" w:space="0"/>
            </w:tcBorders>
            <w:noWrap w:val="0"/>
            <w:vAlign w:val="center"/>
          </w:tcPr>
          <w:p w14:paraId="2F2C439D">
            <w:pPr>
              <w:pageBreakBefore w:val="0"/>
              <w:widowControl/>
              <w:kinsoku/>
              <w:overflowPunct/>
              <w:topLinePunct w:val="0"/>
              <w:bidi w:val="0"/>
              <w:spacing w:line="44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本地化服务能力</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6D32B535">
            <w:pPr>
              <w:pageBreakBefore w:val="0"/>
              <w:widowControl/>
              <w:kinsoku/>
              <w:overflowPunct/>
              <w:topLinePunct w:val="0"/>
              <w:bidi w:val="0"/>
              <w:spacing w:line="440" w:lineRule="exact"/>
              <w:jc w:val="center"/>
              <w:rPr>
                <w:rFonts w:hint="eastAsia" w:asciiTheme="minorEastAsia" w:hAnsiTheme="minorEastAsia" w:eastAsiaTheme="minorEastAsia" w:cstheme="minorEastAsia"/>
                <w:sz w:val="24"/>
                <w:szCs w:val="24"/>
                <w:lang w:val="en-US" w:eastAsia="zh-CN"/>
              </w:rPr>
            </w:pPr>
            <w:r>
              <w:rPr>
                <w:rFonts w:hint="eastAsia" w:ascii="仿宋_GB2312" w:hAnsi="仿宋_GB2312" w:eastAsia="仿宋_GB2312" w:cs="仿宋_GB2312"/>
                <w:sz w:val="28"/>
                <w:szCs w:val="28"/>
                <w:lang w:val="en-US" w:eastAsia="zh-CN"/>
              </w:rPr>
              <w:t>5</w:t>
            </w:r>
          </w:p>
        </w:tc>
        <w:tc>
          <w:tcPr>
            <w:tcW w:w="4524" w:type="dxa"/>
            <w:tcBorders>
              <w:top w:val="single" w:color="000000" w:sz="8" w:space="0"/>
              <w:left w:val="single" w:color="000000" w:sz="8" w:space="0"/>
              <w:bottom w:val="single" w:color="000000" w:sz="8" w:space="0"/>
              <w:right w:val="single" w:color="000000" w:sz="8" w:space="0"/>
            </w:tcBorders>
            <w:noWrap w:val="0"/>
            <w:vAlign w:val="top"/>
          </w:tcPr>
          <w:p w14:paraId="6AD1938D">
            <w:pPr>
              <w:pageBreakBefore w:val="0"/>
              <w:numPr>
                <w:ilvl w:val="0"/>
                <w:numId w:val="0"/>
              </w:numPr>
              <w:kinsoku/>
              <w:overflowPunct/>
              <w:topLinePunct w:val="0"/>
              <w:bidi w:val="0"/>
              <w:spacing w:after="60" w:line="440" w:lineRule="exact"/>
              <w:jc w:val="left"/>
              <w:rPr>
                <w:rFonts w:hint="eastAsia" w:asciiTheme="minorEastAsia" w:hAnsiTheme="minorEastAsia" w:eastAsiaTheme="minorEastAsia" w:cstheme="minorEastAsia"/>
                <w:b/>
                <w:bCs w:val="0"/>
                <w:color w:val="auto"/>
                <w:sz w:val="24"/>
                <w:szCs w:val="24"/>
                <w:highlight w:val="none"/>
                <w:lang w:val="en-US" w:eastAsia="zh-CN"/>
              </w:rPr>
            </w:pPr>
            <w:bookmarkStart w:id="8" w:name="OLE_LINK23"/>
            <w:r>
              <w:rPr>
                <w:rFonts w:hint="eastAsia" w:asciiTheme="minorEastAsia" w:hAnsiTheme="minorEastAsia" w:eastAsiaTheme="minorEastAsia" w:cstheme="minorEastAsia"/>
                <w:b/>
                <w:bCs w:val="0"/>
                <w:color w:val="auto"/>
                <w:sz w:val="24"/>
                <w:szCs w:val="24"/>
                <w:highlight w:val="none"/>
                <w:lang w:val="en-US" w:eastAsia="zh-CN"/>
              </w:rPr>
              <w:t>（一） 评分内容：</w:t>
            </w:r>
          </w:p>
          <w:p w14:paraId="2FF9B642">
            <w:pPr>
              <w:pageBreakBefore w:val="0"/>
              <w:numPr>
                <w:ilvl w:val="0"/>
                <w:numId w:val="0"/>
              </w:numPr>
              <w:kinsoku/>
              <w:overflowPunct/>
              <w:topLinePunct w:val="0"/>
              <w:bidi w:val="0"/>
              <w:spacing w:after="60" w:line="440" w:lineRule="exact"/>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lang w:val="en-US" w:eastAsia="zh-CN"/>
              </w:rPr>
              <w:t>投标人在本地设立分公司或售后机构、服务网点、项目部、办公室、办事处等情形，得100分；</w:t>
            </w:r>
          </w:p>
          <w:p w14:paraId="56F3641A">
            <w:pPr>
              <w:pageBreakBefore w:val="0"/>
              <w:numPr>
                <w:ilvl w:val="0"/>
                <w:numId w:val="0"/>
              </w:numPr>
              <w:kinsoku/>
              <w:overflowPunct/>
              <w:topLinePunct w:val="0"/>
              <w:bidi w:val="0"/>
              <w:spacing w:after="60" w:line="440" w:lineRule="exact"/>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2.投标人承诺中标后提供本地化服务，得100分。</w:t>
            </w:r>
          </w:p>
          <w:p w14:paraId="355A943B">
            <w:pPr>
              <w:pageBreakBefore w:val="0"/>
              <w:numPr>
                <w:ilvl w:val="0"/>
                <w:numId w:val="0"/>
              </w:numPr>
              <w:kinsoku/>
              <w:overflowPunct/>
              <w:topLinePunct w:val="0"/>
              <w:bidi w:val="0"/>
              <w:spacing w:after="60" w:line="440" w:lineRule="exact"/>
              <w:jc w:val="left"/>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（二）评分依据：</w:t>
            </w:r>
          </w:p>
          <w:p w14:paraId="1E3C1324">
            <w:pPr>
              <w:pageBreakBefore w:val="0"/>
              <w:numPr>
                <w:ilvl w:val="0"/>
                <w:numId w:val="0"/>
              </w:numPr>
              <w:kinsoku/>
              <w:overflowPunct/>
              <w:topLinePunct w:val="0"/>
              <w:bidi w:val="0"/>
              <w:spacing w:after="60" w:line="440" w:lineRule="exact"/>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1.第一项投标人需提供合作单位或者自身机构的营业执照，或者投标人在本地设立的项目部、办公室、办事处等证明文件；</w:t>
            </w:r>
          </w:p>
          <w:p w14:paraId="4E661E40">
            <w:pPr>
              <w:pageBreakBefore w:val="0"/>
              <w:numPr>
                <w:ilvl w:val="0"/>
                <w:numId w:val="0"/>
              </w:numPr>
              <w:kinsoku/>
              <w:overflowPunct/>
              <w:topLinePunct w:val="0"/>
              <w:bidi w:val="0"/>
              <w:spacing w:after="60" w:line="440" w:lineRule="exact"/>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2.第二项投标人需提供承诺函（格式自拟）。</w:t>
            </w:r>
          </w:p>
          <w:p w14:paraId="0AE5AF06">
            <w:pPr>
              <w:pageBreakBefore w:val="0"/>
              <w:numPr>
                <w:ilvl w:val="0"/>
                <w:numId w:val="0"/>
              </w:numPr>
              <w:kinsoku/>
              <w:overflowPunct/>
              <w:topLinePunct w:val="0"/>
              <w:bidi w:val="0"/>
              <w:spacing w:after="60" w:line="440" w:lineRule="exact"/>
              <w:jc w:val="left"/>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3.如为联合体投标，联合体各方证明材料均可得分。</w:t>
            </w:r>
          </w:p>
          <w:p w14:paraId="2A867A1A">
            <w:pPr>
              <w:pageBreakBefore w:val="0"/>
              <w:numPr>
                <w:ilvl w:val="0"/>
                <w:numId w:val="0"/>
              </w:numPr>
              <w:kinsoku/>
              <w:overflowPunct/>
              <w:topLinePunct w:val="0"/>
              <w:bidi w:val="0"/>
              <w:spacing w:after="60" w:line="440" w:lineRule="exact"/>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备注：以上资料均要求提供扫描件，评分中出现无证明资料或证书过期或专家无法凭所提供资料判断是否得分的情况，一律作不得分处理。</w:t>
            </w:r>
            <w:bookmarkEnd w:id="8"/>
          </w:p>
        </w:tc>
      </w:tr>
      <w:tr w14:paraId="14A8A4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blCellSpacing w:w="0" w:type="dxa"/>
          <w:jc w:val="center"/>
        </w:trPr>
        <w:tc>
          <w:tcPr>
            <w:tcW w:w="680" w:type="dxa"/>
            <w:tcBorders>
              <w:top w:val="single" w:color="000000" w:sz="8" w:space="0"/>
              <w:left w:val="single" w:color="000000" w:sz="8" w:space="0"/>
              <w:bottom w:val="single" w:color="000000" w:sz="8" w:space="0"/>
              <w:right w:val="single" w:color="000000" w:sz="8" w:space="0"/>
            </w:tcBorders>
            <w:noWrap w:val="0"/>
            <w:vAlign w:val="center"/>
          </w:tcPr>
          <w:p w14:paraId="78E6502F">
            <w:pPr>
              <w:pageBreakBefore w:val="0"/>
              <w:kinsoku/>
              <w:overflowPunct/>
              <w:topLinePunct w:val="0"/>
              <w:bidi w:val="0"/>
              <w:spacing w:line="440" w:lineRule="exact"/>
              <w:rPr>
                <w:rFonts w:hint="eastAsia" w:asciiTheme="minorEastAsia" w:hAnsiTheme="minorEastAsia" w:eastAsiaTheme="minorEastAsia" w:cstheme="minorEastAsia"/>
                <w:b/>
                <w:bCs/>
                <w:color w:val="0000FF"/>
                <w:sz w:val="24"/>
                <w:szCs w:val="24"/>
              </w:rPr>
            </w:pPr>
          </w:p>
        </w:tc>
        <w:tc>
          <w:tcPr>
            <w:tcW w:w="3868" w:type="dxa"/>
            <w:gridSpan w:val="3"/>
            <w:tcBorders>
              <w:top w:val="single" w:color="000000" w:sz="8" w:space="0"/>
              <w:left w:val="single" w:color="000000" w:sz="8" w:space="0"/>
              <w:bottom w:val="single" w:color="000000" w:sz="8" w:space="0"/>
              <w:right w:val="single" w:color="000000" w:sz="8" w:space="0"/>
            </w:tcBorders>
            <w:noWrap w:val="0"/>
            <w:vAlign w:val="top"/>
          </w:tcPr>
          <w:p w14:paraId="017CB8EF">
            <w:pPr>
              <w:pageBreakBefore w:val="0"/>
              <w:kinsoku/>
              <w:wordWrap w:val="0"/>
              <w:overflowPunct/>
              <w:topLinePunct w:val="0"/>
              <w:bidi w:val="0"/>
              <w:spacing w:line="440" w:lineRule="exact"/>
              <w:jc w:val="center"/>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b/>
                <w:bCs/>
                <w:color w:val="0000FF"/>
                <w:sz w:val="24"/>
                <w:szCs w:val="24"/>
              </w:rPr>
              <w:t>诚信情况</w:t>
            </w:r>
          </w:p>
        </w:tc>
        <w:tc>
          <w:tcPr>
            <w:tcW w:w="4524" w:type="dxa"/>
            <w:tcBorders>
              <w:top w:val="single" w:color="000000" w:sz="8" w:space="0"/>
              <w:left w:val="single" w:color="000000" w:sz="8" w:space="0"/>
              <w:bottom w:val="single" w:color="000000" w:sz="8" w:space="0"/>
              <w:right w:val="single" w:color="000000" w:sz="8" w:space="0"/>
            </w:tcBorders>
            <w:noWrap w:val="0"/>
            <w:vAlign w:val="top"/>
          </w:tcPr>
          <w:p w14:paraId="0660F29B">
            <w:pPr>
              <w:pageBreakBefore w:val="0"/>
              <w:kinsoku/>
              <w:wordWrap w:val="0"/>
              <w:overflowPunct/>
              <w:topLinePunct w:val="0"/>
              <w:bidi w:val="0"/>
              <w:spacing w:line="440" w:lineRule="exact"/>
              <w:jc w:val="center"/>
              <w:rPr>
                <w:rFonts w:hint="default"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b/>
                <w:bCs/>
                <w:color w:val="0000FF"/>
                <w:sz w:val="24"/>
                <w:szCs w:val="24"/>
                <w:lang w:val="en-US" w:eastAsia="zh-CN"/>
              </w:rPr>
              <w:t xml:space="preserve"> 5</w:t>
            </w:r>
          </w:p>
        </w:tc>
      </w:tr>
      <w:tr w14:paraId="65B44D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0" w:type="dxa"/>
            <w:vMerge w:val="restart"/>
            <w:tcBorders>
              <w:top w:val="single" w:color="000000" w:sz="8" w:space="0"/>
              <w:left w:val="single" w:color="000000" w:sz="8" w:space="0"/>
              <w:right w:val="single" w:color="000000" w:sz="8" w:space="0"/>
            </w:tcBorders>
            <w:noWrap w:val="0"/>
            <w:vAlign w:val="center"/>
          </w:tcPr>
          <w:p w14:paraId="4091BE67">
            <w:pPr>
              <w:pageBreakBefore w:val="0"/>
              <w:kinsoku/>
              <w:overflowPunct/>
              <w:topLinePunct w:val="0"/>
              <w:bidi w:val="0"/>
              <w:spacing w:line="440" w:lineRule="exact"/>
              <w:ind w:firstLine="241" w:firstLineChars="1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b/>
                <w:bCs/>
                <w:color w:val="0000FF"/>
                <w:sz w:val="24"/>
                <w:szCs w:val="24"/>
                <w:lang w:val="en-US" w:eastAsia="zh-CN"/>
              </w:rPr>
              <w:t>4</w:t>
            </w:r>
          </w:p>
        </w:tc>
        <w:tc>
          <w:tcPr>
            <w:tcW w:w="680" w:type="dxa"/>
            <w:tcBorders>
              <w:top w:val="single" w:color="000000" w:sz="8" w:space="0"/>
              <w:left w:val="single" w:color="000000" w:sz="8" w:space="0"/>
              <w:bottom w:val="single" w:color="000000" w:sz="8" w:space="0"/>
              <w:right w:val="single" w:color="000000" w:sz="8" w:space="0"/>
            </w:tcBorders>
            <w:shd w:val="clear" w:color="auto" w:fill="DCE6F2" w:themeFill="accent1" w:themeFillTint="32"/>
            <w:noWrap w:val="0"/>
            <w:vAlign w:val="center"/>
          </w:tcPr>
          <w:p w14:paraId="41FA683A">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序号</w:t>
            </w:r>
          </w:p>
        </w:tc>
        <w:tc>
          <w:tcPr>
            <w:tcW w:w="2120" w:type="dxa"/>
            <w:tcBorders>
              <w:top w:val="single" w:color="000000" w:sz="8" w:space="0"/>
              <w:left w:val="single" w:color="000000" w:sz="8" w:space="0"/>
              <w:bottom w:val="single" w:color="000000" w:sz="8" w:space="0"/>
              <w:right w:val="single" w:color="000000" w:sz="8" w:space="0"/>
            </w:tcBorders>
            <w:shd w:val="clear" w:color="auto" w:fill="DCE6F2" w:themeFill="accent1" w:themeFillTint="32"/>
            <w:noWrap w:val="0"/>
            <w:vAlign w:val="center"/>
          </w:tcPr>
          <w:p w14:paraId="0FFDE7EF">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评分因素</w:t>
            </w:r>
          </w:p>
        </w:tc>
        <w:tc>
          <w:tcPr>
            <w:tcW w:w="1068" w:type="dxa"/>
            <w:tcBorders>
              <w:top w:val="single" w:color="000000" w:sz="8" w:space="0"/>
              <w:left w:val="single" w:color="000000" w:sz="8" w:space="0"/>
              <w:bottom w:val="single" w:color="000000" w:sz="8" w:space="0"/>
              <w:right w:val="single" w:color="000000" w:sz="8" w:space="0"/>
            </w:tcBorders>
            <w:shd w:val="clear" w:color="auto" w:fill="DCE6F2" w:themeFill="accent1" w:themeFillTint="32"/>
            <w:noWrap w:val="0"/>
            <w:vAlign w:val="center"/>
          </w:tcPr>
          <w:p w14:paraId="65121AC7">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权重(%)</w:t>
            </w:r>
          </w:p>
        </w:tc>
        <w:tc>
          <w:tcPr>
            <w:tcW w:w="4524" w:type="dxa"/>
            <w:tcBorders>
              <w:top w:val="single" w:color="000000" w:sz="8" w:space="0"/>
              <w:left w:val="single" w:color="000000" w:sz="8" w:space="0"/>
              <w:bottom w:val="single" w:color="000000" w:sz="8" w:space="0"/>
              <w:right w:val="single" w:color="000000" w:sz="8" w:space="0"/>
            </w:tcBorders>
            <w:shd w:val="clear" w:color="auto" w:fill="DCE6F2" w:themeFill="accent1" w:themeFillTint="32"/>
            <w:noWrap w:val="0"/>
            <w:vAlign w:val="center"/>
          </w:tcPr>
          <w:p w14:paraId="3B9B1C11">
            <w:pPr>
              <w:pageBreakBefore w:val="0"/>
              <w:kinsoku/>
              <w:wordWrap w:val="0"/>
              <w:overflowPunct/>
              <w:topLinePunct w:val="0"/>
              <w:bidi w:val="0"/>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评分准则</w:t>
            </w:r>
          </w:p>
        </w:tc>
      </w:tr>
      <w:tr w14:paraId="7E843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0" w:type="dxa"/>
            <w:vMerge w:val="continue"/>
            <w:tcBorders>
              <w:left w:val="single" w:color="000000" w:sz="8" w:space="0"/>
              <w:bottom w:val="single" w:color="000000" w:sz="8" w:space="0"/>
              <w:right w:val="single" w:color="000000" w:sz="8" w:space="0"/>
            </w:tcBorders>
            <w:noWrap w:val="0"/>
            <w:vAlign w:val="center"/>
          </w:tcPr>
          <w:p w14:paraId="691E275A">
            <w:pPr>
              <w:pageBreakBefore w:val="0"/>
              <w:kinsoku/>
              <w:overflowPunct/>
              <w:topLinePunct w:val="0"/>
              <w:bidi w:val="0"/>
              <w:spacing w:line="440" w:lineRule="exact"/>
              <w:ind w:firstLine="241" w:firstLineChars="100"/>
              <w:rPr>
                <w:rFonts w:hint="eastAsia" w:asciiTheme="minorEastAsia" w:hAnsiTheme="minorEastAsia" w:eastAsiaTheme="minorEastAsia" w:cstheme="minorEastAsia"/>
                <w:b/>
                <w:bCs/>
                <w:color w:val="0000FF"/>
                <w:sz w:val="24"/>
                <w:szCs w:val="24"/>
                <w:lang w:val="en-US" w:eastAsia="zh-CN"/>
              </w:rPr>
            </w:pPr>
            <w:bookmarkStart w:id="9" w:name="OLE_LINK24" w:colFirst="4" w:colLast="4"/>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02F11D33">
            <w:pPr>
              <w:pStyle w:val="44"/>
              <w:pageBreakBefore w:val="0"/>
              <w:kinsoku/>
              <w:overflowPunct/>
              <w:topLinePunct w:val="0"/>
              <w:bidi w:val="0"/>
              <w:spacing w:before="65" w:line="440" w:lineRule="exact"/>
              <w:jc w:val="cente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1</w:t>
            </w:r>
          </w:p>
        </w:tc>
        <w:tc>
          <w:tcPr>
            <w:tcW w:w="2120" w:type="dxa"/>
            <w:tcBorders>
              <w:top w:val="single" w:color="000000" w:sz="8" w:space="0"/>
              <w:left w:val="single" w:color="000000" w:sz="8" w:space="0"/>
              <w:bottom w:val="single" w:color="000000" w:sz="8" w:space="0"/>
              <w:right w:val="single" w:color="000000" w:sz="8" w:space="0"/>
            </w:tcBorders>
            <w:noWrap w:val="0"/>
            <w:vAlign w:val="center"/>
          </w:tcPr>
          <w:p w14:paraId="00B866B7">
            <w:pPr>
              <w:pageBreakBefore w:val="0"/>
              <w:kinsoku/>
              <w:wordWrap w:val="0"/>
              <w:overflowPunct/>
              <w:topLinePunct w:val="0"/>
              <w:bidi w:val="0"/>
              <w:spacing w:line="440" w:lineRule="exact"/>
              <w:ind w:firstLine="480" w:firstLineChars="200"/>
              <w:rPr>
                <w:rFonts w:hint="eastAsia" w:asciiTheme="minorEastAsia" w:hAnsiTheme="minorEastAsia" w:eastAsiaTheme="minorEastAsia" w:cstheme="minorEastAsia"/>
                <w:color w:val="000000"/>
                <w:sz w:val="24"/>
                <w:szCs w:val="24"/>
              </w:rPr>
            </w:pPr>
          </w:p>
          <w:p w14:paraId="0F9E6C38">
            <w:pPr>
              <w:pageBreakBefore w:val="0"/>
              <w:kinsoku/>
              <w:wordWrap w:val="0"/>
              <w:overflowPunct/>
              <w:topLinePunct w:val="0"/>
              <w:bidi w:val="0"/>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供应商诚信情况</w:t>
            </w:r>
          </w:p>
          <w:p w14:paraId="43564985">
            <w:pPr>
              <w:pStyle w:val="44"/>
              <w:pageBreakBefore w:val="0"/>
              <w:kinsoku/>
              <w:overflowPunct/>
              <w:topLinePunct w:val="0"/>
              <w:bidi w:val="0"/>
              <w:spacing w:before="65" w:line="440" w:lineRule="exact"/>
              <w:jc w:val="center"/>
              <w:rPr>
                <w:rFonts w:hint="eastAsia" w:asciiTheme="minorEastAsia" w:hAnsiTheme="minorEastAsia" w:eastAsiaTheme="minorEastAsia" w:cstheme="minorEastAsia"/>
                <w:b/>
                <w:bCs/>
                <w:color w:val="000000"/>
                <w:sz w:val="24"/>
                <w:szCs w:val="24"/>
              </w:rPr>
            </w:pPr>
          </w:p>
        </w:tc>
        <w:tc>
          <w:tcPr>
            <w:tcW w:w="1068" w:type="dxa"/>
            <w:tcBorders>
              <w:top w:val="single" w:color="000000" w:sz="8" w:space="0"/>
              <w:left w:val="single" w:color="000000" w:sz="8" w:space="0"/>
              <w:bottom w:val="single" w:color="000000" w:sz="8" w:space="0"/>
              <w:right w:val="single" w:color="000000" w:sz="8" w:space="0"/>
            </w:tcBorders>
            <w:noWrap w:val="0"/>
            <w:vAlign w:val="center"/>
          </w:tcPr>
          <w:p w14:paraId="0F79213D">
            <w:pPr>
              <w:pageBreakBefore w:val="0"/>
              <w:kinsoku/>
              <w:wordWrap w:val="0"/>
              <w:overflowPunct/>
              <w:topLinePunct w:val="0"/>
              <w:bidi w:val="0"/>
              <w:spacing w:line="4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4524" w:type="dxa"/>
            <w:tcBorders>
              <w:top w:val="single" w:color="000000" w:sz="8" w:space="0"/>
              <w:left w:val="single" w:color="000000" w:sz="8" w:space="0"/>
              <w:bottom w:val="single" w:color="000000" w:sz="8" w:space="0"/>
              <w:right w:val="single" w:color="000000" w:sz="8" w:space="0"/>
            </w:tcBorders>
            <w:noWrap w:val="0"/>
            <w:vAlign w:val="top"/>
          </w:tcPr>
          <w:p w14:paraId="46E09C39">
            <w:pPr>
              <w:pStyle w:val="10"/>
              <w:wordWrap w:val="0"/>
              <w:spacing w:line="240" w:lineRule="auto"/>
              <w:ind w:firstLine="480" w:firstLineChars="200"/>
              <w:jc w:val="left"/>
              <w:rPr>
                <w:rFonts w:hint="eastAsia" w:asciiTheme="minorHAnsi" w:hAnsiTheme="minorHAnsi" w:eastAsiaTheme="minorEastAsia" w:cstheme="minorBidi"/>
                <w:b w:val="0"/>
                <w:bCs w:val="0"/>
                <w:kern w:val="2"/>
                <w:sz w:val="24"/>
                <w:szCs w:val="28"/>
                <w:lang w:val="en-US" w:eastAsia="zh-CN" w:bidi="ar-SA"/>
              </w:rPr>
            </w:pPr>
            <w:r>
              <w:rPr>
                <w:rFonts w:hint="eastAsia" w:asciiTheme="minorHAnsi" w:hAnsiTheme="minorHAnsi" w:eastAsiaTheme="minorEastAsia" w:cstheme="minorBidi"/>
                <w:b w:val="0"/>
                <w:bCs w:val="0"/>
                <w:kern w:val="2"/>
                <w:sz w:val="24"/>
                <w:szCs w:val="28"/>
                <w:lang w:val="en-US" w:eastAsia="zh-CN" w:bidi="ar-SA"/>
              </w:rPr>
              <w:t>投标人</w:t>
            </w:r>
            <w:r>
              <w:rPr>
                <w:rFonts w:hint="eastAsia" w:cstheme="minorBidi"/>
                <w:b w:val="0"/>
                <w:bCs w:val="0"/>
                <w:kern w:val="2"/>
                <w:sz w:val="24"/>
                <w:szCs w:val="28"/>
                <w:lang w:val="en-US" w:eastAsia="zh-CN" w:bidi="ar-SA"/>
              </w:rPr>
              <w:t>（如为联合体投标的，联合体各方）</w:t>
            </w:r>
            <w:r>
              <w:rPr>
                <w:rFonts w:hint="eastAsia" w:asciiTheme="minorHAnsi" w:hAnsiTheme="minorHAnsi" w:eastAsiaTheme="minorEastAsia" w:cstheme="minorBidi"/>
                <w:b w:val="0"/>
                <w:bCs w:val="0"/>
                <w:kern w:val="2"/>
                <w:sz w:val="24"/>
                <w:szCs w:val="28"/>
                <w:lang w:val="en-US" w:eastAsia="zh-CN" w:bidi="ar-SA"/>
              </w:rPr>
              <w:t>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6CF17CA7">
            <w:pPr>
              <w:pStyle w:val="10"/>
              <w:wordWrap w:val="0"/>
              <w:spacing w:line="240" w:lineRule="auto"/>
              <w:ind w:firstLine="480" w:firstLineChars="200"/>
              <w:jc w:val="left"/>
              <w:rPr>
                <w:rFonts w:hint="eastAsia" w:asciiTheme="minorHAnsi" w:hAnsiTheme="minorHAnsi" w:eastAsiaTheme="minorEastAsia" w:cstheme="minorBidi"/>
                <w:b w:val="0"/>
                <w:bCs w:val="0"/>
                <w:kern w:val="2"/>
                <w:sz w:val="24"/>
                <w:szCs w:val="28"/>
                <w:lang w:val="en-US" w:eastAsia="zh-CN" w:bidi="ar-SA"/>
              </w:rPr>
            </w:pPr>
            <w:r>
              <w:rPr>
                <w:rFonts w:hint="eastAsia" w:asciiTheme="minorHAnsi" w:hAnsiTheme="minorHAnsi" w:eastAsiaTheme="minorEastAsia" w:cstheme="minorBidi"/>
                <w:b w:val="0"/>
                <w:bCs w:val="0"/>
                <w:kern w:val="2"/>
                <w:sz w:val="24"/>
                <w:szCs w:val="28"/>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p w14:paraId="0DDD7883">
            <w:pPr>
              <w:pStyle w:val="11"/>
              <w:ind w:left="0" w:firstLine="360" w:firstLineChars="200"/>
              <w:rPr>
                <w:rFonts w:hint="eastAsia"/>
              </w:rPr>
            </w:pPr>
          </w:p>
        </w:tc>
      </w:tr>
      <w:bookmarkEnd w:id="9"/>
    </w:tbl>
    <w:p w14:paraId="38B61C93">
      <w:pPr>
        <w:keepNext/>
        <w:keepLines/>
        <w:spacing w:before="340" w:afterLines="25" w:line="578" w:lineRule="auto"/>
        <w:jc w:val="both"/>
        <w:outlineLvl w:val="9"/>
        <w:rPr>
          <w:rFonts w:hint="eastAsia" w:ascii="Arial" w:hAnsi="Arial" w:eastAsia="宋体" w:cs="Times New Roman"/>
          <w:b/>
          <w:bCs/>
          <w:kern w:val="44"/>
          <w:sz w:val="32"/>
          <w:szCs w:val="32"/>
        </w:rPr>
      </w:pPr>
    </w:p>
    <w:p w14:paraId="0F09982E">
      <w:pPr>
        <w:rPr>
          <w:rFonts w:hint="eastAsia" w:ascii="Arial" w:hAnsi="Arial" w:eastAsia="宋体" w:cs="Times New Roman"/>
          <w:b/>
          <w:bCs/>
          <w:kern w:val="44"/>
          <w:sz w:val="32"/>
          <w:szCs w:val="32"/>
        </w:rPr>
      </w:pPr>
      <w:r>
        <w:rPr>
          <w:rFonts w:hint="eastAsia" w:ascii="Arial" w:hAnsi="Arial" w:eastAsia="宋体" w:cs="Times New Roman"/>
          <w:b/>
          <w:bCs/>
          <w:kern w:val="44"/>
          <w:sz w:val="32"/>
          <w:szCs w:val="32"/>
        </w:rPr>
        <w:br w:type="page"/>
      </w:r>
    </w:p>
    <w:p w14:paraId="6459C74C">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5FC1D360">
      <w:pPr>
        <w:rPr>
          <w:b/>
          <w:sz w:val="24"/>
          <w:szCs w:val="24"/>
        </w:rPr>
      </w:pPr>
      <w:r>
        <w:rPr>
          <w:rFonts w:hint="eastAsia"/>
          <w:b/>
          <w:sz w:val="24"/>
          <w:szCs w:val="24"/>
        </w:rPr>
        <w:t>第一册  专用条款</w:t>
      </w:r>
    </w:p>
    <w:p w14:paraId="46024B48">
      <w:pPr>
        <w:ind w:left="630" w:leftChars="300" w:firstLine="472" w:firstLineChars="196"/>
        <w:rPr>
          <w:b/>
          <w:sz w:val="24"/>
          <w:szCs w:val="24"/>
        </w:rPr>
      </w:pPr>
      <w:r>
        <w:rPr>
          <w:rFonts w:hint="eastAsia"/>
          <w:b/>
          <w:sz w:val="24"/>
          <w:szCs w:val="24"/>
        </w:rPr>
        <w:tab/>
      </w:r>
      <w:r>
        <w:rPr>
          <w:rFonts w:hint="eastAsia" w:ascii="宋体" w:hAnsi="宋体"/>
          <w:szCs w:val="21"/>
        </w:rPr>
        <w:t>关键信息</w:t>
      </w:r>
    </w:p>
    <w:p w14:paraId="56E59E2A">
      <w:pPr>
        <w:ind w:left="630" w:leftChars="300" w:firstLine="411" w:firstLineChars="196"/>
        <w:rPr>
          <w:rFonts w:ascii="宋体" w:hAnsi="宋体"/>
          <w:szCs w:val="21"/>
        </w:rPr>
      </w:pPr>
      <w:r>
        <w:rPr>
          <w:rFonts w:hint="eastAsia" w:ascii="宋体" w:hAnsi="宋体"/>
          <w:szCs w:val="21"/>
        </w:rPr>
        <w:t>第一章  招标公告</w:t>
      </w:r>
    </w:p>
    <w:p w14:paraId="317B716D">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0AAAC878">
      <w:pPr>
        <w:ind w:left="630" w:leftChars="300" w:firstLine="411" w:firstLineChars="196"/>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3B1AA306">
      <w:pPr>
        <w:ind w:left="630" w:leftChars="300" w:firstLine="411" w:firstLineChars="196"/>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4758D9F">
      <w:pPr>
        <w:ind w:left="630" w:leftChars="300" w:firstLine="411" w:firstLineChars="196"/>
        <w:rPr>
          <w:rFonts w:hint="default" w:ascii="宋体" w:hAnsi="宋体" w:eastAsiaTheme="minorEastAsia"/>
          <w:szCs w:val="21"/>
          <w:lang w:val="en-US" w:eastAsia="zh-CN"/>
        </w:rPr>
      </w:pPr>
      <w:r>
        <w:rPr>
          <w:rFonts w:hint="eastAsia" w:ascii="宋体" w:hAnsi="宋体"/>
          <w:szCs w:val="21"/>
        </w:rPr>
        <w:t>第五章  协议</w:t>
      </w:r>
      <w:r>
        <w:rPr>
          <w:rFonts w:hint="eastAsia" w:ascii="宋体" w:hAnsi="宋体"/>
          <w:szCs w:val="21"/>
          <w:lang w:val="en-US" w:eastAsia="zh-CN"/>
        </w:rPr>
        <w:t>条款及格式</w:t>
      </w:r>
    </w:p>
    <w:p w14:paraId="0ADE911D">
      <w:pPr>
        <w:rPr>
          <w:b/>
          <w:sz w:val="24"/>
        </w:rPr>
      </w:pPr>
    </w:p>
    <w:p w14:paraId="471A2EE2">
      <w:pPr>
        <w:rPr>
          <w:b/>
          <w:sz w:val="24"/>
          <w:szCs w:val="24"/>
        </w:rPr>
      </w:pPr>
      <w:r>
        <w:rPr>
          <w:rFonts w:hint="eastAsia"/>
          <w:b/>
          <w:sz w:val="24"/>
          <w:szCs w:val="24"/>
        </w:rPr>
        <w:t>第二册  通用条款</w:t>
      </w:r>
    </w:p>
    <w:p w14:paraId="1AB1E32B">
      <w:pPr>
        <w:ind w:left="630" w:leftChars="300" w:firstLine="411" w:firstLineChars="196"/>
        <w:rPr>
          <w:rFonts w:ascii="宋体" w:hAnsi="宋体"/>
          <w:szCs w:val="21"/>
        </w:rPr>
      </w:pPr>
      <w:r>
        <w:rPr>
          <w:rFonts w:hint="eastAsia" w:ascii="宋体" w:hAnsi="宋体"/>
          <w:szCs w:val="21"/>
        </w:rPr>
        <w:t>第一章  总则</w:t>
      </w:r>
    </w:p>
    <w:p w14:paraId="38DBF37B">
      <w:pPr>
        <w:ind w:left="630" w:leftChars="300" w:firstLine="411" w:firstLineChars="196"/>
        <w:rPr>
          <w:rFonts w:ascii="宋体" w:hAnsi="宋体"/>
          <w:szCs w:val="21"/>
        </w:rPr>
      </w:pPr>
      <w:r>
        <w:rPr>
          <w:rFonts w:hint="eastAsia" w:ascii="宋体" w:hAnsi="宋体"/>
          <w:szCs w:val="21"/>
        </w:rPr>
        <w:t>第二章  招标文件</w:t>
      </w:r>
    </w:p>
    <w:p w14:paraId="1935696A">
      <w:pPr>
        <w:ind w:left="630" w:leftChars="300" w:firstLine="411" w:firstLineChars="196"/>
        <w:rPr>
          <w:rFonts w:ascii="宋体" w:hAnsi="宋体"/>
          <w:szCs w:val="21"/>
        </w:rPr>
      </w:pPr>
      <w:r>
        <w:rPr>
          <w:rFonts w:hint="eastAsia" w:ascii="宋体" w:hAnsi="宋体"/>
          <w:szCs w:val="21"/>
        </w:rPr>
        <w:t>第三章  投标文件的编制</w:t>
      </w:r>
    </w:p>
    <w:p w14:paraId="66940008">
      <w:pPr>
        <w:ind w:left="630" w:leftChars="300" w:firstLine="411" w:firstLineChars="196"/>
        <w:rPr>
          <w:rFonts w:ascii="宋体" w:hAnsi="宋体"/>
          <w:szCs w:val="21"/>
        </w:rPr>
      </w:pPr>
      <w:r>
        <w:rPr>
          <w:rFonts w:hint="eastAsia" w:ascii="宋体" w:hAnsi="宋体"/>
          <w:szCs w:val="21"/>
        </w:rPr>
        <w:t>第四章  投标文件的递交</w:t>
      </w:r>
    </w:p>
    <w:p w14:paraId="39F5566E">
      <w:pPr>
        <w:ind w:left="630" w:leftChars="300" w:firstLine="411" w:firstLineChars="196"/>
        <w:rPr>
          <w:rFonts w:ascii="宋体" w:hAnsi="宋体"/>
          <w:szCs w:val="21"/>
        </w:rPr>
      </w:pPr>
      <w:r>
        <w:rPr>
          <w:rFonts w:hint="eastAsia" w:ascii="宋体" w:hAnsi="宋体"/>
          <w:szCs w:val="21"/>
        </w:rPr>
        <w:t>第五章  开标</w:t>
      </w:r>
    </w:p>
    <w:p w14:paraId="624AD74F">
      <w:pPr>
        <w:ind w:left="630" w:leftChars="300" w:firstLine="411" w:firstLineChars="196"/>
        <w:rPr>
          <w:rFonts w:ascii="宋体" w:hAnsi="宋体"/>
          <w:szCs w:val="21"/>
        </w:rPr>
      </w:pPr>
      <w:r>
        <w:rPr>
          <w:rFonts w:hint="eastAsia" w:ascii="宋体" w:hAnsi="宋体"/>
          <w:szCs w:val="21"/>
        </w:rPr>
        <w:t>第六章  评审要求</w:t>
      </w:r>
    </w:p>
    <w:p w14:paraId="150BB3AA">
      <w:pPr>
        <w:ind w:left="630" w:leftChars="300" w:firstLine="411" w:firstLineChars="196"/>
        <w:rPr>
          <w:rFonts w:ascii="宋体" w:hAnsi="宋体"/>
          <w:szCs w:val="21"/>
        </w:rPr>
      </w:pPr>
      <w:r>
        <w:rPr>
          <w:rFonts w:hint="eastAsia" w:ascii="宋体" w:hAnsi="宋体"/>
          <w:szCs w:val="21"/>
        </w:rPr>
        <w:t>第七章  评审程序及评审方法</w:t>
      </w:r>
    </w:p>
    <w:p w14:paraId="28EB2FD5">
      <w:pPr>
        <w:ind w:left="630" w:leftChars="300" w:firstLine="411" w:firstLineChars="196"/>
        <w:rPr>
          <w:rFonts w:ascii="宋体" w:hAnsi="宋体"/>
          <w:szCs w:val="21"/>
        </w:rPr>
      </w:pPr>
      <w:r>
        <w:rPr>
          <w:rFonts w:hint="eastAsia" w:ascii="宋体" w:hAnsi="宋体"/>
          <w:szCs w:val="21"/>
        </w:rPr>
        <w:t>第八章  定标及公示</w:t>
      </w:r>
    </w:p>
    <w:p w14:paraId="23E2E3D5">
      <w:pPr>
        <w:ind w:left="630" w:leftChars="300" w:firstLine="411" w:firstLineChars="196"/>
        <w:rPr>
          <w:rFonts w:ascii="宋体" w:hAnsi="宋体"/>
          <w:szCs w:val="21"/>
        </w:rPr>
      </w:pPr>
      <w:r>
        <w:rPr>
          <w:rFonts w:hint="eastAsia" w:ascii="宋体" w:hAnsi="宋体"/>
          <w:szCs w:val="21"/>
        </w:rPr>
        <w:t>第九章  公开招标失败的后续处理</w:t>
      </w:r>
    </w:p>
    <w:p w14:paraId="60546A47">
      <w:pPr>
        <w:ind w:left="630" w:leftChars="300" w:firstLine="411" w:firstLineChars="196"/>
        <w:rPr>
          <w:rFonts w:ascii="宋体" w:hAnsi="宋体"/>
          <w:szCs w:val="21"/>
        </w:rPr>
      </w:pPr>
      <w:r>
        <w:rPr>
          <w:rFonts w:hint="eastAsia" w:ascii="宋体" w:hAnsi="宋体"/>
          <w:szCs w:val="21"/>
        </w:rPr>
        <w:t xml:space="preserve">第十章  </w:t>
      </w:r>
      <w:r>
        <w:rPr>
          <w:rFonts w:hint="eastAsia" w:ascii="宋体" w:hAnsi="宋体"/>
          <w:szCs w:val="21"/>
          <w:lang w:val="en-US" w:eastAsia="zh-CN"/>
        </w:rPr>
        <w:t>协议</w:t>
      </w:r>
      <w:r>
        <w:rPr>
          <w:rFonts w:hint="eastAsia" w:ascii="宋体" w:hAnsi="宋体"/>
          <w:szCs w:val="21"/>
        </w:rPr>
        <w:t>的授予与备案</w:t>
      </w:r>
    </w:p>
    <w:p w14:paraId="5F35411B">
      <w:r>
        <w:rPr>
          <w:rFonts w:hint="eastAsia"/>
        </w:rPr>
        <w:t xml:space="preserve">          第十一章  质疑处理</w:t>
      </w:r>
    </w:p>
    <w:p w14:paraId="7CFCC312"/>
    <w:p w14:paraId="6B299145"/>
    <w:p w14:paraId="2A5D17DE">
      <w:pPr>
        <w:widowControl/>
        <w:jc w:val="left"/>
        <w:rPr>
          <w:rFonts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4D9E14E6">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第一册  专用条款</w:t>
      </w:r>
    </w:p>
    <w:p w14:paraId="7B16E2F6">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2B1399D9">
      <w:pPr>
        <w:snapToGrid w:val="0"/>
        <w:spacing w:line="300" w:lineRule="exact"/>
        <w:ind w:firstLine="723" w:firstLineChars="300"/>
        <w:rPr>
          <w:rFonts w:ascii="Arial" w:hAnsi="Arial" w:eastAsia="宋体" w:cs="Times New Roman"/>
          <w:sz w:val="24"/>
          <w:szCs w:val="24"/>
        </w:rPr>
      </w:pPr>
      <w:r>
        <w:rPr>
          <w:rFonts w:hint="eastAsia" w:ascii="Arial" w:hAnsi="Arial" w:eastAsia="宋体" w:cs="Times New Roman"/>
          <w:b/>
          <w:bCs/>
          <w:sz w:val="24"/>
          <w:szCs w:val="24"/>
        </w:rPr>
        <w:t>申请人的资格要求：</w:t>
      </w:r>
    </w:p>
    <w:p w14:paraId="38BD28F3">
      <w:pPr>
        <w:pageBreakBefore w:val="0"/>
        <w:kinsoku/>
        <w:overflowPunct/>
        <w:topLinePunct w:val="0"/>
        <w:bidi w:val="0"/>
        <w:spacing w:line="240" w:lineRule="auto"/>
        <w:ind w:firstLine="720" w:firstLineChars="300"/>
        <w:rPr>
          <w:rFonts w:hint="eastAsia" w:ascii="宋体" w:hAnsi="宋体" w:eastAsia="宋体" w:cs="宋体"/>
          <w:color w:val="FF0000"/>
          <w:kern w:val="0"/>
          <w:sz w:val="24"/>
          <w:szCs w:val="24"/>
          <w:lang w:eastAsia="zh-CN"/>
        </w:rPr>
      </w:pPr>
      <w:r>
        <w:rPr>
          <w:rFonts w:hint="eastAsia" w:ascii="宋体" w:hAnsi="宋体" w:eastAsia="宋体" w:cs="宋体"/>
          <w:kern w:val="0"/>
          <w:sz w:val="24"/>
          <w:szCs w:val="24"/>
        </w:rPr>
        <w:t>1.</w:t>
      </w:r>
      <w:r>
        <w:rPr>
          <w:rFonts w:hint="eastAsia" w:asciiTheme="minorEastAsia" w:hAnsiTheme="minorEastAsia" w:eastAsiaTheme="minorEastAsia" w:cstheme="minorEastAsia"/>
          <w:bCs/>
          <w:sz w:val="24"/>
          <w:szCs w:val="24"/>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eastAsia="宋体" w:cs="宋体"/>
          <w:sz w:val="24"/>
          <w:szCs w:val="24"/>
        </w:rPr>
        <w:t>；</w:t>
      </w:r>
      <w:r>
        <w:rPr>
          <w:rFonts w:hint="eastAsia" w:ascii="宋体" w:hAnsi="宋体" w:eastAsia="宋体" w:cs="宋体"/>
          <w:color w:val="FF0000"/>
          <w:sz w:val="24"/>
          <w:szCs w:val="24"/>
          <w:lang w:eastAsia="zh-CN"/>
        </w:rPr>
        <w:t>（若为联合体投标，联合体各方均需提供）</w:t>
      </w:r>
    </w:p>
    <w:p w14:paraId="1A354228">
      <w:pPr>
        <w:pageBreakBefore w:val="0"/>
        <w:kinsoku/>
        <w:overflowPunct/>
        <w:topLinePunct w:val="0"/>
        <w:bidi w:val="0"/>
        <w:spacing w:line="240" w:lineRule="auto"/>
        <w:ind w:firstLine="720" w:firstLineChars="300"/>
        <w:rPr>
          <w:rFonts w:hint="eastAsia" w:ascii="宋体" w:hAnsi="宋体" w:eastAsia="宋体" w:cs="宋体"/>
          <w:kern w:val="0"/>
          <w:sz w:val="24"/>
          <w:szCs w:val="24"/>
        </w:rPr>
      </w:pPr>
      <w:r>
        <w:rPr>
          <w:rFonts w:hint="eastAsia" w:ascii="宋体" w:hAnsi="宋体" w:eastAsia="宋体" w:cs="宋体"/>
          <w:color w:val="FF0000"/>
          <w:kern w:val="0"/>
          <w:sz w:val="24"/>
          <w:szCs w:val="24"/>
        </w:rPr>
        <w:t>2.本项目接受联合体投标</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rPr>
        <w:t>但联合体单位成员最多</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家</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rPr>
        <w:t>如为联合体投标，必须提供联合体单位成员共同签订、加盖公章的《联合体共同投标协议》扫描件（协议参考范本详见招标文件第一册第四章 投标文件组成要求及格式投标文件正文（信息公开部分）三、投标人情况及资格证明文件），协议必须明确联合体牵头单位（主体方），并约定联合体单位成员各方承担的工作范围、相应的责任以及有无承担相同的工作内容，联合体单位成员不得再以自己的名义单独或组成新的联合体参加投标，联合体各方须共同与采购人签订采购合同，就采购合同约定的事项对采购人承担连带责任。</w:t>
      </w:r>
    </w:p>
    <w:p w14:paraId="36D96224">
      <w:pPr>
        <w:pageBreakBefore w:val="0"/>
        <w:kinsoku/>
        <w:overflowPunct/>
        <w:topLinePunct w:val="0"/>
        <w:bidi w:val="0"/>
        <w:spacing w:line="240" w:lineRule="auto"/>
        <w:ind w:firstLine="720" w:firstLineChars="3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3.本项目不接受投标人选用进口产品参与投标，不允许转包</w:t>
      </w:r>
    </w:p>
    <w:p w14:paraId="051910AA">
      <w:pPr>
        <w:pageBreakBefore w:val="0"/>
        <w:kinsoku/>
        <w:overflowPunct/>
        <w:topLinePunct w:val="0"/>
        <w:bidi w:val="0"/>
        <w:spacing w:line="240" w:lineRule="auto"/>
        <w:ind w:firstLine="720" w:firstLineChars="3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bookmarkStart w:id="10" w:name="OLE_LINK13"/>
      <w:r>
        <w:rPr>
          <w:rFonts w:hint="eastAsia" w:ascii="宋体" w:hAnsi="宋体" w:eastAsia="宋体" w:cs="宋体"/>
          <w:kern w:val="0"/>
          <w:sz w:val="24"/>
          <w:szCs w:val="24"/>
        </w:rPr>
        <w:t>参与本项目</w:t>
      </w:r>
      <w:r>
        <w:rPr>
          <w:rFonts w:hint="eastAsia" w:ascii="宋体" w:hAnsi="宋体" w:eastAsia="宋体" w:cs="宋体"/>
          <w:kern w:val="0"/>
          <w:sz w:val="24"/>
          <w:szCs w:val="24"/>
          <w:lang w:val="en-US" w:eastAsia="zh-CN"/>
        </w:rPr>
        <w:t>交易</w:t>
      </w:r>
      <w:r>
        <w:rPr>
          <w:rFonts w:hint="eastAsia" w:ascii="宋体" w:hAnsi="宋体" w:eastAsia="宋体" w:cs="宋体"/>
          <w:kern w:val="0"/>
          <w:sz w:val="24"/>
          <w:szCs w:val="24"/>
        </w:rPr>
        <w:t>活动时不存在被有关部门禁止参与</w:t>
      </w:r>
      <w:r>
        <w:rPr>
          <w:rFonts w:hint="eastAsia" w:ascii="宋体" w:hAnsi="宋体" w:eastAsia="宋体" w:cs="宋体"/>
          <w:kern w:val="0"/>
          <w:sz w:val="24"/>
          <w:szCs w:val="24"/>
          <w:lang w:val="en-US" w:eastAsia="zh-CN"/>
        </w:rPr>
        <w:t>交易</w:t>
      </w:r>
      <w:r>
        <w:rPr>
          <w:rFonts w:hint="eastAsia" w:ascii="宋体" w:hAnsi="宋体" w:eastAsia="宋体" w:cs="宋体"/>
          <w:kern w:val="0"/>
          <w:sz w:val="24"/>
          <w:szCs w:val="24"/>
        </w:rPr>
        <w:t>活动且在有效期内的情况（由投标人在《投标及履约承诺函》中作出声明）；</w:t>
      </w:r>
      <w:r>
        <w:rPr>
          <w:rFonts w:hint="eastAsia" w:ascii="宋体" w:hAnsi="宋体" w:eastAsia="宋体" w:cs="宋体"/>
          <w:color w:val="FF0000"/>
          <w:sz w:val="24"/>
          <w:szCs w:val="24"/>
          <w:lang w:eastAsia="zh-CN"/>
        </w:rPr>
        <w:t>（若为联合体投标，联合体各方均需提供）</w:t>
      </w:r>
    </w:p>
    <w:bookmarkEnd w:id="10"/>
    <w:p w14:paraId="281AFFF7">
      <w:pPr>
        <w:pageBreakBefore w:val="0"/>
        <w:kinsoku/>
        <w:overflowPunct/>
        <w:topLinePunct w:val="0"/>
        <w:bidi w:val="0"/>
        <w:spacing w:line="240" w:lineRule="auto"/>
        <w:ind w:firstLine="720" w:firstLineChars="3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bookmarkStart w:id="11" w:name="OLE_LINK14"/>
      <w:r>
        <w:rPr>
          <w:rFonts w:hint="eastAsia" w:ascii="宋体" w:hAnsi="宋体" w:eastAsia="宋体" w:cs="宋体"/>
          <w:kern w:val="0"/>
          <w:sz w:val="24"/>
          <w:szCs w:val="24"/>
        </w:rPr>
        <w:t>具备《中华人民共和国政府采购法》第二十二条第一款的条件（由投标人在《投标及履约承诺函》中作出声明）；</w:t>
      </w:r>
      <w:r>
        <w:rPr>
          <w:rFonts w:hint="eastAsia" w:ascii="宋体" w:hAnsi="宋体" w:eastAsia="宋体" w:cs="宋体"/>
          <w:color w:val="FF0000"/>
          <w:sz w:val="24"/>
          <w:szCs w:val="24"/>
          <w:lang w:eastAsia="zh-CN"/>
        </w:rPr>
        <w:t>（若为联合体投标，联合体各方均需提供）</w:t>
      </w:r>
    </w:p>
    <w:bookmarkEnd w:id="11"/>
    <w:p w14:paraId="7E972A51">
      <w:pPr>
        <w:pageBreakBefore w:val="0"/>
        <w:kinsoku/>
        <w:overflowPunct/>
        <w:topLinePunct w:val="0"/>
        <w:bidi w:val="0"/>
        <w:spacing w:line="240" w:lineRule="auto"/>
        <w:ind w:firstLine="720" w:firstLineChars="3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w:t>
      </w:r>
      <w:bookmarkStart w:id="12" w:name="OLE_LINK15"/>
      <w:r>
        <w:rPr>
          <w:rFonts w:hint="eastAsia" w:ascii="宋体" w:hAnsi="宋体" w:eastAsia="宋体" w:cs="宋体"/>
          <w:kern w:val="0"/>
          <w:sz w:val="24"/>
          <w:szCs w:val="24"/>
        </w:rPr>
        <w:t>未被列入失信被执行人、重大税收违法案件当事人名单、政府采购严重违法失信行为记录名单（由</w:t>
      </w:r>
      <w:bookmarkStart w:id="13" w:name="OLE_LINK22"/>
      <w:r>
        <w:rPr>
          <w:rFonts w:hint="eastAsia" w:ascii="宋体" w:hAnsi="宋体" w:eastAsia="宋体" w:cs="宋体"/>
          <w:kern w:val="0"/>
          <w:sz w:val="24"/>
          <w:szCs w:val="24"/>
        </w:rPr>
        <w:t>投标人</w:t>
      </w:r>
      <w:bookmarkEnd w:id="13"/>
      <w:r>
        <w:rPr>
          <w:rFonts w:hint="eastAsia" w:ascii="宋体" w:hAnsi="宋体" w:eastAsia="宋体" w:cs="宋体"/>
          <w:kern w:val="0"/>
          <w:sz w:val="24"/>
          <w:szCs w:val="24"/>
        </w:rPr>
        <w:t>在《投标及履约承诺函》中作出声明）；</w:t>
      </w:r>
      <w:r>
        <w:rPr>
          <w:rFonts w:hint="eastAsia" w:ascii="宋体" w:hAnsi="宋体" w:eastAsia="宋体" w:cs="宋体"/>
          <w:color w:val="FF0000"/>
          <w:sz w:val="24"/>
          <w:szCs w:val="24"/>
          <w:lang w:eastAsia="zh-CN"/>
        </w:rPr>
        <w:t>（若为联合体投标，则联合体各方均需符合“未被列入……”要求）</w:t>
      </w:r>
      <w:bookmarkEnd w:id="12"/>
    </w:p>
    <w:p w14:paraId="1D793A78">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textAlignment w:val="auto"/>
        <w:rPr>
          <w:rFonts w:hint="eastAsia" w:asciiTheme="minorEastAsia" w:hAnsiTheme="minorEastAsia" w:eastAsiaTheme="minorEastAsia" w:cstheme="minorEastAsia"/>
          <w:b/>
          <w:bCs/>
          <w:sz w:val="24"/>
          <w:szCs w:val="24"/>
        </w:rPr>
      </w:pPr>
    </w:p>
    <w:p w14:paraId="1C1CBEF4">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w:t>
      </w:r>
    </w:p>
    <w:p w14:paraId="22E7BCBB">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为</w:t>
      </w:r>
      <w:r>
        <w:rPr>
          <w:rFonts w:hint="eastAsia" w:ascii="宋体" w:hAnsi="宋体" w:eastAsia="宋体" w:cs="宋体"/>
          <w:kern w:val="0"/>
          <w:sz w:val="24"/>
          <w:szCs w:val="24"/>
        </w:rPr>
        <w:t>投标人</w:t>
      </w:r>
      <w:r>
        <w:rPr>
          <w:rFonts w:hint="eastAsia" w:asciiTheme="minorEastAsia" w:hAnsiTheme="minorEastAsia" w:eastAsiaTheme="minorEastAsia" w:cstheme="minorEastAsia"/>
          <w:sz w:val="24"/>
          <w:szCs w:val="24"/>
        </w:rPr>
        <w:t>信用信息的查询渠道，相关信息以开标当日的查询结果为准；</w:t>
      </w:r>
    </w:p>
    <w:p w14:paraId="584D793D">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宋体" w:hAnsi="宋体" w:eastAsia="宋体" w:cs="宋体"/>
          <w:kern w:val="0"/>
          <w:sz w:val="24"/>
          <w:szCs w:val="24"/>
        </w:rPr>
        <w:t>投标人</w:t>
      </w:r>
      <w:r>
        <w:rPr>
          <w:rFonts w:hint="eastAsia" w:asciiTheme="minorEastAsia" w:hAnsiTheme="minorEastAsia" w:eastAsiaTheme="minorEastAsia" w:cstheme="minorEastAsia"/>
          <w:sz w:val="24"/>
          <w:szCs w:val="24"/>
        </w:rPr>
        <w:t>投标（上传投标文件）必须先行办理注册手续。</w:t>
      </w:r>
    </w:p>
    <w:p w14:paraId="57E3BDB1">
      <w:pPr>
        <w:snapToGrid w:val="0"/>
        <w:spacing w:line="300" w:lineRule="auto"/>
        <w:ind w:firstLine="480" w:firstLineChars="200"/>
        <w:rPr>
          <w:rFonts w:ascii="Arial" w:hAnsi="Arial" w:eastAsia="宋体" w:cs="Times New Roman"/>
          <w:sz w:val="24"/>
          <w:szCs w:val="24"/>
        </w:rPr>
      </w:pPr>
    </w:p>
    <w:p w14:paraId="4C0078A9">
      <w:pPr>
        <w:ind w:firstLine="442" w:firstLineChars="200"/>
        <w:rPr>
          <w:b/>
          <w:color w:val="0000FF"/>
        </w:rPr>
      </w:pPr>
      <w:r>
        <w:rPr>
          <w:rFonts w:hint="eastAsia"/>
          <w:b/>
          <w:color w:val="0000FF"/>
          <w:sz w:val="22"/>
          <w:szCs w:val="18"/>
          <w:highlight w:val="none"/>
        </w:rPr>
        <w:t>完整公告内容详见：深圳</w:t>
      </w:r>
      <w:r>
        <w:rPr>
          <w:rFonts w:hint="eastAsia"/>
          <w:b/>
          <w:color w:val="0000FF"/>
          <w:sz w:val="22"/>
          <w:szCs w:val="18"/>
          <w:highlight w:val="none"/>
          <w:lang w:val="en-US" w:eastAsia="zh-CN"/>
        </w:rPr>
        <w:t>交易集团</w:t>
      </w:r>
      <w:r>
        <w:rPr>
          <w:rFonts w:hint="eastAsia"/>
          <w:b/>
          <w:color w:val="0000FF"/>
          <w:sz w:val="22"/>
          <w:szCs w:val="18"/>
          <w:highlight w:val="none"/>
        </w:rPr>
        <w:t>网（</w:t>
      </w:r>
      <w:bookmarkStart w:id="14" w:name="OLE_LINK3"/>
      <w:r>
        <w:rPr>
          <w:rFonts w:hint="eastAsia"/>
          <w:b/>
          <w:color w:val="0000FF"/>
          <w:sz w:val="22"/>
          <w:szCs w:val="18"/>
          <w:highlight w:val="none"/>
        </w:rPr>
        <w:t>https://www.szexgrp.com/jyfw/zfcg-view.html?id=zfcg</w:t>
      </w:r>
      <w:bookmarkEnd w:id="14"/>
      <w:r>
        <w:rPr>
          <w:rFonts w:hint="eastAsia"/>
          <w:b/>
          <w:color w:val="0000FF"/>
          <w:sz w:val="22"/>
          <w:szCs w:val="18"/>
          <w:highlight w:val="none"/>
        </w:rPr>
        <w:t>）</w:t>
      </w:r>
    </w:p>
    <w:p w14:paraId="5B8E7CC2">
      <w:pPr>
        <w:rPr>
          <w:rFonts w:hint="eastAsia" w:ascii="宋体" w:hAnsi="宋体" w:eastAsia="宋体" w:cs="Times New Roman"/>
          <w:b/>
          <w:bCs/>
          <w:kern w:val="0"/>
          <w:sz w:val="28"/>
          <w:szCs w:val="28"/>
        </w:rPr>
      </w:pPr>
    </w:p>
    <w:p w14:paraId="0B18FE33">
      <w:pPr>
        <w:keepNext/>
        <w:keepLines/>
        <w:spacing w:before="260" w:after="260" w:line="416" w:lineRule="auto"/>
        <w:jc w:val="center"/>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15" w:name="_Hlk71926094"/>
      <w:r>
        <w:rPr>
          <w:rFonts w:hint="eastAsia" w:ascii="宋体" w:hAnsi="宋体" w:eastAsia="宋体" w:cs="Times New Roman"/>
          <w:b/>
          <w:bCs/>
          <w:kern w:val="0"/>
          <w:sz w:val="28"/>
          <w:szCs w:val="28"/>
        </w:rPr>
        <w:t>对通用条款的补充内容及其他关键信息</w:t>
      </w:r>
      <w:bookmarkEnd w:id="15"/>
    </w:p>
    <w:p w14:paraId="664F1C3F">
      <w:pPr>
        <w:keepNext/>
        <w:keepLines/>
        <w:adjustRightInd w:val="0"/>
        <w:spacing w:beforeLines="50" w:afterLines="50"/>
        <w:jc w:val="center"/>
        <w:textAlignment w:val="baseline"/>
        <w:outlineLvl w:val="2"/>
        <w:rPr>
          <w:rFonts w:ascii="宋体" w:hAnsi="宋体" w:eastAsia="宋体" w:cs="Times New Roman"/>
          <w:b/>
          <w:bCs/>
          <w:kern w:val="0"/>
          <w:sz w:val="24"/>
          <w:szCs w:val="24"/>
        </w:rPr>
      </w:pPr>
      <w:bookmarkStart w:id="16" w:name="_Toc73518117"/>
      <w:bookmarkStart w:id="17" w:name="_Toc101074876"/>
      <w:bookmarkStart w:id="18" w:name="_Toc100052364"/>
      <w:bookmarkStart w:id="19" w:name="_Toc60560625"/>
      <w:bookmarkStart w:id="20" w:name="_Toc73521547"/>
      <w:bookmarkStart w:id="21" w:name="_Toc60631620"/>
      <w:bookmarkStart w:id="22" w:name="_Toc73521635"/>
      <w:bookmarkStart w:id="23" w:name="_Toc73517639"/>
      <w:r>
        <w:rPr>
          <w:rFonts w:hint="eastAsia" w:ascii="宋体" w:hAnsi="宋体" w:eastAsia="宋体" w:cs="Times New Roman"/>
          <w:b/>
          <w:bCs/>
          <w:kern w:val="0"/>
          <w:sz w:val="24"/>
          <w:szCs w:val="24"/>
        </w:rPr>
        <w:t>一、对通用条款的补充内容</w:t>
      </w:r>
    </w:p>
    <w:bookmarkEnd w:id="16"/>
    <w:bookmarkEnd w:id="17"/>
    <w:bookmarkEnd w:id="18"/>
    <w:bookmarkEnd w:id="19"/>
    <w:bookmarkEnd w:id="20"/>
    <w:bookmarkEnd w:id="21"/>
    <w:bookmarkEnd w:id="22"/>
    <w:bookmarkEnd w:id="23"/>
    <w:tbl>
      <w:tblPr>
        <w:tblStyle w:val="2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1"/>
        <w:gridCol w:w="1648"/>
        <w:gridCol w:w="6068"/>
      </w:tblGrid>
      <w:tr w14:paraId="7727BA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noWrap w:val="0"/>
            <w:vAlign w:val="center"/>
          </w:tcPr>
          <w:p w14:paraId="4D91E976">
            <w:pPr>
              <w:pageBreakBefore w:val="0"/>
              <w:kinsoku/>
              <w:overflowPunct/>
              <w:topLinePunct w:val="0"/>
              <w:bidi w:val="0"/>
              <w:spacing w:line="240" w:lineRule="auto"/>
              <w:ind w:right="2" w:rightChars="1"/>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648" w:type="dxa"/>
            <w:noWrap w:val="0"/>
            <w:vAlign w:val="center"/>
          </w:tcPr>
          <w:p w14:paraId="5FD6642C">
            <w:pPr>
              <w:pageBreakBefore w:val="0"/>
              <w:kinsoku/>
              <w:overflowPunct/>
              <w:topLinePunct w:val="0"/>
              <w:bidi w:val="0"/>
              <w:spacing w:line="240" w:lineRule="auto"/>
              <w:ind w:right="2" w:rightChars="1"/>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   容</w:t>
            </w:r>
          </w:p>
        </w:tc>
        <w:tc>
          <w:tcPr>
            <w:tcW w:w="6068" w:type="dxa"/>
            <w:noWrap w:val="0"/>
            <w:vAlign w:val="center"/>
          </w:tcPr>
          <w:p w14:paraId="0C262C38">
            <w:pPr>
              <w:pageBreakBefore w:val="0"/>
              <w:kinsoku/>
              <w:overflowPunct/>
              <w:topLinePunct w:val="0"/>
              <w:bidi w:val="0"/>
              <w:spacing w:line="240" w:lineRule="auto"/>
              <w:ind w:right="2" w:rightChars="1"/>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规      定</w:t>
            </w:r>
          </w:p>
        </w:tc>
      </w:tr>
      <w:tr w14:paraId="150B44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51" w:type="dxa"/>
            <w:noWrap w:val="0"/>
            <w:vAlign w:val="center"/>
          </w:tcPr>
          <w:p w14:paraId="1043420C">
            <w:pPr>
              <w:pageBreakBefore w:val="0"/>
              <w:kinsoku/>
              <w:overflowPunct/>
              <w:topLinePunct w:val="0"/>
              <w:bidi w:val="0"/>
              <w:spacing w:line="240" w:lineRule="auto"/>
              <w:ind w:right="2" w:rightChars="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648" w:type="dxa"/>
            <w:noWrap w:val="0"/>
            <w:vAlign w:val="center"/>
          </w:tcPr>
          <w:p w14:paraId="21B1BA55">
            <w:pPr>
              <w:pageBreakBefore w:val="0"/>
              <w:kinsoku/>
              <w:overflowPunct/>
              <w:topLinePunct w:val="0"/>
              <w:bidi w:val="0"/>
              <w:spacing w:line="240" w:lineRule="auto"/>
              <w:jc w:val="center"/>
              <w:rPr>
                <w:rFonts w:hint="eastAsia" w:ascii="宋体" w:hAnsi="宋体" w:eastAsia="宋体" w:cs="宋体"/>
                <w:sz w:val="24"/>
                <w:szCs w:val="24"/>
                <w:highlight w:val="none"/>
                <w:lang w:val="en-US" w:eastAsia="zh-CN"/>
              </w:rPr>
            </w:pPr>
            <w:bookmarkStart w:id="24" w:name="OLE_LINK6"/>
            <w:r>
              <w:rPr>
                <w:rFonts w:hint="eastAsia" w:ascii="宋体" w:hAnsi="宋体" w:eastAsia="宋体" w:cs="宋体"/>
                <w:sz w:val="24"/>
                <w:szCs w:val="24"/>
                <w:highlight w:val="none"/>
                <w:lang w:val="en-US" w:eastAsia="zh-CN"/>
              </w:rPr>
              <w:t>招标人</w:t>
            </w:r>
            <w:bookmarkEnd w:id="24"/>
          </w:p>
        </w:tc>
        <w:tc>
          <w:tcPr>
            <w:tcW w:w="6068" w:type="dxa"/>
            <w:noWrap w:val="0"/>
            <w:vAlign w:val="center"/>
          </w:tcPr>
          <w:p w14:paraId="1D8A74C9">
            <w:pPr>
              <w:pageBreakBefore w:val="0"/>
              <w:kinsoku/>
              <w:overflowPunct/>
              <w:topLinePunct w:val="0"/>
              <w:bidi w:val="0"/>
              <w:spacing w:line="240" w:lineRule="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深圳市罗湖区市政园林管理所</w:t>
            </w:r>
          </w:p>
        </w:tc>
      </w:tr>
      <w:tr w14:paraId="29380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noWrap w:val="0"/>
            <w:vAlign w:val="center"/>
          </w:tcPr>
          <w:p w14:paraId="1DE352D3">
            <w:pPr>
              <w:pageBreakBefore w:val="0"/>
              <w:kinsoku/>
              <w:overflowPunct/>
              <w:topLinePunct w:val="0"/>
              <w:bidi w:val="0"/>
              <w:spacing w:line="240" w:lineRule="auto"/>
              <w:ind w:right="2" w:rightChars="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648" w:type="dxa"/>
            <w:noWrap w:val="0"/>
            <w:vAlign w:val="center"/>
          </w:tcPr>
          <w:p w14:paraId="74720795">
            <w:pPr>
              <w:pageBreakBefore w:val="0"/>
              <w:kinsoku/>
              <w:overflowPunct/>
              <w:topLinePunct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068" w:type="dxa"/>
            <w:noWrap w:val="0"/>
            <w:vAlign w:val="center"/>
          </w:tcPr>
          <w:p w14:paraId="3F94262E">
            <w:pPr>
              <w:pageBreakBefore w:val="0"/>
              <w:kinsoku/>
              <w:overflowPunct/>
              <w:topLinePunct w:val="0"/>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深圳市罗湖区洪湖公园儿童活动区动力设施建设运营项目</w:t>
            </w:r>
          </w:p>
        </w:tc>
      </w:tr>
      <w:tr w14:paraId="2FEBA2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noWrap w:val="0"/>
            <w:vAlign w:val="center"/>
          </w:tcPr>
          <w:p w14:paraId="2ABD43FD">
            <w:pPr>
              <w:pageBreakBefore w:val="0"/>
              <w:kinsoku/>
              <w:overflowPunct/>
              <w:topLinePunct w:val="0"/>
              <w:bidi w:val="0"/>
              <w:spacing w:line="240" w:lineRule="auto"/>
              <w:ind w:right="2" w:rightChars="1"/>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648" w:type="dxa"/>
            <w:noWrap w:val="0"/>
            <w:vAlign w:val="center"/>
          </w:tcPr>
          <w:p w14:paraId="018CD1CB">
            <w:pPr>
              <w:pageBreakBefore w:val="0"/>
              <w:kinsoku/>
              <w:overflowPunct/>
              <w:topLinePunct w:val="0"/>
              <w:bidi w:val="0"/>
              <w:spacing w:line="24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w:t>
            </w:r>
          </w:p>
        </w:tc>
        <w:tc>
          <w:tcPr>
            <w:tcW w:w="6068" w:type="dxa"/>
            <w:noWrap w:val="0"/>
            <w:vAlign w:val="center"/>
          </w:tcPr>
          <w:p w14:paraId="1729243D">
            <w:pPr>
              <w:pageBreakBefore w:val="0"/>
              <w:kinsoku/>
              <w:overflowPunct/>
              <w:topLinePunct w:val="0"/>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本项目无投标保证金</w:t>
            </w:r>
          </w:p>
        </w:tc>
      </w:tr>
      <w:tr w14:paraId="53931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651" w:type="dxa"/>
            <w:noWrap w:val="0"/>
            <w:vAlign w:val="center"/>
          </w:tcPr>
          <w:p w14:paraId="234A0442">
            <w:pPr>
              <w:pageBreakBefore w:val="0"/>
              <w:kinsoku/>
              <w:overflowPunct/>
              <w:topLinePunct w:val="0"/>
              <w:bidi w:val="0"/>
              <w:spacing w:line="240" w:lineRule="auto"/>
              <w:ind w:right="2" w:rightChars="1"/>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1648" w:type="dxa"/>
            <w:noWrap w:val="0"/>
            <w:vAlign w:val="center"/>
          </w:tcPr>
          <w:p w14:paraId="14007947">
            <w:pPr>
              <w:pageBreakBefore w:val="0"/>
              <w:kinsoku/>
              <w:overflowPunct/>
              <w:topLinePunct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开标一览表填写</w:t>
            </w:r>
          </w:p>
        </w:tc>
        <w:tc>
          <w:tcPr>
            <w:tcW w:w="6068" w:type="dxa"/>
            <w:noWrap w:val="0"/>
            <w:vAlign w:val="center"/>
          </w:tcPr>
          <w:p w14:paraId="1876E109">
            <w:pPr>
              <w:pageBreakBefore w:val="0"/>
              <w:kinsoku/>
              <w:overflowPunct/>
              <w:topLinePunct w:val="0"/>
              <w:bidi w:val="0"/>
              <w:spacing w:line="24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本项目为运营权招标，</w:t>
            </w:r>
            <w:r>
              <w:rPr>
                <w:rFonts w:hint="eastAsia" w:ascii="宋体" w:hAnsi="宋体" w:eastAsia="宋体" w:cs="宋体"/>
                <w:b w:val="0"/>
                <w:bCs w:val="0"/>
                <w:snapToGrid w:val="0"/>
                <w:kern w:val="0"/>
                <w:sz w:val="24"/>
                <w:szCs w:val="24"/>
                <w:highlight w:val="none"/>
              </w:rPr>
              <w:t>开标一览表的填写不做要求，评审委员会不得以开标一览表的填写问题为由判定投标人投标无效。</w:t>
            </w:r>
          </w:p>
        </w:tc>
      </w:tr>
      <w:tr w14:paraId="2F692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noWrap w:val="0"/>
            <w:vAlign w:val="center"/>
          </w:tcPr>
          <w:p w14:paraId="7DC1D0A4">
            <w:pPr>
              <w:pageBreakBefore w:val="0"/>
              <w:kinsoku/>
              <w:overflowPunct/>
              <w:topLinePunct w:val="0"/>
              <w:bidi w:val="0"/>
              <w:spacing w:line="240" w:lineRule="auto"/>
              <w:ind w:right="2" w:rightChars="1"/>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1648" w:type="dxa"/>
            <w:noWrap w:val="0"/>
            <w:vAlign w:val="center"/>
          </w:tcPr>
          <w:p w14:paraId="4CA4239C">
            <w:pPr>
              <w:pageBreakBefore w:val="0"/>
              <w:kinsoku/>
              <w:overflowPunct/>
              <w:topLinePunct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color w:val="FF0000"/>
                <w:sz w:val="24"/>
                <w:szCs w:val="24"/>
                <w:highlight w:val="none"/>
              </w:rPr>
              <w:t>投标报价</w:t>
            </w:r>
          </w:p>
        </w:tc>
        <w:tc>
          <w:tcPr>
            <w:tcW w:w="6068" w:type="dxa"/>
            <w:noWrap w:val="0"/>
            <w:vAlign w:val="center"/>
          </w:tcPr>
          <w:p w14:paraId="6EFE6A97">
            <w:pPr>
              <w:pageBreakBefore w:val="0"/>
              <w:numPr>
                <w:ilvl w:val="0"/>
                <w:numId w:val="0"/>
              </w:numPr>
              <w:kinsoku/>
              <w:overflowPunct/>
              <w:topLinePunct w:val="0"/>
              <w:bidi w:val="0"/>
              <w:spacing w:line="240" w:lineRule="auto"/>
              <w:ind w:right="2" w:rightChars="1"/>
              <w:rPr>
                <w:rFonts w:hint="eastAsia" w:ascii="宋体" w:hAnsi="宋体" w:eastAsia="宋体" w:cs="宋体"/>
                <w:b w:val="0"/>
                <w:bCs w:val="0"/>
                <w:color w:val="FF0000"/>
                <w:sz w:val="24"/>
                <w:szCs w:val="24"/>
                <w:highlight w:val="none"/>
              </w:rPr>
            </w:pPr>
            <w:r>
              <w:rPr>
                <w:rFonts w:hint="eastAsia" w:ascii="宋体" w:hAnsi="宋体" w:eastAsia="宋体" w:cs="宋体"/>
                <w:b w:val="0"/>
                <w:bCs w:val="0"/>
                <w:color w:val="FF0000"/>
                <w:sz w:val="24"/>
                <w:szCs w:val="24"/>
                <w:highlight w:val="none"/>
                <w:lang w:val="en-US" w:eastAsia="zh-CN"/>
              </w:rPr>
              <w:t>1.</w:t>
            </w:r>
            <w:r>
              <w:rPr>
                <w:rFonts w:hint="eastAsia" w:ascii="宋体" w:hAnsi="宋体" w:eastAsia="宋体" w:cs="宋体"/>
                <w:b w:val="0"/>
                <w:bCs w:val="0"/>
                <w:color w:val="FF0000"/>
                <w:sz w:val="24"/>
                <w:szCs w:val="24"/>
                <w:highlight w:val="none"/>
              </w:rPr>
              <w:t>本次招标不涉及具体投标金额（无须投标人在投标文件中填报具体投标金额），投标人需在投标一览表及项目报价表“分成系数”一栏里报填报唯一的“分成系数”，投标人应根据自身成本自行填报“分成系数”。</w:t>
            </w:r>
          </w:p>
          <w:p w14:paraId="7BA72A96">
            <w:pPr>
              <w:pageBreakBefore w:val="0"/>
              <w:numPr>
                <w:ilvl w:val="0"/>
                <w:numId w:val="0"/>
              </w:numPr>
              <w:kinsoku/>
              <w:overflowPunct/>
              <w:topLinePunct w:val="0"/>
              <w:bidi w:val="0"/>
              <w:spacing w:line="240" w:lineRule="auto"/>
              <w:ind w:right="2" w:rightChars="1"/>
              <w:rPr>
                <w:rFonts w:hint="eastAsia" w:ascii="宋体" w:hAnsi="宋体" w:eastAsia="宋体" w:cs="宋体"/>
                <w:b w:val="0"/>
                <w:bCs w:val="0"/>
                <w:color w:val="FF0000"/>
                <w:sz w:val="24"/>
                <w:szCs w:val="24"/>
                <w:highlight w:val="yellow"/>
              </w:rPr>
            </w:pPr>
            <w:r>
              <w:rPr>
                <w:rFonts w:hint="eastAsia" w:ascii="宋体" w:hAnsi="宋体" w:eastAsia="宋体" w:cs="宋体"/>
                <w:b w:val="0"/>
                <w:bCs w:val="0"/>
                <w:color w:val="FF0000"/>
                <w:sz w:val="24"/>
                <w:szCs w:val="24"/>
                <w:highlight w:val="yellow"/>
                <w:lang w:val="en-US" w:eastAsia="zh-CN"/>
              </w:rPr>
              <w:t>2.</w:t>
            </w:r>
            <w:r>
              <w:rPr>
                <w:rFonts w:hint="eastAsia" w:ascii="宋体" w:hAnsi="宋体" w:eastAsia="宋体" w:cs="宋体"/>
                <w:b w:val="0"/>
                <w:bCs w:val="0"/>
                <w:color w:val="FF0000"/>
                <w:sz w:val="24"/>
                <w:szCs w:val="24"/>
                <w:highlight w:val="yellow"/>
              </w:rPr>
              <w:t>“分成系数”填写要求</w:t>
            </w:r>
          </w:p>
          <w:p w14:paraId="48257039">
            <w:pPr>
              <w:pageBreakBefore w:val="0"/>
              <w:numPr>
                <w:ilvl w:val="0"/>
                <w:numId w:val="0"/>
              </w:numPr>
              <w:kinsoku/>
              <w:overflowPunct/>
              <w:topLinePunct w:val="0"/>
              <w:bidi w:val="0"/>
              <w:spacing w:line="240" w:lineRule="auto"/>
              <w:ind w:right="2" w:rightChars="1"/>
              <w:rPr>
                <w:rFonts w:hint="eastAsia" w:ascii="宋体" w:hAnsi="宋体" w:eastAsia="宋体" w:cs="宋体"/>
                <w:b/>
                <w:bCs/>
                <w:color w:val="FF0000"/>
                <w:sz w:val="24"/>
                <w:szCs w:val="24"/>
                <w:highlight w:val="none"/>
              </w:rPr>
            </w:pP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1</w:t>
            </w: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rPr>
              <w:t>填写要求：</w:t>
            </w:r>
            <w:r>
              <w:rPr>
                <w:rFonts w:hint="eastAsia" w:ascii="宋体" w:hAnsi="宋体" w:eastAsia="宋体" w:cs="宋体"/>
                <w:b/>
                <w:bCs/>
                <w:color w:val="FF0000"/>
                <w:sz w:val="24"/>
                <w:szCs w:val="24"/>
                <w:highlight w:val="none"/>
                <w:lang w:val="en-US" w:eastAsia="zh-CN"/>
              </w:rPr>
              <w:t>5</w:t>
            </w:r>
            <w:r>
              <w:rPr>
                <w:rFonts w:hint="eastAsia" w:ascii="宋体" w:hAnsi="宋体" w:eastAsia="宋体" w:cs="宋体"/>
                <w:b/>
                <w:bCs/>
                <w:color w:val="FF0000"/>
                <w:sz w:val="24"/>
                <w:szCs w:val="24"/>
                <w:highlight w:val="none"/>
              </w:rPr>
              <w:t>%≤分成系数，未按此要求填写将作投标无效处理。</w:t>
            </w:r>
          </w:p>
          <w:p w14:paraId="79207970">
            <w:pPr>
              <w:pageBreakBefore w:val="0"/>
              <w:numPr>
                <w:ilvl w:val="0"/>
                <w:numId w:val="0"/>
              </w:numPr>
              <w:kinsoku/>
              <w:overflowPunct/>
              <w:topLinePunct w:val="0"/>
              <w:bidi w:val="0"/>
              <w:spacing w:line="240" w:lineRule="auto"/>
              <w:ind w:right="2" w:rightChars="1"/>
              <w:rPr>
                <w:rFonts w:hint="eastAsia" w:ascii="宋体" w:hAnsi="宋体" w:eastAsia="宋体" w:cs="宋体"/>
                <w:b/>
                <w:bCs/>
                <w:color w:val="FF0000"/>
                <w:sz w:val="24"/>
                <w:szCs w:val="24"/>
                <w:highlight w:val="none"/>
              </w:rPr>
            </w:pP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2</w:t>
            </w: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rPr>
              <w:t>填写的“分成系数”时保留两位小数，如</w:t>
            </w:r>
            <w:r>
              <w:rPr>
                <w:rFonts w:hint="eastAsia" w:ascii="宋体" w:hAnsi="宋体" w:eastAsia="宋体" w:cs="宋体"/>
                <w:b/>
                <w:bCs/>
                <w:color w:val="FF0000"/>
                <w:sz w:val="24"/>
                <w:szCs w:val="24"/>
                <w:highlight w:val="none"/>
                <w:lang w:val="en-US" w:eastAsia="zh-CN"/>
              </w:rPr>
              <w:t>5</w:t>
            </w:r>
            <w:r>
              <w:rPr>
                <w:rFonts w:hint="eastAsia" w:ascii="宋体" w:hAnsi="宋体" w:eastAsia="宋体" w:cs="宋体"/>
                <w:b/>
                <w:bCs/>
                <w:color w:val="FF0000"/>
                <w:sz w:val="24"/>
                <w:szCs w:val="24"/>
                <w:highlight w:val="none"/>
              </w:rPr>
              <w:t>.23%、</w:t>
            </w:r>
            <w:r>
              <w:rPr>
                <w:rFonts w:hint="eastAsia" w:ascii="宋体" w:hAnsi="宋体" w:eastAsia="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rPr>
              <w:t>.22%、</w:t>
            </w:r>
            <w:r>
              <w:rPr>
                <w:rFonts w:hint="eastAsia" w:ascii="宋体" w:hAnsi="宋体" w:eastAsia="宋体" w:cs="宋体"/>
                <w:b/>
                <w:bCs/>
                <w:color w:val="FF0000"/>
                <w:sz w:val="24"/>
                <w:szCs w:val="24"/>
                <w:highlight w:val="none"/>
                <w:lang w:val="en-US" w:eastAsia="zh-CN"/>
              </w:rPr>
              <w:t>7</w:t>
            </w:r>
            <w:r>
              <w:rPr>
                <w:rFonts w:hint="eastAsia" w:ascii="宋体" w:hAnsi="宋体" w:eastAsia="宋体" w:cs="宋体"/>
                <w:b/>
                <w:bCs/>
                <w:color w:val="FF0000"/>
                <w:sz w:val="24"/>
                <w:szCs w:val="24"/>
                <w:highlight w:val="none"/>
              </w:rPr>
              <w:t>.78%；</w:t>
            </w:r>
          </w:p>
          <w:p w14:paraId="394D0CA1">
            <w:pPr>
              <w:pageBreakBefore w:val="0"/>
              <w:numPr>
                <w:ilvl w:val="0"/>
                <w:numId w:val="0"/>
              </w:numPr>
              <w:kinsoku/>
              <w:overflowPunct/>
              <w:topLinePunct w:val="0"/>
              <w:bidi w:val="0"/>
              <w:spacing w:line="240" w:lineRule="auto"/>
              <w:ind w:right="2" w:rightChars="1"/>
              <w:rPr>
                <w:rFonts w:hint="eastAsia" w:ascii="宋体" w:hAnsi="宋体" w:eastAsia="宋体" w:cs="宋体"/>
                <w:b w:val="0"/>
                <w:bCs w:val="0"/>
                <w:color w:val="FF0000"/>
                <w:sz w:val="24"/>
                <w:szCs w:val="24"/>
                <w:highlight w:val="none"/>
              </w:rPr>
            </w:pPr>
            <w:r>
              <w:rPr>
                <w:rFonts w:hint="eastAsia" w:ascii="宋体" w:hAnsi="宋体" w:eastAsia="宋体" w:cs="宋体"/>
                <w:b w:val="0"/>
                <w:bCs w:val="0"/>
                <w:color w:val="FF0000"/>
                <w:sz w:val="24"/>
                <w:szCs w:val="24"/>
                <w:highlight w:val="none"/>
                <w:lang w:eastAsia="zh-CN"/>
              </w:rPr>
              <w:t>（</w:t>
            </w:r>
            <w:r>
              <w:rPr>
                <w:rFonts w:hint="eastAsia" w:ascii="宋体" w:hAnsi="宋体" w:eastAsia="宋体" w:cs="宋体"/>
                <w:b w:val="0"/>
                <w:bCs w:val="0"/>
                <w:color w:val="FF0000"/>
                <w:sz w:val="24"/>
                <w:szCs w:val="24"/>
                <w:highlight w:val="none"/>
                <w:lang w:val="en-US" w:eastAsia="zh-CN"/>
              </w:rPr>
              <w:t>3</w:t>
            </w:r>
            <w:r>
              <w:rPr>
                <w:rFonts w:hint="eastAsia" w:ascii="宋体" w:hAnsi="宋体" w:eastAsia="宋体" w:cs="宋体"/>
                <w:b w:val="0"/>
                <w:bCs w:val="0"/>
                <w:color w:val="FF0000"/>
                <w:sz w:val="24"/>
                <w:szCs w:val="24"/>
                <w:highlight w:val="none"/>
                <w:lang w:eastAsia="zh-CN"/>
              </w:rPr>
              <w:t>）</w:t>
            </w:r>
            <w:r>
              <w:rPr>
                <w:rFonts w:hint="eastAsia" w:ascii="宋体" w:hAnsi="宋体" w:eastAsia="宋体" w:cs="宋体"/>
                <w:b w:val="0"/>
                <w:bCs w:val="0"/>
                <w:color w:val="FF0000"/>
                <w:sz w:val="24"/>
                <w:szCs w:val="24"/>
                <w:highlight w:val="none"/>
              </w:rPr>
              <w:t>投标人参与投标只允许填报一个“分成系数”，不允许填报2个（或以上）的“分成系数”；填报了2个或以上“分成系数”的，其投标将直接作投标无效处理；；</w:t>
            </w:r>
          </w:p>
          <w:p w14:paraId="12A8FC10">
            <w:pPr>
              <w:pageBreakBefore w:val="0"/>
              <w:numPr>
                <w:ilvl w:val="0"/>
                <w:numId w:val="0"/>
              </w:numPr>
              <w:kinsoku/>
              <w:overflowPunct/>
              <w:topLinePunct w:val="0"/>
              <w:bidi w:val="0"/>
              <w:spacing w:line="240" w:lineRule="auto"/>
              <w:ind w:right="2" w:rightChars="1"/>
              <w:rPr>
                <w:rFonts w:hint="eastAsia" w:ascii="宋体" w:hAnsi="宋体" w:eastAsia="宋体" w:cs="宋体"/>
                <w:b w:val="0"/>
                <w:bCs w:val="0"/>
                <w:color w:val="FF0000"/>
                <w:sz w:val="24"/>
                <w:szCs w:val="24"/>
                <w:highlight w:val="none"/>
              </w:rPr>
            </w:pPr>
            <w:r>
              <w:rPr>
                <w:rFonts w:hint="eastAsia" w:ascii="宋体" w:hAnsi="宋体" w:eastAsia="宋体" w:cs="宋体"/>
                <w:b w:val="0"/>
                <w:bCs w:val="0"/>
                <w:color w:val="FF0000"/>
                <w:sz w:val="24"/>
                <w:szCs w:val="24"/>
                <w:highlight w:val="none"/>
                <w:lang w:eastAsia="zh-CN"/>
              </w:rPr>
              <w:t>（</w:t>
            </w:r>
            <w:r>
              <w:rPr>
                <w:rFonts w:hint="eastAsia" w:ascii="宋体" w:hAnsi="宋体" w:eastAsia="宋体" w:cs="宋体"/>
                <w:b w:val="0"/>
                <w:bCs w:val="0"/>
                <w:color w:val="FF0000"/>
                <w:sz w:val="24"/>
                <w:szCs w:val="24"/>
                <w:highlight w:val="none"/>
                <w:lang w:val="en-US" w:eastAsia="zh-CN"/>
              </w:rPr>
              <w:t>4</w:t>
            </w:r>
            <w:r>
              <w:rPr>
                <w:rFonts w:hint="eastAsia" w:ascii="宋体" w:hAnsi="宋体" w:eastAsia="宋体" w:cs="宋体"/>
                <w:b w:val="0"/>
                <w:bCs w:val="0"/>
                <w:color w:val="FF0000"/>
                <w:sz w:val="24"/>
                <w:szCs w:val="24"/>
                <w:highlight w:val="none"/>
                <w:lang w:eastAsia="zh-CN"/>
              </w:rPr>
              <w:t>）</w:t>
            </w:r>
            <w:r>
              <w:rPr>
                <w:rFonts w:hint="eastAsia" w:ascii="宋体" w:hAnsi="宋体" w:eastAsia="宋体" w:cs="宋体"/>
                <w:b w:val="0"/>
                <w:bCs w:val="0"/>
                <w:color w:val="FF0000"/>
                <w:sz w:val="24"/>
                <w:szCs w:val="24"/>
                <w:highlight w:val="none"/>
              </w:rPr>
              <w:t>“分成系数”缺填、漏填将直接作投标无效处理。</w:t>
            </w:r>
          </w:p>
          <w:p w14:paraId="01A4B3E6">
            <w:pPr>
              <w:pageBreakBefore w:val="0"/>
              <w:numPr>
                <w:ilvl w:val="0"/>
                <w:numId w:val="0"/>
              </w:numPr>
              <w:kinsoku/>
              <w:overflowPunct/>
              <w:topLinePunct w:val="0"/>
              <w:bidi w:val="0"/>
              <w:spacing w:line="240" w:lineRule="auto"/>
              <w:ind w:right="2" w:rightChars="1"/>
              <w:rPr>
                <w:rFonts w:hint="eastAsia" w:ascii="宋体" w:hAnsi="宋体" w:eastAsia="宋体" w:cs="宋体"/>
                <w:b w:val="0"/>
                <w:bCs w:val="0"/>
                <w:sz w:val="24"/>
                <w:szCs w:val="24"/>
                <w:highlight w:val="none"/>
              </w:rPr>
            </w:pPr>
            <w:r>
              <w:rPr>
                <w:rFonts w:hint="eastAsia" w:ascii="宋体" w:hAnsi="宋体" w:eastAsia="宋体" w:cs="宋体"/>
                <w:b w:val="0"/>
                <w:bCs w:val="0"/>
                <w:color w:val="FF0000"/>
                <w:sz w:val="24"/>
                <w:szCs w:val="24"/>
                <w:highlight w:val="none"/>
              </w:rPr>
              <w:t>说明：当对应分成比例系数计算超过100%时，以100%为准。具体投标报价详见“</w:t>
            </w:r>
            <w:r>
              <w:rPr>
                <w:rFonts w:hint="eastAsia" w:ascii="宋体" w:hAnsi="宋体" w:eastAsia="宋体" w:cs="宋体"/>
                <w:b w:val="0"/>
                <w:bCs w:val="0"/>
                <w:color w:val="FF0000"/>
                <w:kern w:val="0"/>
                <w:sz w:val="24"/>
                <w:szCs w:val="24"/>
                <w:highlight w:val="none"/>
              </w:rPr>
              <w:t>项目报价表</w:t>
            </w:r>
            <w:r>
              <w:rPr>
                <w:rFonts w:hint="eastAsia" w:ascii="宋体" w:hAnsi="宋体" w:eastAsia="宋体" w:cs="宋体"/>
                <w:b w:val="0"/>
                <w:bCs w:val="0"/>
                <w:color w:val="FF0000"/>
                <w:sz w:val="24"/>
                <w:szCs w:val="24"/>
                <w:highlight w:val="none"/>
              </w:rPr>
              <w:t>”</w:t>
            </w:r>
            <w:r>
              <w:rPr>
                <w:rFonts w:hint="eastAsia" w:ascii="宋体" w:hAnsi="宋体" w:eastAsia="宋体" w:cs="宋体"/>
                <w:b w:val="0"/>
                <w:bCs w:val="0"/>
                <w:color w:val="FF0000"/>
                <w:kern w:val="0"/>
                <w:sz w:val="24"/>
                <w:szCs w:val="24"/>
                <w:highlight w:val="none"/>
              </w:rPr>
              <w:t>填写</w:t>
            </w:r>
            <w:r>
              <w:rPr>
                <w:rFonts w:hint="eastAsia" w:ascii="宋体" w:hAnsi="宋体" w:eastAsia="宋体" w:cs="宋体"/>
                <w:b w:val="0"/>
                <w:bCs w:val="0"/>
                <w:color w:val="FF0000"/>
                <w:sz w:val="24"/>
                <w:szCs w:val="24"/>
                <w:highlight w:val="none"/>
              </w:rPr>
              <w:t>。</w:t>
            </w:r>
          </w:p>
        </w:tc>
      </w:tr>
      <w:tr w14:paraId="2F05EB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shd w:val="clear" w:color="auto" w:fill="auto"/>
            <w:noWrap w:val="0"/>
            <w:vAlign w:val="center"/>
          </w:tcPr>
          <w:p w14:paraId="1F9FFDC5">
            <w:pPr>
              <w:pageBreakBefore w:val="0"/>
              <w:kinsoku/>
              <w:overflowPunct/>
              <w:topLinePunct w:val="0"/>
              <w:bidi w:val="0"/>
              <w:spacing w:line="240" w:lineRule="auto"/>
              <w:ind w:right="2" w:rightChars="1"/>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6</w:t>
            </w:r>
          </w:p>
        </w:tc>
        <w:tc>
          <w:tcPr>
            <w:tcW w:w="1648" w:type="dxa"/>
            <w:noWrap w:val="0"/>
            <w:vAlign w:val="center"/>
          </w:tcPr>
          <w:p w14:paraId="4E64551D">
            <w:pPr>
              <w:pageBreakBefore w:val="0"/>
              <w:kinsoku/>
              <w:overflowPunct/>
              <w:topLinePunct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投标人的资格要求</w:t>
            </w:r>
          </w:p>
        </w:tc>
        <w:tc>
          <w:tcPr>
            <w:tcW w:w="6068" w:type="dxa"/>
            <w:noWrap w:val="0"/>
            <w:vAlign w:val="center"/>
          </w:tcPr>
          <w:p w14:paraId="6DC23BE9">
            <w:pPr>
              <w:pageBreakBefore w:val="0"/>
              <w:kinsoku/>
              <w:overflowPunct/>
              <w:topLinePunct w:val="0"/>
              <w:bidi w:val="0"/>
              <w:spacing w:line="24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详见“招标公告”。</w:t>
            </w:r>
          </w:p>
        </w:tc>
      </w:tr>
      <w:tr w14:paraId="71EFCD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shd w:val="clear" w:color="auto" w:fill="auto"/>
            <w:noWrap w:val="0"/>
            <w:vAlign w:val="center"/>
          </w:tcPr>
          <w:p w14:paraId="77A97100">
            <w:pPr>
              <w:pageBreakBefore w:val="0"/>
              <w:kinsoku/>
              <w:overflowPunct/>
              <w:topLinePunct w:val="0"/>
              <w:bidi w:val="0"/>
              <w:spacing w:line="240" w:lineRule="auto"/>
              <w:ind w:right="2" w:rightChars="1"/>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7</w:t>
            </w:r>
          </w:p>
        </w:tc>
        <w:tc>
          <w:tcPr>
            <w:tcW w:w="1648" w:type="dxa"/>
            <w:noWrap w:val="0"/>
            <w:vAlign w:val="center"/>
          </w:tcPr>
          <w:p w14:paraId="1F60DF2A">
            <w:pPr>
              <w:pageBreakBefore w:val="0"/>
              <w:kinsoku/>
              <w:overflowPunct/>
              <w:topLinePunct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联合体投标</w:t>
            </w:r>
          </w:p>
        </w:tc>
        <w:tc>
          <w:tcPr>
            <w:tcW w:w="6068" w:type="dxa"/>
            <w:noWrap w:val="0"/>
            <w:vAlign w:val="center"/>
          </w:tcPr>
          <w:p w14:paraId="4657DC62">
            <w:pPr>
              <w:pStyle w:val="7"/>
              <w:pageBreakBefore w:val="0"/>
              <w:kinsoku/>
              <w:overflowPunct/>
              <w:topLinePunct w:val="0"/>
              <w:bidi w:val="0"/>
              <w:spacing w:beforeLines="25" w:afterLines="25" w:line="240" w:lineRule="auto"/>
              <w:ind w:firstLine="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本项目</w:t>
            </w:r>
            <w:r>
              <w:rPr>
                <w:rFonts w:hint="eastAsia" w:ascii="宋体" w:hAnsi="宋体" w:eastAsia="宋体" w:cs="宋体"/>
                <w:b w:val="0"/>
                <w:bCs w:val="0"/>
                <w:color w:val="FF0000"/>
                <w:kern w:val="0"/>
                <w:sz w:val="24"/>
                <w:szCs w:val="24"/>
              </w:rPr>
              <w:t>接受</w:t>
            </w:r>
            <w:r>
              <w:rPr>
                <w:rFonts w:hint="eastAsia" w:ascii="宋体" w:hAnsi="宋体" w:eastAsia="宋体" w:cs="宋体"/>
                <w:b w:val="0"/>
                <w:bCs w:val="0"/>
                <w:sz w:val="24"/>
                <w:szCs w:val="24"/>
                <w:highlight w:val="none"/>
              </w:rPr>
              <w:t>联合体投标。</w:t>
            </w:r>
          </w:p>
        </w:tc>
      </w:tr>
      <w:tr w14:paraId="0D96FC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shd w:val="clear" w:color="auto" w:fill="auto"/>
            <w:noWrap w:val="0"/>
            <w:vAlign w:val="center"/>
          </w:tcPr>
          <w:p w14:paraId="674CCDB1">
            <w:pPr>
              <w:pageBreakBefore w:val="0"/>
              <w:kinsoku/>
              <w:overflowPunct/>
              <w:topLinePunct w:val="0"/>
              <w:bidi w:val="0"/>
              <w:spacing w:line="240" w:lineRule="auto"/>
              <w:ind w:right="2" w:rightChars="1"/>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8</w:t>
            </w:r>
          </w:p>
        </w:tc>
        <w:tc>
          <w:tcPr>
            <w:tcW w:w="1648" w:type="dxa"/>
            <w:noWrap w:val="0"/>
            <w:vAlign w:val="center"/>
          </w:tcPr>
          <w:p w14:paraId="7CDCCAF0">
            <w:pPr>
              <w:pageBreakBefore w:val="0"/>
              <w:kinsoku/>
              <w:overflowPunct/>
              <w:topLinePunct w:val="0"/>
              <w:bidi w:val="0"/>
              <w:spacing w:line="240" w:lineRule="auto"/>
              <w:ind w:right="2" w:rightChars="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6068" w:type="dxa"/>
            <w:noWrap w:val="0"/>
            <w:vAlign w:val="center"/>
          </w:tcPr>
          <w:p w14:paraId="51F525FF">
            <w:pPr>
              <w:pageBreakBefore w:val="0"/>
              <w:kinsoku/>
              <w:overflowPunct/>
              <w:topLinePunct w:val="0"/>
              <w:bidi w:val="0"/>
              <w:spacing w:line="240" w:lineRule="auto"/>
              <w:ind w:right="2" w:rightChars="1"/>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120日历天</w:t>
            </w:r>
            <w:r>
              <w:rPr>
                <w:rFonts w:hint="eastAsia" w:ascii="宋体" w:hAnsi="宋体" w:eastAsia="宋体" w:cs="宋体"/>
                <w:sz w:val="24"/>
                <w:szCs w:val="24"/>
                <w:highlight w:val="none"/>
              </w:rPr>
              <w:t>（从投标截止之日算起）。</w:t>
            </w:r>
          </w:p>
        </w:tc>
      </w:tr>
      <w:tr w14:paraId="3CF72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51" w:type="dxa"/>
            <w:shd w:val="clear" w:color="auto" w:fill="auto"/>
            <w:noWrap w:val="0"/>
            <w:vAlign w:val="center"/>
          </w:tcPr>
          <w:p w14:paraId="1767F53A">
            <w:pPr>
              <w:pageBreakBefore w:val="0"/>
              <w:kinsoku/>
              <w:overflowPunct/>
              <w:topLinePunct w:val="0"/>
              <w:bidi w:val="0"/>
              <w:spacing w:line="240" w:lineRule="auto"/>
              <w:ind w:right="2" w:rightChars="1"/>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9</w:t>
            </w:r>
          </w:p>
        </w:tc>
        <w:tc>
          <w:tcPr>
            <w:tcW w:w="1648" w:type="dxa"/>
            <w:noWrap w:val="0"/>
            <w:vAlign w:val="center"/>
          </w:tcPr>
          <w:p w14:paraId="5F038A4A">
            <w:pPr>
              <w:pageBreakBefore w:val="0"/>
              <w:kinsoku/>
              <w:overflowPunct/>
              <w:topLinePunct w:val="0"/>
              <w:bidi w:val="0"/>
              <w:spacing w:line="240" w:lineRule="auto"/>
              <w:ind w:right="2" w:rightChars="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投标人的替代方案</w:t>
            </w:r>
          </w:p>
        </w:tc>
        <w:tc>
          <w:tcPr>
            <w:tcW w:w="6068" w:type="dxa"/>
            <w:noWrap w:val="0"/>
            <w:vAlign w:val="center"/>
          </w:tcPr>
          <w:p w14:paraId="7925BECF">
            <w:pPr>
              <w:pageBreakBefore w:val="0"/>
              <w:kinsoku/>
              <w:overflowPunct/>
              <w:topLinePunct w:val="0"/>
              <w:bidi w:val="0"/>
              <w:spacing w:line="240" w:lineRule="auto"/>
              <w:ind w:right="2" w:rightChars="1"/>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4F0CA1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6" w:hRule="atLeast"/>
          <w:jc w:val="center"/>
        </w:trPr>
        <w:tc>
          <w:tcPr>
            <w:tcW w:w="651" w:type="dxa"/>
            <w:tcBorders>
              <w:bottom w:val="single" w:color="auto" w:sz="4" w:space="0"/>
            </w:tcBorders>
            <w:shd w:val="clear" w:color="auto" w:fill="auto"/>
            <w:noWrap w:val="0"/>
            <w:vAlign w:val="center"/>
          </w:tcPr>
          <w:p w14:paraId="63D25A09">
            <w:pPr>
              <w:pageBreakBefore w:val="0"/>
              <w:kinsoku/>
              <w:overflowPunct/>
              <w:topLinePunct w:val="0"/>
              <w:bidi w:val="0"/>
              <w:spacing w:line="240" w:lineRule="auto"/>
              <w:ind w:right="2" w:rightChars="1"/>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11</w:t>
            </w:r>
          </w:p>
        </w:tc>
        <w:tc>
          <w:tcPr>
            <w:tcW w:w="1648" w:type="dxa"/>
            <w:tcBorders>
              <w:bottom w:val="single" w:color="auto" w:sz="4" w:space="0"/>
            </w:tcBorders>
            <w:noWrap w:val="0"/>
            <w:vAlign w:val="center"/>
          </w:tcPr>
          <w:p w14:paraId="2841786C">
            <w:pPr>
              <w:pageBreakBefore w:val="0"/>
              <w:kinsoku/>
              <w:overflowPunct/>
              <w:topLinePunct w:val="0"/>
              <w:bidi w:val="0"/>
              <w:spacing w:line="240" w:lineRule="auto"/>
              <w:ind w:right="2" w:rightChars="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投标文件的投递</w:t>
            </w:r>
          </w:p>
        </w:tc>
        <w:tc>
          <w:tcPr>
            <w:tcW w:w="6068" w:type="dxa"/>
            <w:tcBorders>
              <w:bottom w:val="single" w:color="auto" w:sz="4" w:space="0"/>
            </w:tcBorders>
            <w:noWrap w:val="0"/>
            <w:vAlign w:val="center"/>
          </w:tcPr>
          <w:p w14:paraId="15DE3AD1">
            <w:pPr>
              <w:pageBreakBefore w:val="0"/>
              <w:kinsoku/>
              <w:overflowPunct/>
              <w:topLinePunct w:val="0"/>
              <w:bidi w:val="0"/>
              <w:spacing w:line="240" w:lineRule="auto"/>
              <w:ind w:right="2" w:rightChars="1"/>
              <w:rPr>
                <w:rFonts w:hint="eastAsia" w:ascii="宋体" w:hAnsi="宋体" w:eastAsia="宋体" w:cs="宋体"/>
                <w:sz w:val="24"/>
                <w:szCs w:val="24"/>
                <w:highlight w:val="none"/>
              </w:rPr>
            </w:pPr>
            <w:r>
              <w:rPr>
                <w:rFonts w:hint="eastAsia" w:ascii="宋体" w:hAnsi="宋体" w:eastAsia="宋体" w:cs="宋体"/>
                <w:sz w:val="24"/>
                <w:szCs w:val="24"/>
                <w:highlight w:val="none"/>
              </w:rPr>
              <w:t>本项目实行网上投标，投标人必须在招标文件规定的投标截止时间前将编制好的电子投标文件上传，投标文件大小不得超过100MB。</w:t>
            </w:r>
          </w:p>
        </w:tc>
      </w:tr>
      <w:tr w14:paraId="5F27C3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6" w:hRule="atLeast"/>
          <w:jc w:val="center"/>
        </w:trPr>
        <w:tc>
          <w:tcPr>
            <w:tcW w:w="651" w:type="dxa"/>
            <w:shd w:val="clear" w:color="auto" w:fill="auto"/>
            <w:noWrap w:val="0"/>
            <w:vAlign w:val="center"/>
          </w:tcPr>
          <w:p w14:paraId="0C872465">
            <w:pPr>
              <w:pageBreakBefore w:val="0"/>
              <w:kinsoku/>
              <w:overflowPunct/>
              <w:topLinePunct w:val="0"/>
              <w:bidi w:val="0"/>
              <w:spacing w:line="240" w:lineRule="auto"/>
              <w:ind w:right="2" w:rightChars="1"/>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1648" w:type="dxa"/>
            <w:noWrap w:val="0"/>
            <w:vAlign w:val="center"/>
          </w:tcPr>
          <w:p w14:paraId="6B4D7B7F">
            <w:pPr>
              <w:pageBreakBefore w:val="0"/>
              <w:kinsoku/>
              <w:overflowPunct/>
              <w:topLinePunct w:val="0"/>
              <w:bidi w:val="0"/>
              <w:spacing w:line="240" w:lineRule="auto"/>
              <w:ind w:right="2" w:rightChars="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项目类型及参照法规</w:t>
            </w:r>
          </w:p>
        </w:tc>
        <w:tc>
          <w:tcPr>
            <w:tcW w:w="6068" w:type="dxa"/>
            <w:noWrap w:val="0"/>
            <w:vAlign w:val="center"/>
          </w:tcPr>
          <w:p w14:paraId="46226ED7">
            <w:pPr>
              <w:pageBreakBefore w:val="0"/>
              <w:kinsoku/>
              <w:overflowPunct/>
              <w:topLinePunct w:val="0"/>
              <w:bidi w:val="0"/>
              <w:spacing w:line="240" w:lineRule="auto"/>
              <w:ind w:right="2" w:rightChars="1"/>
              <w:rPr>
                <w:rFonts w:hint="eastAsia" w:ascii="宋体" w:hAnsi="宋体" w:eastAsia="宋体" w:cs="宋体"/>
                <w:sz w:val="24"/>
                <w:szCs w:val="24"/>
                <w:highlight w:val="none"/>
              </w:rPr>
            </w:pPr>
            <w:r>
              <w:rPr>
                <w:rFonts w:hint="eastAsia" w:ascii="宋体" w:hAnsi="宋体" w:eastAsia="宋体" w:cs="宋体"/>
                <w:sz w:val="24"/>
                <w:szCs w:val="24"/>
                <w:highlight w:val="none"/>
              </w:rPr>
              <w:t>本项目为运营权项目，</w:t>
            </w:r>
            <w:r>
              <w:rPr>
                <w:rFonts w:hint="eastAsia" w:ascii="宋体" w:hAnsi="宋体" w:eastAsia="宋体" w:cs="宋体"/>
                <w:sz w:val="24"/>
                <w:szCs w:val="24"/>
                <w:highlight w:val="none"/>
                <w:lang w:val="en-US" w:eastAsia="zh-CN"/>
              </w:rPr>
              <w:t>参照</w:t>
            </w:r>
            <w:r>
              <w:rPr>
                <w:rFonts w:hint="eastAsia" w:ascii="宋体" w:hAnsi="宋体" w:eastAsia="宋体" w:cs="宋体"/>
                <w:sz w:val="24"/>
                <w:szCs w:val="24"/>
                <w:highlight w:val="none"/>
              </w:rPr>
              <w:t>《中华人民共和国招标投标法》《中华人民共和国政府采购法》《</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"http://www.baidu.com/link?url=6TUmbbSdkQxdcJaeHRzTO4mBxp9fQtiBr4U3woWl_azESqs3mBGaEop_LCuC-SJkD_IjzhVv5T3W1ed0YfeWVnmlKtx2JOuwBjACvXaaFhK" \t "https://www.baidu.com/_blank"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中华人民共和国民法典</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》，并参照有关法规、政策、规章、规定通过公开招标择优选定</w:t>
            </w:r>
            <w:r>
              <w:rPr>
                <w:rFonts w:hint="eastAsia" w:ascii="宋体" w:hAnsi="宋体" w:eastAsia="宋体" w:cs="宋体"/>
                <w:sz w:val="24"/>
                <w:szCs w:val="24"/>
                <w:highlight w:val="none"/>
                <w:lang w:val="en-US" w:eastAsia="zh-CN"/>
              </w:rPr>
              <w:t>运营方</w:t>
            </w:r>
            <w:r>
              <w:rPr>
                <w:rFonts w:hint="eastAsia" w:ascii="宋体" w:hAnsi="宋体" w:eastAsia="宋体" w:cs="宋体"/>
                <w:sz w:val="24"/>
                <w:szCs w:val="24"/>
                <w:highlight w:val="none"/>
              </w:rPr>
              <w:t>。</w:t>
            </w:r>
          </w:p>
        </w:tc>
      </w:tr>
      <w:tr w14:paraId="5D8489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6" w:hRule="atLeast"/>
          <w:jc w:val="center"/>
        </w:trPr>
        <w:tc>
          <w:tcPr>
            <w:tcW w:w="651" w:type="dxa"/>
            <w:shd w:val="clear" w:color="auto" w:fill="auto"/>
            <w:noWrap w:val="0"/>
            <w:vAlign w:val="center"/>
          </w:tcPr>
          <w:p w14:paraId="02AB2ED3">
            <w:pPr>
              <w:pageBreakBefore w:val="0"/>
              <w:kinsoku/>
              <w:overflowPunct/>
              <w:topLinePunct w:val="0"/>
              <w:bidi w:val="0"/>
              <w:spacing w:line="240" w:lineRule="auto"/>
              <w:ind w:right="2" w:rightChars="1"/>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13</w:t>
            </w:r>
          </w:p>
        </w:tc>
        <w:tc>
          <w:tcPr>
            <w:tcW w:w="1648" w:type="dxa"/>
            <w:noWrap w:val="0"/>
            <w:vAlign w:val="center"/>
          </w:tcPr>
          <w:p w14:paraId="58735078">
            <w:pPr>
              <w:pageBreakBefore w:val="0"/>
              <w:kinsoku/>
              <w:overflowPunct/>
              <w:topLinePunct w:val="0"/>
              <w:bidi w:val="0"/>
              <w:spacing w:line="240" w:lineRule="auto"/>
              <w:ind w:right="2" w:rightChars="1"/>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招标代理服务费</w:t>
            </w:r>
          </w:p>
        </w:tc>
        <w:tc>
          <w:tcPr>
            <w:tcW w:w="6068" w:type="dxa"/>
            <w:noWrap w:val="0"/>
            <w:vAlign w:val="center"/>
          </w:tcPr>
          <w:p w14:paraId="573B0B3C">
            <w:pPr>
              <w:pageBreakBefore w:val="0"/>
              <w:kinsoku/>
              <w:overflowPunct/>
              <w:topLinePunct w:val="0"/>
              <w:bidi w:val="0"/>
              <w:spacing w:line="24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本项目为运营</w:t>
            </w:r>
            <w:r>
              <w:rPr>
                <w:rFonts w:hint="eastAsia" w:ascii="宋体" w:hAnsi="宋体" w:eastAsia="宋体" w:cs="宋体"/>
                <w:bCs/>
                <w:sz w:val="24"/>
                <w:szCs w:val="24"/>
                <w:highlight w:val="none"/>
                <w:lang w:val="en-US" w:eastAsia="zh-CN"/>
              </w:rPr>
              <w:t>权</w:t>
            </w:r>
            <w:r>
              <w:rPr>
                <w:rFonts w:hint="eastAsia" w:ascii="宋体" w:hAnsi="宋体" w:eastAsia="宋体" w:cs="宋体"/>
                <w:bCs/>
                <w:sz w:val="24"/>
                <w:szCs w:val="24"/>
                <w:highlight w:val="none"/>
              </w:rPr>
              <w:t>招标，招标代理费以</w:t>
            </w:r>
            <w:r>
              <w:rPr>
                <w:rFonts w:hint="eastAsia" w:ascii="宋体" w:hAnsi="宋体" w:eastAsia="宋体" w:cs="宋体"/>
                <w:bCs/>
                <w:sz w:val="24"/>
                <w:szCs w:val="24"/>
                <w:highlight w:val="none"/>
                <w:u w:val="single"/>
                <w:lang w:val="en-US" w:eastAsia="zh-CN"/>
              </w:rPr>
              <w:t>242.05</w:t>
            </w:r>
            <w:r>
              <w:rPr>
                <w:rFonts w:hint="eastAsia" w:ascii="宋体" w:hAnsi="宋体" w:eastAsia="宋体" w:cs="宋体"/>
                <w:bCs/>
                <w:sz w:val="24"/>
                <w:szCs w:val="24"/>
                <w:highlight w:val="none"/>
                <w:u w:val="single"/>
              </w:rPr>
              <w:t>万元</w:t>
            </w:r>
            <w:r>
              <w:rPr>
                <w:rFonts w:hint="eastAsia" w:ascii="宋体" w:hAnsi="宋体" w:eastAsia="宋体" w:cs="宋体"/>
                <w:bCs/>
                <w:sz w:val="24"/>
                <w:szCs w:val="24"/>
                <w:highlight w:val="none"/>
              </w:rPr>
              <w:t>为计费基数，根据《关于印发深圳交易集团有限公司（深圳公共资源交易中心）业务收费标准的通知》（深交易〔2023〕69号），按“</w:t>
            </w:r>
            <w:r>
              <w:rPr>
                <w:rFonts w:hint="eastAsia" w:ascii="宋体" w:hAnsi="宋体" w:eastAsia="宋体" w:cs="宋体"/>
                <w:bCs/>
                <w:sz w:val="24"/>
                <w:szCs w:val="24"/>
                <w:highlight w:val="none"/>
                <w:lang w:val="en-US" w:eastAsia="zh-CN"/>
              </w:rPr>
              <w:t>经营权交易业务</w:t>
            </w:r>
            <w:r>
              <w:rPr>
                <w:rFonts w:hint="eastAsia" w:ascii="宋体" w:hAnsi="宋体" w:eastAsia="宋体" w:cs="宋体"/>
                <w:bCs/>
                <w:sz w:val="24"/>
                <w:szCs w:val="24"/>
                <w:highlight w:val="none"/>
              </w:rPr>
              <w:t>”计算，为</w:t>
            </w:r>
            <w:r>
              <w:rPr>
                <w:rFonts w:hint="eastAsia" w:ascii="宋体" w:hAnsi="宋体" w:eastAsia="宋体" w:cs="宋体"/>
                <w:bCs/>
                <w:sz w:val="24"/>
                <w:szCs w:val="24"/>
                <w:highlight w:val="none"/>
                <w:u w:val="single"/>
              </w:rPr>
              <w:t>人民币</w:t>
            </w:r>
            <w:r>
              <w:rPr>
                <w:rFonts w:hint="eastAsia" w:ascii="宋体" w:hAnsi="宋体" w:eastAsia="宋体" w:cs="宋体"/>
                <w:bCs/>
                <w:sz w:val="24"/>
                <w:szCs w:val="24"/>
                <w:highlight w:val="none"/>
                <w:u w:val="single"/>
                <w:lang w:val="en-US" w:eastAsia="zh-CN"/>
              </w:rPr>
              <w:t>贰万陆仟叁佰陆拾肆元</w:t>
            </w:r>
            <w:r>
              <w:rPr>
                <w:rFonts w:hint="eastAsia" w:ascii="宋体" w:hAnsi="宋体" w:eastAsia="宋体" w:cs="宋体"/>
                <w:bCs/>
                <w:sz w:val="24"/>
                <w:szCs w:val="24"/>
                <w:highlight w:val="none"/>
                <w:u w:val="none"/>
              </w:rPr>
              <w:t>（￥26364.00元），</w:t>
            </w:r>
            <w:r>
              <w:rPr>
                <w:rFonts w:hint="eastAsia" w:ascii="宋体" w:hAnsi="宋体" w:eastAsia="宋体" w:cs="宋体"/>
                <w:bCs/>
                <w:sz w:val="24"/>
                <w:szCs w:val="24"/>
                <w:highlight w:val="none"/>
              </w:rPr>
              <w:t>由中标人向</w:t>
            </w:r>
            <w:r>
              <w:rPr>
                <w:rFonts w:hint="eastAsia" w:ascii="宋体" w:hAnsi="宋体" w:eastAsia="宋体" w:cs="宋体"/>
                <w:bCs/>
                <w:sz w:val="24"/>
                <w:szCs w:val="24"/>
                <w:highlight w:val="none"/>
                <w:lang w:eastAsia="zh-CN"/>
              </w:rPr>
              <w:t>招标代理机构</w:t>
            </w:r>
            <w:r>
              <w:rPr>
                <w:rFonts w:hint="eastAsia" w:ascii="宋体" w:hAnsi="宋体" w:eastAsia="宋体" w:cs="宋体"/>
                <w:bCs/>
                <w:sz w:val="24"/>
                <w:szCs w:val="24"/>
                <w:highlight w:val="none"/>
              </w:rPr>
              <w:t>支付。</w:t>
            </w:r>
          </w:p>
        </w:tc>
      </w:tr>
      <w:tr w14:paraId="4AD7E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6" w:hRule="atLeast"/>
          <w:jc w:val="center"/>
        </w:trPr>
        <w:tc>
          <w:tcPr>
            <w:tcW w:w="651" w:type="dxa"/>
            <w:shd w:val="clear" w:color="auto" w:fill="auto"/>
            <w:noWrap w:val="0"/>
            <w:vAlign w:val="center"/>
          </w:tcPr>
          <w:p w14:paraId="2B14C304">
            <w:pPr>
              <w:pageBreakBefore w:val="0"/>
              <w:kinsoku/>
              <w:overflowPunct/>
              <w:topLinePunct w:val="0"/>
              <w:bidi w:val="0"/>
              <w:spacing w:line="240" w:lineRule="auto"/>
              <w:ind w:right="2" w:rightChars="1"/>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14</w:t>
            </w:r>
          </w:p>
        </w:tc>
        <w:tc>
          <w:tcPr>
            <w:tcW w:w="1648" w:type="dxa"/>
            <w:noWrap w:val="0"/>
            <w:vAlign w:val="center"/>
          </w:tcPr>
          <w:p w14:paraId="6577B397">
            <w:pPr>
              <w:pageBreakBefore w:val="0"/>
              <w:kinsoku/>
              <w:overflowPunct/>
              <w:topLinePunct w:val="0"/>
              <w:bidi w:val="0"/>
              <w:spacing w:line="240" w:lineRule="auto"/>
              <w:ind w:right="2" w:rightChars="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w:t>
            </w:r>
            <w:bookmarkStart w:id="25" w:name="OLE_LINK12"/>
            <w:r>
              <w:rPr>
                <w:rFonts w:hint="eastAsia" w:ascii="宋体" w:hAnsi="宋体" w:eastAsia="宋体" w:cs="宋体"/>
                <w:sz w:val="24"/>
                <w:szCs w:val="24"/>
                <w:highlight w:val="none"/>
              </w:rPr>
              <w:t>评定分离</w:t>
            </w:r>
            <w:bookmarkEnd w:id="25"/>
          </w:p>
        </w:tc>
        <w:tc>
          <w:tcPr>
            <w:tcW w:w="6068" w:type="dxa"/>
            <w:noWrap w:val="0"/>
            <w:vAlign w:val="center"/>
          </w:tcPr>
          <w:p w14:paraId="1D9B08AB">
            <w:pPr>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lang w:val="en-US" w:eastAsia="zh-CN"/>
              </w:rPr>
              <w:t>是</w:t>
            </w:r>
          </w:p>
        </w:tc>
      </w:tr>
      <w:tr w14:paraId="1EE04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6" w:hRule="atLeast"/>
          <w:jc w:val="center"/>
        </w:trPr>
        <w:tc>
          <w:tcPr>
            <w:tcW w:w="651" w:type="dxa"/>
            <w:noWrap w:val="0"/>
            <w:vAlign w:val="center"/>
          </w:tcPr>
          <w:p w14:paraId="49CCC0CD">
            <w:pPr>
              <w:pageBreakBefore w:val="0"/>
              <w:kinsoku/>
              <w:overflowPunct/>
              <w:topLinePunct w:val="0"/>
              <w:bidi w:val="0"/>
              <w:spacing w:line="240" w:lineRule="auto"/>
              <w:ind w:right="2" w:rightChars="1"/>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1648" w:type="dxa"/>
            <w:noWrap w:val="0"/>
            <w:vAlign w:val="center"/>
          </w:tcPr>
          <w:p w14:paraId="78E0C826">
            <w:pPr>
              <w:pageBreakBefore w:val="0"/>
              <w:kinsoku/>
              <w:overflowPunct/>
              <w:topLinePunct w:val="0"/>
              <w:bidi w:val="0"/>
              <w:spacing w:line="240" w:lineRule="auto"/>
              <w:ind w:right="2" w:rightChars="1"/>
              <w:jc w:val="center"/>
              <w:rPr>
                <w:rFonts w:hint="eastAsia" w:ascii="宋体" w:hAnsi="宋体" w:eastAsia="宋体" w:cs="宋体"/>
                <w:sz w:val="24"/>
                <w:szCs w:val="24"/>
                <w:highlight w:val="none"/>
              </w:rPr>
            </w:pPr>
            <w:r>
              <w:rPr>
                <w:rFonts w:hint="eastAsia" w:ascii="宋体" w:hAnsi="宋体" w:eastAsia="宋体" w:cs="宋体"/>
                <w:b/>
                <w:bCs/>
                <w:sz w:val="24"/>
                <w:szCs w:val="24"/>
              </w:rPr>
              <w:t>履约担保</w:t>
            </w:r>
          </w:p>
        </w:tc>
        <w:tc>
          <w:tcPr>
            <w:tcW w:w="6068" w:type="dxa"/>
            <w:noWrap w:val="0"/>
            <w:vAlign w:val="center"/>
          </w:tcPr>
          <w:p w14:paraId="248C1ABA">
            <w:pPr>
              <w:pageBreakBefore w:val="0"/>
              <w:kinsoku/>
              <w:overflowPunct/>
              <w:topLinePunct w:val="0"/>
              <w:bidi w:val="0"/>
              <w:spacing w:line="240" w:lineRule="auto"/>
              <w:ind w:right="2" w:rightChars="1"/>
              <w:rPr>
                <w:rFonts w:hint="eastAsia" w:ascii="宋体" w:hAnsi="宋体" w:eastAsia="宋体" w:cs="宋体"/>
                <w:color w:val="auto"/>
                <w:sz w:val="24"/>
                <w:szCs w:val="24"/>
              </w:rPr>
            </w:pPr>
            <w:r>
              <w:rPr>
                <w:rFonts w:hint="eastAsia" w:ascii="宋体" w:hAnsi="宋体" w:eastAsia="宋体" w:cs="宋体"/>
                <w:color w:val="auto"/>
                <w:sz w:val="24"/>
                <w:szCs w:val="24"/>
              </w:rPr>
              <w:t>需要，履约担保金额为24万元，包括运营期，运营商应在收到中标通知书30天内、签订合同前向甲方足额缴纳履约保证金（以银行转账方式汇入招标人指定账户），联合体投标的履约担保由牵头单位运营单位缴纳。</w:t>
            </w:r>
          </w:p>
          <w:p w14:paraId="2728B2BA">
            <w:pPr>
              <w:pageBreakBefore w:val="0"/>
              <w:kinsoku/>
              <w:overflowPunct/>
              <w:topLinePunct w:val="0"/>
              <w:bidi w:val="0"/>
              <w:spacing w:line="240" w:lineRule="auto"/>
              <w:ind w:right="2" w:rightChars="1"/>
              <w:rPr>
                <w:rFonts w:hint="eastAsia" w:ascii="宋体" w:hAnsi="宋体" w:eastAsia="宋体" w:cs="宋体"/>
                <w:color w:val="FF0000"/>
                <w:kern w:val="0"/>
                <w:sz w:val="24"/>
                <w:szCs w:val="24"/>
              </w:rPr>
            </w:pPr>
            <w:r>
              <w:rPr>
                <w:rFonts w:hint="eastAsia" w:ascii="宋体" w:hAnsi="宋体" w:eastAsia="宋体" w:cs="宋体"/>
                <w:color w:val="auto"/>
                <w:sz w:val="24"/>
                <w:szCs w:val="24"/>
              </w:rPr>
              <w:t>在运营商完全履行合同义务，且招标人根据合同约定的担保责任确认解除后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个工作日内，招标人应将无息退还履约保证金全额，退还至运营商指定的银行账户（需在退还申请中提供有效账户信息）。</w:t>
            </w:r>
          </w:p>
        </w:tc>
      </w:tr>
    </w:tbl>
    <w:p w14:paraId="2F839D94">
      <w:pPr>
        <w:widowControl/>
        <w:jc w:val="center"/>
        <w:rPr>
          <w:rFonts w:hint="eastAsia"/>
          <w:szCs w:val="21"/>
        </w:rPr>
      </w:pPr>
    </w:p>
    <w:p w14:paraId="3D92AE57">
      <w:pPr>
        <w:keepNext/>
        <w:keepLines/>
        <w:adjustRightInd w:val="0"/>
        <w:spacing w:beforeLines="50" w:afterLines="50"/>
        <w:jc w:val="center"/>
        <w:textAlignment w:val="baseline"/>
        <w:outlineLvl w:val="2"/>
        <w:rPr>
          <w:rFonts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798ED6A0">
      <w:pPr>
        <w:tabs>
          <w:tab w:val="left" w:pos="720"/>
        </w:tabs>
        <w:ind w:firstLine="480" w:firstLineChars="200"/>
        <w:jc w:val="both"/>
        <w:rPr>
          <w:rFonts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61D8DA23">
      <w:pPr>
        <w:tabs>
          <w:tab w:val="left" w:pos="720"/>
        </w:tabs>
        <w:ind w:firstLine="482" w:firstLineChars="200"/>
        <w:rPr>
          <w:rFonts w:hint="eastAsia" w:ascii="宋体" w:hAnsi="宋体" w:eastAsia="宋体" w:cs="宋体"/>
          <w:b/>
          <w:bCs/>
          <w:sz w:val="24"/>
          <w:szCs w:val="24"/>
          <w:highlight w:val="none"/>
          <w:lang w:val="en-US" w:eastAsia="zh-CN"/>
        </w:rPr>
      </w:pPr>
    </w:p>
    <w:p w14:paraId="5C754422">
      <w:pPr>
        <w:tabs>
          <w:tab w:val="left" w:pos="720"/>
        </w:tabs>
        <w:ind w:firstLine="482" w:firstLineChars="200"/>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w:t>
      </w:r>
      <w:r>
        <w:rPr>
          <w:rFonts w:hint="eastAsia" w:ascii="黑体" w:hAnsi="宋体" w:eastAsia="黑体"/>
          <w:bCs/>
          <w:sz w:val="24"/>
          <w:lang w:val="en-US" w:eastAsia="zh-CN"/>
        </w:rPr>
        <w:t>评标定标信息</w:t>
      </w:r>
    </w:p>
    <w:p w14:paraId="13AD711E">
      <w:pPr>
        <w:jc w:val="center"/>
        <w:rPr>
          <w:b/>
        </w:rPr>
      </w:pPr>
      <w:r>
        <w:rPr>
          <w:rFonts w:hint="eastAsia"/>
          <w:b/>
        </w:rPr>
        <w:t>评定分离项目</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7103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3F268921">
            <w:pPr>
              <w:jc w:val="center"/>
            </w:pPr>
            <w:r>
              <w:rPr>
                <w:rFonts w:hint="eastAsia"/>
              </w:rPr>
              <w:t>评标方法</w:t>
            </w:r>
          </w:p>
        </w:tc>
        <w:tc>
          <w:tcPr>
            <w:tcW w:w="4397" w:type="dxa"/>
          </w:tcPr>
          <w:p w14:paraId="0AC48D9A">
            <w:pPr>
              <w:jc w:val="center"/>
            </w:pPr>
            <w:r>
              <w:rPr>
                <w:rFonts w:hint="eastAsia"/>
              </w:rPr>
              <w:t>综合评分法</w:t>
            </w:r>
          </w:p>
        </w:tc>
      </w:tr>
      <w:tr w14:paraId="1110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700738C8">
            <w:pPr>
              <w:jc w:val="center"/>
            </w:pPr>
            <w:r>
              <w:rPr>
                <w:rFonts w:hint="eastAsia"/>
              </w:rPr>
              <w:t>定标方法</w:t>
            </w:r>
          </w:p>
        </w:tc>
        <w:tc>
          <w:tcPr>
            <w:tcW w:w="4397" w:type="dxa"/>
          </w:tcPr>
          <w:p w14:paraId="4D33F99D">
            <w:pPr>
              <w:jc w:val="center"/>
            </w:pPr>
            <w:r>
              <w:rPr>
                <w:rFonts w:hint="eastAsia"/>
              </w:rPr>
              <w:t>自定法</w:t>
            </w:r>
          </w:p>
        </w:tc>
      </w:tr>
      <w:tr w14:paraId="1D7A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55DDA731">
            <w:pPr>
              <w:jc w:val="center"/>
            </w:pPr>
            <w:r>
              <w:rPr>
                <w:rFonts w:hint="eastAsia"/>
              </w:rPr>
              <w:t>推荐候选中标供应商家数</w:t>
            </w:r>
          </w:p>
        </w:tc>
        <w:tc>
          <w:tcPr>
            <w:tcW w:w="4397" w:type="dxa"/>
          </w:tcPr>
          <w:p w14:paraId="53169DFD">
            <w:pPr>
              <w:jc w:val="center"/>
            </w:pPr>
            <w:r>
              <w:rPr>
                <w:rFonts w:hint="eastAsia"/>
              </w:rPr>
              <w:t>3</w:t>
            </w:r>
          </w:p>
        </w:tc>
      </w:tr>
      <w:tr w14:paraId="045E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4CB2CD07">
            <w:pPr>
              <w:jc w:val="center"/>
            </w:pPr>
            <w:r>
              <w:rPr>
                <w:rFonts w:hint="eastAsia"/>
              </w:rPr>
              <w:t>中标供应商家数</w:t>
            </w:r>
          </w:p>
        </w:tc>
        <w:tc>
          <w:tcPr>
            <w:tcW w:w="4397" w:type="dxa"/>
          </w:tcPr>
          <w:p w14:paraId="490B34C6">
            <w:pPr>
              <w:jc w:val="center"/>
            </w:pPr>
            <w:r>
              <w:rPr>
                <w:rFonts w:hint="eastAsia"/>
              </w:rPr>
              <w:t>1</w:t>
            </w:r>
          </w:p>
        </w:tc>
      </w:tr>
    </w:tbl>
    <w:p w14:paraId="1229C64B">
      <w:pPr>
        <w:jc w:val="center"/>
        <w:rPr>
          <w:rFonts w:hint="eastAsia"/>
          <w:b/>
        </w:rPr>
      </w:pPr>
    </w:p>
    <w:p w14:paraId="614FF5F1">
      <w:pPr>
        <w:jc w:val="center"/>
        <w:rPr>
          <w:rFonts w:hint="eastAsia"/>
          <w:b/>
        </w:rPr>
      </w:pPr>
    </w:p>
    <w:p w14:paraId="7E5BB00E">
      <w:pPr>
        <w:pageBreakBefore w:val="0"/>
        <w:numPr>
          <w:ilvl w:val="0"/>
          <w:numId w:val="0"/>
        </w:numPr>
        <w:kinsoku/>
        <w:overflowPunct/>
        <w:topLinePunct w:val="0"/>
        <w:autoSpaceDE/>
        <w:autoSpaceDN/>
        <w:bidi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2、本项目为代理服务项目，将向中标（成交）</w:t>
      </w:r>
      <w:r>
        <w:rPr>
          <w:rFonts w:hint="eastAsia" w:ascii="宋体" w:hAnsi="宋体" w:eastAsia="宋体" w:cs="宋体"/>
          <w:b/>
          <w:sz w:val="24"/>
          <w:szCs w:val="24"/>
          <w:highlight w:val="none"/>
          <w:lang w:val="en-US" w:eastAsia="zh-CN"/>
        </w:rPr>
        <w:t>人</w:t>
      </w:r>
      <w:r>
        <w:rPr>
          <w:rFonts w:hint="eastAsia" w:ascii="宋体" w:hAnsi="宋体" w:eastAsia="宋体" w:cs="宋体"/>
          <w:b/>
          <w:sz w:val="24"/>
          <w:szCs w:val="24"/>
          <w:highlight w:val="none"/>
        </w:rPr>
        <w:t>收取代理服务费。</w:t>
      </w:r>
    </w:p>
    <w:p w14:paraId="34ED035C">
      <w:pPr>
        <w:pageBreakBefore w:val="0"/>
        <w:numPr>
          <w:ilvl w:val="0"/>
          <w:numId w:val="0"/>
        </w:numPr>
        <w:kinsoku/>
        <w:overflowPunct/>
        <w:topLinePunct w:val="0"/>
        <w:autoSpaceDE/>
        <w:autoSpaceDN/>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本项目招标代理服务费由中标人支付。中标人须以银行转账方式向深圳交易集团有限公司罗湖分公司缴纳代理费，具体要求以缴费通知书为准。</w:t>
      </w:r>
    </w:p>
    <w:p w14:paraId="4B8F6A43">
      <w:pPr>
        <w:pageBreakBefore w:val="0"/>
        <w:kinsoku/>
        <w:overflowPunct/>
        <w:topLinePunct w:val="0"/>
        <w:autoSpaceDE/>
        <w:autoSpaceDN/>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本项目招标代理服务费按照</w:t>
      </w:r>
      <w:r>
        <w:rPr>
          <w:rFonts w:hint="eastAsia" w:ascii="宋体" w:hAnsi="宋体" w:eastAsia="宋体" w:cs="宋体"/>
          <w:bCs/>
          <w:sz w:val="24"/>
          <w:szCs w:val="24"/>
          <w:highlight w:val="none"/>
        </w:rPr>
        <w:t>《关于印发深圳交易集团有限公司（深圳公共资源交易中心）业务收费标准的通知》（深交易〔2023〕69号）</w:t>
      </w:r>
      <w:r>
        <w:rPr>
          <w:rFonts w:hint="eastAsia" w:ascii="宋体" w:hAnsi="宋体" w:eastAsia="宋体" w:cs="宋体"/>
          <w:sz w:val="24"/>
          <w:szCs w:val="24"/>
          <w:highlight w:val="none"/>
        </w:rPr>
        <w:t>中“</w:t>
      </w:r>
      <w:r>
        <w:rPr>
          <w:rFonts w:hint="eastAsia" w:ascii="宋体" w:hAnsi="宋体" w:eastAsia="宋体" w:cs="宋体"/>
          <w:sz w:val="24"/>
          <w:szCs w:val="24"/>
          <w:highlight w:val="none"/>
          <w:lang w:val="en-US" w:eastAsia="zh-CN"/>
        </w:rPr>
        <w:t>经营权交易</w:t>
      </w:r>
      <w:r>
        <w:rPr>
          <w:rFonts w:hint="eastAsia" w:ascii="宋体" w:hAnsi="宋体" w:eastAsia="宋体" w:cs="宋体"/>
          <w:sz w:val="24"/>
          <w:szCs w:val="24"/>
          <w:highlight w:val="none"/>
        </w:rPr>
        <w:t>业务”的收费标准，以差额定率累进法计算收取。</w:t>
      </w:r>
    </w:p>
    <w:tbl>
      <w:tblPr>
        <w:tblStyle w:val="23"/>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4166"/>
      </w:tblGrid>
      <w:tr w14:paraId="18BD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853" w:type="dxa"/>
            <w:tcBorders>
              <w:top w:val="single" w:color="auto" w:sz="4" w:space="0"/>
              <w:left w:val="single" w:color="auto" w:sz="4" w:space="0"/>
              <w:bottom w:val="single" w:color="auto" w:sz="4" w:space="0"/>
              <w:right w:val="single" w:color="auto" w:sz="4" w:space="0"/>
            </w:tcBorders>
            <w:noWrap w:val="0"/>
            <w:vAlign w:val="center"/>
          </w:tcPr>
          <w:p w14:paraId="325FCCAE">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计费基数</w:t>
            </w:r>
            <w:r>
              <w:rPr>
                <w:rFonts w:hint="eastAsia" w:ascii="宋体" w:hAnsi="宋体" w:eastAsia="宋体" w:cs="宋体"/>
                <w:sz w:val="24"/>
                <w:szCs w:val="24"/>
                <w:highlight w:val="none"/>
              </w:rPr>
              <w:t>（万元）</w:t>
            </w:r>
          </w:p>
        </w:tc>
        <w:tc>
          <w:tcPr>
            <w:tcW w:w="4166" w:type="dxa"/>
            <w:tcBorders>
              <w:top w:val="single" w:color="auto" w:sz="4" w:space="0"/>
              <w:left w:val="single" w:color="auto" w:sz="4" w:space="0"/>
              <w:bottom w:val="single" w:color="auto" w:sz="4" w:space="0"/>
              <w:right w:val="single" w:color="auto" w:sz="4" w:space="0"/>
            </w:tcBorders>
            <w:noWrap w:val="0"/>
            <w:vAlign w:val="center"/>
          </w:tcPr>
          <w:p w14:paraId="5CE0CFDA">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服务招标收费费率</w:t>
            </w:r>
          </w:p>
        </w:tc>
      </w:tr>
      <w:tr w14:paraId="650A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853" w:type="dxa"/>
            <w:tcBorders>
              <w:top w:val="single" w:color="auto" w:sz="4" w:space="0"/>
              <w:left w:val="single" w:color="auto" w:sz="4" w:space="0"/>
              <w:bottom w:val="single" w:color="auto" w:sz="4" w:space="0"/>
              <w:right w:val="single" w:color="auto" w:sz="4" w:space="0"/>
            </w:tcBorders>
            <w:noWrap w:val="0"/>
            <w:vAlign w:val="top"/>
          </w:tcPr>
          <w:p w14:paraId="42312630">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100以下</w:t>
            </w:r>
          </w:p>
        </w:tc>
        <w:tc>
          <w:tcPr>
            <w:tcW w:w="4166" w:type="dxa"/>
            <w:tcBorders>
              <w:top w:val="single" w:color="auto" w:sz="4" w:space="0"/>
              <w:left w:val="single" w:color="auto" w:sz="4" w:space="0"/>
              <w:bottom w:val="single" w:color="auto" w:sz="4" w:space="0"/>
              <w:right w:val="single" w:color="auto" w:sz="4" w:space="0"/>
            </w:tcBorders>
            <w:noWrap w:val="0"/>
            <w:vAlign w:val="top"/>
          </w:tcPr>
          <w:p w14:paraId="69BF1E22">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1.50%</w:t>
            </w:r>
          </w:p>
        </w:tc>
      </w:tr>
      <w:tr w14:paraId="1AC0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853" w:type="dxa"/>
            <w:tcBorders>
              <w:top w:val="single" w:color="auto" w:sz="4" w:space="0"/>
              <w:left w:val="single" w:color="auto" w:sz="4" w:space="0"/>
              <w:bottom w:val="single" w:color="auto" w:sz="4" w:space="0"/>
              <w:right w:val="single" w:color="auto" w:sz="4" w:space="0"/>
            </w:tcBorders>
            <w:noWrap w:val="0"/>
            <w:vAlign w:val="top"/>
          </w:tcPr>
          <w:p w14:paraId="4EE1E15D">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100-500</w:t>
            </w:r>
          </w:p>
        </w:tc>
        <w:tc>
          <w:tcPr>
            <w:tcW w:w="4166" w:type="dxa"/>
            <w:tcBorders>
              <w:top w:val="single" w:color="auto" w:sz="4" w:space="0"/>
              <w:left w:val="single" w:color="auto" w:sz="4" w:space="0"/>
              <w:bottom w:val="single" w:color="auto" w:sz="4" w:space="0"/>
              <w:right w:val="single" w:color="auto" w:sz="4" w:space="0"/>
            </w:tcBorders>
            <w:noWrap w:val="0"/>
            <w:vAlign w:val="top"/>
          </w:tcPr>
          <w:p w14:paraId="5555F640">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0.80%</w:t>
            </w:r>
          </w:p>
        </w:tc>
      </w:tr>
      <w:tr w14:paraId="5884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853" w:type="dxa"/>
            <w:tcBorders>
              <w:top w:val="single" w:color="auto" w:sz="4" w:space="0"/>
              <w:left w:val="single" w:color="auto" w:sz="4" w:space="0"/>
              <w:bottom w:val="single" w:color="auto" w:sz="4" w:space="0"/>
              <w:right w:val="single" w:color="auto" w:sz="4" w:space="0"/>
            </w:tcBorders>
            <w:noWrap w:val="0"/>
            <w:vAlign w:val="top"/>
          </w:tcPr>
          <w:p w14:paraId="3B4F23BD">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500-1000</w:t>
            </w:r>
          </w:p>
        </w:tc>
        <w:tc>
          <w:tcPr>
            <w:tcW w:w="4166" w:type="dxa"/>
            <w:tcBorders>
              <w:top w:val="single" w:color="auto" w:sz="4" w:space="0"/>
              <w:left w:val="single" w:color="auto" w:sz="4" w:space="0"/>
              <w:bottom w:val="single" w:color="auto" w:sz="4" w:space="0"/>
              <w:right w:val="single" w:color="auto" w:sz="4" w:space="0"/>
            </w:tcBorders>
            <w:noWrap w:val="0"/>
            <w:vAlign w:val="top"/>
          </w:tcPr>
          <w:p w14:paraId="4A4E93F6">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0.45%</w:t>
            </w:r>
          </w:p>
        </w:tc>
      </w:tr>
      <w:tr w14:paraId="08CE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853" w:type="dxa"/>
            <w:tcBorders>
              <w:top w:val="single" w:color="auto" w:sz="4" w:space="0"/>
              <w:left w:val="single" w:color="auto" w:sz="4" w:space="0"/>
              <w:bottom w:val="single" w:color="auto" w:sz="4" w:space="0"/>
              <w:right w:val="single" w:color="auto" w:sz="4" w:space="0"/>
            </w:tcBorders>
            <w:noWrap w:val="0"/>
            <w:vAlign w:val="top"/>
          </w:tcPr>
          <w:p w14:paraId="18A1CDAE">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1000-5000</w:t>
            </w:r>
          </w:p>
        </w:tc>
        <w:tc>
          <w:tcPr>
            <w:tcW w:w="4166" w:type="dxa"/>
            <w:tcBorders>
              <w:top w:val="single" w:color="auto" w:sz="4" w:space="0"/>
              <w:left w:val="single" w:color="auto" w:sz="4" w:space="0"/>
              <w:bottom w:val="single" w:color="auto" w:sz="4" w:space="0"/>
              <w:right w:val="single" w:color="auto" w:sz="4" w:space="0"/>
            </w:tcBorders>
            <w:noWrap w:val="0"/>
            <w:vAlign w:val="top"/>
          </w:tcPr>
          <w:p w14:paraId="222AF4E3">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0.25%</w:t>
            </w:r>
          </w:p>
        </w:tc>
      </w:tr>
      <w:tr w14:paraId="7426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853" w:type="dxa"/>
            <w:tcBorders>
              <w:top w:val="single" w:color="auto" w:sz="4" w:space="0"/>
              <w:left w:val="single" w:color="auto" w:sz="4" w:space="0"/>
              <w:bottom w:val="single" w:color="auto" w:sz="4" w:space="0"/>
              <w:right w:val="single" w:color="auto" w:sz="4" w:space="0"/>
            </w:tcBorders>
            <w:noWrap w:val="0"/>
            <w:vAlign w:val="top"/>
          </w:tcPr>
          <w:p w14:paraId="353DF33A">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5000-10000</w:t>
            </w:r>
          </w:p>
        </w:tc>
        <w:tc>
          <w:tcPr>
            <w:tcW w:w="4166" w:type="dxa"/>
            <w:tcBorders>
              <w:top w:val="single" w:color="auto" w:sz="4" w:space="0"/>
              <w:left w:val="single" w:color="auto" w:sz="4" w:space="0"/>
              <w:bottom w:val="single" w:color="auto" w:sz="4" w:space="0"/>
              <w:right w:val="single" w:color="auto" w:sz="4" w:space="0"/>
            </w:tcBorders>
            <w:noWrap w:val="0"/>
            <w:vAlign w:val="top"/>
          </w:tcPr>
          <w:p w14:paraId="11CD69D6">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0.10%</w:t>
            </w:r>
          </w:p>
        </w:tc>
      </w:tr>
      <w:tr w14:paraId="5424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853" w:type="dxa"/>
            <w:tcBorders>
              <w:top w:val="single" w:color="auto" w:sz="4" w:space="0"/>
              <w:left w:val="single" w:color="auto" w:sz="4" w:space="0"/>
              <w:bottom w:val="single" w:color="auto" w:sz="4" w:space="0"/>
              <w:right w:val="single" w:color="auto" w:sz="4" w:space="0"/>
            </w:tcBorders>
            <w:noWrap w:val="0"/>
            <w:vAlign w:val="top"/>
          </w:tcPr>
          <w:p w14:paraId="0237933A">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10000-50000</w:t>
            </w:r>
          </w:p>
        </w:tc>
        <w:tc>
          <w:tcPr>
            <w:tcW w:w="4166" w:type="dxa"/>
            <w:tcBorders>
              <w:top w:val="single" w:color="auto" w:sz="4" w:space="0"/>
              <w:left w:val="single" w:color="auto" w:sz="4" w:space="0"/>
              <w:bottom w:val="single" w:color="auto" w:sz="4" w:space="0"/>
              <w:right w:val="single" w:color="auto" w:sz="4" w:space="0"/>
            </w:tcBorders>
            <w:noWrap w:val="0"/>
            <w:vAlign w:val="top"/>
          </w:tcPr>
          <w:p w14:paraId="1A62CD45">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0.05%</w:t>
            </w:r>
          </w:p>
        </w:tc>
      </w:tr>
      <w:tr w14:paraId="5BAD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853" w:type="dxa"/>
            <w:tcBorders>
              <w:top w:val="single" w:color="auto" w:sz="4" w:space="0"/>
              <w:left w:val="single" w:color="auto" w:sz="4" w:space="0"/>
              <w:bottom w:val="single" w:color="auto" w:sz="4" w:space="0"/>
              <w:right w:val="single" w:color="auto" w:sz="4" w:space="0"/>
            </w:tcBorders>
            <w:noWrap w:val="0"/>
            <w:vAlign w:val="top"/>
          </w:tcPr>
          <w:p w14:paraId="74B8F7CE">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50000-100000</w:t>
            </w:r>
          </w:p>
        </w:tc>
        <w:tc>
          <w:tcPr>
            <w:tcW w:w="4166" w:type="dxa"/>
            <w:tcBorders>
              <w:top w:val="single" w:color="auto" w:sz="4" w:space="0"/>
              <w:left w:val="single" w:color="auto" w:sz="4" w:space="0"/>
              <w:bottom w:val="single" w:color="auto" w:sz="4" w:space="0"/>
              <w:right w:val="single" w:color="auto" w:sz="4" w:space="0"/>
            </w:tcBorders>
            <w:noWrap w:val="0"/>
            <w:vAlign w:val="top"/>
          </w:tcPr>
          <w:p w14:paraId="23F6AAA4">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0.035%</w:t>
            </w:r>
          </w:p>
        </w:tc>
      </w:tr>
      <w:tr w14:paraId="15AD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853" w:type="dxa"/>
            <w:tcBorders>
              <w:top w:val="single" w:color="auto" w:sz="4" w:space="0"/>
              <w:left w:val="single" w:color="auto" w:sz="4" w:space="0"/>
              <w:bottom w:val="single" w:color="auto" w:sz="4" w:space="0"/>
              <w:right w:val="single" w:color="auto" w:sz="4" w:space="0"/>
            </w:tcBorders>
            <w:noWrap w:val="0"/>
            <w:vAlign w:val="top"/>
          </w:tcPr>
          <w:p w14:paraId="7224E05A">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100000-500000</w:t>
            </w:r>
          </w:p>
        </w:tc>
        <w:tc>
          <w:tcPr>
            <w:tcW w:w="4166" w:type="dxa"/>
            <w:tcBorders>
              <w:top w:val="single" w:color="auto" w:sz="4" w:space="0"/>
              <w:left w:val="single" w:color="auto" w:sz="4" w:space="0"/>
              <w:bottom w:val="single" w:color="auto" w:sz="4" w:space="0"/>
              <w:right w:val="single" w:color="auto" w:sz="4" w:space="0"/>
            </w:tcBorders>
            <w:noWrap w:val="0"/>
            <w:vAlign w:val="top"/>
          </w:tcPr>
          <w:p w14:paraId="6AE39E2A">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0.008%</w:t>
            </w:r>
          </w:p>
        </w:tc>
      </w:tr>
      <w:tr w14:paraId="3CCC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853" w:type="dxa"/>
            <w:tcBorders>
              <w:top w:val="single" w:color="auto" w:sz="4" w:space="0"/>
              <w:left w:val="single" w:color="auto" w:sz="4" w:space="0"/>
              <w:bottom w:val="single" w:color="auto" w:sz="4" w:space="0"/>
              <w:right w:val="single" w:color="auto" w:sz="4" w:space="0"/>
            </w:tcBorders>
            <w:noWrap w:val="0"/>
            <w:vAlign w:val="top"/>
          </w:tcPr>
          <w:p w14:paraId="4892207F">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500000-1000000</w:t>
            </w:r>
          </w:p>
        </w:tc>
        <w:tc>
          <w:tcPr>
            <w:tcW w:w="4166" w:type="dxa"/>
            <w:tcBorders>
              <w:top w:val="single" w:color="auto" w:sz="4" w:space="0"/>
              <w:left w:val="single" w:color="auto" w:sz="4" w:space="0"/>
              <w:bottom w:val="single" w:color="auto" w:sz="4" w:space="0"/>
              <w:right w:val="single" w:color="auto" w:sz="4" w:space="0"/>
            </w:tcBorders>
            <w:noWrap w:val="0"/>
            <w:vAlign w:val="top"/>
          </w:tcPr>
          <w:p w14:paraId="2B0BA34F">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0.006%</w:t>
            </w:r>
          </w:p>
        </w:tc>
      </w:tr>
      <w:tr w14:paraId="3A2D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853" w:type="dxa"/>
            <w:tcBorders>
              <w:top w:val="single" w:color="auto" w:sz="4" w:space="0"/>
              <w:left w:val="single" w:color="auto" w:sz="4" w:space="0"/>
              <w:bottom w:val="single" w:color="auto" w:sz="4" w:space="0"/>
              <w:right w:val="single" w:color="auto" w:sz="4" w:space="0"/>
            </w:tcBorders>
            <w:noWrap w:val="0"/>
            <w:vAlign w:val="top"/>
          </w:tcPr>
          <w:p w14:paraId="1F52CE19">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1000000以上</w:t>
            </w:r>
          </w:p>
        </w:tc>
        <w:tc>
          <w:tcPr>
            <w:tcW w:w="4166" w:type="dxa"/>
            <w:tcBorders>
              <w:top w:val="single" w:color="auto" w:sz="4" w:space="0"/>
              <w:left w:val="single" w:color="auto" w:sz="4" w:space="0"/>
              <w:bottom w:val="single" w:color="auto" w:sz="4" w:space="0"/>
              <w:right w:val="single" w:color="auto" w:sz="4" w:space="0"/>
            </w:tcBorders>
            <w:noWrap w:val="0"/>
            <w:vAlign w:val="top"/>
          </w:tcPr>
          <w:p w14:paraId="76651DB3">
            <w:pPr>
              <w:pageBreakBefore w:val="0"/>
              <w:kinsoku/>
              <w:overflowPunct/>
              <w:topLinePunct w:val="0"/>
              <w:autoSpaceDE/>
              <w:autoSpaceDN/>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0.004%</w:t>
            </w:r>
          </w:p>
        </w:tc>
      </w:tr>
    </w:tbl>
    <w:p w14:paraId="208F5F25">
      <w:pPr>
        <w:pageBreakBefore w:val="0"/>
        <w:kinsoku/>
        <w:overflowPunct/>
        <w:topLinePunct w:val="0"/>
        <w:autoSpaceDE/>
        <w:autoSpaceDN/>
        <w:bidi w:val="0"/>
        <w:spacing w:line="40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本项目为运营资格招标，招标代理费以</w:t>
      </w:r>
      <w:r>
        <w:rPr>
          <w:rFonts w:hint="eastAsia" w:ascii="宋体" w:hAnsi="宋体" w:eastAsia="宋体" w:cs="宋体"/>
          <w:bCs/>
          <w:sz w:val="24"/>
          <w:szCs w:val="24"/>
          <w:highlight w:val="none"/>
          <w:u w:val="single"/>
          <w:lang w:val="en-US" w:eastAsia="zh-CN"/>
        </w:rPr>
        <w:t>242.05</w:t>
      </w:r>
      <w:r>
        <w:rPr>
          <w:rFonts w:hint="eastAsia" w:ascii="宋体" w:hAnsi="宋体" w:eastAsia="宋体" w:cs="宋体"/>
          <w:b/>
          <w:sz w:val="24"/>
          <w:szCs w:val="24"/>
          <w:highlight w:val="none"/>
        </w:rPr>
        <w:t>万元为计费基数，根据《关于印发深圳交易集团有限公司（深圳公共资源交易中心）业务收费标准的通知》（深交易〔2023〕69号），按“经营权交易业务”计算，为人民币</w:t>
      </w:r>
      <w:r>
        <w:rPr>
          <w:rFonts w:hint="eastAsia" w:ascii="宋体" w:hAnsi="宋体" w:eastAsia="宋体" w:cs="宋体"/>
          <w:bCs/>
          <w:sz w:val="24"/>
          <w:szCs w:val="24"/>
          <w:highlight w:val="none"/>
          <w:u w:val="single"/>
          <w:lang w:val="en-US" w:eastAsia="zh-CN"/>
        </w:rPr>
        <w:t>贰万陆仟叁佰陆拾肆元</w:t>
      </w:r>
      <w:r>
        <w:rPr>
          <w:rFonts w:hint="eastAsia" w:ascii="宋体" w:hAnsi="宋体" w:eastAsia="宋体" w:cs="宋体"/>
          <w:bCs/>
          <w:sz w:val="24"/>
          <w:szCs w:val="24"/>
          <w:highlight w:val="none"/>
          <w:u w:val="none"/>
        </w:rPr>
        <w:t>（￥</w:t>
      </w:r>
      <w:bookmarkStart w:id="26" w:name="OLE_LINK1"/>
      <w:r>
        <w:rPr>
          <w:rFonts w:hint="eastAsia" w:ascii="宋体" w:hAnsi="宋体" w:eastAsia="宋体" w:cs="宋体"/>
          <w:bCs/>
          <w:sz w:val="24"/>
          <w:szCs w:val="24"/>
          <w:highlight w:val="none"/>
          <w:u w:val="none"/>
        </w:rPr>
        <w:t>26364.00元</w:t>
      </w:r>
      <w:bookmarkEnd w:id="26"/>
      <w:r>
        <w:rPr>
          <w:rFonts w:hint="eastAsia" w:ascii="宋体" w:hAnsi="宋体" w:eastAsia="宋体" w:cs="宋体"/>
          <w:bCs/>
          <w:sz w:val="24"/>
          <w:szCs w:val="24"/>
          <w:highlight w:val="none"/>
          <w:u w:val="none"/>
        </w:rPr>
        <w:t>）</w:t>
      </w:r>
      <w:r>
        <w:rPr>
          <w:rFonts w:hint="eastAsia" w:ascii="宋体" w:hAnsi="宋体" w:eastAsia="宋体" w:cs="宋体"/>
          <w:b/>
          <w:sz w:val="24"/>
          <w:szCs w:val="24"/>
          <w:highlight w:val="none"/>
        </w:rPr>
        <w:t>，由中标人向招标代理机构支付。</w:t>
      </w:r>
    </w:p>
    <w:p w14:paraId="7AFC6CDC">
      <w:pPr>
        <w:pStyle w:val="19"/>
        <w:rPr>
          <w:rFonts w:hint="eastAsia" w:ascii="宋体" w:hAnsi="宋体"/>
          <w:color w:val="FF0000"/>
          <w:szCs w:val="21"/>
        </w:rPr>
      </w:pPr>
    </w:p>
    <w:p w14:paraId="22816260">
      <w:pPr>
        <w:pStyle w:val="19"/>
        <w:rPr>
          <w:rFonts w:hint="eastAsia" w:ascii="宋体" w:hAnsi="宋体"/>
          <w:color w:val="FF0000"/>
          <w:szCs w:val="21"/>
        </w:rPr>
      </w:pPr>
    </w:p>
    <w:p w14:paraId="480420C6">
      <w:pPr>
        <w:pStyle w:val="19"/>
        <w:rPr>
          <w:rFonts w:hint="eastAsia" w:ascii="宋体" w:hAnsi="宋体"/>
          <w:color w:val="FF0000"/>
          <w:szCs w:val="21"/>
        </w:rPr>
      </w:pPr>
    </w:p>
    <w:p w14:paraId="52280884">
      <w:pPr>
        <w:pStyle w:val="19"/>
        <w:rPr>
          <w:rFonts w:hint="eastAsia" w:ascii="宋体" w:hAnsi="宋体"/>
          <w:color w:val="FF0000"/>
          <w:szCs w:val="21"/>
        </w:rPr>
      </w:pPr>
    </w:p>
    <w:p w14:paraId="6DE355DC">
      <w:pPr>
        <w:pStyle w:val="19"/>
        <w:rPr>
          <w:rFonts w:hint="eastAsia" w:ascii="宋体" w:hAnsi="宋体"/>
          <w:color w:val="FF0000"/>
          <w:szCs w:val="21"/>
        </w:rPr>
      </w:pPr>
    </w:p>
    <w:p w14:paraId="729596F0">
      <w:pPr>
        <w:pStyle w:val="19"/>
        <w:rPr>
          <w:rFonts w:hint="eastAsia" w:ascii="宋体" w:hAnsi="宋体"/>
          <w:color w:val="FF0000"/>
          <w:szCs w:val="21"/>
        </w:rPr>
      </w:pPr>
    </w:p>
    <w:p w14:paraId="4EB238FC">
      <w:pPr>
        <w:pStyle w:val="19"/>
        <w:rPr>
          <w:rFonts w:hint="eastAsia" w:ascii="宋体" w:hAnsi="宋体"/>
          <w:color w:val="FF0000"/>
          <w:szCs w:val="21"/>
        </w:rPr>
      </w:pPr>
    </w:p>
    <w:p w14:paraId="3DB493E0">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14:paraId="76FA7C82">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0EF123FD">
      <w:pPr>
        <w:spacing w:line="360" w:lineRule="auto"/>
        <w:jc w:val="center"/>
        <w:outlineLvl w:val="2"/>
        <w:rPr>
          <w:rFonts w:hint="default" w:ascii="仿宋_GB2312" w:hAnsi="仿宋_GB2312" w:eastAsia="仿宋_GB2312" w:cs="仿宋_GB2312"/>
          <w:b/>
          <w:bCs/>
          <w:kern w:val="0"/>
          <w:sz w:val="28"/>
          <w:szCs w:val="28"/>
          <w:lang w:val="en-US" w:eastAsia="zh-CN"/>
        </w:rPr>
      </w:pPr>
      <w:bookmarkStart w:id="27" w:name="_Toc6573"/>
      <w:bookmarkStart w:id="28" w:name="_Toc457474997"/>
      <w:bookmarkStart w:id="29" w:name="_Toc108531493"/>
      <w:bookmarkStart w:id="30" w:name="_Toc469658402"/>
      <w:bookmarkStart w:id="31" w:name="_Toc256000017"/>
      <w:r>
        <w:rPr>
          <w:rFonts w:hint="eastAsia" w:ascii="仿宋_GB2312" w:hAnsi="仿宋_GB2312" w:eastAsia="仿宋_GB2312" w:cs="仿宋_GB2312"/>
          <w:b/>
          <w:bCs/>
          <w:kern w:val="0"/>
          <w:sz w:val="28"/>
          <w:szCs w:val="28"/>
          <w:lang w:val="en-US" w:eastAsia="zh-CN"/>
        </w:rPr>
        <w:t>一、项目信息</w:t>
      </w:r>
    </w:p>
    <w:p w14:paraId="7C22A6AA">
      <w:pPr>
        <w:spacing w:line="360" w:lineRule="auto"/>
        <w:ind w:firstLine="562" w:firstLineChars="200"/>
        <w:outlineLvl w:val="3"/>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（一）采购概况</w:t>
      </w:r>
      <w:bookmarkEnd w:id="27"/>
    </w:p>
    <w:p w14:paraId="6064E4E7">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为进一步提升深圳市罗湖区洪湖公园的服务品质，满足儿童群体休闲娱乐需求，现拟通过引入社会资本合作模式，聚焦儿童游乐区进行系统性升级改造。由社会资本方负责投资引进优质、安全的游乐设备，涵盖益智类、体能拓展类、亲子互动类等多元化设施，并承担后续设备安装调试、日常运营维护及安全管理工作，以市场化运营机制打造充满趣味性与安全性的儿童游乐空间，助力公园成为亲子休闲的优质目的地。</w:t>
      </w:r>
    </w:p>
    <w:p w14:paraId="104BC535">
      <w:pPr>
        <w:spacing w:line="360" w:lineRule="auto"/>
        <w:ind w:firstLine="562" w:firstLineChars="200"/>
        <w:outlineLvl w:val="3"/>
        <w:rPr>
          <w:rFonts w:hint="eastAsia" w:ascii="仿宋_GB2312" w:hAnsi="仿宋_GB2312" w:eastAsia="仿宋_GB2312" w:cs="仿宋_GB2312"/>
          <w:b/>
          <w:bCs/>
          <w:kern w:val="0"/>
          <w:sz w:val="28"/>
          <w:szCs w:val="28"/>
          <w:lang w:val="en-US" w:eastAsia="zh-CN"/>
        </w:rPr>
      </w:pPr>
      <w:bookmarkStart w:id="32" w:name="_Toc19769"/>
      <w:r>
        <w:rPr>
          <w:rFonts w:hint="eastAsia" w:ascii="仿宋_GB2312" w:hAnsi="仿宋_GB2312" w:eastAsia="仿宋_GB2312" w:cs="仿宋_GB2312"/>
          <w:b/>
          <w:bCs/>
          <w:kern w:val="0"/>
          <w:sz w:val="28"/>
          <w:szCs w:val="28"/>
          <w:lang w:val="en-US" w:eastAsia="zh-CN"/>
        </w:rPr>
        <w:t>（二）项目名称</w:t>
      </w:r>
      <w:bookmarkEnd w:id="32"/>
    </w:p>
    <w:p w14:paraId="2D8F15A6">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深圳市罗湖区洪湖公园儿童活动区动力设施建设运营项目</w:t>
      </w:r>
      <w:bookmarkStart w:id="33" w:name="_Toc10928"/>
      <w:bookmarkStart w:id="34" w:name="_Toc20688"/>
      <w:bookmarkStart w:id="35" w:name="_Toc6708"/>
      <w:bookmarkStart w:id="36" w:name="_Toc7742"/>
      <w:bookmarkStart w:id="37" w:name="_Toc21536"/>
      <w:bookmarkStart w:id="38" w:name="_Toc7337"/>
      <w:bookmarkStart w:id="39" w:name="_Toc7655"/>
      <w:bookmarkStart w:id="40" w:name="_Toc27254"/>
      <w:bookmarkStart w:id="41" w:name="_Toc11634"/>
    </w:p>
    <w:bookmarkEnd w:id="33"/>
    <w:bookmarkEnd w:id="34"/>
    <w:bookmarkEnd w:id="35"/>
    <w:p w14:paraId="37B41F64">
      <w:pPr>
        <w:spacing w:line="360" w:lineRule="auto"/>
        <w:ind w:firstLine="562" w:firstLineChars="200"/>
        <w:outlineLvl w:val="3"/>
        <w:rPr>
          <w:rFonts w:hint="default" w:ascii="仿宋_GB2312" w:hAnsi="仿宋_GB2312" w:eastAsia="仿宋_GB2312" w:cs="仿宋_GB2312"/>
          <w:b/>
          <w:bCs/>
          <w:kern w:val="0"/>
          <w:sz w:val="28"/>
          <w:szCs w:val="28"/>
          <w:lang w:val="en-US" w:eastAsia="zh-CN"/>
        </w:rPr>
      </w:pPr>
      <w:bookmarkStart w:id="42" w:name="_Toc20667"/>
      <w:r>
        <w:rPr>
          <w:rFonts w:hint="eastAsia" w:ascii="仿宋_GB2312" w:hAnsi="仿宋_GB2312" w:eastAsia="仿宋_GB2312" w:cs="仿宋_GB2312"/>
          <w:b/>
          <w:bCs/>
          <w:kern w:val="0"/>
          <w:sz w:val="28"/>
          <w:szCs w:val="28"/>
          <w:lang w:val="en-US" w:eastAsia="zh-CN"/>
        </w:rPr>
        <w:t>（三）招标范围</w:t>
      </w:r>
      <w:bookmarkEnd w:id="42"/>
    </w:p>
    <w:bookmarkEnd w:id="36"/>
    <w:bookmarkEnd w:id="37"/>
    <w:bookmarkEnd w:id="38"/>
    <w:bookmarkEnd w:id="39"/>
    <w:bookmarkEnd w:id="40"/>
    <w:bookmarkEnd w:id="41"/>
    <w:p w14:paraId="142654FE">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本次招标部分为深圳市罗湖区洪湖公园儿童活动区动力设施建设运营，本部分按照引入社会资本负责项目建设和运营的模式实施：政府方通过公开招标方式选择社会资本负责在动力区内投资、建设室外机动游戏设施，并负责动力设施区域建成后的运营管理。在建设及运营期内，相关安全、管理及运维事项均由中标人负责。项目中标社会资本作为项目运营商，按约定完成前述工作并接受招标人的统筹管理，具体要求为：</w:t>
      </w:r>
    </w:p>
    <w:p w14:paraId="3D45714E">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1.服从招标人关于安全、环境质量及服务检查等相关事宜的管理要求。</w:t>
      </w:r>
    </w:p>
    <w:p w14:paraId="485211C5">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2.按照国家相关规范要求，为动力区的游戏设施的建设和运营购置保险，中标人所购保险未能覆盖的建设及运营安全等责任由中标人负责。</w:t>
      </w:r>
    </w:p>
    <w:p w14:paraId="01E52A72">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3.配合招标人的日常管理安排。</w:t>
      </w:r>
    </w:p>
    <w:p w14:paraId="179C6103">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p>
    <w:p w14:paraId="4BD5F3CC">
      <w:pPr>
        <w:spacing w:line="360" w:lineRule="auto"/>
        <w:ind w:firstLine="562" w:firstLineChars="200"/>
        <w:outlineLvl w:val="3"/>
        <w:rPr>
          <w:rFonts w:hint="eastAsia" w:ascii="仿宋_GB2312" w:hAnsi="仿宋_GB2312" w:eastAsia="仿宋_GB2312" w:cs="仿宋_GB2312"/>
          <w:b/>
          <w:bCs/>
          <w:kern w:val="0"/>
          <w:sz w:val="28"/>
          <w:szCs w:val="28"/>
          <w:lang w:val="en-US" w:eastAsia="zh-CN"/>
        </w:rPr>
      </w:pPr>
      <w:bookmarkStart w:id="43" w:name="_Toc13681"/>
      <w:r>
        <w:rPr>
          <w:rFonts w:hint="eastAsia" w:ascii="仿宋_GB2312" w:hAnsi="仿宋_GB2312" w:eastAsia="仿宋_GB2312" w:cs="仿宋_GB2312"/>
          <w:b/>
          <w:bCs/>
          <w:kern w:val="0"/>
          <w:sz w:val="28"/>
          <w:szCs w:val="28"/>
          <w:lang w:val="en-US" w:eastAsia="zh-CN"/>
        </w:rPr>
        <w:t>（四）建设运营模式</w:t>
      </w:r>
      <w:bookmarkEnd w:id="43"/>
    </w:p>
    <w:p w14:paraId="12982001">
      <w:pPr>
        <w:autoSpaceDE w:val="0"/>
        <w:autoSpaceDN w:val="0"/>
        <w:spacing w:beforeLines="0" w:afterLines="0" w:line="360" w:lineRule="auto"/>
        <w:ind w:firstLine="420" w:firstLineChars="200"/>
        <w:jc w:val="left"/>
        <w:rPr>
          <w:rFonts w:hint="eastAsia" w:ascii="仿宋_GB2312" w:hAnsi="仿宋_GB2312" w:eastAsia="仿宋_GB2312" w:cs="仿宋_GB2312"/>
          <w:b w:val="0"/>
          <w:bCs w:val="0"/>
          <w:color w:val="FF0000"/>
          <w:kern w:val="0"/>
          <w:sz w:val="28"/>
          <w:szCs w:val="28"/>
          <w:highlight w:val="none"/>
          <w:lang w:val="en-US" w:eastAsia="zh-CN" w:bidi="zh-CN"/>
        </w:rPr>
      </w:pPr>
      <w:bookmarkStart w:id="44" w:name="OLE_LINK32"/>
      <w:r>
        <w:rPr>
          <w:rFonts w:hint="eastAsia" w:ascii="宋体" w:hAnsi="宋体"/>
          <w:color w:val="FF0000"/>
        </w:rPr>
        <w:t>★</w:t>
      </w:r>
      <w:bookmarkEnd w:id="44"/>
      <w:r>
        <w:rPr>
          <w:rFonts w:hint="eastAsia" w:ascii="仿宋_GB2312" w:hAnsi="仿宋_GB2312" w:eastAsia="仿宋_GB2312" w:cs="仿宋_GB2312"/>
          <w:b w:val="0"/>
          <w:bCs w:val="0"/>
          <w:color w:val="FF0000"/>
          <w:kern w:val="0"/>
          <w:sz w:val="28"/>
          <w:szCs w:val="28"/>
          <w:highlight w:val="none"/>
          <w:lang w:val="en-US" w:eastAsia="zh-CN" w:bidi="zh-CN"/>
        </w:rPr>
        <w:t>1.合作期限自合同签订之日起计，共计5年。</w:t>
      </w:r>
    </w:p>
    <w:p w14:paraId="1E735271">
      <w:pPr>
        <w:autoSpaceDE w:val="0"/>
        <w:autoSpaceDN w:val="0"/>
        <w:spacing w:beforeLines="0" w:afterLines="0" w:line="360" w:lineRule="auto"/>
        <w:ind w:firstLine="420" w:firstLineChars="200"/>
        <w:jc w:val="left"/>
        <w:rPr>
          <w:rFonts w:hint="eastAsia" w:ascii="仿宋_GB2312" w:hAnsi="仿宋_GB2312" w:eastAsia="仿宋_GB2312" w:cs="仿宋_GB2312"/>
          <w:b w:val="0"/>
          <w:bCs w:val="0"/>
          <w:color w:val="FF0000"/>
          <w:kern w:val="0"/>
          <w:sz w:val="28"/>
          <w:szCs w:val="28"/>
          <w:highlight w:val="none"/>
          <w:lang w:val="en-US" w:eastAsia="zh-CN" w:bidi="zh-CN"/>
        </w:rPr>
      </w:pPr>
      <w:r>
        <w:rPr>
          <w:rFonts w:hint="eastAsia" w:ascii="宋体" w:hAnsi="宋体"/>
          <w:color w:val="FF0000"/>
        </w:rPr>
        <w:t>★</w:t>
      </w:r>
      <w:r>
        <w:rPr>
          <w:rFonts w:hint="eastAsia" w:ascii="仿宋_GB2312" w:hAnsi="仿宋_GB2312" w:eastAsia="仿宋_GB2312" w:cs="仿宋_GB2312"/>
          <w:b w:val="0"/>
          <w:bCs w:val="0"/>
          <w:color w:val="FF0000"/>
          <w:kern w:val="0"/>
          <w:sz w:val="28"/>
          <w:szCs w:val="28"/>
          <w:highlight w:val="none"/>
          <w:lang w:val="en-US" w:eastAsia="zh-CN" w:bidi="zh-CN"/>
        </w:rPr>
        <w:t>2.最低投资额：社会资本投资动力游乐设备最低投资额为242.05万元，政府方有权委托第三方造价咨询单位审核确认机动游戏设施相关投资，最终投资额以政府方确认的第三方造价咨询单位审核结果为准。</w:t>
      </w:r>
    </w:p>
    <w:p w14:paraId="0E16A233">
      <w:pPr>
        <w:autoSpaceDE w:val="0"/>
        <w:autoSpaceDN w:val="0"/>
        <w:spacing w:beforeLines="0" w:afterLines="0" w:line="360" w:lineRule="auto"/>
        <w:ind w:firstLine="560" w:firstLineChars="200"/>
        <w:jc w:val="left"/>
        <w:rPr>
          <w:rFonts w:hint="default"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3.享有配套用房90平方米左右的使用权，该配套用房无租赁费用。</w:t>
      </w:r>
    </w:p>
    <w:p w14:paraId="189ABBD0">
      <w:pPr>
        <w:numPr>
          <w:ilvl w:val="0"/>
          <w:numId w:val="0"/>
        </w:numPr>
        <w:autoSpaceDE w:val="0"/>
        <w:autoSpaceDN w:val="0"/>
        <w:spacing w:beforeLines="0" w:afterLines="0" w:line="360" w:lineRule="auto"/>
        <w:ind w:firstLine="420" w:firstLineChars="200"/>
        <w:jc w:val="left"/>
        <w:rPr>
          <w:rFonts w:hint="eastAsia" w:ascii="仿宋_GB2312" w:hAnsi="仿宋_GB2312" w:eastAsia="仿宋_GB2312" w:cs="仿宋_GB2312"/>
          <w:b w:val="0"/>
          <w:bCs w:val="0"/>
          <w:color w:val="FF0000"/>
          <w:kern w:val="0"/>
          <w:sz w:val="28"/>
          <w:szCs w:val="28"/>
          <w:highlight w:val="none"/>
          <w:lang w:val="en-US" w:eastAsia="zh-CN" w:bidi="zh-CN"/>
        </w:rPr>
      </w:pPr>
      <w:r>
        <w:rPr>
          <w:rFonts w:hint="eastAsia" w:ascii="宋体" w:hAnsi="宋体"/>
          <w:color w:val="FF0000"/>
        </w:rPr>
        <w:t>★</w:t>
      </w:r>
      <w:r>
        <w:rPr>
          <w:rFonts w:hint="eastAsia" w:ascii="仿宋_GB2312" w:hAnsi="仿宋_GB2312" w:eastAsia="仿宋_GB2312" w:cs="仿宋_GB2312"/>
          <w:b w:val="0"/>
          <w:bCs w:val="0"/>
          <w:color w:val="FF0000"/>
          <w:kern w:val="0"/>
          <w:sz w:val="28"/>
          <w:szCs w:val="28"/>
          <w:lang w:val="en-US" w:eastAsia="zh-CN" w:bidi="zh-CN"/>
        </w:rPr>
        <w:t>4.</w:t>
      </w:r>
      <w:bookmarkStart w:id="45" w:name="OLE_LINK10"/>
      <w:r>
        <w:rPr>
          <w:rFonts w:hint="eastAsia" w:ascii="仿宋_GB2312" w:hAnsi="仿宋_GB2312" w:eastAsia="仿宋_GB2312" w:cs="仿宋_GB2312"/>
          <w:b w:val="0"/>
          <w:bCs w:val="0"/>
          <w:color w:val="FF0000"/>
          <w:kern w:val="0"/>
          <w:sz w:val="28"/>
          <w:szCs w:val="28"/>
          <w:highlight w:val="none"/>
          <w:lang w:val="en-US" w:eastAsia="zh-CN" w:bidi="zh-CN"/>
        </w:rPr>
        <w:t>运营模式</w:t>
      </w:r>
      <w:bookmarkEnd w:id="45"/>
      <w:r>
        <w:rPr>
          <w:rFonts w:hint="eastAsia" w:ascii="仿宋_GB2312" w:hAnsi="仿宋_GB2312" w:eastAsia="仿宋_GB2312" w:cs="仿宋_GB2312"/>
          <w:b w:val="0"/>
          <w:bCs w:val="0"/>
          <w:color w:val="FF0000"/>
          <w:kern w:val="0"/>
          <w:sz w:val="28"/>
          <w:szCs w:val="28"/>
          <w:highlight w:val="none"/>
          <w:lang w:val="en-US" w:eastAsia="zh-CN" w:bidi="zh-CN"/>
        </w:rPr>
        <w:t>：</w:t>
      </w:r>
    </w:p>
    <w:p w14:paraId="5C973B07">
      <w:pPr>
        <w:numPr>
          <w:ilvl w:val="0"/>
          <w:numId w:val="0"/>
        </w:numPr>
        <w:autoSpaceDE w:val="0"/>
        <w:autoSpaceDN w:val="0"/>
        <w:spacing w:beforeLines="0" w:afterLines="0" w:line="360" w:lineRule="auto"/>
        <w:ind w:firstLine="560" w:firstLineChars="200"/>
        <w:jc w:val="left"/>
        <w:rPr>
          <w:rFonts w:hint="eastAsia" w:ascii="仿宋_GB2312" w:hAnsi="仿宋_GB2312" w:eastAsia="仿宋_GB2312" w:cs="仿宋_GB2312"/>
          <w:b w:val="0"/>
          <w:bCs w:val="0"/>
          <w:color w:val="FF0000"/>
          <w:kern w:val="0"/>
          <w:sz w:val="28"/>
          <w:szCs w:val="28"/>
          <w:highlight w:val="none"/>
          <w:lang w:val="en-US" w:eastAsia="zh-CN" w:bidi="zh-CN"/>
        </w:rPr>
      </w:pPr>
      <w:bookmarkStart w:id="46" w:name="OLE_LINK5"/>
      <w:r>
        <w:rPr>
          <w:rFonts w:hint="eastAsia" w:ascii="仿宋_GB2312" w:hAnsi="仿宋_GB2312" w:eastAsia="仿宋_GB2312" w:cs="仿宋_GB2312"/>
          <w:b w:val="0"/>
          <w:bCs w:val="0"/>
          <w:color w:val="FF0000"/>
          <w:kern w:val="0"/>
          <w:sz w:val="28"/>
          <w:szCs w:val="28"/>
          <w:highlight w:val="none"/>
          <w:lang w:val="en-US" w:eastAsia="zh-CN" w:bidi="zh-CN"/>
        </w:rPr>
        <w:t>（1）公共区整体对市民免费开放，设施进行单项收费，收费标准根据市场监督部门有关规定（暂定为10元-20元之间）进行定价。</w:t>
      </w:r>
    </w:p>
    <w:bookmarkEnd w:id="46"/>
    <w:p w14:paraId="6E3C6E7C">
      <w:pPr>
        <w:numPr>
          <w:ilvl w:val="0"/>
          <w:numId w:val="0"/>
        </w:numPr>
        <w:autoSpaceDE w:val="0"/>
        <w:autoSpaceDN w:val="0"/>
        <w:spacing w:beforeLines="0" w:afterLines="0" w:line="360" w:lineRule="auto"/>
        <w:ind w:firstLine="560" w:firstLineChars="200"/>
        <w:jc w:val="left"/>
        <w:rPr>
          <w:rFonts w:hint="eastAsia" w:ascii="仿宋_GB2312" w:hAnsi="仿宋_GB2312" w:eastAsia="仿宋_GB2312" w:cs="仿宋_GB2312"/>
          <w:b w:val="0"/>
          <w:bCs w:val="0"/>
          <w:color w:val="FF0000"/>
          <w:kern w:val="0"/>
          <w:sz w:val="28"/>
          <w:szCs w:val="28"/>
          <w:highlight w:val="none"/>
          <w:lang w:val="en-US" w:eastAsia="zh-CN" w:bidi="zh-CN"/>
        </w:rPr>
      </w:pPr>
      <w:r>
        <w:rPr>
          <w:rFonts w:hint="eastAsia" w:ascii="仿宋_GB2312" w:hAnsi="仿宋_GB2312" w:eastAsia="仿宋_GB2312" w:cs="仿宋_GB2312"/>
          <w:b w:val="0"/>
          <w:bCs w:val="0"/>
          <w:color w:val="FF0000"/>
          <w:kern w:val="0"/>
          <w:sz w:val="28"/>
          <w:szCs w:val="28"/>
          <w:highlight w:val="none"/>
          <w:lang w:val="en-US" w:eastAsia="zh-CN" w:bidi="zh-CN"/>
        </w:rPr>
        <w:t>（2）配合招标方及公园方举办公益活动。</w:t>
      </w:r>
    </w:p>
    <w:tbl>
      <w:tblPr>
        <w:tblStyle w:val="23"/>
        <w:tblpPr w:leftFromText="180" w:rightFromText="180" w:vertAnchor="text" w:horzAnchor="page" w:tblpX="1851" w:tblpY="21"/>
        <w:tblOverlap w:val="never"/>
        <w:tblW w:w="4639"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248"/>
        <w:gridCol w:w="1454"/>
        <w:gridCol w:w="6586"/>
      </w:tblGrid>
      <w:tr w14:paraId="169F4E4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5" w:hRule="atLeast"/>
          <w:jc w:val="center"/>
        </w:trPr>
        <w:tc>
          <w:tcPr>
            <w:tcW w:w="1454" w:type="pct"/>
            <w:gridSpan w:val="2"/>
            <w:noWrap/>
            <w:vAlign w:val="center"/>
          </w:tcPr>
          <w:p w14:paraId="34BB38A3">
            <w:pPr>
              <w:widowControl/>
              <w:snapToGrid/>
              <w:spacing w:before="0" w:beforeLines="0" w:after="0" w:afterLines="0" w:line="360" w:lineRule="auto"/>
              <w:ind w:firstLine="0" w:firstLineChars="0"/>
              <w:jc w:val="center"/>
              <w:rPr>
                <w:rFonts w:ascii="仿宋" w:hAnsi="仿宋" w:eastAsia="仿宋" w:cs="仿宋"/>
                <w:b/>
                <w:color w:val="FF0000"/>
                <w:sz w:val="24"/>
                <w:szCs w:val="24"/>
              </w:rPr>
            </w:pPr>
            <w:r>
              <w:rPr>
                <w:rFonts w:hint="eastAsia" w:ascii="仿宋" w:hAnsi="仿宋" w:eastAsia="仿宋" w:cs="仿宋"/>
                <w:b/>
                <w:color w:val="FF0000"/>
                <w:kern w:val="0"/>
                <w:sz w:val="24"/>
                <w:szCs w:val="24"/>
              </w:rPr>
              <w:t>功能分区</w:t>
            </w:r>
          </w:p>
        </w:tc>
        <w:tc>
          <w:tcPr>
            <w:tcW w:w="3545" w:type="pct"/>
            <w:noWrap/>
            <w:vAlign w:val="center"/>
          </w:tcPr>
          <w:p w14:paraId="314E044A">
            <w:pPr>
              <w:widowControl/>
              <w:snapToGrid/>
              <w:spacing w:before="0" w:beforeLines="0" w:after="0" w:afterLines="0" w:line="240" w:lineRule="auto"/>
              <w:ind w:firstLine="0" w:firstLineChars="0"/>
              <w:jc w:val="center"/>
              <w:rPr>
                <w:rFonts w:ascii="仿宋" w:hAnsi="仿宋" w:eastAsia="仿宋" w:cs="仿宋"/>
                <w:color w:val="FF0000"/>
                <w:sz w:val="24"/>
                <w:szCs w:val="24"/>
              </w:rPr>
            </w:pPr>
            <w:r>
              <w:rPr>
                <w:rFonts w:hint="eastAsia" w:ascii="仿宋" w:hAnsi="仿宋" w:eastAsia="仿宋" w:cs="仿宋"/>
                <w:b/>
                <w:color w:val="FF0000"/>
                <w:kern w:val="0"/>
                <w:sz w:val="24"/>
                <w:szCs w:val="24"/>
              </w:rPr>
              <w:t>开放要求</w:t>
            </w:r>
          </w:p>
        </w:tc>
      </w:tr>
      <w:tr w14:paraId="787ABCD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562" w:hRule="atLeast"/>
          <w:jc w:val="center"/>
        </w:trPr>
        <w:tc>
          <w:tcPr>
            <w:tcW w:w="671" w:type="pct"/>
            <w:noWrap/>
            <w:vAlign w:val="center"/>
          </w:tcPr>
          <w:p w14:paraId="667C9887">
            <w:pPr>
              <w:widowControl/>
              <w:snapToGrid/>
              <w:spacing w:before="0" w:beforeLines="0" w:after="0" w:afterLines="0" w:line="360" w:lineRule="auto"/>
              <w:ind w:firstLine="0" w:firstLineChars="0"/>
              <w:jc w:val="left"/>
              <w:rPr>
                <w:rFonts w:ascii="仿宋" w:hAnsi="仿宋" w:eastAsia="仿宋" w:cs="仿宋"/>
                <w:b/>
                <w:color w:val="FF0000"/>
                <w:kern w:val="0"/>
                <w:sz w:val="24"/>
                <w:szCs w:val="24"/>
              </w:rPr>
            </w:pPr>
            <w:r>
              <w:rPr>
                <w:rFonts w:hint="eastAsia" w:ascii="仿宋" w:hAnsi="仿宋" w:eastAsia="仿宋" w:cs="仿宋"/>
                <w:b/>
                <w:color w:val="FF0000"/>
                <w:kern w:val="0"/>
                <w:sz w:val="24"/>
                <w:szCs w:val="24"/>
              </w:rPr>
              <w:t>动力游戏区</w:t>
            </w:r>
          </w:p>
        </w:tc>
        <w:tc>
          <w:tcPr>
            <w:tcW w:w="782" w:type="pct"/>
            <w:noWrap/>
            <w:vAlign w:val="center"/>
          </w:tcPr>
          <w:p w14:paraId="56298EED">
            <w:pPr>
              <w:widowControl/>
              <w:snapToGrid/>
              <w:spacing w:before="0" w:beforeLines="0" w:after="0" w:afterLines="0" w:line="360" w:lineRule="auto"/>
              <w:ind w:firstLine="0" w:firstLineChars="0"/>
              <w:jc w:val="left"/>
              <w:rPr>
                <w:rFonts w:ascii="仿宋" w:hAnsi="仿宋" w:eastAsia="仿宋" w:cs="仿宋"/>
                <w:b/>
                <w:color w:val="FF0000"/>
                <w:kern w:val="0"/>
                <w:sz w:val="24"/>
                <w:szCs w:val="24"/>
              </w:rPr>
            </w:pPr>
            <w:r>
              <w:rPr>
                <w:rFonts w:hint="eastAsia" w:ascii="仿宋" w:hAnsi="仿宋" w:eastAsia="仿宋" w:cs="仿宋"/>
                <w:b/>
                <w:color w:val="FF0000"/>
                <w:sz w:val="24"/>
                <w:szCs w:val="24"/>
              </w:rPr>
              <w:t>机动游戏设施</w:t>
            </w:r>
          </w:p>
        </w:tc>
        <w:tc>
          <w:tcPr>
            <w:tcW w:w="3545" w:type="pct"/>
            <w:noWrap/>
            <w:vAlign w:val="center"/>
          </w:tcPr>
          <w:p w14:paraId="788B77A6">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snapToGrid w:val="0"/>
                <w:color w:val="FF0000"/>
                <w:kern w:val="2"/>
                <w:sz w:val="24"/>
                <w:szCs w:val="24"/>
                <w:lang w:val="en-US" w:eastAsia="zh-CN" w:bidi="ar-SA"/>
              </w:rPr>
            </w:pPr>
            <w:r>
              <w:rPr>
                <w:rFonts w:hint="eastAsia" w:ascii="仿宋" w:hAnsi="仿宋" w:eastAsia="仿宋" w:cs="仿宋"/>
                <w:snapToGrid w:val="0"/>
                <w:color w:val="FF0000"/>
                <w:kern w:val="2"/>
                <w:sz w:val="24"/>
                <w:szCs w:val="24"/>
                <w:lang w:val="en-US" w:eastAsia="zh-CN" w:bidi="ar-SA"/>
              </w:rPr>
              <w:t>1.每年开放不少于300日（法定节假日、周末、寒暑假期间必须开放）</w:t>
            </w:r>
          </w:p>
          <w:p w14:paraId="6416AD8E">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color w:val="FF0000"/>
                <w:kern w:val="2"/>
                <w:sz w:val="24"/>
                <w:szCs w:val="24"/>
                <w:lang w:val="en-US" w:eastAsia="zh-CN" w:bidi="ar-SA"/>
              </w:rPr>
            </w:pPr>
            <w:r>
              <w:rPr>
                <w:rFonts w:hint="eastAsia" w:ascii="仿宋" w:hAnsi="仿宋" w:eastAsia="仿宋" w:cs="仿宋"/>
                <w:snapToGrid w:val="0"/>
                <w:color w:val="FF0000"/>
                <w:kern w:val="2"/>
                <w:sz w:val="24"/>
                <w:szCs w:val="24"/>
                <w:lang w:val="en-US" w:eastAsia="zh-CN" w:bidi="ar-SA"/>
              </w:rPr>
              <w:t>2.每个开放日的</w:t>
            </w:r>
            <w:r>
              <w:rPr>
                <w:rFonts w:hint="eastAsia" w:ascii="仿宋" w:hAnsi="仿宋" w:eastAsia="仿宋" w:cs="仿宋"/>
                <w:color w:val="FF0000"/>
                <w:kern w:val="2"/>
                <w:sz w:val="24"/>
                <w:szCs w:val="24"/>
                <w:lang w:val="en-US" w:eastAsia="zh-CN" w:bidi="ar-SA"/>
              </w:rPr>
              <w:t>开放时间不少于12小时</w:t>
            </w:r>
          </w:p>
          <w:p w14:paraId="0E6F9438">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color w:val="FF0000"/>
                <w:kern w:val="2"/>
                <w:sz w:val="24"/>
                <w:szCs w:val="24"/>
                <w:lang w:val="en-US" w:eastAsia="zh-CN" w:bidi="ar-SA"/>
              </w:rPr>
            </w:pPr>
            <w:r>
              <w:rPr>
                <w:rFonts w:hint="eastAsia" w:ascii="仿宋" w:hAnsi="仿宋" w:eastAsia="仿宋" w:cs="仿宋"/>
                <w:color w:val="FF0000"/>
                <w:kern w:val="2"/>
                <w:sz w:val="24"/>
                <w:szCs w:val="24"/>
                <w:lang w:val="en-US" w:eastAsia="zh-CN" w:bidi="ar-SA"/>
              </w:rPr>
              <w:t>3.父亲节免费向带儿童的父亲开放</w:t>
            </w:r>
          </w:p>
          <w:p w14:paraId="29A7C80D">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color w:val="FF0000"/>
                <w:kern w:val="0"/>
                <w:sz w:val="24"/>
                <w:szCs w:val="24"/>
                <w:lang w:val="en-US" w:eastAsia="zh-CN" w:bidi="ar-SA"/>
              </w:rPr>
            </w:pPr>
            <w:r>
              <w:rPr>
                <w:rFonts w:hint="eastAsia" w:ascii="仿宋" w:hAnsi="仿宋" w:eastAsia="仿宋" w:cs="仿宋"/>
                <w:color w:val="FF0000"/>
                <w:kern w:val="2"/>
                <w:sz w:val="24"/>
                <w:szCs w:val="24"/>
                <w:lang w:val="en-US" w:eastAsia="zh-CN" w:bidi="ar-SA"/>
              </w:rPr>
              <w:t>4.母亲节免费向带儿童的母亲开放</w:t>
            </w:r>
          </w:p>
          <w:p w14:paraId="5BB2FDA9">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color w:val="FF0000"/>
                <w:kern w:val="0"/>
                <w:sz w:val="24"/>
                <w:szCs w:val="24"/>
                <w:lang w:val="en-US" w:eastAsia="zh-CN" w:bidi="ar-SA"/>
              </w:rPr>
            </w:pPr>
            <w:r>
              <w:rPr>
                <w:rFonts w:hint="eastAsia" w:ascii="仿宋" w:hAnsi="仿宋" w:eastAsia="仿宋" w:cs="仿宋"/>
                <w:color w:val="FF0000"/>
                <w:kern w:val="0"/>
                <w:sz w:val="24"/>
                <w:szCs w:val="24"/>
                <w:lang w:val="en-US" w:eastAsia="zh-CN" w:bidi="ar-SA"/>
              </w:rPr>
              <w:t>5.</w:t>
            </w:r>
            <w:r>
              <w:rPr>
                <w:rFonts w:ascii="仿宋" w:hAnsi="仿宋" w:eastAsia="仿宋" w:cs="仿宋"/>
                <w:color w:val="FF0000"/>
                <w:kern w:val="0"/>
                <w:sz w:val="24"/>
                <w:szCs w:val="24"/>
                <w:lang w:val="en-US" w:eastAsia="zh-CN" w:bidi="ar-SA"/>
              </w:rPr>
              <w:t>儿童节对特定对象</w:t>
            </w:r>
            <w:r>
              <w:rPr>
                <w:rFonts w:hint="eastAsia" w:ascii="仿宋" w:hAnsi="仿宋" w:eastAsia="仿宋" w:cs="仿宋"/>
                <w:color w:val="FF0000"/>
                <w:kern w:val="0"/>
                <w:sz w:val="24"/>
                <w:szCs w:val="24"/>
                <w:lang w:val="en-US" w:eastAsia="zh-CN" w:bidi="ar-SA"/>
              </w:rPr>
              <w:t>发放有限数量免费票</w:t>
            </w:r>
          </w:p>
        </w:tc>
      </w:tr>
    </w:tbl>
    <w:p w14:paraId="15337E9F">
      <w:pPr>
        <w:numPr>
          <w:ilvl w:val="0"/>
          <w:numId w:val="0"/>
        </w:numPr>
        <w:autoSpaceDE w:val="0"/>
        <w:autoSpaceDN w:val="0"/>
        <w:spacing w:beforeLines="0" w:afterLines="0" w:line="360" w:lineRule="auto"/>
        <w:ind w:firstLine="560" w:firstLineChars="200"/>
        <w:jc w:val="left"/>
        <w:rPr>
          <w:rFonts w:hint="eastAsia" w:ascii="仿宋_GB2312" w:hAnsi="仿宋_GB2312" w:eastAsia="仿宋_GB2312" w:cs="仿宋_GB2312"/>
          <w:b w:val="0"/>
          <w:bCs w:val="0"/>
          <w:color w:val="FF0000"/>
          <w:kern w:val="0"/>
          <w:sz w:val="28"/>
          <w:szCs w:val="28"/>
          <w:highlight w:val="none"/>
          <w:lang w:val="en-US" w:eastAsia="zh-CN" w:bidi="zh-CN"/>
        </w:rPr>
      </w:pPr>
      <w:r>
        <w:rPr>
          <w:rFonts w:hint="eastAsia" w:ascii="仿宋_GB2312" w:hAnsi="仿宋_GB2312" w:eastAsia="仿宋_GB2312" w:cs="仿宋_GB2312"/>
          <w:b w:val="0"/>
          <w:bCs w:val="0"/>
          <w:color w:val="FF0000"/>
          <w:kern w:val="0"/>
          <w:sz w:val="28"/>
          <w:szCs w:val="28"/>
          <w:highlight w:val="none"/>
          <w:lang w:val="en-US" w:eastAsia="zh-CN" w:bidi="zh-CN"/>
        </w:rPr>
        <w:t>（3）划定的动力设施相关区域包括连接道路的一切安全责任、清扫保洁、设备维修运营、安保及保险购买等均由运营单位负全责。运营方应当在开始运营日前，根据要求参考同类项目确定具体开放的时间段，报招标人审核同意后在动力游戏区现场醒目位置公示，并通过网络向公众推送。</w:t>
      </w:r>
    </w:p>
    <w:p w14:paraId="59FED5C7">
      <w:pPr>
        <w:autoSpaceDE w:val="0"/>
        <w:autoSpaceDN w:val="0"/>
        <w:spacing w:beforeLines="0" w:afterLines="0" w:line="360" w:lineRule="auto"/>
        <w:ind w:firstLine="420" w:firstLineChars="200"/>
        <w:jc w:val="left"/>
        <w:rPr>
          <w:rFonts w:hint="eastAsia" w:ascii="仿宋_GB2312" w:hAnsi="仿宋_GB2312" w:eastAsia="仿宋_GB2312" w:cs="仿宋_GB2312"/>
          <w:b w:val="0"/>
          <w:bCs w:val="0"/>
          <w:color w:val="FF0000"/>
          <w:kern w:val="0"/>
          <w:sz w:val="28"/>
          <w:szCs w:val="28"/>
          <w:highlight w:val="none"/>
          <w:lang w:val="en-US" w:eastAsia="zh-CN" w:bidi="zh-CN"/>
        </w:rPr>
      </w:pPr>
      <w:r>
        <w:rPr>
          <w:rFonts w:hint="eastAsia" w:ascii="宋体" w:hAnsi="宋体"/>
          <w:color w:val="FF0000"/>
        </w:rPr>
        <w:t>★</w:t>
      </w:r>
      <w:r>
        <w:rPr>
          <w:rFonts w:hint="eastAsia" w:ascii="仿宋_GB2312" w:hAnsi="仿宋_GB2312" w:eastAsia="仿宋_GB2312" w:cs="仿宋_GB2312"/>
          <w:b w:val="0"/>
          <w:bCs w:val="0"/>
          <w:color w:val="FF0000"/>
          <w:kern w:val="0"/>
          <w:sz w:val="28"/>
          <w:szCs w:val="28"/>
          <w:highlight w:val="none"/>
          <w:lang w:val="en-US" w:eastAsia="zh-CN" w:bidi="zh-CN"/>
        </w:rPr>
        <w:t>5.利润分成方式：采取收入分成的模式，自项目运营的第3个运营年期满、第4个运营年的第1天开始，政府按照不低于运营收入的5%进行分成，最终分成比例以供应商中标报价的比例为准。</w:t>
      </w:r>
    </w:p>
    <w:p w14:paraId="0BD9DABC">
      <w:pPr>
        <w:autoSpaceDE w:val="0"/>
        <w:autoSpaceDN w:val="0"/>
        <w:spacing w:beforeLines="0" w:afterLines="0" w:line="360" w:lineRule="auto"/>
        <w:ind w:firstLine="420" w:firstLineChars="200"/>
        <w:jc w:val="left"/>
        <w:rPr>
          <w:rFonts w:hint="eastAsia" w:ascii="仿宋_GB2312" w:hAnsi="仿宋_GB2312" w:eastAsia="仿宋_GB2312" w:cs="仿宋_GB2312"/>
          <w:b w:val="0"/>
          <w:bCs w:val="0"/>
          <w:color w:val="FF0000"/>
          <w:kern w:val="0"/>
          <w:sz w:val="28"/>
          <w:szCs w:val="28"/>
          <w:highlight w:val="none"/>
          <w:lang w:eastAsia="zh-CN" w:bidi="zh-CN"/>
        </w:rPr>
      </w:pPr>
      <w:r>
        <w:rPr>
          <w:rFonts w:hint="eastAsia" w:ascii="宋体" w:hAnsi="宋体"/>
          <w:color w:val="FF0000"/>
        </w:rPr>
        <w:t>★</w:t>
      </w:r>
      <w:r>
        <w:rPr>
          <w:rFonts w:hint="eastAsia" w:ascii="仿宋_GB2312" w:hAnsi="仿宋_GB2312" w:eastAsia="仿宋_GB2312" w:cs="仿宋_GB2312"/>
          <w:b w:val="0"/>
          <w:bCs w:val="0"/>
          <w:color w:val="FF0000"/>
          <w:kern w:val="0"/>
          <w:sz w:val="28"/>
          <w:szCs w:val="28"/>
          <w:highlight w:val="none"/>
          <w:lang w:val="en-US" w:eastAsia="zh-CN" w:bidi="zh-CN"/>
        </w:rPr>
        <w:t>6.</w:t>
      </w:r>
      <w:r>
        <w:rPr>
          <w:rFonts w:hint="eastAsia" w:ascii="仿宋_GB2312" w:hAnsi="仿宋_GB2312" w:eastAsia="仿宋_GB2312" w:cs="仿宋_GB2312"/>
          <w:b w:val="0"/>
          <w:bCs w:val="0"/>
          <w:color w:val="FF0000"/>
          <w:kern w:val="0"/>
          <w:sz w:val="28"/>
          <w:szCs w:val="28"/>
          <w:highlight w:val="none"/>
          <w:lang w:eastAsia="zh-CN" w:bidi="zh-CN"/>
        </w:rPr>
        <w:t>如因建设或政策等原因致使场地面积减少、增加或取消范围，中选方应无条件予以配合。</w:t>
      </w:r>
    </w:p>
    <w:p w14:paraId="2A8240BC">
      <w:pPr>
        <w:autoSpaceDE w:val="0"/>
        <w:autoSpaceDN w:val="0"/>
        <w:spacing w:beforeLines="0" w:afterLines="0" w:line="360" w:lineRule="auto"/>
        <w:ind w:firstLine="420" w:firstLineChars="200"/>
        <w:jc w:val="left"/>
        <w:rPr>
          <w:rFonts w:hint="default" w:ascii="仿宋_GB2312" w:hAnsi="仿宋_GB2312" w:eastAsia="仿宋_GB2312" w:cs="仿宋_GB2312"/>
          <w:b w:val="0"/>
          <w:bCs w:val="0"/>
          <w:color w:val="FF0000"/>
          <w:kern w:val="0"/>
          <w:sz w:val="28"/>
          <w:szCs w:val="28"/>
          <w:highlight w:val="none"/>
          <w:lang w:val="en-US" w:eastAsia="zh-CN" w:bidi="zh-CN"/>
        </w:rPr>
      </w:pPr>
      <w:r>
        <w:rPr>
          <w:rFonts w:hint="eastAsia" w:ascii="宋体" w:hAnsi="宋体"/>
          <w:color w:val="FF0000"/>
        </w:rPr>
        <w:t>★</w:t>
      </w:r>
      <w:r>
        <w:rPr>
          <w:rFonts w:hint="eastAsia" w:ascii="仿宋_GB2312" w:hAnsi="仿宋_GB2312" w:eastAsia="仿宋_GB2312" w:cs="仿宋_GB2312"/>
          <w:b w:val="0"/>
          <w:bCs w:val="0"/>
          <w:color w:val="FF0000"/>
          <w:kern w:val="0"/>
          <w:sz w:val="28"/>
          <w:szCs w:val="28"/>
          <w:highlight w:val="none"/>
          <w:lang w:val="en-US" w:eastAsia="zh-CN" w:bidi="zh-CN"/>
        </w:rPr>
        <w:t>7.中标方应无条件配合招标人对营业收入监管的相关管理措施，提供真实有效的报告及数据，若存在虚假报送或瞒报、漏报，招标人有权立即终止项目，且向中标方追索相应的损失。</w:t>
      </w:r>
    </w:p>
    <w:p w14:paraId="4E00B56C">
      <w:pPr>
        <w:spacing w:line="360" w:lineRule="auto"/>
        <w:ind w:firstLine="562" w:firstLineChars="200"/>
        <w:outlineLvl w:val="3"/>
        <w:rPr>
          <w:rFonts w:hint="eastAsia" w:ascii="仿宋_GB2312" w:hAnsi="仿宋_GB2312" w:eastAsia="仿宋_GB2312" w:cs="仿宋_GB2312"/>
          <w:b/>
          <w:bCs/>
          <w:kern w:val="0"/>
          <w:sz w:val="28"/>
          <w:szCs w:val="28"/>
          <w:lang w:val="en-US" w:eastAsia="zh-CN"/>
        </w:rPr>
      </w:pPr>
      <w:bookmarkStart w:id="47" w:name="_Toc7309"/>
      <w:r>
        <w:rPr>
          <w:rFonts w:hint="eastAsia" w:ascii="仿宋_GB2312" w:hAnsi="仿宋_GB2312" w:eastAsia="仿宋_GB2312" w:cs="仿宋_GB2312"/>
          <w:b/>
          <w:bCs/>
          <w:kern w:val="0"/>
          <w:sz w:val="28"/>
          <w:szCs w:val="28"/>
          <w:lang w:val="en-US" w:eastAsia="zh-CN"/>
        </w:rPr>
        <w:t>（五）建设管理</w:t>
      </w:r>
      <w:bookmarkEnd w:id="47"/>
    </w:p>
    <w:p w14:paraId="6E52876B">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运营商承担室外机动游戏设施相关的全额投资，包括：设备基础、设备采购运输及安装、主题造型、外形包装及周边环境的配套改造工作。（共4套，以最终设计方案为准）。</w:t>
      </w:r>
    </w:p>
    <w:p w14:paraId="7ADE3F1D">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1.机动游戏设施的配置标准</w:t>
      </w:r>
    </w:p>
    <w:p w14:paraId="2D6A6374">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机动游戏设施应结合项目的定位，选用知名厂商的设施设备，充分体现探索性、互动性、新颖性，并确保安全性。</w:t>
      </w:r>
    </w:p>
    <w:p w14:paraId="7039D46F">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所有设备供应商须具备国家颁发的相关制造与安装许可，同时必须符合《小型游乐设施安全规范》（GB/T 34272-2017）等相关现行法律法规与规范标准的全部要求。</w:t>
      </w:r>
    </w:p>
    <w:p w14:paraId="78F3A902">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所有设备的安装和更新中标人须事先报招标人审核确认，招标人并有权对相关设备组织验收，招标人的审核、确认和验收不免除中标人的建设和运营责任。</w:t>
      </w:r>
    </w:p>
    <w:p w14:paraId="56163A0D">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2.最低投资额</w:t>
      </w:r>
    </w:p>
    <w:p w14:paraId="5C994951">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社会资本投资动力游乐设备最低投资额为242.05万元（以下简称“承诺投资额”），政府方有权委托第三方造价咨询单位审核确认机动游戏设施相关投资，最终投资额以政府方确认的第三方造价咨询单位审核结果为准。鼓励运营商适当提高标准。</w:t>
      </w:r>
    </w:p>
    <w:p w14:paraId="0F8955B7">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政府方有权委托第三方造价咨询单位审核确认机动游戏设施相关投资。若审核确定的投资：</w:t>
      </w:r>
    </w:p>
    <w:p w14:paraId="1A1924B7">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超过承诺投资额，超出部分由运营商自行承担。</w:t>
      </w:r>
    </w:p>
    <w:p w14:paraId="482AA88E">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低于承诺投资额的，运营商应在政府方通知之日起6个月内追加机动游戏设施相关投资，确保机动游戏设施相关投资不低于承诺投资额，否则视为运营商根本违约。</w:t>
      </w:r>
    </w:p>
    <w:p w14:paraId="77F72465">
      <w:pPr>
        <w:spacing w:line="360" w:lineRule="auto"/>
        <w:ind w:firstLine="562" w:firstLineChars="200"/>
        <w:outlineLvl w:val="3"/>
        <w:rPr>
          <w:rFonts w:hint="eastAsia" w:ascii="仿宋_GB2312" w:hAnsi="仿宋_GB2312" w:eastAsia="仿宋_GB2312" w:cs="仿宋_GB2312"/>
          <w:b/>
          <w:bCs/>
          <w:kern w:val="0"/>
          <w:sz w:val="28"/>
          <w:szCs w:val="28"/>
          <w:lang w:val="en-US" w:eastAsia="zh-CN"/>
        </w:rPr>
      </w:pPr>
      <w:bookmarkStart w:id="48" w:name="_Toc16051"/>
      <w:r>
        <w:rPr>
          <w:rFonts w:hint="eastAsia" w:ascii="仿宋_GB2312" w:hAnsi="仿宋_GB2312" w:eastAsia="仿宋_GB2312" w:cs="仿宋_GB2312"/>
          <w:b/>
          <w:bCs/>
          <w:kern w:val="0"/>
          <w:sz w:val="28"/>
          <w:szCs w:val="28"/>
          <w:lang w:val="en-US" w:eastAsia="zh-CN"/>
        </w:rPr>
        <w:t>（六）运营管理</w:t>
      </w:r>
      <w:bookmarkEnd w:id="48"/>
    </w:p>
    <w:p w14:paraId="7A65A9BD">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1.运营费用承担</w:t>
      </w:r>
    </w:p>
    <w:p w14:paraId="2954EBF2">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动力游戏区内产生的各项运营管理费用均由运营商承担，包括但不限于保洁费用、安全管理费用、员工薪资及社保费用、办公设备费用、水电能耗费用、设施设备运营维护及大修重置（更换）费用等。</w:t>
      </w:r>
    </w:p>
    <w:p w14:paraId="2F1A72EC">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2.动力设施区域运营相关岗位人员配备及职责</w:t>
      </w:r>
    </w:p>
    <w:p w14:paraId="0BA5EAB3">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该动力区域内的游乐设施，运营商应按照相关法律法规之规定，对关键岗位人员须明确操作员、检修员和安全员的作业规程、任职条件和岗位职责等，并须配合、接受相关行政管理单位和行业管理单位监督检查。具体人员配置应不少于如下要求：</w:t>
      </w:r>
    </w:p>
    <w:p w14:paraId="4D8C9527">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（1）游乐设施主管配备不少于1人。</w:t>
      </w:r>
    </w:p>
    <w:p w14:paraId="1FF4A90C">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具备主题乐园或室外游乐场设备管理工作经验，并持有安全生产管理资格证，职责为负责公园所有游乐设施运营管理，对游乐设施安全负总责。宣传、贯彻游乐设施有关法律、法规、规章和安全技术规范、标准；组织制定本单位游乐设施安全管理制度，落实游乐设施安全管理人员配备；组织制定游乐设施事故应急专项预案，并且定期组织演练；对游乐设施安全管理实施情况进行检查；组织隐患排查；当安全管理员报告游乐设施存在事故隐患或发现其他安全风险应当停止使用时，立即做出停止使用的决定，并且及时报告招标人；负责游乐设施突发事件或事故的报告和应急处理，协助事故调查；组织开展本单位游乐设施使用安全标准化建设。</w:t>
      </w:r>
    </w:p>
    <w:p w14:paraId="33C1489A">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（2）游乐设施配备安全操作员不少于4人。</w:t>
      </w:r>
    </w:p>
    <w:p w14:paraId="73D5F0FF">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职责为协助游乐设施主管逐台建立游乐设施安全技术档案；办理游乐设施使用登记和变更登记；组织制定游乐设施操作规程和现场应急处置方案；组织开展游乐设施安全教育和技能培训；组织开展游乐设施定期自行检查和节假日前、旺季前的安全检查；制定游乐设施维护保养计划、维修计划、定期检验计划，督促计划实施和隐患整改工作；按照规定报告游乐设施事故，参加事故救援，协助进行事故调查和善后处理；对游乐设施的日常使用状况进行检查，对设备能否正常使用进行确认，发现游乐设施事故隐患，立即进行处理，情况紧急时，可以决定停止使用设备，并且及时报告本单位游乐设施主管；纠正和制止游乐设施作业人员的违章行为；严格执行操作规程和操作人员守则；自觉参加安全教育和技能培训；每次运行前应当向乘客告知安全注意事项，对保护乘客的安全装置进行检查确认；运行时应当密切注意乘客动态及设备运行状态，发现不正常情况，应当立即采取有效措施，消除安全隐患；熟悉应急救援流程。发生故障或突发事件，应当立即停止运行或采取紧急措施保护乘客，并立即向游乐设施主管报告；如实记录设备的运行情况。</w:t>
      </w:r>
    </w:p>
    <w:p w14:paraId="10586A17">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（3）游乐设施维修岗配备不少于1人。</w:t>
      </w:r>
    </w:p>
    <w:p w14:paraId="380CDA7F">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职责为严格执行游乐设施有关安全管理制度和安全操作规程，落实设备维护保养计划、维修计划；对维护保养和试运行、日常运行中发现的异常情况及时处理并且记录；自觉参加安全教育和技术培训；作业过程中发现事故隐患或者其他不安全因素，应当立即采取紧急措施，并且按照规定的程序向安全管理人员和单位有关负责人报告；参加应急演练，掌握相应的应急处置技能；按照规定填写作业、交接班等记录。</w:t>
      </w:r>
    </w:p>
    <w:p w14:paraId="7FAF1DA0">
      <w:pPr>
        <w:autoSpaceDE w:val="0"/>
        <w:autoSpaceDN w:val="0"/>
        <w:spacing w:beforeLines="0" w:afterLines="0" w:line="360" w:lineRule="auto"/>
        <w:ind w:firstLine="560" w:firstLineChars="200"/>
        <w:jc w:val="left"/>
        <w:rPr>
          <w:rFonts w:hint="default"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（4）安保人员、秩序维护员、保洁、网络运营、售票员各配备不少于1人。</w:t>
      </w:r>
    </w:p>
    <w:p w14:paraId="3A6C9C4D">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3.机动游戏设施管理</w:t>
      </w:r>
    </w:p>
    <w:p w14:paraId="54CD6ECE">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机动游戏设施：</w:t>
      </w:r>
    </w:p>
    <w:p w14:paraId="769978F8">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每处配备至少1名操作员，法定节假日、周末、寒暑假期间须在前述基础上再增加1名。</w:t>
      </w:r>
    </w:p>
    <w:p w14:paraId="6A76BB88">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4.公众满意度</w:t>
      </w:r>
    </w:p>
    <w:p w14:paraId="041B7B8E">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政府方有权自行或委托第三方专业机构，分别从服务质量、运营内容吸引力等方面，开展公众满意度调查，运营商应当保障公众满意度不低于90%。若未能达标的，政府方有权要求运营商限期整改。</w:t>
      </w:r>
    </w:p>
    <w:p w14:paraId="0187774C">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运营商整改不到位的视为违约。</w:t>
      </w:r>
    </w:p>
    <w:p w14:paraId="15FBAA1D">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5.安全管理责任</w:t>
      </w:r>
    </w:p>
    <w:p w14:paraId="730998D2">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运营商承担动力游戏区的安全管理责任，包括游人安全、作业安全、山林防火、防灾避险等。</w:t>
      </w:r>
    </w:p>
    <w:p w14:paraId="7B4E65E2">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运营商应当根据安全运营的需要足额配置管理人员，并制定完善的管理方案并报政府方备案。</w:t>
      </w:r>
    </w:p>
    <w:p w14:paraId="337541F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_GB2312" w:hAnsi="仿宋_GB2312" w:eastAsia="仿宋_GB2312" w:cs="仿宋_GB2312"/>
          <w:b w:val="0"/>
          <w:bCs w:val="0"/>
          <w:sz w:val="28"/>
          <w:szCs w:val="36"/>
          <w:highlight w:val="none"/>
          <w:lang w:val="en-US" w:eastAsia="zh-CN"/>
        </w:rPr>
      </w:pPr>
      <w:r>
        <w:rPr>
          <w:rFonts w:hint="eastAsia" w:ascii="仿宋_GB2312" w:hAnsi="仿宋_GB2312" w:eastAsia="仿宋_GB2312" w:cs="仿宋_GB2312"/>
          <w:b w:val="0"/>
          <w:bCs w:val="0"/>
          <w:sz w:val="28"/>
          <w:szCs w:val="36"/>
          <w:highlight w:val="none"/>
          <w:lang w:val="en-US" w:eastAsia="zh-CN"/>
        </w:rPr>
        <w:t>运营商未落实安全责任制度导致安全事故发生，应承担如下违约责任：</w:t>
      </w:r>
    </w:p>
    <w:p w14:paraId="238170B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_GB2312" w:hAnsi="仿宋_GB2312" w:eastAsia="仿宋_GB2312" w:cs="仿宋_GB2312"/>
          <w:b w:val="0"/>
          <w:bCs w:val="0"/>
          <w:sz w:val="28"/>
          <w:szCs w:val="36"/>
          <w:highlight w:val="none"/>
          <w:lang w:val="en-US" w:eastAsia="zh-CN"/>
        </w:rPr>
      </w:pPr>
      <w:r>
        <w:rPr>
          <w:rFonts w:hint="eastAsia" w:ascii="仿宋_GB2312" w:hAnsi="仿宋_GB2312" w:eastAsia="仿宋_GB2312" w:cs="仿宋_GB2312"/>
          <w:b w:val="0"/>
          <w:bCs w:val="0"/>
          <w:sz w:val="28"/>
          <w:szCs w:val="36"/>
          <w:highlight w:val="none"/>
          <w:lang w:val="en-US" w:eastAsia="zh-CN"/>
        </w:rPr>
        <w:t>（1）事故后果较轻的（指造成轻伤一至二人，或者直接经济损失二十万元以下，及其他后果较轻的情形），运营商应承担全部责任与费用以及因此而造成的所有损失，并按项目投资额的2%向招标方支付违约金。</w:t>
      </w:r>
    </w:p>
    <w:p w14:paraId="61FE1B0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_GB2312" w:hAnsi="仿宋_GB2312" w:eastAsia="仿宋_GB2312" w:cs="仿宋_GB2312"/>
          <w:b w:val="0"/>
          <w:bCs w:val="0"/>
          <w:sz w:val="28"/>
          <w:szCs w:val="36"/>
          <w:highlight w:val="none"/>
          <w:lang w:val="en-US" w:eastAsia="zh-CN"/>
        </w:rPr>
      </w:pPr>
      <w:r>
        <w:rPr>
          <w:rFonts w:hint="eastAsia" w:ascii="仿宋_GB2312" w:hAnsi="仿宋_GB2312" w:eastAsia="仿宋_GB2312" w:cs="仿宋_GB2312"/>
          <w:b w:val="0"/>
          <w:bCs w:val="0"/>
          <w:sz w:val="28"/>
          <w:szCs w:val="36"/>
          <w:highlight w:val="none"/>
          <w:lang w:val="en-US" w:eastAsia="zh-CN"/>
        </w:rPr>
        <w:t>（2）事故后果较重的（指造成重伤一至二人或轻伤三人以上（含三人）五人以下，或者直接经济损失二十万元以上五十万元以下，及其他后果较重的情形），运营商应承担全部责任与费用以及因此而造成的所有损失，并按项目投资额的5%向招标方支付违约金。</w:t>
      </w:r>
    </w:p>
    <w:p w14:paraId="7786A68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_GB2312" w:hAnsi="仿宋_GB2312" w:eastAsia="仿宋_GB2312" w:cs="仿宋_GB2312"/>
          <w:b w:val="0"/>
          <w:bCs w:val="0"/>
          <w:sz w:val="28"/>
          <w:szCs w:val="36"/>
          <w:highlight w:val="none"/>
          <w:lang w:val="en-US" w:eastAsia="zh-CN"/>
        </w:rPr>
      </w:pPr>
      <w:r>
        <w:rPr>
          <w:rFonts w:hint="eastAsia" w:ascii="仿宋_GB2312" w:hAnsi="仿宋_GB2312" w:eastAsia="仿宋_GB2312" w:cs="仿宋_GB2312"/>
          <w:b w:val="0"/>
          <w:bCs w:val="0"/>
          <w:sz w:val="28"/>
          <w:szCs w:val="36"/>
          <w:highlight w:val="none"/>
          <w:lang w:val="en-US" w:eastAsia="zh-CN"/>
        </w:rPr>
        <w:t>（3）事故后果严重的（指造成死亡一至二人或者重伤三人以上（含三人）五人以下或者轻伤五人以上（含五人）十人以下，或者直接经济损失五十万元以上（含五十万）三百万元以下，及其他严重后果的情形），运营商应承担全部责任与费用以及因此而造成的所有损失，并按项目投资额的10%向招标方支付违约金，同时招标方有权单方解除合同且不承担任何责任和费用。</w:t>
      </w:r>
    </w:p>
    <w:p w14:paraId="6C9FC0F0">
      <w:pPr>
        <w:autoSpaceDE/>
        <w:autoSpaceDN/>
        <w:spacing w:beforeLines="-2147483648" w:afterLines="-2147483648" w:line="240" w:lineRule="auto"/>
        <w:ind w:firstLine="560" w:firstLineChars="200"/>
        <w:jc w:val="left"/>
        <w:outlineLvl w:val="9"/>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sz w:val="28"/>
          <w:szCs w:val="36"/>
          <w:highlight w:val="none"/>
          <w:lang w:val="en-US" w:eastAsia="zh-CN"/>
        </w:rPr>
        <w:t>（4）事故后果特别严重的（指造成死亡三人以上或者重伤五人以上（含五人）或轻伤十人以上（含十人），或者造成直接经济损失三百万元以上，及其他后果特别严重的情形），运营商应承担全部责任与费用以及因此而造成的所有损失，并按项目投资额的20%向招标方支付违约金，同时招标方有权单方解除合同而不承担任何责任和费用。</w:t>
      </w:r>
    </w:p>
    <w:p w14:paraId="131560EC">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6.设施设备运营维护</w:t>
      </w:r>
    </w:p>
    <w:p w14:paraId="23DBA692">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（1）日常运营维护</w:t>
      </w:r>
    </w:p>
    <w:p w14:paraId="53865A36">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本项目范围内所有设施设备的日常运营维护均由运营商负责。</w:t>
      </w:r>
    </w:p>
    <w:p w14:paraId="7E8D149C">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（2）大修与重置</w:t>
      </w:r>
    </w:p>
    <w:p w14:paraId="49BE02DB">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本项目范围内所有设施设备的大修重置均由运营商负责。运营商应根据出厂时规定的使用年限，</w:t>
      </w:r>
      <w:r>
        <w:rPr>
          <w:rFonts w:hint="eastAsia" w:ascii="Times New Roman" w:hAnsi="Times New Roman" w:eastAsia="仿宋" w:cs="Times New Roman"/>
          <w:sz w:val="28"/>
          <w:szCs w:val="28"/>
        </w:rPr>
        <w:t>按照国家相关标准、行业规范及</w:t>
      </w:r>
      <w:r>
        <w:rPr>
          <w:rFonts w:hint="eastAsia" w:ascii="Times New Roman" w:hAnsi="Times New Roman" w:eastAsia="仿宋" w:cs="Times New Roman"/>
          <w:sz w:val="28"/>
          <w:szCs w:val="28"/>
          <w:lang w:val="en-US" w:eastAsia="zh-CN"/>
        </w:rPr>
        <w:t>政府方</w:t>
      </w:r>
      <w:r>
        <w:rPr>
          <w:rFonts w:hint="eastAsia" w:ascii="Times New Roman" w:hAnsi="Times New Roman" w:eastAsia="仿宋" w:cs="Times New Roman"/>
          <w:sz w:val="28"/>
          <w:szCs w:val="28"/>
        </w:rPr>
        <w:t>书面确认的技术方案，对全部运营设施进行全面更新大修，确保设施性能恢复至不低于初始验收标准或达到当前行业先进水平。</w:t>
      </w:r>
    </w:p>
    <w:p w14:paraId="1D79A5F9">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（3）其他要求</w:t>
      </w:r>
    </w:p>
    <w:p w14:paraId="45166E70">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运营商应当制定设施设备运营维护计划、编制设施设备运营维护手册，定期检查、保养、维护各项设施设备。</w:t>
      </w:r>
    </w:p>
    <w:p w14:paraId="295D6A8C">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相关设施使用年限达到设计使用寿命，经评估无法继续使用的，运营商应负责及时进行重置并承担相关费用。</w:t>
      </w:r>
    </w:p>
    <w:p w14:paraId="6B9FF7D9">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7.合作终止及终止后的处理</w:t>
      </w:r>
    </w:p>
    <w:p w14:paraId="2E2EEEB2">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（1）运营期届满终止</w:t>
      </w:r>
    </w:p>
    <w:p w14:paraId="2EC3608F">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运营商投资建设的设备设施全部归运营商所有，运营期届满终止后，运营商应按照招标人的指令将其投资建设的设施设备清场处理并恢复场地原状。</w:t>
      </w:r>
    </w:p>
    <w:p w14:paraId="51C138F4">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（2）招标人原因提前终止</w:t>
      </w:r>
    </w:p>
    <w:p w14:paraId="258690A6">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项目服务期限内，如发生重大政策变更、上级政府部门要求或本项目运营严重影响社会公益时，招标人有权提前终止合同。因招标人原因需要提前终止合同时，运营商应妥善处理好与其他第三方的纠纷，与第三方就提前终止或解除合同达成一致意见，与第三方的相关法律责任由运营商承担。如因运营商与第三方纠纷造成招标人损失的，招标人有权向运营商追偿。</w:t>
      </w:r>
    </w:p>
    <w:p w14:paraId="55BB869A">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因招标人原因提前终止的，由运营商投资建设的设施设备仍归运营商所有，但运营商应在招标人提前终止的正式通知后六个月内完成拆除撤场工作并恢复场地原状，否则招标人有权自行处置。</w:t>
      </w:r>
    </w:p>
    <w:p w14:paraId="6765C6BA">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（3）运营商原因提前终止</w:t>
      </w:r>
    </w:p>
    <w:p w14:paraId="5BFA38DC">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运营商出现以下根本违约行为，招标人有权随时终止合作，收回项目运营权：</w:t>
      </w:r>
    </w:p>
    <w:p w14:paraId="36C3015D">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 xml:space="preserve">①运营商与商户或其他第三方单位发生合同纠纷影响项目正常运营。 </w:t>
      </w:r>
    </w:p>
    <w:p w14:paraId="30796780">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 xml:space="preserve">②运营商或其法定代表人出现严重违法违规行为，受到行政处罚或被刑事立案，可能影响运营商正常运行的。 </w:t>
      </w:r>
    </w:p>
    <w:p w14:paraId="42FA3070">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 xml:space="preserve">③运营商发生破产、解散、合并、分立、被依法关闭、撤销或已进入清算阶段等情形。 </w:t>
      </w:r>
    </w:p>
    <w:p w14:paraId="2E587B6E">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 xml:space="preserve">④因运营商未能审慎管理，导致项目出现重大负面舆情、群体事件等，影响项目正常运行。 </w:t>
      </w:r>
    </w:p>
    <w:p w14:paraId="5E8842BA">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 xml:space="preserve">⑤项目范围内出现重大安全事故（一人以上死亡或三人以上重伤），并且运营商负有主要责任的。 </w:t>
      </w:r>
    </w:p>
    <w:p w14:paraId="04E6551E">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⑥公众满意度低于90%，要求运营商限期整改不到位，视为违约</w:t>
      </w:r>
    </w:p>
    <w:p w14:paraId="3F314283">
      <w:pPr>
        <w:numPr>
          <w:ilvl w:val="-1"/>
          <w:numId w:val="0"/>
        </w:numPr>
        <w:autoSpaceDE w:val="0"/>
        <w:autoSpaceDN w:val="0"/>
        <w:spacing w:beforeLines="0" w:afterLines="0" w:line="360" w:lineRule="auto"/>
        <w:ind w:leftChars="200" w:firstLine="0" w:firstLineChars="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 xml:space="preserve">7、发生其他严重影响项目正常运行的情形。 </w:t>
      </w:r>
    </w:p>
    <w:p w14:paraId="3851D4FC">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发生前述情形，招标人有权解除合同，无偿收回项目运营权。</w:t>
      </w:r>
    </w:p>
    <w:p w14:paraId="490D43A0">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运营商单方面提出提前终止项目，或因运营商原因导致项目提前终止的，运营商应按照招标人的指令将运营商投资建设的设施设备撤场，或检修、确保其具备完整使用功能后，按照招标人的指令无偿移交给招标人或其指定的第三方单位。运营商应确保项目平稳过渡，妥善处理好与第三方单位的关系，不得影响招标方对项目资产及运营权的接管，如造成其他损失的，由运营商全额赔偿。</w:t>
      </w:r>
    </w:p>
    <w:p w14:paraId="0531E93F">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（4）违约责任的承担</w:t>
      </w:r>
    </w:p>
    <w:p w14:paraId="716DEEE5">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①违约金：运营商出现单方面提前终止合同或根本违约行为须向招标人支付违约金5万元。</w:t>
      </w:r>
    </w:p>
    <w:p w14:paraId="23F34637">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②赔偿损失：运营商除支付违约金外，还应赔偿招标方因运营商提前终止合同而遭受的实际损失，包括但不限于直接经济损失以及因处理运营商提前终止合同事宜所产生的费用（如律师费、诉讼费等）。</w:t>
      </w:r>
    </w:p>
    <w:p w14:paraId="4CA7EAEF">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③招标方有权从履约保证金直接扣除违约金或损失赔偿额，如不足以赔偿的，运营商应对超过部分予以赔偿。</w:t>
      </w:r>
    </w:p>
    <w:p w14:paraId="6486F0A6">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④配合处理后续事宜：运营商应积极配合招标方处理因运营商提前终止合同而产生的后续事宜，包括但不限于与第三方单位的协商、法律纠纷的解决等。在合同终止后的合理时间内，完成所有相关事宜的处理，不得拖延或阻碍招标方对项目资产及运营权的接管和运营。</w:t>
      </w:r>
    </w:p>
    <w:p w14:paraId="082B8844">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（七）违约责任：一般违约</w:t>
      </w:r>
    </w:p>
    <w:p w14:paraId="4D249C30">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一般违约情形</w:t>
      </w:r>
    </w:p>
    <w:p w14:paraId="398FC5FC">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因运营商原因而有下列情况之一的，构成运营商一般违约：</w:t>
      </w:r>
    </w:p>
    <w:p w14:paraId="107A4F20">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（1）对招标方或招标方委托的第三方发现的一般安全隐患，运营商应在收到安全隐患督办通知书之日起按安全隐患督办通知书中规定的期限和要求进行整改，逾期未完成整改的。</w:t>
      </w:r>
    </w:p>
    <w:p w14:paraId="4FEC9CE3">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（2）运营商未能按施工进度计划及时完成合同约定的工作，造成工期延误的。</w:t>
      </w:r>
    </w:p>
    <w:p w14:paraId="468BED3B">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（3）运营商在缺陷责任期及保修期内，未能在合理期限对工程缺陷进行修复的。</w:t>
      </w:r>
    </w:p>
    <w:p w14:paraId="52EFFD78">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（4）运营商人员变更应在3个工作日内以书面形式告知招标方，未及时告知的。</w:t>
      </w:r>
    </w:p>
    <w:p w14:paraId="28912926">
      <w:pPr>
        <w:autoSpaceDE/>
        <w:autoSpaceDN/>
        <w:spacing w:beforeLines="-2147483648" w:afterLines="-2147483648" w:line="240" w:lineRule="auto"/>
        <w:ind w:firstLine="560" w:firstLineChars="200"/>
        <w:jc w:val="left"/>
        <w:outlineLvl w:val="9"/>
        <w:rPr>
          <w:rFonts w:hint="default"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（5）</w:t>
      </w:r>
      <w:r>
        <w:rPr>
          <w:rFonts w:hint="eastAsia" w:ascii="仿宋_GB2312" w:hAnsi="仿宋_GB2312" w:eastAsia="仿宋_GB2312" w:cs="仿宋_GB2312"/>
          <w:b w:val="0"/>
          <w:bCs w:val="0"/>
          <w:sz w:val="28"/>
          <w:szCs w:val="28"/>
          <w:highlight w:val="none"/>
          <w:lang w:eastAsia="zh-CN"/>
        </w:rPr>
        <w:t>招标方</w:t>
      </w:r>
      <w:r>
        <w:rPr>
          <w:rFonts w:hint="eastAsia" w:ascii="仿宋_GB2312" w:hAnsi="仿宋_GB2312" w:eastAsia="仿宋_GB2312" w:cs="仿宋_GB2312"/>
          <w:b w:val="0"/>
          <w:bCs w:val="0"/>
          <w:sz w:val="28"/>
          <w:szCs w:val="28"/>
          <w:highlight w:val="none"/>
        </w:rPr>
        <w:t>如发现服务不达标，</w:t>
      </w:r>
      <w:r>
        <w:rPr>
          <w:rFonts w:hint="eastAsia" w:ascii="仿宋_GB2312" w:hAnsi="仿宋_GB2312" w:eastAsia="仿宋_GB2312" w:cs="仿宋_GB2312"/>
          <w:b w:val="0"/>
          <w:bCs w:val="0"/>
          <w:sz w:val="28"/>
          <w:szCs w:val="28"/>
          <w:highlight w:val="none"/>
          <w:lang w:eastAsia="zh-CN"/>
        </w:rPr>
        <w:t>受到游客投诉，</w:t>
      </w:r>
      <w:r>
        <w:rPr>
          <w:rFonts w:hint="eastAsia" w:ascii="仿宋_GB2312" w:hAnsi="仿宋_GB2312" w:eastAsia="仿宋_GB2312" w:cs="仿宋_GB2312"/>
          <w:b w:val="0"/>
          <w:bCs w:val="0"/>
          <w:sz w:val="28"/>
          <w:szCs w:val="28"/>
          <w:highlight w:val="none"/>
        </w:rPr>
        <w:t>有权要求</w:t>
      </w:r>
      <w:r>
        <w:rPr>
          <w:rFonts w:hint="eastAsia" w:ascii="仿宋_GB2312" w:hAnsi="仿宋_GB2312" w:eastAsia="仿宋_GB2312" w:cs="仿宋_GB2312"/>
          <w:b w:val="0"/>
          <w:bCs w:val="0"/>
          <w:sz w:val="28"/>
          <w:szCs w:val="28"/>
          <w:highlight w:val="none"/>
          <w:lang w:eastAsia="zh-CN"/>
        </w:rPr>
        <w:t>运营方</w:t>
      </w:r>
      <w:r>
        <w:rPr>
          <w:rFonts w:hint="eastAsia" w:ascii="仿宋_GB2312" w:hAnsi="仿宋_GB2312" w:eastAsia="仿宋_GB2312" w:cs="仿宋_GB2312"/>
          <w:b w:val="0"/>
          <w:bCs w:val="0"/>
          <w:sz w:val="28"/>
          <w:szCs w:val="28"/>
          <w:highlight w:val="none"/>
        </w:rPr>
        <w:t>进行整改</w:t>
      </w: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sz w:val="28"/>
          <w:szCs w:val="36"/>
          <w:highlight w:val="none"/>
          <w:lang w:val="en-US" w:eastAsia="zh-CN"/>
        </w:rPr>
        <w:t>若招标方认定</w:t>
      </w:r>
      <w:r>
        <w:rPr>
          <w:rFonts w:hint="eastAsia" w:ascii="仿宋_GB2312" w:hAnsi="仿宋_GB2312" w:eastAsia="仿宋_GB2312" w:cs="仿宋_GB2312"/>
          <w:b w:val="0"/>
          <w:bCs w:val="0"/>
          <w:sz w:val="28"/>
          <w:szCs w:val="28"/>
          <w:highlight w:val="none"/>
          <w:lang w:eastAsia="zh-CN"/>
        </w:rPr>
        <w:t>运营方</w:t>
      </w:r>
      <w:r>
        <w:rPr>
          <w:rFonts w:hint="eastAsia" w:ascii="仿宋_GB2312" w:hAnsi="仿宋_GB2312" w:eastAsia="仿宋_GB2312" w:cs="仿宋_GB2312"/>
          <w:sz w:val="28"/>
          <w:szCs w:val="36"/>
          <w:highlight w:val="none"/>
          <w:lang w:val="en-US" w:eastAsia="zh-CN"/>
        </w:rPr>
        <w:t>人员未按合同履行其职责或不能胜任工作，或与第三人串通可能或已经</w:t>
      </w:r>
      <w:r>
        <w:rPr>
          <w:rFonts w:hint="eastAsia" w:ascii="仿宋_GB2312" w:hAnsi="仿宋_GB2312" w:eastAsia="仿宋_GB2312" w:cs="仿宋_GB2312"/>
          <w:b w:val="0"/>
          <w:bCs w:val="0"/>
          <w:sz w:val="28"/>
          <w:szCs w:val="28"/>
          <w:highlight w:val="none"/>
          <w:lang w:eastAsia="zh-CN"/>
        </w:rPr>
        <w:t>招标方</w:t>
      </w:r>
      <w:r>
        <w:rPr>
          <w:rFonts w:hint="eastAsia" w:ascii="仿宋_GB2312" w:hAnsi="仿宋_GB2312" w:eastAsia="仿宋_GB2312" w:cs="仿宋_GB2312"/>
          <w:sz w:val="28"/>
          <w:szCs w:val="36"/>
          <w:highlight w:val="none"/>
          <w:lang w:val="en-US" w:eastAsia="zh-CN"/>
        </w:rPr>
        <w:t>造成经济损失，</w:t>
      </w:r>
      <w:r>
        <w:rPr>
          <w:rFonts w:hint="eastAsia" w:ascii="仿宋_GB2312" w:hAnsi="仿宋_GB2312" w:eastAsia="仿宋_GB2312" w:cs="仿宋_GB2312"/>
          <w:b w:val="0"/>
          <w:bCs w:val="0"/>
          <w:sz w:val="28"/>
          <w:szCs w:val="28"/>
          <w:highlight w:val="none"/>
          <w:lang w:eastAsia="zh-CN"/>
        </w:rPr>
        <w:t>招标方</w:t>
      </w:r>
      <w:r>
        <w:rPr>
          <w:rFonts w:hint="eastAsia" w:ascii="仿宋_GB2312" w:hAnsi="仿宋_GB2312" w:eastAsia="仿宋_GB2312" w:cs="仿宋_GB2312"/>
          <w:sz w:val="28"/>
          <w:szCs w:val="36"/>
          <w:highlight w:val="none"/>
          <w:lang w:val="en-US" w:eastAsia="zh-CN"/>
        </w:rPr>
        <w:t>有权要求</w:t>
      </w:r>
      <w:r>
        <w:rPr>
          <w:rFonts w:hint="eastAsia" w:ascii="仿宋_GB2312" w:hAnsi="仿宋_GB2312" w:eastAsia="仿宋_GB2312" w:cs="仿宋_GB2312"/>
          <w:b w:val="0"/>
          <w:bCs w:val="0"/>
          <w:sz w:val="28"/>
          <w:szCs w:val="28"/>
          <w:highlight w:val="none"/>
          <w:lang w:eastAsia="zh-CN"/>
        </w:rPr>
        <w:t>运营方</w:t>
      </w:r>
      <w:r>
        <w:rPr>
          <w:rFonts w:hint="eastAsia" w:ascii="仿宋_GB2312" w:hAnsi="仿宋_GB2312" w:eastAsia="仿宋_GB2312" w:cs="仿宋_GB2312"/>
          <w:sz w:val="28"/>
          <w:szCs w:val="36"/>
          <w:highlight w:val="none"/>
          <w:lang w:val="en-US" w:eastAsia="zh-CN"/>
        </w:rPr>
        <w:t>更换人员，若连续两次更换相关人员仍不能胜任工作，</w:t>
      </w:r>
      <w:r>
        <w:rPr>
          <w:rFonts w:hint="eastAsia" w:ascii="仿宋_GB2312" w:hAnsi="仿宋_GB2312" w:eastAsia="仿宋_GB2312" w:cs="仿宋_GB2312"/>
          <w:b w:val="0"/>
          <w:bCs w:val="0"/>
          <w:sz w:val="28"/>
          <w:szCs w:val="28"/>
          <w:highlight w:val="none"/>
          <w:lang w:eastAsia="zh-CN"/>
        </w:rPr>
        <w:t>招标方</w:t>
      </w:r>
      <w:r>
        <w:rPr>
          <w:rFonts w:hint="eastAsia" w:ascii="仿宋_GB2312" w:hAnsi="仿宋_GB2312" w:eastAsia="仿宋_GB2312" w:cs="仿宋_GB2312"/>
          <w:sz w:val="28"/>
          <w:szCs w:val="36"/>
          <w:highlight w:val="none"/>
          <w:lang w:val="en-US" w:eastAsia="zh-CN"/>
        </w:rPr>
        <w:t>有权终止合同并要求</w:t>
      </w:r>
      <w:r>
        <w:rPr>
          <w:rFonts w:hint="eastAsia" w:ascii="仿宋_GB2312" w:hAnsi="仿宋_GB2312" w:eastAsia="仿宋_GB2312" w:cs="仿宋_GB2312"/>
          <w:b w:val="0"/>
          <w:bCs w:val="0"/>
          <w:sz w:val="28"/>
          <w:szCs w:val="28"/>
          <w:highlight w:val="none"/>
          <w:lang w:eastAsia="zh-CN"/>
        </w:rPr>
        <w:t>运营方</w:t>
      </w:r>
      <w:r>
        <w:rPr>
          <w:rFonts w:hint="eastAsia" w:ascii="仿宋_GB2312" w:hAnsi="仿宋_GB2312" w:eastAsia="仿宋_GB2312" w:cs="仿宋_GB2312"/>
          <w:sz w:val="28"/>
          <w:szCs w:val="36"/>
          <w:highlight w:val="none"/>
          <w:lang w:val="en-US" w:eastAsia="zh-CN"/>
        </w:rPr>
        <w:t xml:space="preserve">承担相应的赔偿责任。 </w:t>
      </w:r>
    </w:p>
    <w:p w14:paraId="0085883F">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（6）运营商未能按照合同约定履行其他义务，但并未导致合同目的不能实现的。</w:t>
      </w:r>
    </w:p>
    <w:p w14:paraId="7818A5FE">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2、一般违约处理</w:t>
      </w:r>
    </w:p>
    <w:p w14:paraId="00A82140">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任何一方如有一般违约行为时，对方有权要求违约方限期改正，并以载明下列事项的书面改正通知送达违约方：</w:t>
      </w:r>
    </w:p>
    <w:p w14:paraId="417A1254">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（1）一般违约的具体事实。</w:t>
      </w:r>
    </w:p>
    <w:p w14:paraId="5E4998F9">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（2）改正一般违约的合理期限。</w:t>
      </w:r>
    </w:p>
    <w:p w14:paraId="37769DC3">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（3）改正后应达到的标准，该标准应不超过合同的约定。</w:t>
      </w:r>
    </w:p>
    <w:p w14:paraId="15C1E9B9">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（4）届时未完成改正的处理措施。</w:t>
      </w:r>
    </w:p>
    <w:p w14:paraId="2728DAD2">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5）违约方应按照书面改正通知载明的期限改正一般违约。否则，对方有权代违约方改正或指定第三方代为改正，由此产生的全部合理费用由违约方承担。守约方不代为改正的，每逾期1日，违约方应向对方支付人民币500元/日的违约金直至下述任一条件成就之日止：</w:t>
      </w:r>
    </w:p>
    <w:p w14:paraId="24431CE4">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1、改正一般违约。</w:t>
      </w:r>
    </w:p>
    <w:p w14:paraId="6E38B700">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2、本合同终止。</w:t>
      </w:r>
    </w:p>
    <w:p w14:paraId="33794FBA">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3、收到书面改正重大违约通知之日。</w:t>
      </w:r>
    </w:p>
    <w:p w14:paraId="1681C5DE">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违约方认为书面改正通知载明的期限不合理的，甲乙双方可就改正期限进行协商，协商不成的，按本合同约定的争议处理相关约定处理。违约方认为书面改正通知载明的违约事项不属实的，按本合同约定的争议处理相关约定处理。</w:t>
      </w:r>
    </w:p>
    <w:p w14:paraId="2F5613B9">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3、重大违约</w:t>
      </w:r>
    </w:p>
    <w:p w14:paraId="28728C2D">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运营商重大违约情形</w:t>
      </w:r>
    </w:p>
    <w:p w14:paraId="7A2353B7">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因运营商原因而有下列情况之一的，构成运营商重大违约：</w:t>
      </w:r>
    </w:p>
    <w:p w14:paraId="3BB98784">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（1）未按照本合同约定进度完成投资的。</w:t>
      </w:r>
    </w:p>
    <w:p w14:paraId="14DB1295">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（2）服务质量、运营内容中任意一项的公众满意度低于90%且运营商整改两次后仍未达标的。</w:t>
      </w:r>
    </w:p>
    <w:p w14:paraId="3F119859">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（3）服务质量、运营内容中任意一项的公众满意度连续两年低于60%的。</w:t>
      </w:r>
    </w:p>
    <w:p w14:paraId="72CFDC52">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（4）发生《生产安全事故报告和调查处理条例》规定的“较大事故”等级以上生产安全事故。</w:t>
      </w:r>
    </w:p>
    <w:p w14:paraId="5086FB3C">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（5）存在破产或其他重大财务困难的事由，致使其无法履约或履约存在严重困难的。</w:t>
      </w:r>
    </w:p>
    <w:p w14:paraId="3B2FD9D4">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（6）存在重大安全隐患且拒不整改，危及或者可能危及公共利益、公共安全的。</w:t>
      </w:r>
    </w:p>
    <w:p w14:paraId="0719C9AD">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（7）逾期未改正一般违约或改正一般违约不符合通知标准的。</w:t>
      </w:r>
    </w:p>
    <w:p w14:paraId="7ACE665D">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8）发生重大伤亡，运营商应通知招标方并按相关规定立即上报政府有关部门，同时按政府有关部门要求处理。招标方和运营商对事故责任有争议时，由政府有关部门认定。由于运营商原因造成的安全事故，由运营商承担一切责任及发生的费用，对直接责任人，依法追究其刑事责任。</w:t>
      </w:r>
    </w:p>
    <w:p w14:paraId="53F7FE7E">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（9）明确表示不再履行合同义务的。</w:t>
      </w:r>
    </w:p>
    <w:p w14:paraId="00DB289D">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（10）运营商未能按照合同约定履行其他义务，导致合同目的不能实现的。</w:t>
      </w:r>
    </w:p>
    <w:p w14:paraId="6A41BB46">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（11）适用法律规定的其他情形。</w:t>
      </w:r>
    </w:p>
    <w:p w14:paraId="6A9BFBEC">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重大违约处理</w:t>
      </w:r>
    </w:p>
    <w:p w14:paraId="635A8B7E">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招标方有权随时以书面方式通知运营商终止本合同，或要求运营商限期改正，并以载明下列事项的书面改正通知送达违约方：</w:t>
      </w:r>
    </w:p>
    <w:p w14:paraId="06EA1AD0">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（1）重大违约的具体事实。</w:t>
      </w:r>
    </w:p>
    <w:p w14:paraId="21504B88">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（2）改正重大违约的期限。</w:t>
      </w:r>
    </w:p>
    <w:p w14:paraId="77ADD56D">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（3）改正后应达到的标准。</w:t>
      </w:r>
    </w:p>
    <w:p w14:paraId="11BC28F3">
      <w:pPr>
        <w:autoSpaceDE w:val="0"/>
        <w:autoSpaceDN w:val="0"/>
        <w:spacing w:beforeLines="0" w:afterLines="0" w:line="360" w:lineRule="auto"/>
        <w:ind w:firstLine="560" w:firstLineChars="200"/>
        <w:jc w:val="left"/>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运营商应按照书面改正通知载明的期限改正重大违约行为。否则，每逾期1日，运营商应向招标方支付人民币5000元/日的违约金直至改正重大违约或本合同终止日止，违约金不足以覆盖招标方损失的，应承担损失赔偿责任。</w:t>
      </w:r>
    </w:p>
    <w:p w14:paraId="7276609A">
      <w:pPr>
        <w:numPr>
          <w:ilvl w:val="0"/>
          <w:numId w:val="0"/>
        </w:numPr>
        <w:spacing w:line="360" w:lineRule="auto"/>
        <w:ind w:left="0" w:leftChars="0" w:firstLine="562" w:firstLineChars="200"/>
        <w:outlineLvl w:val="3"/>
        <w:rPr>
          <w:rFonts w:hint="default" w:ascii="仿宋_GB2312" w:hAnsi="仿宋_GB2312" w:eastAsia="仿宋_GB2312" w:cs="仿宋_GB2312"/>
          <w:b/>
          <w:bCs/>
          <w:kern w:val="0"/>
          <w:sz w:val="28"/>
          <w:szCs w:val="28"/>
          <w:lang w:val="en-US" w:eastAsia="zh-CN"/>
        </w:rPr>
      </w:pPr>
      <w:bookmarkStart w:id="49" w:name="_Toc19517"/>
      <w:bookmarkStart w:id="1259" w:name="_GoBack"/>
      <w:bookmarkEnd w:id="1259"/>
      <w:r>
        <w:rPr>
          <w:rFonts w:hint="eastAsia" w:ascii="仿宋_GB2312" w:hAnsi="仿宋_GB2312" w:eastAsia="仿宋_GB2312" w:cs="仿宋_GB2312"/>
          <w:b/>
          <w:bCs/>
          <w:kern w:val="0"/>
          <w:sz w:val="28"/>
          <w:szCs w:val="28"/>
          <w:lang w:val="en-US" w:eastAsia="zh-CN"/>
        </w:rPr>
        <w:t>（七）履约担保</w:t>
      </w:r>
    </w:p>
    <w:p w14:paraId="387A6153">
      <w:pPr>
        <w:spacing w:line="360" w:lineRule="auto"/>
        <w:ind w:firstLine="560" w:firstLineChars="200"/>
        <w:outlineLvl w:val="9"/>
        <w:rPr>
          <w:rFonts w:hint="eastAsia"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履约担保金额为24万元，包括运营期，运营商应在收到中标通知书30天内、签订合同前向甲方足额缴纳履约保证金（以银行转账方式汇入招标人指定账户），联合体投标的履约担保由牵头单位运营单位缴纳。</w:t>
      </w:r>
    </w:p>
    <w:p w14:paraId="40F1A283">
      <w:pPr>
        <w:spacing w:line="360" w:lineRule="auto"/>
        <w:ind w:firstLine="560" w:firstLineChars="200"/>
        <w:outlineLvl w:val="9"/>
        <w:rPr>
          <w:rFonts w:hint="default" w:ascii="仿宋_GB2312" w:hAnsi="仿宋_GB2312" w:eastAsia="仿宋_GB2312" w:cs="仿宋_GB2312"/>
          <w:b w:val="0"/>
          <w:bCs w:val="0"/>
          <w:kern w:val="0"/>
          <w:sz w:val="28"/>
          <w:szCs w:val="28"/>
          <w:highlight w:val="none"/>
          <w:lang w:val="en-US" w:eastAsia="zh-CN" w:bidi="zh-CN"/>
        </w:rPr>
      </w:pPr>
      <w:r>
        <w:rPr>
          <w:rFonts w:hint="eastAsia" w:ascii="仿宋_GB2312" w:hAnsi="仿宋_GB2312" w:eastAsia="仿宋_GB2312" w:cs="仿宋_GB2312"/>
          <w:b w:val="0"/>
          <w:bCs w:val="0"/>
          <w:kern w:val="0"/>
          <w:sz w:val="28"/>
          <w:szCs w:val="28"/>
          <w:highlight w:val="none"/>
          <w:lang w:val="en-US" w:eastAsia="zh-CN" w:bidi="zh-CN"/>
        </w:rPr>
        <w:t>在运营商完全履行合同义务，且招标人根据合同约定的担保责任确认解除后30个工作日内，招标人应将无息退还履约保证金全额，退还至运营商指定的银行账户（需在退还申请中提供有效账户信息）。</w:t>
      </w:r>
    </w:p>
    <w:p w14:paraId="6BC20916">
      <w:pPr>
        <w:spacing w:line="360" w:lineRule="auto"/>
        <w:ind w:firstLine="562" w:firstLineChars="200"/>
        <w:outlineLvl w:val="3"/>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（八）其他要求</w:t>
      </w:r>
      <w:bookmarkEnd w:id="49"/>
    </w:p>
    <w:p w14:paraId="0F0A21D7">
      <w:pPr>
        <w:autoSpaceDE w:val="0"/>
        <w:autoSpaceDN w:val="0"/>
        <w:spacing w:beforeLines="0" w:afterLines="0" w:line="360" w:lineRule="auto"/>
        <w:ind w:firstLine="560" w:firstLineChars="200"/>
        <w:jc w:val="left"/>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val="0"/>
          <w:bCs w:val="0"/>
          <w:kern w:val="0"/>
          <w:sz w:val="28"/>
          <w:szCs w:val="28"/>
          <w:highlight w:val="none"/>
          <w:lang w:val="en-US" w:eastAsia="zh-CN" w:bidi="zh-CN"/>
        </w:rPr>
        <w:t>其他要求详见合同，以最终实际签订为准。</w:t>
      </w:r>
      <w:bookmarkStart w:id="50" w:name="_Toc2166"/>
    </w:p>
    <w:p w14:paraId="6E19EF38">
      <w:pPr>
        <w:spacing w:line="360" w:lineRule="auto"/>
        <w:ind w:firstLine="562" w:firstLineChars="200"/>
        <w:jc w:val="both"/>
        <w:outlineLvl w:val="3"/>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（九）设备要求</w:t>
      </w:r>
      <w:bookmarkEnd w:id="50"/>
    </w:p>
    <w:p w14:paraId="0D59EF50">
      <w:pPr>
        <w:spacing w:line="360" w:lineRule="auto"/>
        <w:ind w:firstLine="562" w:firstLineChars="200"/>
        <w:jc w:val="both"/>
        <w:outlineLvl w:val="9"/>
        <w:rPr>
          <w:rFonts w:hint="default" w:ascii="仿宋_GB2312" w:hAnsi="仿宋_GB2312" w:eastAsia="仿宋_GB2312" w:cs="仿宋_GB2312"/>
          <w:b/>
          <w:bCs/>
          <w:kern w:val="0"/>
          <w:sz w:val="28"/>
          <w:szCs w:val="28"/>
          <w:highlight w:val="yellow"/>
          <w:lang w:val="en-US" w:eastAsia="zh-CN"/>
        </w:rPr>
      </w:pPr>
      <w:r>
        <w:rPr>
          <w:rFonts w:hint="eastAsia" w:ascii="仿宋_GB2312" w:hAnsi="仿宋_GB2312" w:eastAsia="仿宋_GB2312" w:cs="仿宋_GB2312"/>
          <w:b/>
          <w:bCs/>
          <w:kern w:val="0"/>
          <w:sz w:val="28"/>
          <w:szCs w:val="28"/>
          <w:highlight w:val="yellow"/>
          <w:lang w:val="en-US" w:eastAsia="zh-CN"/>
        </w:rPr>
        <w:t>下表清单仅供参考，中标供应商可提供同等级或以上的设备，最终设备清单报招标方审核为准。</w:t>
      </w:r>
    </w:p>
    <w:tbl>
      <w:tblPr>
        <w:tblStyle w:val="24"/>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91"/>
        <w:gridCol w:w="7500"/>
      </w:tblGrid>
      <w:tr w14:paraId="04B3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314DA058">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序号</w:t>
            </w:r>
          </w:p>
        </w:tc>
        <w:tc>
          <w:tcPr>
            <w:tcW w:w="1191" w:type="dxa"/>
            <w:noWrap w:val="0"/>
            <w:vAlign w:val="center"/>
          </w:tcPr>
          <w:p w14:paraId="43DA5FB1">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设备名称</w:t>
            </w:r>
          </w:p>
        </w:tc>
        <w:tc>
          <w:tcPr>
            <w:tcW w:w="7500" w:type="dxa"/>
            <w:noWrap w:val="0"/>
            <w:vAlign w:val="center"/>
          </w:tcPr>
          <w:p w14:paraId="79CACA4E">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技术参数要求</w:t>
            </w:r>
          </w:p>
          <w:p w14:paraId="059AB709">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p>
        </w:tc>
      </w:tr>
      <w:tr w14:paraId="02D7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6638E2B5">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1</w:t>
            </w:r>
          </w:p>
        </w:tc>
        <w:tc>
          <w:tcPr>
            <w:tcW w:w="1191" w:type="dxa"/>
            <w:noWrap w:val="0"/>
            <w:vAlign w:val="center"/>
          </w:tcPr>
          <w:p w14:paraId="6ED83807">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自控飞机</w:t>
            </w:r>
          </w:p>
        </w:tc>
        <w:tc>
          <w:tcPr>
            <w:tcW w:w="7500" w:type="dxa"/>
            <w:noWrap w:val="0"/>
            <w:vAlign w:val="center"/>
          </w:tcPr>
          <w:p w14:paraId="0C58FBF2">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1.</w:t>
            </w:r>
            <w:r>
              <w:rPr>
                <w:rFonts w:hint="default" w:ascii="仿宋_GB2312" w:hAnsi="仿宋_GB2312" w:eastAsia="仿宋_GB2312" w:cs="仿宋_GB2312"/>
                <w:snapToGrid w:val="0"/>
                <w:kern w:val="0"/>
                <w:sz w:val="24"/>
                <w:szCs w:val="24"/>
                <w:vertAlign w:val="baseline"/>
                <w:lang w:val="en-US" w:eastAsia="zh-CN"/>
              </w:rPr>
              <w:t>设备电压：380V</w:t>
            </w:r>
          </w:p>
          <w:p w14:paraId="10DAA5D7">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2.</w:t>
            </w:r>
            <w:r>
              <w:rPr>
                <w:rFonts w:hint="default" w:ascii="仿宋_GB2312" w:hAnsi="仿宋_GB2312" w:eastAsia="仿宋_GB2312" w:cs="仿宋_GB2312"/>
                <w:snapToGrid w:val="0"/>
                <w:kern w:val="0"/>
                <w:sz w:val="24"/>
                <w:szCs w:val="24"/>
                <w:vertAlign w:val="baseline"/>
                <w:lang w:val="en-US" w:eastAsia="zh-CN"/>
              </w:rPr>
              <w:t>设备功率：</w:t>
            </w:r>
            <w:r>
              <w:rPr>
                <w:rFonts w:hint="eastAsia" w:ascii="仿宋_GB2312" w:hAnsi="仿宋_GB2312" w:eastAsia="仿宋_GB2312" w:cs="仿宋_GB2312"/>
                <w:snapToGrid w:val="0"/>
                <w:kern w:val="0"/>
                <w:sz w:val="24"/>
                <w:szCs w:val="24"/>
                <w:vertAlign w:val="baseline"/>
                <w:lang w:val="en-US" w:eastAsia="zh-CN"/>
              </w:rPr>
              <w:t>≤</w:t>
            </w:r>
            <w:r>
              <w:rPr>
                <w:rFonts w:hint="default" w:ascii="仿宋_GB2312" w:hAnsi="仿宋_GB2312" w:eastAsia="仿宋_GB2312" w:cs="仿宋_GB2312"/>
                <w:snapToGrid w:val="0"/>
                <w:kern w:val="0"/>
                <w:sz w:val="24"/>
                <w:szCs w:val="24"/>
                <w:vertAlign w:val="baseline"/>
                <w:lang w:val="en-US" w:eastAsia="zh-CN"/>
              </w:rPr>
              <w:t>1</w:t>
            </w:r>
            <w:r>
              <w:rPr>
                <w:rFonts w:hint="eastAsia" w:ascii="仿宋_GB2312" w:hAnsi="仿宋_GB2312" w:eastAsia="仿宋_GB2312" w:cs="仿宋_GB2312"/>
                <w:snapToGrid w:val="0"/>
                <w:kern w:val="0"/>
                <w:sz w:val="24"/>
                <w:szCs w:val="24"/>
                <w:vertAlign w:val="baseline"/>
                <w:lang w:val="en-US" w:eastAsia="zh-CN"/>
              </w:rPr>
              <w:t>1</w:t>
            </w:r>
            <w:r>
              <w:rPr>
                <w:rFonts w:hint="default" w:ascii="仿宋_GB2312" w:hAnsi="仿宋_GB2312" w:eastAsia="仿宋_GB2312" w:cs="仿宋_GB2312"/>
                <w:snapToGrid w:val="0"/>
                <w:kern w:val="0"/>
                <w:sz w:val="24"/>
                <w:szCs w:val="24"/>
                <w:vertAlign w:val="baseline"/>
                <w:lang w:val="en-US" w:eastAsia="zh-CN"/>
              </w:rPr>
              <w:t xml:space="preserve">KW   </w:t>
            </w:r>
          </w:p>
          <w:p w14:paraId="44B3D346">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3.</w:t>
            </w:r>
            <w:r>
              <w:rPr>
                <w:rFonts w:hint="default" w:ascii="仿宋_GB2312" w:hAnsi="仿宋_GB2312" w:eastAsia="仿宋_GB2312" w:cs="仿宋_GB2312"/>
                <w:snapToGrid w:val="0"/>
                <w:kern w:val="0"/>
                <w:sz w:val="24"/>
                <w:szCs w:val="24"/>
                <w:vertAlign w:val="baseline"/>
                <w:lang w:val="en-US" w:eastAsia="zh-CN"/>
              </w:rPr>
              <w:t>占地面积：直径</w:t>
            </w:r>
            <w:r>
              <w:rPr>
                <w:rFonts w:hint="eastAsia" w:ascii="仿宋_GB2312" w:hAnsi="仿宋_GB2312" w:eastAsia="仿宋_GB2312" w:cs="仿宋_GB2312"/>
                <w:snapToGrid w:val="0"/>
                <w:kern w:val="0"/>
                <w:sz w:val="24"/>
                <w:szCs w:val="24"/>
                <w:vertAlign w:val="baseline"/>
                <w:lang w:val="en-US" w:eastAsia="zh-CN"/>
              </w:rPr>
              <w:t>≤9</w:t>
            </w:r>
            <w:r>
              <w:rPr>
                <w:rFonts w:hint="default" w:ascii="仿宋_GB2312" w:hAnsi="仿宋_GB2312" w:eastAsia="仿宋_GB2312" w:cs="仿宋_GB2312"/>
                <w:snapToGrid w:val="0"/>
                <w:kern w:val="0"/>
                <w:sz w:val="24"/>
                <w:szCs w:val="24"/>
                <w:vertAlign w:val="baseline"/>
                <w:lang w:val="en-US" w:eastAsia="zh-CN"/>
              </w:rPr>
              <w:t>米</w:t>
            </w:r>
          </w:p>
          <w:p w14:paraId="545B7034">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4.</w:t>
            </w:r>
            <w:r>
              <w:rPr>
                <w:rFonts w:hint="default" w:ascii="仿宋_GB2312" w:hAnsi="仿宋_GB2312" w:eastAsia="仿宋_GB2312" w:cs="仿宋_GB2312"/>
                <w:snapToGrid w:val="0"/>
                <w:kern w:val="0"/>
                <w:sz w:val="24"/>
                <w:szCs w:val="24"/>
                <w:vertAlign w:val="baseline"/>
                <w:lang w:val="en-US" w:eastAsia="zh-CN"/>
              </w:rPr>
              <w:t>设备乘员：</w:t>
            </w:r>
            <w:r>
              <w:rPr>
                <w:rFonts w:hint="eastAsia" w:ascii="仿宋_GB2312" w:hAnsi="仿宋_GB2312" w:eastAsia="仿宋_GB2312" w:cs="仿宋_GB2312"/>
                <w:snapToGrid w:val="0"/>
                <w:kern w:val="0"/>
                <w:sz w:val="24"/>
                <w:szCs w:val="24"/>
                <w:vertAlign w:val="baseline"/>
                <w:lang w:val="en-US" w:eastAsia="zh-CN"/>
              </w:rPr>
              <w:t>≥</w:t>
            </w:r>
            <w:r>
              <w:rPr>
                <w:rFonts w:hint="default" w:ascii="仿宋_GB2312" w:hAnsi="仿宋_GB2312" w:eastAsia="仿宋_GB2312" w:cs="仿宋_GB2312"/>
                <w:snapToGrid w:val="0"/>
                <w:kern w:val="0"/>
                <w:sz w:val="24"/>
                <w:szCs w:val="24"/>
                <w:vertAlign w:val="baseline"/>
                <w:lang w:val="en-US" w:eastAsia="zh-CN"/>
              </w:rPr>
              <w:t>12人</w:t>
            </w:r>
          </w:p>
          <w:p w14:paraId="71197902">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5.</w:t>
            </w:r>
            <w:r>
              <w:rPr>
                <w:rFonts w:hint="default" w:ascii="仿宋_GB2312" w:hAnsi="仿宋_GB2312" w:eastAsia="仿宋_GB2312" w:cs="仿宋_GB2312"/>
                <w:snapToGrid w:val="0"/>
                <w:kern w:val="0"/>
                <w:sz w:val="24"/>
                <w:szCs w:val="24"/>
                <w:vertAlign w:val="baseline"/>
                <w:lang w:val="en-US" w:eastAsia="zh-CN"/>
              </w:rPr>
              <w:t>设备高度：</w:t>
            </w:r>
            <w:r>
              <w:rPr>
                <w:rFonts w:hint="eastAsia" w:ascii="仿宋_GB2312" w:hAnsi="仿宋_GB2312" w:eastAsia="仿宋_GB2312" w:cs="仿宋_GB2312"/>
                <w:snapToGrid w:val="0"/>
                <w:kern w:val="0"/>
                <w:sz w:val="24"/>
                <w:szCs w:val="24"/>
                <w:vertAlign w:val="baseline"/>
                <w:lang w:val="en-US" w:eastAsia="zh-CN"/>
              </w:rPr>
              <w:t>≤6.5</w:t>
            </w:r>
            <w:r>
              <w:rPr>
                <w:rFonts w:hint="default" w:ascii="仿宋_GB2312" w:hAnsi="仿宋_GB2312" w:eastAsia="仿宋_GB2312" w:cs="仿宋_GB2312"/>
                <w:snapToGrid w:val="0"/>
                <w:kern w:val="0"/>
                <w:sz w:val="24"/>
                <w:szCs w:val="24"/>
                <w:vertAlign w:val="baseline"/>
                <w:lang w:val="en-US" w:eastAsia="zh-CN"/>
              </w:rPr>
              <w:t>米</w:t>
            </w:r>
          </w:p>
          <w:p w14:paraId="1D956B36">
            <w:pPr>
              <w:pStyle w:val="10"/>
              <w:tabs>
                <w:tab w:val="left" w:pos="562"/>
                <w:tab w:val="left" w:pos="3372"/>
                <w:tab w:val="left" w:pos="3653"/>
              </w:tabs>
              <w:jc w:val="both"/>
              <w:rPr>
                <w:rFonts w:hint="eastAsia" w:ascii="仿宋_GB2312" w:hAnsi="仿宋_GB2312" w:eastAsia="仿宋_GB2312" w:cs="仿宋_GB2312"/>
                <w:snapToGrid w:val="0"/>
                <w:kern w:val="0"/>
                <w:sz w:val="24"/>
                <w:szCs w:val="24"/>
                <w:vertAlign w:val="baseline"/>
                <w:lang w:val="en-US" w:eastAsia="zh-CN"/>
              </w:rPr>
            </w:pPr>
          </w:p>
        </w:tc>
      </w:tr>
      <w:tr w14:paraId="4500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1650BFBA">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说明</w:t>
            </w:r>
          </w:p>
        </w:tc>
        <w:tc>
          <w:tcPr>
            <w:tcW w:w="8691" w:type="dxa"/>
            <w:gridSpan w:val="2"/>
            <w:noWrap w:val="0"/>
            <w:vAlign w:val="center"/>
          </w:tcPr>
          <w:p w14:paraId="2AFA6BA8">
            <w:pPr>
              <w:pStyle w:val="10"/>
              <w:tabs>
                <w:tab w:val="left" w:pos="562"/>
                <w:tab w:val="left" w:pos="3372"/>
                <w:tab w:val="left" w:pos="3653"/>
              </w:tabs>
              <w:jc w:val="left"/>
              <w:rPr>
                <w:rFonts w:hint="default" w:ascii="仿宋_GB2312" w:hAnsi="仿宋_GB2312" w:eastAsia="仿宋_GB2312" w:cs="仿宋_GB2312"/>
                <w:b/>
                <w:bCs/>
                <w:snapToGrid w:val="0"/>
                <w:kern w:val="0"/>
                <w:sz w:val="24"/>
                <w:szCs w:val="24"/>
                <w:vertAlign w:val="baseline"/>
                <w:lang w:val="en-US" w:eastAsia="zh-CN"/>
              </w:rPr>
            </w:pPr>
            <w:r>
              <w:rPr>
                <w:rFonts w:hint="default" w:ascii="仿宋_GB2312" w:hAnsi="仿宋_GB2312" w:eastAsia="仿宋_GB2312" w:cs="仿宋_GB2312"/>
                <w:b/>
                <w:bCs/>
                <w:snapToGrid w:val="0"/>
                <w:kern w:val="0"/>
                <w:sz w:val="24"/>
                <w:szCs w:val="24"/>
                <w:vertAlign w:val="baseline"/>
                <w:lang w:val="en-US" w:eastAsia="zh-CN"/>
              </w:rPr>
              <w:t>项目定位：</w:t>
            </w:r>
          </w:p>
          <w:p w14:paraId="5E143AE1">
            <w:pPr>
              <w:pStyle w:val="10"/>
              <w:tabs>
                <w:tab w:val="left" w:pos="562"/>
                <w:tab w:val="left" w:pos="3372"/>
                <w:tab w:val="left" w:pos="3653"/>
              </w:tabs>
              <w:jc w:val="left"/>
              <w:rPr>
                <w:rFonts w:hint="default" w:ascii="仿宋_GB2312" w:hAnsi="仿宋_GB2312" w:eastAsia="仿宋_GB2312" w:cs="仿宋_GB2312"/>
                <w:snapToGrid w:val="0"/>
                <w:kern w:val="0"/>
                <w:sz w:val="24"/>
                <w:szCs w:val="24"/>
                <w:vertAlign w:val="baseline"/>
                <w:lang w:val="en-US" w:eastAsia="zh-CN"/>
              </w:rPr>
            </w:pPr>
            <w:r>
              <w:rPr>
                <w:rFonts w:hint="default" w:ascii="仿宋_GB2312" w:hAnsi="仿宋_GB2312" w:eastAsia="仿宋_GB2312" w:cs="仿宋_GB2312"/>
                <w:snapToGrid w:val="0"/>
                <w:kern w:val="0"/>
                <w:sz w:val="24"/>
                <w:szCs w:val="24"/>
                <w:vertAlign w:val="baseline"/>
                <w:lang w:val="en-US" w:eastAsia="zh-CN"/>
              </w:rPr>
              <w:t>属于旋转类游乐设备，运行时座舱上下弹跳并360°旋转，给游客带来新奇的动感体验。带有喷水等互动元素，增加了设备的趣味性和互动性。</w:t>
            </w:r>
          </w:p>
          <w:p w14:paraId="795589DB">
            <w:pPr>
              <w:pStyle w:val="10"/>
              <w:tabs>
                <w:tab w:val="left" w:pos="562"/>
                <w:tab w:val="left" w:pos="3372"/>
                <w:tab w:val="left" w:pos="3653"/>
              </w:tabs>
              <w:jc w:val="left"/>
              <w:rPr>
                <w:rFonts w:hint="default" w:ascii="仿宋_GB2312" w:hAnsi="仿宋_GB2312" w:eastAsia="仿宋_GB2312" w:cs="仿宋_GB2312"/>
                <w:b/>
                <w:bCs/>
                <w:snapToGrid w:val="0"/>
                <w:kern w:val="0"/>
                <w:sz w:val="24"/>
                <w:szCs w:val="24"/>
                <w:vertAlign w:val="baseline"/>
                <w:lang w:val="en-US" w:eastAsia="zh-CN"/>
              </w:rPr>
            </w:pPr>
            <w:r>
              <w:rPr>
                <w:rFonts w:hint="default" w:ascii="仿宋_GB2312" w:hAnsi="仿宋_GB2312" w:eastAsia="仿宋_GB2312" w:cs="仿宋_GB2312"/>
                <w:b/>
                <w:bCs/>
                <w:snapToGrid w:val="0"/>
                <w:kern w:val="0"/>
                <w:sz w:val="24"/>
                <w:szCs w:val="24"/>
                <w:vertAlign w:val="baseline"/>
                <w:lang w:val="en-US" w:eastAsia="zh-CN"/>
              </w:rPr>
              <w:t>受众人群：</w:t>
            </w:r>
          </w:p>
          <w:p w14:paraId="04EE5022">
            <w:pPr>
              <w:pStyle w:val="10"/>
              <w:tabs>
                <w:tab w:val="left" w:pos="562"/>
                <w:tab w:val="left" w:pos="3372"/>
                <w:tab w:val="left" w:pos="3653"/>
              </w:tabs>
              <w:jc w:val="left"/>
              <w:rPr>
                <w:rFonts w:hint="default" w:ascii="仿宋_GB2312" w:hAnsi="仿宋_GB2312" w:eastAsia="仿宋_GB2312" w:cs="仿宋_GB2312"/>
                <w:snapToGrid w:val="0"/>
                <w:kern w:val="0"/>
                <w:sz w:val="24"/>
                <w:szCs w:val="24"/>
                <w:vertAlign w:val="baseline"/>
                <w:lang w:val="en-US" w:eastAsia="zh-CN"/>
              </w:rPr>
            </w:pPr>
            <w:r>
              <w:rPr>
                <w:rFonts w:hint="default" w:ascii="仿宋_GB2312" w:hAnsi="仿宋_GB2312" w:eastAsia="仿宋_GB2312" w:cs="仿宋_GB2312"/>
                <w:snapToGrid w:val="0"/>
                <w:kern w:val="0"/>
                <w:sz w:val="24"/>
                <w:szCs w:val="24"/>
                <w:vertAlign w:val="baseline"/>
                <w:lang w:val="en-US" w:eastAsia="zh-CN"/>
              </w:rPr>
              <w:t>全年龄段，游乐设备的旋转和弹跳功能可以给他们带来一定的刺激感，满足他们对娱乐和挑战的需求。</w:t>
            </w:r>
          </w:p>
        </w:tc>
      </w:tr>
      <w:tr w14:paraId="7470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07DE4034">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2</w:t>
            </w:r>
          </w:p>
        </w:tc>
        <w:tc>
          <w:tcPr>
            <w:tcW w:w="1191" w:type="dxa"/>
            <w:noWrap w:val="0"/>
            <w:vAlign w:val="center"/>
          </w:tcPr>
          <w:p w14:paraId="748AC263">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旋转木马</w:t>
            </w:r>
          </w:p>
        </w:tc>
        <w:tc>
          <w:tcPr>
            <w:tcW w:w="7500" w:type="dxa"/>
            <w:noWrap w:val="0"/>
            <w:vAlign w:val="center"/>
          </w:tcPr>
          <w:p w14:paraId="46F1AF3B">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1.</w:t>
            </w:r>
            <w:r>
              <w:rPr>
                <w:rFonts w:hint="default" w:ascii="仿宋_GB2312" w:hAnsi="仿宋_GB2312" w:eastAsia="仿宋_GB2312" w:cs="仿宋_GB2312"/>
                <w:snapToGrid w:val="0"/>
                <w:kern w:val="0"/>
                <w:sz w:val="24"/>
                <w:szCs w:val="24"/>
                <w:vertAlign w:val="baseline"/>
                <w:lang w:val="en-US" w:eastAsia="zh-CN"/>
              </w:rPr>
              <w:t>设备电压：380V</w:t>
            </w:r>
          </w:p>
          <w:p w14:paraId="59F8B731">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2.</w:t>
            </w:r>
            <w:r>
              <w:rPr>
                <w:rFonts w:hint="default" w:ascii="仿宋_GB2312" w:hAnsi="仿宋_GB2312" w:eastAsia="仿宋_GB2312" w:cs="仿宋_GB2312"/>
                <w:snapToGrid w:val="0"/>
                <w:kern w:val="0"/>
                <w:sz w:val="24"/>
                <w:szCs w:val="24"/>
                <w:vertAlign w:val="baseline"/>
                <w:lang w:val="en-US" w:eastAsia="zh-CN"/>
              </w:rPr>
              <w:t>设备功率：</w:t>
            </w:r>
            <w:r>
              <w:rPr>
                <w:rFonts w:hint="eastAsia" w:ascii="仿宋_GB2312" w:hAnsi="仿宋_GB2312" w:eastAsia="仿宋_GB2312" w:cs="仿宋_GB2312"/>
                <w:snapToGrid w:val="0"/>
                <w:kern w:val="0"/>
                <w:sz w:val="24"/>
                <w:szCs w:val="24"/>
                <w:vertAlign w:val="baseline"/>
                <w:lang w:val="en-US" w:eastAsia="zh-CN"/>
              </w:rPr>
              <w:t>≤5</w:t>
            </w:r>
            <w:r>
              <w:rPr>
                <w:rFonts w:hint="default" w:ascii="仿宋_GB2312" w:hAnsi="仿宋_GB2312" w:eastAsia="仿宋_GB2312" w:cs="仿宋_GB2312"/>
                <w:snapToGrid w:val="0"/>
                <w:kern w:val="0"/>
                <w:sz w:val="24"/>
                <w:szCs w:val="24"/>
                <w:vertAlign w:val="baseline"/>
                <w:lang w:val="en-US" w:eastAsia="zh-CN"/>
              </w:rPr>
              <w:t xml:space="preserve">KW   </w:t>
            </w:r>
          </w:p>
          <w:p w14:paraId="6FB005CC">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3.</w:t>
            </w:r>
            <w:r>
              <w:rPr>
                <w:rFonts w:hint="default" w:ascii="仿宋_GB2312" w:hAnsi="仿宋_GB2312" w:eastAsia="仿宋_GB2312" w:cs="仿宋_GB2312"/>
                <w:snapToGrid w:val="0"/>
                <w:kern w:val="0"/>
                <w:sz w:val="24"/>
                <w:szCs w:val="24"/>
                <w:vertAlign w:val="baseline"/>
                <w:lang w:val="en-US" w:eastAsia="zh-CN"/>
              </w:rPr>
              <w:t>占地面积：直径</w:t>
            </w:r>
            <w:r>
              <w:rPr>
                <w:rFonts w:hint="eastAsia" w:ascii="仿宋_GB2312" w:hAnsi="仿宋_GB2312" w:eastAsia="仿宋_GB2312" w:cs="仿宋_GB2312"/>
                <w:snapToGrid w:val="0"/>
                <w:kern w:val="0"/>
                <w:sz w:val="24"/>
                <w:szCs w:val="24"/>
                <w:vertAlign w:val="baseline"/>
                <w:lang w:val="en-US" w:eastAsia="zh-CN"/>
              </w:rPr>
              <w:t>≤6</w:t>
            </w:r>
            <w:r>
              <w:rPr>
                <w:rFonts w:hint="default" w:ascii="仿宋_GB2312" w:hAnsi="仿宋_GB2312" w:eastAsia="仿宋_GB2312" w:cs="仿宋_GB2312"/>
                <w:snapToGrid w:val="0"/>
                <w:kern w:val="0"/>
                <w:sz w:val="24"/>
                <w:szCs w:val="24"/>
                <w:vertAlign w:val="baseline"/>
                <w:lang w:val="en-US" w:eastAsia="zh-CN"/>
              </w:rPr>
              <w:t>米</w:t>
            </w:r>
          </w:p>
          <w:p w14:paraId="4B7171FA">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4.</w:t>
            </w:r>
            <w:r>
              <w:rPr>
                <w:rFonts w:hint="default" w:ascii="仿宋_GB2312" w:hAnsi="仿宋_GB2312" w:eastAsia="仿宋_GB2312" w:cs="仿宋_GB2312"/>
                <w:snapToGrid w:val="0"/>
                <w:kern w:val="0"/>
                <w:sz w:val="24"/>
                <w:szCs w:val="24"/>
                <w:vertAlign w:val="baseline"/>
                <w:lang w:val="en-US" w:eastAsia="zh-CN"/>
              </w:rPr>
              <w:t>设备乘员：</w:t>
            </w:r>
            <w:r>
              <w:rPr>
                <w:rFonts w:hint="eastAsia" w:ascii="仿宋_GB2312" w:hAnsi="仿宋_GB2312" w:eastAsia="仿宋_GB2312" w:cs="仿宋_GB2312"/>
                <w:snapToGrid w:val="0"/>
                <w:kern w:val="0"/>
                <w:sz w:val="24"/>
                <w:szCs w:val="24"/>
                <w:vertAlign w:val="baseline"/>
                <w:lang w:val="en-US" w:eastAsia="zh-CN"/>
              </w:rPr>
              <w:t>≥16</w:t>
            </w:r>
            <w:r>
              <w:rPr>
                <w:rFonts w:hint="default" w:ascii="仿宋_GB2312" w:hAnsi="仿宋_GB2312" w:eastAsia="仿宋_GB2312" w:cs="仿宋_GB2312"/>
                <w:snapToGrid w:val="0"/>
                <w:kern w:val="0"/>
                <w:sz w:val="24"/>
                <w:szCs w:val="24"/>
                <w:vertAlign w:val="baseline"/>
                <w:lang w:val="en-US" w:eastAsia="zh-CN"/>
              </w:rPr>
              <w:t>人</w:t>
            </w:r>
          </w:p>
          <w:p w14:paraId="26C85CBC">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5.</w:t>
            </w:r>
            <w:r>
              <w:rPr>
                <w:rFonts w:hint="default" w:ascii="仿宋_GB2312" w:hAnsi="仿宋_GB2312" w:eastAsia="仿宋_GB2312" w:cs="仿宋_GB2312"/>
                <w:snapToGrid w:val="0"/>
                <w:kern w:val="0"/>
                <w:sz w:val="24"/>
                <w:szCs w:val="24"/>
                <w:vertAlign w:val="baseline"/>
                <w:lang w:val="en-US" w:eastAsia="zh-CN"/>
              </w:rPr>
              <w:t>设备高度：</w:t>
            </w:r>
            <w:r>
              <w:rPr>
                <w:rFonts w:hint="eastAsia" w:ascii="仿宋_GB2312" w:hAnsi="仿宋_GB2312" w:eastAsia="仿宋_GB2312" w:cs="仿宋_GB2312"/>
                <w:snapToGrid w:val="0"/>
                <w:kern w:val="0"/>
                <w:sz w:val="24"/>
                <w:szCs w:val="24"/>
                <w:vertAlign w:val="baseline"/>
                <w:lang w:val="en-US" w:eastAsia="zh-CN"/>
              </w:rPr>
              <w:t>≤4.5</w:t>
            </w:r>
            <w:r>
              <w:rPr>
                <w:rFonts w:hint="default" w:ascii="仿宋_GB2312" w:hAnsi="仿宋_GB2312" w:eastAsia="仿宋_GB2312" w:cs="仿宋_GB2312"/>
                <w:snapToGrid w:val="0"/>
                <w:kern w:val="0"/>
                <w:sz w:val="24"/>
                <w:szCs w:val="24"/>
                <w:vertAlign w:val="baseline"/>
                <w:lang w:val="en-US" w:eastAsia="zh-CN"/>
              </w:rPr>
              <w:t>米</w:t>
            </w:r>
          </w:p>
          <w:p w14:paraId="06C33D7C">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p>
        </w:tc>
      </w:tr>
      <w:tr w14:paraId="7B13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205B3B42">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说明</w:t>
            </w:r>
          </w:p>
        </w:tc>
        <w:tc>
          <w:tcPr>
            <w:tcW w:w="8691" w:type="dxa"/>
            <w:gridSpan w:val="2"/>
            <w:noWrap w:val="0"/>
            <w:vAlign w:val="center"/>
          </w:tcPr>
          <w:p w14:paraId="2EA68639">
            <w:pPr>
              <w:pStyle w:val="10"/>
              <w:tabs>
                <w:tab w:val="left" w:pos="562"/>
                <w:tab w:val="left" w:pos="3372"/>
                <w:tab w:val="left" w:pos="3653"/>
              </w:tabs>
              <w:jc w:val="left"/>
              <w:rPr>
                <w:rFonts w:hint="default" w:ascii="仿宋_GB2312" w:hAnsi="仿宋_GB2312" w:eastAsia="仿宋_GB2312" w:cs="仿宋_GB2312"/>
                <w:b/>
                <w:bCs/>
                <w:snapToGrid w:val="0"/>
                <w:kern w:val="0"/>
                <w:sz w:val="24"/>
                <w:szCs w:val="24"/>
                <w:vertAlign w:val="baseline"/>
                <w:lang w:val="en-US" w:eastAsia="zh-CN"/>
              </w:rPr>
            </w:pPr>
            <w:r>
              <w:rPr>
                <w:rFonts w:hint="default" w:ascii="仿宋_GB2312" w:hAnsi="仿宋_GB2312" w:eastAsia="仿宋_GB2312" w:cs="仿宋_GB2312"/>
                <w:b/>
                <w:bCs/>
                <w:snapToGrid w:val="0"/>
                <w:kern w:val="0"/>
                <w:sz w:val="24"/>
                <w:szCs w:val="24"/>
                <w:vertAlign w:val="baseline"/>
                <w:lang w:val="en-US" w:eastAsia="zh-CN"/>
              </w:rPr>
              <w:t>项目定位：</w:t>
            </w:r>
          </w:p>
          <w:p w14:paraId="2BA90769">
            <w:pPr>
              <w:pStyle w:val="10"/>
              <w:tabs>
                <w:tab w:val="left" w:pos="562"/>
                <w:tab w:val="left" w:pos="3372"/>
                <w:tab w:val="left" w:pos="3653"/>
              </w:tabs>
              <w:jc w:val="left"/>
              <w:rPr>
                <w:rFonts w:hint="default" w:ascii="仿宋_GB2312" w:hAnsi="仿宋_GB2312" w:eastAsia="仿宋_GB2312" w:cs="仿宋_GB2312"/>
                <w:snapToGrid w:val="0"/>
                <w:kern w:val="0"/>
                <w:sz w:val="24"/>
                <w:szCs w:val="24"/>
                <w:vertAlign w:val="baseline"/>
                <w:lang w:val="en-US" w:eastAsia="zh-CN"/>
              </w:rPr>
            </w:pPr>
            <w:r>
              <w:rPr>
                <w:rFonts w:hint="default" w:ascii="仿宋_GB2312" w:hAnsi="仿宋_GB2312" w:eastAsia="仿宋_GB2312" w:cs="仿宋_GB2312"/>
                <w:snapToGrid w:val="0"/>
                <w:kern w:val="0"/>
                <w:sz w:val="24"/>
                <w:szCs w:val="24"/>
                <w:vertAlign w:val="baseline"/>
                <w:lang w:val="en-US" w:eastAsia="zh-CN"/>
              </w:rPr>
              <w:t>设置一些互动装置，，增强游客的参与感和趣味性。</w:t>
            </w:r>
          </w:p>
          <w:p w14:paraId="577D904A">
            <w:pPr>
              <w:pStyle w:val="10"/>
              <w:tabs>
                <w:tab w:val="left" w:pos="562"/>
                <w:tab w:val="left" w:pos="3372"/>
                <w:tab w:val="left" w:pos="3653"/>
              </w:tabs>
              <w:jc w:val="left"/>
              <w:rPr>
                <w:rFonts w:hint="default" w:ascii="仿宋_GB2312" w:hAnsi="仿宋_GB2312" w:eastAsia="仿宋_GB2312" w:cs="仿宋_GB2312"/>
                <w:b/>
                <w:bCs/>
                <w:snapToGrid w:val="0"/>
                <w:kern w:val="0"/>
                <w:sz w:val="24"/>
                <w:szCs w:val="24"/>
                <w:vertAlign w:val="baseline"/>
                <w:lang w:val="en-US" w:eastAsia="zh-CN"/>
              </w:rPr>
            </w:pPr>
            <w:r>
              <w:rPr>
                <w:rFonts w:hint="default" w:ascii="仿宋_GB2312" w:hAnsi="仿宋_GB2312" w:eastAsia="仿宋_GB2312" w:cs="仿宋_GB2312"/>
                <w:b/>
                <w:bCs/>
                <w:snapToGrid w:val="0"/>
                <w:kern w:val="0"/>
                <w:sz w:val="24"/>
                <w:szCs w:val="24"/>
                <w:vertAlign w:val="baseline"/>
                <w:lang w:val="en-US" w:eastAsia="zh-CN"/>
              </w:rPr>
              <w:t>受众人群：</w:t>
            </w:r>
          </w:p>
          <w:p w14:paraId="01FE0C44">
            <w:pPr>
              <w:pStyle w:val="10"/>
              <w:tabs>
                <w:tab w:val="left" w:pos="562"/>
                <w:tab w:val="left" w:pos="3372"/>
                <w:tab w:val="left" w:pos="3653"/>
              </w:tabs>
              <w:jc w:val="left"/>
              <w:rPr>
                <w:rFonts w:hint="default" w:ascii="仿宋_GB2312" w:hAnsi="仿宋_GB2312" w:eastAsia="仿宋_GB2312" w:cs="仿宋_GB2312"/>
                <w:snapToGrid w:val="0"/>
                <w:kern w:val="0"/>
                <w:sz w:val="24"/>
                <w:szCs w:val="24"/>
                <w:vertAlign w:val="baseline"/>
                <w:lang w:val="en-US" w:eastAsia="zh-CN"/>
              </w:rPr>
            </w:pPr>
            <w:r>
              <w:rPr>
                <w:rFonts w:hint="default" w:ascii="仿宋_GB2312" w:hAnsi="仿宋_GB2312" w:eastAsia="仿宋_GB2312" w:cs="仿宋_GB2312"/>
                <w:snapToGrid w:val="0"/>
                <w:kern w:val="0"/>
                <w:sz w:val="24"/>
                <w:szCs w:val="24"/>
                <w:vertAlign w:val="baseline"/>
                <w:lang w:val="en-US" w:eastAsia="zh-CN"/>
              </w:rPr>
              <w:t>全年龄段，儿童、青少年、情侣，家庭群体。给不同年龄段带来的体验是不一样的哦。</w:t>
            </w:r>
          </w:p>
        </w:tc>
      </w:tr>
      <w:tr w14:paraId="76D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3070756E">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3</w:t>
            </w:r>
          </w:p>
        </w:tc>
        <w:tc>
          <w:tcPr>
            <w:tcW w:w="1191" w:type="dxa"/>
            <w:noWrap w:val="0"/>
            <w:vAlign w:val="center"/>
          </w:tcPr>
          <w:p w14:paraId="30254AFE">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迪斯科转盘</w:t>
            </w:r>
          </w:p>
        </w:tc>
        <w:tc>
          <w:tcPr>
            <w:tcW w:w="7500" w:type="dxa"/>
            <w:noWrap w:val="0"/>
            <w:vAlign w:val="center"/>
          </w:tcPr>
          <w:p w14:paraId="52D74ACD">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1.</w:t>
            </w:r>
            <w:r>
              <w:rPr>
                <w:rFonts w:hint="default" w:ascii="仿宋_GB2312" w:hAnsi="仿宋_GB2312" w:eastAsia="仿宋_GB2312" w:cs="仿宋_GB2312"/>
                <w:snapToGrid w:val="0"/>
                <w:kern w:val="0"/>
                <w:sz w:val="24"/>
                <w:szCs w:val="24"/>
                <w:vertAlign w:val="baseline"/>
                <w:lang w:val="en-US" w:eastAsia="zh-CN"/>
              </w:rPr>
              <w:t>设备电压：380V/220V</w:t>
            </w:r>
          </w:p>
          <w:p w14:paraId="16A2C38A">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2.</w:t>
            </w:r>
            <w:r>
              <w:rPr>
                <w:rFonts w:hint="default" w:ascii="仿宋_GB2312" w:hAnsi="仿宋_GB2312" w:eastAsia="仿宋_GB2312" w:cs="仿宋_GB2312"/>
                <w:snapToGrid w:val="0"/>
                <w:kern w:val="0"/>
                <w:sz w:val="24"/>
                <w:szCs w:val="24"/>
                <w:vertAlign w:val="baseline"/>
                <w:lang w:val="en-US" w:eastAsia="zh-CN"/>
              </w:rPr>
              <w:t>设备功率：</w:t>
            </w:r>
            <w:r>
              <w:rPr>
                <w:rFonts w:hint="eastAsia" w:ascii="仿宋_GB2312" w:hAnsi="仿宋_GB2312" w:eastAsia="仿宋_GB2312" w:cs="仿宋_GB2312"/>
                <w:snapToGrid w:val="0"/>
                <w:kern w:val="0"/>
                <w:sz w:val="24"/>
                <w:szCs w:val="24"/>
                <w:vertAlign w:val="baseline"/>
                <w:lang w:val="en-US" w:eastAsia="zh-CN"/>
              </w:rPr>
              <w:t>≤</w:t>
            </w:r>
            <w:r>
              <w:rPr>
                <w:rFonts w:hint="default" w:ascii="仿宋_GB2312" w:hAnsi="仿宋_GB2312" w:eastAsia="仿宋_GB2312" w:cs="仿宋_GB2312"/>
                <w:snapToGrid w:val="0"/>
                <w:kern w:val="0"/>
                <w:sz w:val="24"/>
                <w:szCs w:val="24"/>
                <w:vertAlign w:val="baseline"/>
                <w:lang w:val="en-US" w:eastAsia="zh-CN"/>
              </w:rPr>
              <w:t>1</w:t>
            </w:r>
            <w:r>
              <w:rPr>
                <w:rFonts w:hint="eastAsia" w:ascii="仿宋_GB2312" w:hAnsi="仿宋_GB2312" w:eastAsia="仿宋_GB2312" w:cs="仿宋_GB2312"/>
                <w:snapToGrid w:val="0"/>
                <w:kern w:val="0"/>
                <w:sz w:val="24"/>
                <w:szCs w:val="24"/>
                <w:vertAlign w:val="baseline"/>
                <w:lang w:val="en-US" w:eastAsia="zh-CN"/>
              </w:rPr>
              <w:t>1</w:t>
            </w:r>
            <w:r>
              <w:rPr>
                <w:rFonts w:hint="default" w:ascii="仿宋_GB2312" w:hAnsi="仿宋_GB2312" w:eastAsia="仿宋_GB2312" w:cs="仿宋_GB2312"/>
                <w:snapToGrid w:val="0"/>
                <w:kern w:val="0"/>
                <w:sz w:val="24"/>
                <w:szCs w:val="24"/>
                <w:vertAlign w:val="baseline"/>
                <w:lang w:val="en-US" w:eastAsia="zh-CN"/>
              </w:rPr>
              <w:t xml:space="preserve">KW   </w:t>
            </w:r>
          </w:p>
          <w:p w14:paraId="133DD93A">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3.</w:t>
            </w:r>
            <w:r>
              <w:rPr>
                <w:rFonts w:hint="default" w:ascii="仿宋_GB2312" w:hAnsi="仿宋_GB2312" w:eastAsia="仿宋_GB2312" w:cs="仿宋_GB2312"/>
                <w:snapToGrid w:val="0"/>
                <w:kern w:val="0"/>
                <w:sz w:val="24"/>
                <w:szCs w:val="24"/>
                <w:vertAlign w:val="baseline"/>
                <w:lang w:val="en-US" w:eastAsia="zh-CN"/>
              </w:rPr>
              <w:t>占地面积：直径</w:t>
            </w:r>
            <w:r>
              <w:rPr>
                <w:rFonts w:hint="eastAsia" w:ascii="仿宋_GB2312" w:hAnsi="仿宋_GB2312" w:eastAsia="仿宋_GB2312" w:cs="仿宋_GB2312"/>
                <w:snapToGrid w:val="0"/>
                <w:kern w:val="0"/>
                <w:sz w:val="24"/>
                <w:szCs w:val="24"/>
                <w:vertAlign w:val="baseline"/>
                <w:lang w:val="en-US" w:eastAsia="zh-CN"/>
              </w:rPr>
              <w:t>≤9</w:t>
            </w:r>
            <w:r>
              <w:rPr>
                <w:rFonts w:hint="default" w:ascii="仿宋_GB2312" w:hAnsi="仿宋_GB2312" w:eastAsia="仿宋_GB2312" w:cs="仿宋_GB2312"/>
                <w:snapToGrid w:val="0"/>
                <w:kern w:val="0"/>
                <w:sz w:val="24"/>
                <w:szCs w:val="24"/>
                <w:vertAlign w:val="baseline"/>
                <w:lang w:val="en-US" w:eastAsia="zh-CN"/>
              </w:rPr>
              <w:t>米</w:t>
            </w:r>
          </w:p>
          <w:p w14:paraId="51360B03">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4.</w:t>
            </w:r>
            <w:r>
              <w:rPr>
                <w:rFonts w:hint="default" w:ascii="仿宋_GB2312" w:hAnsi="仿宋_GB2312" w:eastAsia="仿宋_GB2312" w:cs="仿宋_GB2312"/>
                <w:snapToGrid w:val="0"/>
                <w:kern w:val="0"/>
                <w:sz w:val="24"/>
                <w:szCs w:val="24"/>
                <w:vertAlign w:val="baseline"/>
                <w:lang w:val="en-US" w:eastAsia="zh-CN"/>
              </w:rPr>
              <w:t>设备乘员：</w:t>
            </w:r>
            <w:r>
              <w:rPr>
                <w:rFonts w:hint="eastAsia" w:ascii="仿宋_GB2312" w:hAnsi="仿宋_GB2312" w:eastAsia="仿宋_GB2312" w:cs="仿宋_GB2312"/>
                <w:snapToGrid w:val="0"/>
                <w:kern w:val="0"/>
                <w:sz w:val="24"/>
                <w:szCs w:val="24"/>
                <w:vertAlign w:val="baseline"/>
                <w:lang w:val="en-US" w:eastAsia="zh-CN"/>
              </w:rPr>
              <w:t>≥12</w:t>
            </w:r>
            <w:r>
              <w:rPr>
                <w:rFonts w:hint="default" w:ascii="仿宋_GB2312" w:hAnsi="仿宋_GB2312" w:eastAsia="仿宋_GB2312" w:cs="仿宋_GB2312"/>
                <w:snapToGrid w:val="0"/>
                <w:kern w:val="0"/>
                <w:sz w:val="24"/>
                <w:szCs w:val="24"/>
                <w:vertAlign w:val="baseline"/>
                <w:lang w:val="en-US" w:eastAsia="zh-CN"/>
              </w:rPr>
              <w:t>人</w:t>
            </w:r>
          </w:p>
          <w:p w14:paraId="74A66508">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5.</w:t>
            </w:r>
            <w:r>
              <w:rPr>
                <w:rFonts w:hint="default" w:ascii="仿宋_GB2312" w:hAnsi="仿宋_GB2312" w:eastAsia="仿宋_GB2312" w:cs="仿宋_GB2312"/>
                <w:snapToGrid w:val="0"/>
                <w:kern w:val="0"/>
                <w:sz w:val="24"/>
                <w:szCs w:val="24"/>
                <w:vertAlign w:val="baseline"/>
                <w:lang w:val="en-US" w:eastAsia="zh-CN"/>
              </w:rPr>
              <w:t>设备高度：</w:t>
            </w:r>
            <w:r>
              <w:rPr>
                <w:rFonts w:hint="eastAsia" w:ascii="仿宋_GB2312" w:hAnsi="仿宋_GB2312" w:eastAsia="仿宋_GB2312" w:cs="仿宋_GB2312"/>
                <w:snapToGrid w:val="0"/>
                <w:kern w:val="0"/>
                <w:sz w:val="24"/>
                <w:szCs w:val="24"/>
                <w:vertAlign w:val="baseline"/>
                <w:lang w:val="en-US" w:eastAsia="zh-CN"/>
              </w:rPr>
              <w:t>≤7.5</w:t>
            </w:r>
            <w:r>
              <w:rPr>
                <w:rFonts w:hint="default" w:ascii="仿宋_GB2312" w:hAnsi="仿宋_GB2312" w:eastAsia="仿宋_GB2312" w:cs="仿宋_GB2312"/>
                <w:snapToGrid w:val="0"/>
                <w:kern w:val="0"/>
                <w:sz w:val="24"/>
                <w:szCs w:val="24"/>
                <w:vertAlign w:val="baseline"/>
                <w:lang w:val="en-US" w:eastAsia="zh-CN"/>
              </w:rPr>
              <w:t>米</w:t>
            </w:r>
          </w:p>
          <w:p w14:paraId="71BD60C3">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p>
        </w:tc>
      </w:tr>
      <w:tr w14:paraId="0650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21D5AE83">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说明</w:t>
            </w:r>
          </w:p>
        </w:tc>
        <w:tc>
          <w:tcPr>
            <w:tcW w:w="8691" w:type="dxa"/>
            <w:gridSpan w:val="2"/>
            <w:noWrap w:val="0"/>
            <w:vAlign w:val="center"/>
          </w:tcPr>
          <w:p w14:paraId="0BA739A4">
            <w:pPr>
              <w:pStyle w:val="10"/>
              <w:tabs>
                <w:tab w:val="left" w:pos="562"/>
                <w:tab w:val="left" w:pos="3372"/>
                <w:tab w:val="left" w:pos="3653"/>
              </w:tabs>
              <w:jc w:val="left"/>
              <w:rPr>
                <w:rFonts w:hint="default" w:ascii="仿宋_GB2312" w:hAnsi="仿宋_GB2312" w:eastAsia="仿宋_GB2312" w:cs="仿宋_GB2312"/>
                <w:b/>
                <w:bCs/>
                <w:snapToGrid w:val="0"/>
                <w:kern w:val="0"/>
                <w:sz w:val="24"/>
                <w:szCs w:val="24"/>
                <w:vertAlign w:val="baseline"/>
                <w:lang w:val="en-US" w:eastAsia="zh-CN"/>
              </w:rPr>
            </w:pPr>
            <w:r>
              <w:rPr>
                <w:rFonts w:hint="default" w:ascii="仿宋_GB2312" w:hAnsi="仿宋_GB2312" w:eastAsia="仿宋_GB2312" w:cs="仿宋_GB2312"/>
                <w:b/>
                <w:bCs/>
                <w:snapToGrid w:val="0"/>
                <w:kern w:val="0"/>
                <w:sz w:val="24"/>
                <w:szCs w:val="24"/>
                <w:vertAlign w:val="baseline"/>
                <w:lang w:val="en-US" w:eastAsia="zh-CN"/>
              </w:rPr>
              <w:t>项目定位：</w:t>
            </w:r>
          </w:p>
          <w:p w14:paraId="61853DE3">
            <w:pPr>
              <w:pStyle w:val="10"/>
              <w:tabs>
                <w:tab w:val="left" w:pos="562"/>
                <w:tab w:val="left" w:pos="3372"/>
                <w:tab w:val="left" w:pos="3653"/>
              </w:tabs>
              <w:jc w:val="left"/>
              <w:rPr>
                <w:rFonts w:hint="default" w:ascii="仿宋_GB2312" w:hAnsi="仿宋_GB2312" w:eastAsia="仿宋_GB2312" w:cs="仿宋_GB2312"/>
                <w:snapToGrid w:val="0"/>
                <w:kern w:val="0"/>
                <w:sz w:val="24"/>
                <w:szCs w:val="24"/>
                <w:vertAlign w:val="baseline"/>
                <w:lang w:val="en-US" w:eastAsia="zh-CN"/>
              </w:rPr>
            </w:pPr>
            <w:r>
              <w:rPr>
                <w:rFonts w:hint="default" w:ascii="仿宋_GB2312" w:hAnsi="仿宋_GB2312" w:eastAsia="仿宋_GB2312" w:cs="仿宋_GB2312"/>
                <w:snapToGrid w:val="0"/>
                <w:kern w:val="0"/>
                <w:sz w:val="24"/>
                <w:szCs w:val="24"/>
                <w:vertAlign w:val="baseline"/>
                <w:lang w:val="en-US" w:eastAsia="zh-CN"/>
              </w:rPr>
              <w:t>以战斗机模型作为儿童体验舱的沉浸式娱乐设施，为孩子们营造身临其境的科幻大片氛围，提供独特且富有创意的游玩体验。</w:t>
            </w:r>
          </w:p>
          <w:p w14:paraId="6FE0A4A1">
            <w:pPr>
              <w:pStyle w:val="10"/>
              <w:tabs>
                <w:tab w:val="left" w:pos="562"/>
                <w:tab w:val="left" w:pos="3372"/>
                <w:tab w:val="left" w:pos="3653"/>
              </w:tabs>
              <w:jc w:val="left"/>
              <w:rPr>
                <w:rFonts w:hint="default" w:ascii="仿宋_GB2312" w:hAnsi="仿宋_GB2312" w:eastAsia="仿宋_GB2312" w:cs="仿宋_GB2312"/>
                <w:b/>
                <w:bCs/>
                <w:snapToGrid w:val="0"/>
                <w:kern w:val="0"/>
                <w:sz w:val="24"/>
                <w:szCs w:val="24"/>
                <w:vertAlign w:val="baseline"/>
                <w:lang w:val="en-US" w:eastAsia="zh-CN"/>
              </w:rPr>
            </w:pPr>
            <w:r>
              <w:rPr>
                <w:rFonts w:hint="default" w:ascii="仿宋_GB2312" w:hAnsi="仿宋_GB2312" w:eastAsia="仿宋_GB2312" w:cs="仿宋_GB2312"/>
                <w:b/>
                <w:bCs/>
                <w:snapToGrid w:val="0"/>
                <w:kern w:val="0"/>
                <w:sz w:val="24"/>
                <w:szCs w:val="24"/>
                <w:vertAlign w:val="baseline"/>
                <w:lang w:val="en-US" w:eastAsia="zh-CN"/>
              </w:rPr>
              <w:t>受众人群：</w:t>
            </w:r>
          </w:p>
          <w:p w14:paraId="436DDDD6">
            <w:pPr>
              <w:pStyle w:val="10"/>
              <w:tabs>
                <w:tab w:val="left" w:pos="562"/>
                <w:tab w:val="left" w:pos="3372"/>
                <w:tab w:val="left" w:pos="3653"/>
              </w:tabs>
              <w:jc w:val="left"/>
              <w:rPr>
                <w:rFonts w:hint="default" w:ascii="仿宋_GB2312" w:hAnsi="仿宋_GB2312" w:eastAsia="仿宋_GB2312" w:cs="仿宋_GB2312"/>
                <w:snapToGrid w:val="0"/>
                <w:kern w:val="0"/>
                <w:sz w:val="24"/>
                <w:szCs w:val="24"/>
                <w:vertAlign w:val="baseline"/>
                <w:lang w:val="en-US" w:eastAsia="zh-CN"/>
              </w:rPr>
            </w:pPr>
            <w:r>
              <w:rPr>
                <w:rFonts w:hint="default" w:ascii="仿宋_GB2312" w:hAnsi="仿宋_GB2312" w:eastAsia="仿宋_GB2312" w:cs="仿宋_GB2312"/>
                <w:snapToGrid w:val="0"/>
                <w:kern w:val="0"/>
                <w:sz w:val="24"/>
                <w:szCs w:val="24"/>
                <w:vertAlign w:val="baseline"/>
                <w:lang w:val="en-US" w:eastAsia="zh-CN"/>
              </w:rPr>
              <w:t>年龄在 4 - 12 岁的儿童群体。</w:t>
            </w:r>
          </w:p>
        </w:tc>
      </w:tr>
      <w:tr w14:paraId="4006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619D44E4">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4</w:t>
            </w:r>
          </w:p>
        </w:tc>
        <w:tc>
          <w:tcPr>
            <w:tcW w:w="1191" w:type="dxa"/>
            <w:noWrap w:val="0"/>
            <w:vAlign w:val="center"/>
          </w:tcPr>
          <w:p w14:paraId="584191C1">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default" w:ascii="仿宋_GB2312" w:hAnsi="仿宋_GB2312" w:eastAsia="仿宋_GB2312" w:cs="仿宋_GB2312"/>
                <w:snapToGrid w:val="0"/>
                <w:kern w:val="0"/>
                <w:sz w:val="24"/>
                <w:szCs w:val="24"/>
                <w:vertAlign w:val="baseline"/>
                <w:lang w:val="en-US" w:eastAsia="zh-CN"/>
              </w:rPr>
              <w:t>喷球车</w:t>
            </w:r>
          </w:p>
        </w:tc>
        <w:tc>
          <w:tcPr>
            <w:tcW w:w="7500" w:type="dxa"/>
            <w:noWrap w:val="0"/>
            <w:vAlign w:val="center"/>
          </w:tcPr>
          <w:p w14:paraId="588D1F43">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1.</w:t>
            </w:r>
            <w:r>
              <w:rPr>
                <w:rFonts w:hint="default" w:ascii="仿宋_GB2312" w:hAnsi="仿宋_GB2312" w:eastAsia="仿宋_GB2312" w:cs="仿宋_GB2312"/>
                <w:snapToGrid w:val="0"/>
                <w:kern w:val="0"/>
                <w:sz w:val="24"/>
                <w:szCs w:val="24"/>
                <w:vertAlign w:val="baseline"/>
                <w:lang w:val="en-US" w:eastAsia="zh-CN"/>
              </w:rPr>
              <w:t>设备电压：220V</w:t>
            </w:r>
          </w:p>
          <w:p w14:paraId="2E55877B">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2.</w:t>
            </w:r>
            <w:r>
              <w:rPr>
                <w:rFonts w:hint="default" w:ascii="仿宋_GB2312" w:hAnsi="仿宋_GB2312" w:eastAsia="仿宋_GB2312" w:cs="仿宋_GB2312"/>
                <w:snapToGrid w:val="0"/>
                <w:kern w:val="0"/>
                <w:sz w:val="24"/>
                <w:szCs w:val="24"/>
                <w:vertAlign w:val="baseline"/>
                <w:lang w:val="en-US" w:eastAsia="zh-CN"/>
              </w:rPr>
              <w:t>设备功率：</w:t>
            </w:r>
            <w:r>
              <w:rPr>
                <w:rFonts w:hint="eastAsia" w:ascii="仿宋_GB2312" w:hAnsi="仿宋_GB2312" w:eastAsia="仿宋_GB2312" w:cs="仿宋_GB2312"/>
                <w:snapToGrid w:val="0"/>
                <w:kern w:val="0"/>
                <w:sz w:val="24"/>
                <w:szCs w:val="24"/>
                <w:vertAlign w:val="baseline"/>
                <w:lang w:val="en-US" w:eastAsia="zh-CN"/>
              </w:rPr>
              <w:t>≤</w:t>
            </w:r>
            <w:r>
              <w:rPr>
                <w:rFonts w:hint="default" w:ascii="仿宋_GB2312" w:hAnsi="仿宋_GB2312" w:eastAsia="仿宋_GB2312" w:cs="仿宋_GB2312"/>
                <w:snapToGrid w:val="0"/>
                <w:kern w:val="0"/>
                <w:sz w:val="24"/>
                <w:szCs w:val="24"/>
                <w:vertAlign w:val="baseline"/>
                <w:lang w:val="en-US" w:eastAsia="zh-CN"/>
              </w:rPr>
              <w:t>5KW</w:t>
            </w:r>
          </w:p>
          <w:p w14:paraId="7BB14BF4">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3.</w:t>
            </w:r>
            <w:r>
              <w:rPr>
                <w:rFonts w:hint="default" w:ascii="仿宋_GB2312" w:hAnsi="仿宋_GB2312" w:eastAsia="仿宋_GB2312" w:cs="仿宋_GB2312"/>
                <w:snapToGrid w:val="0"/>
                <w:kern w:val="0"/>
                <w:sz w:val="24"/>
                <w:szCs w:val="24"/>
                <w:vertAlign w:val="baseline"/>
                <w:lang w:val="en-US" w:eastAsia="zh-CN"/>
              </w:rPr>
              <w:t>占地面积：直径</w:t>
            </w:r>
            <w:r>
              <w:rPr>
                <w:rFonts w:hint="eastAsia" w:ascii="仿宋_GB2312" w:hAnsi="仿宋_GB2312" w:eastAsia="仿宋_GB2312" w:cs="仿宋_GB2312"/>
                <w:snapToGrid w:val="0"/>
                <w:kern w:val="0"/>
                <w:sz w:val="24"/>
                <w:szCs w:val="24"/>
                <w:vertAlign w:val="baseline"/>
                <w:lang w:val="en-US" w:eastAsia="zh-CN"/>
              </w:rPr>
              <w:t>≤7</w:t>
            </w:r>
            <w:r>
              <w:rPr>
                <w:rFonts w:hint="default" w:ascii="仿宋_GB2312" w:hAnsi="仿宋_GB2312" w:eastAsia="仿宋_GB2312" w:cs="仿宋_GB2312"/>
                <w:snapToGrid w:val="0"/>
                <w:kern w:val="0"/>
                <w:sz w:val="24"/>
                <w:szCs w:val="24"/>
                <w:vertAlign w:val="baseline"/>
                <w:lang w:val="en-US" w:eastAsia="zh-CN"/>
              </w:rPr>
              <w:t>米</w:t>
            </w:r>
          </w:p>
          <w:p w14:paraId="373749E1">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4.</w:t>
            </w:r>
            <w:r>
              <w:rPr>
                <w:rFonts w:hint="default" w:ascii="仿宋_GB2312" w:hAnsi="仿宋_GB2312" w:eastAsia="仿宋_GB2312" w:cs="仿宋_GB2312"/>
                <w:snapToGrid w:val="0"/>
                <w:kern w:val="0"/>
                <w:sz w:val="24"/>
                <w:szCs w:val="24"/>
                <w:vertAlign w:val="baseline"/>
                <w:lang w:val="en-US" w:eastAsia="zh-CN"/>
              </w:rPr>
              <w:t>设备乘员：</w:t>
            </w:r>
            <w:r>
              <w:rPr>
                <w:rFonts w:hint="eastAsia" w:ascii="仿宋_GB2312" w:hAnsi="仿宋_GB2312" w:eastAsia="仿宋_GB2312" w:cs="仿宋_GB2312"/>
                <w:snapToGrid w:val="0"/>
                <w:kern w:val="0"/>
                <w:sz w:val="24"/>
                <w:szCs w:val="24"/>
                <w:vertAlign w:val="baseline"/>
                <w:lang w:val="en-US" w:eastAsia="zh-CN"/>
              </w:rPr>
              <w:t>≥16</w:t>
            </w:r>
            <w:r>
              <w:rPr>
                <w:rFonts w:hint="default" w:ascii="仿宋_GB2312" w:hAnsi="仿宋_GB2312" w:eastAsia="仿宋_GB2312" w:cs="仿宋_GB2312"/>
                <w:snapToGrid w:val="0"/>
                <w:kern w:val="0"/>
                <w:sz w:val="24"/>
                <w:szCs w:val="24"/>
                <w:vertAlign w:val="baseline"/>
                <w:lang w:val="en-US" w:eastAsia="zh-CN"/>
              </w:rPr>
              <w:t>人</w:t>
            </w:r>
          </w:p>
          <w:p w14:paraId="68DCEE1A">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5.</w:t>
            </w:r>
            <w:r>
              <w:rPr>
                <w:rFonts w:hint="default" w:ascii="仿宋_GB2312" w:hAnsi="仿宋_GB2312" w:eastAsia="仿宋_GB2312" w:cs="仿宋_GB2312"/>
                <w:snapToGrid w:val="0"/>
                <w:kern w:val="0"/>
                <w:sz w:val="24"/>
                <w:szCs w:val="24"/>
                <w:vertAlign w:val="baseline"/>
                <w:lang w:val="en-US" w:eastAsia="zh-CN"/>
              </w:rPr>
              <w:t>设备高度：</w:t>
            </w:r>
            <w:r>
              <w:rPr>
                <w:rFonts w:hint="eastAsia" w:ascii="仿宋_GB2312" w:hAnsi="仿宋_GB2312" w:eastAsia="仿宋_GB2312" w:cs="仿宋_GB2312"/>
                <w:snapToGrid w:val="0"/>
                <w:kern w:val="0"/>
                <w:sz w:val="24"/>
                <w:szCs w:val="24"/>
                <w:vertAlign w:val="baseline"/>
                <w:lang w:val="en-US" w:eastAsia="zh-CN"/>
              </w:rPr>
              <w:t>≤</w:t>
            </w:r>
            <w:r>
              <w:rPr>
                <w:rFonts w:hint="default" w:ascii="仿宋_GB2312" w:hAnsi="仿宋_GB2312" w:eastAsia="仿宋_GB2312" w:cs="仿宋_GB2312"/>
                <w:snapToGrid w:val="0"/>
                <w:kern w:val="0"/>
                <w:sz w:val="24"/>
                <w:szCs w:val="24"/>
                <w:vertAlign w:val="baseline"/>
                <w:lang w:val="en-US" w:eastAsia="zh-CN"/>
              </w:rPr>
              <w:t>6米</w:t>
            </w:r>
          </w:p>
          <w:p w14:paraId="1EC4B0C0">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p>
        </w:tc>
      </w:tr>
      <w:tr w14:paraId="5F49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5FE98C83">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说明</w:t>
            </w:r>
          </w:p>
        </w:tc>
        <w:tc>
          <w:tcPr>
            <w:tcW w:w="8691" w:type="dxa"/>
            <w:gridSpan w:val="2"/>
            <w:noWrap w:val="0"/>
            <w:vAlign w:val="center"/>
          </w:tcPr>
          <w:p w14:paraId="5B4C52AC">
            <w:pPr>
              <w:pStyle w:val="10"/>
              <w:tabs>
                <w:tab w:val="left" w:pos="562"/>
                <w:tab w:val="left" w:pos="3372"/>
                <w:tab w:val="left" w:pos="3653"/>
              </w:tabs>
              <w:jc w:val="left"/>
              <w:rPr>
                <w:rFonts w:hint="default" w:ascii="仿宋_GB2312" w:hAnsi="仿宋_GB2312" w:eastAsia="仿宋_GB2312" w:cs="仿宋_GB2312"/>
                <w:b/>
                <w:bCs/>
                <w:snapToGrid w:val="0"/>
                <w:kern w:val="0"/>
                <w:sz w:val="24"/>
                <w:szCs w:val="24"/>
                <w:vertAlign w:val="baseline"/>
                <w:lang w:val="en-US" w:eastAsia="zh-CN"/>
              </w:rPr>
            </w:pPr>
            <w:r>
              <w:rPr>
                <w:rFonts w:hint="default" w:ascii="仿宋_GB2312" w:hAnsi="仿宋_GB2312" w:eastAsia="仿宋_GB2312" w:cs="仿宋_GB2312"/>
                <w:b/>
                <w:bCs/>
                <w:snapToGrid w:val="0"/>
                <w:kern w:val="0"/>
                <w:sz w:val="24"/>
                <w:szCs w:val="24"/>
                <w:vertAlign w:val="baseline"/>
                <w:lang w:val="en-US" w:eastAsia="zh-CN"/>
              </w:rPr>
              <w:t>受众人群：</w:t>
            </w:r>
          </w:p>
          <w:p w14:paraId="01D3670E">
            <w:pPr>
              <w:pStyle w:val="10"/>
              <w:tabs>
                <w:tab w:val="left" w:pos="562"/>
                <w:tab w:val="left" w:pos="3372"/>
                <w:tab w:val="left" w:pos="3653"/>
              </w:tabs>
              <w:jc w:val="left"/>
              <w:rPr>
                <w:rFonts w:hint="default" w:ascii="仿宋_GB2312" w:hAnsi="仿宋_GB2312" w:eastAsia="仿宋_GB2312" w:cs="仿宋_GB2312"/>
                <w:snapToGrid w:val="0"/>
                <w:kern w:val="0"/>
                <w:sz w:val="24"/>
                <w:szCs w:val="24"/>
                <w:vertAlign w:val="baseline"/>
                <w:lang w:val="en-US" w:eastAsia="zh-CN"/>
              </w:rPr>
            </w:pPr>
            <w:r>
              <w:rPr>
                <w:rFonts w:hint="default" w:ascii="仿宋_GB2312" w:hAnsi="仿宋_GB2312" w:eastAsia="仿宋_GB2312" w:cs="仿宋_GB2312"/>
                <w:snapToGrid w:val="0"/>
                <w:kern w:val="0"/>
                <w:sz w:val="24"/>
                <w:szCs w:val="24"/>
                <w:vertAlign w:val="baseline"/>
                <w:lang w:val="en-US" w:eastAsia="zh-CN"/>
              </w:rPr>
              <w:t>3-12岁，亲子家庭互动。家长可以与孩子一同乘坐喷球车，在协作游戏中增进亲子关系，留下美好的家庭回忆，成为亲子家庭休闲娱乐的优质选择。</w:t>
            </w:r>
          </w:p>
        </w:tc>
      </w:tr>
      <w:tr w14:paraId="450A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44116F5F">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5</w:t>
            </w:r>
          </w:p>
        </w:tc>
        <w:tc>
          <w:tcPr>
            <w:tcW w:w="1191" w:type="dxa"/>
            <w:noWrap w:val="0"/>
            <w:vAlign w:val="center"/>
          </w:tcPr>
          <w:p w14:paraId="4138F08F">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default" w:ascii="仿宋_GB2312" w:hAnsi="仿宋_GB2312" w:eastAsia="仿宋_GB2312" w:cs="仿宋_GB2312"/>
                <w:snapToGrid w:val="0"/>
                <w:kern w:val="0"/>
                <w:sz w:val="24"/>
                <w:szCs w:val="24"/>
                <w:vertAlign w:val="baseline"/>
                <w:lang w:val="en-US" w:eastAsia="zh-CN"/>
              </w:rPr>
              <w:t>售票厅</w:t>
            </w:r>
          </w:p>
        </w:tc>
        <w:tc>
          <w:tcPr>
            <w:tcW w:w="7500" w:type="dxa"/>
            <w:noWrap w:val="0"/>
            <w:vAlign w:val="center"/>
          </w:tcPr>
          <w:p w14:paraId="336D3F2F">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1.</w:t>
            </w:r>
            <w:r>
              <w:rPr>
                <w:rFonts w:hint="default" w:ascii="仿宋_GB2312" w:hAnsi="仿宋_GB2312" w:eastAsia="仿宋_GB2312" w:cs="仿宋_GB2312"/>
                <w:snapToGrid w:val="0"/>
                <w:kern w:val="0"/>
                <w:sz w:val="24"/>
                <w:szCs w:val="24"/>
                <w:vertAlign w:val="baseline"/>
                <w:lang w:val="en-US" w:eastAsia="zh-CN"/>
              </w:rPr>
              <w:t>设备电压：220V</w:t>
            </w:r>
          </w:p>
          <w:p w14:paraId="49EDE847">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2.</w:t>
            </w:r>
            <w:r>
              <w:rPr>
                <w:rFonts w:hint="default" w:ascii="仿宋_GB2312" w:hAnsi="仿宋_GB2312" w:eastAsia="仿宋_GB2312" w:cs="仿宋_GB2312"/>
                <w:snapToGrid w:val="0"/>
                <w:kern w:val="0"/>
                <w:sz w:val="24"/>
                <w:szCs w:val="24"/>
                <w:vertAlign w:val="baseline"/>
                <w:lang w:val="en-US" w:eastAsia="zh-CN"/>
              </w:rPr>
              <w:t>占地：</w:t>
            </w:r>
            <w:r>
              <w:rPr>
                <w:rFonts w:hint="eastAsia" w:ascii="仿宋_GB2312" w:hAnsi="仿宋_GB2312" w:eastAsia="仿宋_GB2312" w:cs="仿宋_GB2312"/>
                <w:snapToGrid w:val="0"/>
                <w:kern w:val="0"/>
                <w:sz w:val="24"/>
                <w:szCs w:val="24"/>
                <w:vertAlign w:val="baseline"/>
                <w:lang w:val="en-US" w:eastAsia="zh-CN"/>
              </w:rPr>
              <w:t>≤4㎡</w:t>
            </w:r>
          </w:p>
          <w:p w14:paraId="36FFA0C0">
            <w:pPr>
              <w:pStyle w:val="10"/>
              <w:tabs>
                <w:tab w:val="left" w:pos="562"/>
                <w:tab w:val="left" w:pos="3372"/>
                <w:tab w:val="left" w:pos="3653"/>
              </w:tabs>
              <w:jc w:val="both"/>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3.</w:t>
            </w:r>
            <w:r>
              <w:rPr>
                <w:rFonts w:hint="default" w:ascii="仿宋_GB2312" w:hAnsi="仿宋_GB2312" w:eastAsia="仿宋_GB2312" w:cs="仿宋_GB2312"/>
                <w:snapToGrid w:val="0"/>
                <w:kern w:val="0"/>
                <w:sz w:val="24"/>
                <w:szCs w:val="24"/>
                <w:vertAlign w:val="baseline"/>
                <w:lang w:val="en-US" w:eastAsia="zh-CN"/>
              </w:rPr>
              <w:t>设备高度：</w:t>
            </w:r>
            <w:r>
              <w:rPr>
                <w:rFonts w:hint="eastAsia" w:ascii="仿宋_GB2312" w:hAnsi="仿宋_GB2312" w:eastAsia="仿宋_GB2312" w:cs="仿宋_GB2312"/>
                <w:snapToGrid w:val="0"/>
                <w:kern w:val="0"/>
                <w:sz w:val="24"/>
                <w:szCs w:val="24"/>
                <w:vertAlign w:val="baseline"/>
                <w:lang w:val="en-US" w:eastAsia="zh-CN"/>
              </w:rPr>
              <w:t>≤</w:t>
            </w:r>
            <w:r>
              <w:rPr>
                <w:rFonts w:hint="default" w:ascii="仿宋_GB2312" w:hAnsi="仿宋_GB2312" w:eastAsia="仿宋_GB2312" w:cs="仿宋_GB2312"/>
                <w:snapToGrid w:val="0"/>
                <w:kern w:val="0"/>
                <w:sz w:val="24"/>
                <w:szCs w:val="24"/>
                <w:vertAlign w:val="baseline"/>
                <w:lang w:val="en-US" w:eastAsia="zh-CN"/>
              </w:rPr>
              <w:t>4米</w:t>
            </w:r>
          </w:p>
          <w:p w14:paraId="195B1139">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p>
        </w:tc>
      </w:tr>
      <w:tr w14:paraId="33A3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18DE3B9E">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说明</w:t>
            </w:r>
          </w:p>
        </w:tc>
        <w:tc>
          <w:tcPr>
            <w:tcW w:w="8691" w:type="dxa"/>
            <w:gridSpan w:val="2"/>
            <w:noWrap w:val="0"/>
            <w:vAlign w:val="center"/>
          </w:tcPr>
          <w:p w14:paraId="42CAAA57">
            <w:pPr>
              <w:pStyle w:val="10"/>
              <w:tabs>
                <w:tab w:val="left" w:pos="562"/>
                <w:tab w:val="left" w:pos="3372"/>
                <w:tab w:val="left" w:pos="3653"/>
              </w:tabs>
              <w:jc w:val="left"/>
              <w:rPr>
                <w:rFonts w:hint="eastAsia" w:ascii="仿宋_GB2312" w:hAnsi="仿宋_GB2312" w:eastAsia="仿宋_GB2312" w:cs="仿宋_GB2312"/>
                <w:b/>
                <w:bCs/>
                <w:snapToGrid w:val="0"/>
                <w:kern w:val="0"/>
                <w:sz w:val="24"/>
                <w:szCs w:val="24"/>
                <w:vertAlign w:val="baseline"/>
                <w:lang w:val="en-US" w:eastAsia="zh-CN"/>
              </w:rPr>
            </w:pPr>
            <w:r>
              <w:rPr>
                <w:rFonts w:hint="default" w:ascii="仿宋_GB2312" w:hAnsi="仿宋_GB2312" w:eastAsia="仿宋_GB2312" w:cs="仿宋_GB2312"/>
                <w:b/>
                <w:bCs/>
                <w:snapToGrid w:val="0"/>
                <w:kern w:val="0"/>
                <w:sz w:val="24"/>
                <w:szCs w:val="24"/>
                <w:vertAlign w:val="baseline"/>
                <w:lang w:val="en-US" w:eastAsia="zh-CN"/>
              </w:rPr>
              <w:t>设备定位：</w:t>
            </w:r>
          </w:p>
          <w:p w14:paraId="696F6EA8">
            <w:pPr>
              <w:pStyle w:val="10"/>
              <w:tabs>
                <w:tab w:val="left" w:pos="562"/>
                <w:tab w:val="left" w:pos="3372"/>
                <w:tab w:val="left" w:pos="3653"/>
              </w:tabs>
              <w:jc w:val="left"/>
              <w:rPr>
                <w:rFonts w:hint="default" w:ascii="仿宋_GB2312" w:hAnsi="仿宋_GB2312" w:eastAsia="仿宋_GB2312" w:cs="仿宋_GB2312"/>
                <w:snapToGrid w:val="0"/>
                <w:kern w:val="0"/>
                <w:sz w:val="24"/>
                <w:szCs w:val="24"/>
                <w:vertAlign w:val="baseline"/>
                <w:lang w:val="en-US" w:eastAsia="zh-CN"/>
              </w:rPr>
            </w:pPr>
            <w:r>
              <w:rPr>
                <w:rFonts w:hint="default" w:ascii="仿宋_GB2312" w:hAnsi="仿宋_GB2312" w:eastAsia="仿宋_GB2312" w:cs="仿宋_GB2312"/>
                <w:snapToGrid w:val="0"/>
                <w:kern w:val="0"/>
                <w:sz w:val="24"/>
                <w:szCs w:val="24"/>
                <w:vertAlign w:val="baseline"/>
                <w:lang w:val="en-US" w:eastAsia="zh-CN"/>
              </w:rPr>
              <w:t>通过灯光和造型的装饰</w:t>
            </w:r>
            <w:r>
              <w:rPr>
                <w:rFonts w:hint="eastAsia" w:ascii="仿宋_GB2312" w:hAnsi="仿宋_GB2312" w:eastAsia="仿宋_GB2312" w:cs="仿宋_GB2312"/>
                <w:snapToGrid w:val="0"/>
                <w:kern w:val="0"/>
                <w:sz w:val="24"/>
                <w:szCs w:val="24"/>
                <w:vertAlign w:val="baseline"/>
                <w:lang w:val="en-US" w:eastAsia="zh-CN"/>
              </w:rPr>
              <w:t>与整体和谐且符合公园和本项目的定位</w:t>
            </w:r>
            <w:r>
              <w:rPr>
                <w:rFonts w:hint="default" w:ascii="仿宋_GB2312" w:hAnsi="仿宋_GB2312" w:eastAsia="仿宋_GB2312" w:cs="仿宋_GB2312"/>
                <w:snapToGrid w:val="0"/>
                <w:kern w:val="0"/>
                <w:sz w:val="24"/>
                <w:szCs w:val="24"/>
                <w:vertAlign w:val="baseline"/>
                <w:lang w:val="en-US" w:eastAsia="zh-CN"/>
              </w:rPr>
              <w:t>。</w:t>
            </w:r>
          </w:p>
        </w:tc>
      </w:tr>
      <w:tr w14:paraId="00A2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79157B48">
            <w:pPr>
              <w:pStyle w:val="10"/>
              <w:tabs>
                <w:tab w:val="left" w:pos="562"/>
                <w:tab w:val="left" w:pos="3372"/>
                <w:tab w:val="left" w:pos="3653"/>
              </w:tabs>
              <w:jc w:val="center"/>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要求</w:t>
            </w:r>
          </w:p>
        </w:tc>
        <w:tc>
          <w:tcPr>
            <w:tcW w:w="8691" w:type="dxa"/>
            <w:gridSpan w:val="2"/>
            <w:noWrap w:val="0"/>
            <w:vAlign w:val="center"/>
          </w:tcPr>
          <w:p w14:paraId="28DAD082">
            <w:pPr>
              <w:pStyle w:val="10"/>
              <w:tabs>
                <w:tab w:val="left" w:pos="562"/>
                <w:tab w:val="left" w:pos="3372"/>
                <w:tab w:val="left" w:pos="3653"/>
              </w:tabs>
              <w:jc w:val="left"/>
              <w:rPr>
                <w:rFonts w:hint="default" w:ascii="仿宋_GB2312" w:hAnsi="仿宋_GB2312" w:eastAsia="仿宋_GB2312" w:cs="仿宋_GB2312"/>
                <w:snapToGrid w:val="0"/>
                <w:kern w:val="0"/>
                <w:sz w:val="24"/>
                <w:szCs w:val="24"/>
                <w:vertAlign w:val="baseline"/>
                <w:lang w:val="en-US" w:eastAsia="zh-CN"/>
              </w:rPr>
            </w:pPr>
            <w:r>
              <w:rPr>
                <w:rFonts w:hint="eastAsia" w:ascii="仿宋_GB2312" w:hAnsi="仿宋_GB2312" w:eastAsia="仿宋_GB2312" w:cs="仿宋_GB2312"/>
                <w:snapToGrid w:val="0"/>
                <w:kern w:val="0"/>
                <w:sz w:val="24"/>
                <w:szCs w:val="24"/>
                <w:vertAlign w:val="baseline"/>
                <w:lang w:val="en-US" w:eastAsia="zh-CN"/>
              </w:rPr>
              <w:t>本项目</w:t>
            </w:r>
            <w:r>
              <w:rPr>
                <w:rFonts w:hint="default" w:ascii="仿宋_GB2312" w:hAnsi="仿宋_GB2312" w:eastAsia="仿宋_GB2312" w:cs="仿宋_GB2312"/>
                <w:snapToGrid w:val="0"/>
                <w:kern w:val="0"/>
                <w:sz w:val="24"/>
                <w:szCs w:val="24"/>
                <w:vertAlign w:val="baseline"/>
                <w:lang w:val="en-US" w:eastAsia="zh-CN"/>
              </w:rPr>
              <w:t>涉及的载人动力游乐设施设计最大运行线速度小于2m/s，且运行高度距地面低于2m</w:t>
            </w:r>
            <w:r>
              <w:rPr>
                <w:rFonts w:hint="eastAsia" w:ascii="仿宋_GB2312" w:hAnsi="仿宋_GB2312" w:eastAsia="仿宋_GB2312" w:cs="仿宋_GB2312"/>
                <w:snapToGrid w:val="0"/>
                <w:kern w:val="0"/>
                <w:sz w:val="24"/>
                <w:szCs w:val="24"/>
                <w:vertAlign w:val="baseline"/>
                <w:lang w:val="en-US" w:eastAsia="zh-CN"/>
              </w:rPr>
              <w:t>。</w:t>
            </w:r>
          </w:p>
        </w:tc>
      </w:tr>
    </w:tbl>
    <w:p w14:paraId="1E9E259D">
      <w:pPr>
        <w:pStyle w:val="10"/>
        <w:tabs>
          <w:tab w:val="left" w:pos="562"/>
          <w:tab w:val="left" w:pos="3372"/>
          <w:tab w:val="left" w:pos="3653"/>
        </w:tabs>
        <w:ind w:firstLine="562" w:firstLineChars="200"/>
        <w:rPr>
          <w:rFonts w:hint="default" w:ascii="仿宋_GB2312" w:hAnsi="仿宋_GB2312" w:eastAsia="仿宋_GB2312" w:cs="仿宋_GB2312"/>
          <w:snapToGrid w:val="0"/>
          <w:kern w:val="0"/>
          <w:sz w:val="28"/>
          <w:szCs w:val="28"/>
          <w:lang w:val="en-US" w:eastAsia="zh-CN"/>
        </w:rPr>
      </w:pPr>
    </w:p>
    <w:p w14:paraId="79657B6E">
      <w:pPr>
        <w:spacing w:line="360" w:lineRule="auto"/>
        <w:ind w:firstLine="0"/>
        <w:jc w:val="both"/>
        <w:outlineLvl w:val="3"/>
        <w:rPr>
          <w:rFonts w:hint="default" w:ascii="仿宋_GB2312" w:hAnsi="仿宋_GB2312" w:eastAsia="仿宋_GB2312" w:cs="仿宋_GB2312"/>
          <w:b/>
          <w:bCs/>
          <w:kern w:val="0"/>
          <w:sz w:val="28"/>
          <w:szCs w:val="28"/>
          <w:lang w:val="en-US" w:eastAsia="zh-CN"/>
        </w:rPr>
      </w:pPr>
      <w:bookmarkStart w:id="51" w:name="_Toc768"/>
      <w:r>
        <w:rPr>
          <w:rFonts w:hint="eastAsia" w:ascii="仿宋_GB2312" w:hAnsi="仿宋_GB2312" w:eastAsia="仿宋_GB2312" w:cs="仿宋_GB2312"/>
          <w:b/>
          <w:bCs/>
          <w:kern w:val="0"/>
          <w:sz w:val="28"/>
          <w:szCs w:val="28"/>
          <w:lang w:val="en-US" w:eastAsia="zh-CN"/>
        </w:rPr>
        <w:t>（十）场地平面布局</w:t>
      </w:r>
      <w:bookmarkEnd w:id="51"/>
    </w:p>
    <w:p w14:paraId="6A7339F5">
      <w:pPr>
        <w:autoSpaceDE w:val="0"/>
        <w:autoSpaceDN w:val="0"/>
        <w:spacing w:beforeLines="0" w:afterLines="0" w:line="360" w:lineRule="auto"/>
        <w:ind w:firstLine="420" w:firstLineChars="200"/>
        <w:jc w:val="center"/>
        <w:rPr>
          <w:rFonts w:hint="eastAsia" w:ascii="仿宋_GB2312" w:hAnsi="仿宋_GB2312" w:eastAsia="仿宋_GB2312" w:cs="仿宋_GB2312"/>
          <w:snapToGrid w:val="0"/>
          <w:kern w:val="0"/>
          <w:sz w:val="28"/>
          <w:szCs w:val="28"/>
          <w:lang w:val="en-US" w:eastAsia="zh-CN"/>
        </w:rPr>
      </w:pPr>
      <w:r>
        <w:drawing>
          <wp:inline distT="0" distB="0" distL="114300" distR="114300">
            <wp:extent cx="5464810" cy="3257550"/>
            <wp:effectExtent l="0" t="0" r="2540"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3"/>
                    <a:stretch>
                      <a:fillRect/>
                    </a:stretch>
                  </pic:blipFill>
                  <pic:spPr>
                    <a:xfrm>
                      <a:off x="0" y="0"/>
                      <a:ext cx="5464810" cy="3257550"/>
                    </a:xfrm>
                    <a:prstGeom prst="rect">
                      <a:avLst/>
                    </a:prstGeom>
                    <a:noFill/>
                    <a:ln>
                      <a:noFill/>
                    </a:ln>
                  </pic:spPr>
                </pic:pic>
              </a:graphicData>
            </a:graphic>
          </wp:inline>
        </w:drawing>
      </w:r>
    </w:p>
    <w:p w14:paraId="4FFD2520">
      <w:pPr>
        <w:pageBreakBefore w:val="0"/>
        <w:kinsoku/>
        <w:overflowPunct/>
        <w:topLinePunct w:val="0"/>
        <w:autoSpaceDE w:val="0"/>
        <w:autoSpaceDN w:val="0"/>
        <w:bidi w:val="0"/>
        <w:spacing w:beforeLines="0" w:afterLines="0" w:line="360" w:lineRule="auto"/>
        <w:ind w:right="0" w:rightChars="0" w:firstLine="560" w:firstLineChars="200"/>
        <w:jc w:val="left"/>
        <w:rPr>
          <w:rFonts w:hint="eastAsia" w:ascii="仿宋_GB2312" w:hAnsi="仿宋_GB2312" w:eastAsia="仿宋_GB2312" w:cs="仿宋_GB2312"/>
          <w:b w:val="0"/>
          <w:bCs w:val="0"/>
          <w:kern w:val="0"/>
          <w:sz w:val="28"/>
          <w:szCs w:val="28"/>
          <w:highlight w:val="none"/>
          <w:lang w:eastAsia="zh-CN" w:bidi="zh-CN"/>
        </w:rPr>
      </w:pPr>
    </w:p>
    <w:p w14:paraId="5B4D0347">
      <w:pPr>
        <w:pageBreakBefore w:val="0"/>
        <w:widowControl w:val="0"/>
        <w:kinsoku/>
        <w:overflowPunct/>
        <w:topLinePunct w:val="0"/>
        <w:autoSpaceDE/>
        <w:autoSpaceDN/>
        <w:bidi w:val="0"/>
        <w:adjustRightInd w:val="0"/>
        <w:snapToGrid w:val="0"/>
        <w:spacing w:before="120" w:beforeLines="50" w:after="120" w:afterLines="50" w:line="400" w:lineRule="exact"/>
        <w:ind w:firstLine="0" w:firstLineChars="0"/>
        <w:jc w:val="center"/>
        <w:outlineLvl w:val="9"/>
        <w:rPr>
          <w:rFonts w:hint="eastAsia" w:ascii="宋体" w:hAnsi="宋体" w:eastAsia="宋体" w:cs="宋体"/>
          <w:b/>
          <w:bCs/>
          <w:kern w:val="44"/>
          <w:sz w:val="24"/>
          <w:szCs w:val="24"/>
          <w:highlight w:val="none"/>
          <w:lang w:val="en-US" w:eastAsia="zh-CN" w:bidi="ar-SA"/>
        </w:rPr>
      </w:pPr>
    </w:p>
    <w:p w14:paraId="64352F69">
      <w:pPr>
        <w:pageBreakBefore w:val="0"/>
        <w:widowControl w:val="0"/>
        <w:kinsoku/>
        <w:overflowPunct/>
        <w:topLinePunct w:val="0"/>
        <w:autoSpaceDE/>
        <w:autoSpaceDN/>
        <w:bidi w:val="0"/>
        <w:adjustRightInd w:val="0"/>
        <w:snapToGrid w:val="0"/>
        <w:spacing w:before="120" w:beforeLines="50" w:after="120" w:afterLines="50" w:line="400" w:lineRule="exact"/>
        <w:ind w:firstLine="0" w:firstLineChars="0"/>
        <w:jc w:val="center"/>
        <w:outlineLvl w:val="2"/>
        <w:rPr>
          <w:rFonts w:hint="eastAsia" w:ascii="宋体" w:hAnsi="宋体" w:eastAsia="宋体" w:cs="宋体"/>
          <w:b/>
          <w:bCs/>
          <w:kern w:val="44"/>
          <w:sz w:val="24"/>
          <w:szCs w:val="24"/>
          <w:highlight w:val="none"/>
          <w:lang w:val="en-US" w:eastAsia="zh-CN" w:bidi="ar-SA"/>
        </w:rPr>
      </w:pPr>
      <w:r>
        <w:rPr>
          <w:rFonts w:hint="eastAsia" w:ascii="宋体" w:hAnsi="宋体" w:eastAsia="宋体" w:cs="宋体"/>
          <w:b/>
          <w:bCs/>
          <w:kern w:val="44"/>
          <w:sz w:val="24"/>
          <w:szCs w:val="24"/>
          <w:highlight w:val="none"/>
          <w:lang w:val="en-US" w:eastAsia="zh-CN" w:bidi="ar-SA"/>
        </w:rPr>
        <w:t>二、实质性条款</w:t>
      </w:r>
      <w:bookmarkEnd w:id="28"/>
      <w:bookmarkEnd w:id="29"/>
      <w:bookmarkEnd w:id="30"/>
    </w:p>
    <w:bookmarkEnd w:id="31"/>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8310"/>
      </w:tblGrid>
      <w:tr w14:paraId="4108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26" w:type="pct"/>
            <w:noWrap w:val="0"/>
            <w:vAlign w:val="top"/>
          </w:tcPr>
          <w:p w14:paraId="53ED03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4473" w:type="pct"/>
            <w:noWrap w:val="0"/>
            <w:vAlign w:val="top"/>
          </w:tcPr>
          <w:p w14:paraId="13416C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highlight w:val="none"/>
              </w:rPr>
              <w:t>实质性条款具体内容</w:t>
            </w:r>
            <w:r>
              <w:rPr>
                <w:rFonts w:hint="eastAsia" w:ascii="宋体" w:hAnsi="宋体" w:eastAsia="宋体" w:cs="宋体"/>
                <w:b/>
                <w:bCs/>
                <w:kern w:val="0"/>
                <w:sz w:val="24"/>
                <w:szCs w:val="24"/>
              </w:rPr>
              <w:t>具体内容</w:t>
            </w:r>
          </w:p>
        </w:tc>
      </w:tr>
      <w:tr w14:paraId="3947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26" w:type="pct"/>
            <w:noWrap w:val="0"/>
            <w:vAlign w:val="center"/>
          </w:tcPr>
          <w:p w14:paraId="3E6027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1</w:t>
            </w:r>
          </w:p>
        </w:tc>
        <w:tc>
          <w:tcPr>
            <w:tcW w:w="4473" w:type="pct"/>
            <w:noWrap w:val="0"/>
            <w:vAlign w:val="center"/>
          </w:tcPr>
          <w:p w14:paraId="6D5B2A66">
            <w:pPr>
              <w:keepNext w:val="0"/>
              <w:keepLines w:val="0"/>
              <w:pageBreakBefore w:val="0"/>
              <w:widowControl/>
              <w:kinsoku/>
              <w:wordWrap/>
              <w:overflowPunct/>
              <w:topLinePunct w:val="0"/>
              <w:autoSpaceDE w:val="0"/>
              <w:autoSpaceDN w:val="0"/>
              <w:bidi w:val="0"/>
              <w:adjustRightInd/>
              <w:snapToGrid/>
              <w:spacing w:before="0" w:beforeLines="0" w:after="0" w:afterLines="0" w:line="240" w:lineRule="auto"/>
              <w:ind w:firstLine="0" w:firstLineChars="0"/>
              <w:jc w:val="left"/>
              <w:textAlignment w:val="auto"/>
              <w:outlineLvl w:val="9"/>
              <w:rPr>
                <w:rFonts w:hint="eastAsia" w:ascii="宋体" w:hAnsi="宋体" w:eastAsia="宋体" w:cs="宋体"/>
                <w:color w:val="FF0000"/>
                <w:sz w:val="22"/>
                <w:szCs w:val="22"/>
              </w:rPr>
            </w:pPr>
            <w:r>
              <w:rPr>
                <w:rFonts w:hint="eastAsia" w:ascii="宋体" w:hAnsi="宋体"/>
                <w:color w:val="FF0000"/>
                <w:sz w:val="20"/>
                <w:szCs w:val="21"/>
              </w:rPr>
              <w:t>★</w:t>
            </w:r>
            <w:r>
              <w:rPr>
                <w:rFonts w:hint="eastAsia" w:ascii="仿宋_GB2312" w:hAnsi="仿宋_GB2312" w:eastAsia="仿宋_GB2312" w:cs="仿宋_GB2312"/>
                <w:b w:val="0"/>
                <w:bCs w:val="0"/>
                <w:color w:val="FF0000"/>
                <w:kern w:val="0"/>
                <w:sz w:val="24"/>
                <w:szCs w:val="24"/>
                <w:highlight w:val="none"/>
                <w:lang w:val="en-US" w:eastAsia="zh-CN" w:bidi="zh-CN"/>
              </w:rPr>
              <w:t>1.合作期限自通知进场日起计，共计5年。</w:t>
            </w:r>
          </w:p>
        </w:tc>
      </w:tr>
      <w:tr w14:paraId="0F6E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26" w:type="pct"/>
            <w:noWrap w:val="0"/>
            <w:vAlign w:val="center"/>
          </w:tcPr>
          <w:p w14:paraId="5B7DBD9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2</w:t>
            </w:r>
          </w:p>
        </w:tc>
        <w:tc>
          <w:tcPr>
            <w:tcW w:w="4473" w:type="pct"/>
            <w:noWrap w:val="0"/>
            <w:vAlign w:val="center"/>
          </w:tcPr>
          <w:p w14:paraId="786547DD">
            <w:pPr>
              <w:autoSpaceDE w:val="0"/>
              <w:autoSpaceDN w:val="0"/>
              <w:spacing w:beforeLines="0" w:afterLines="0" w:line="240" w:lineRule="auto"/>
              <w:jc w:val="left"/>
              <w:rPr>
                <w:rFonts w:hint="eastAsia" w:ascii="宋体" w:hAnsi="宋体" w:eastAsia="宋体" w:cs="宋体"/>
                <w:color w:val="FF0000"/>
                <w:sz w:val="22"/>
                <w:szCs w:val="22"/>
              </w:rPr>
            </w:pPr>
            <w:r>
              <w:rPr>
                <w:rFonts w:hint="eastAsia" w:ascii="宋体" w:hAnsi="宋体"/>
                <w:color w:val="FF0000"/>
                <w:sz w:val="20"/>
                <w:szCs w:val="21"/>
              </w:rPr>
              <w:t>★</w:t>
            </w:r>
            <w:r>
              <w:rPr>
                <w:rFonts w:hint="eastAsia" w:ascii="仿宋_GB2312" w:hAnsi="仿宋_GB2312" w:eastAsia="仿宋_GB2312" w:cs="仿宋_GB2312"/>
                <w:b w:val="0"/>
                <w:bCs w:val="0"/>
                <w:color w:val="FF0000"/>
                <w:kern w:val="0"/>
                <w:sz w:val="24"/>
                <w:szCs w:val="24"/>
                <w:highlight w:val="none"/>
                <w:lang w:val="en-US" w:eastAsia="zh-CN" w:bidi="zh-CN"/>
              </w:rPr>
              <w:t>2.最低投资额：社会资本投资动力游乐设备最低投资额为242.05万元，政府方有权委托第三方造价咨询单位审核确认机动游戏设施相关投资，最终投资额以政府方确认的第三方造价咨询单位审核结果为准。</w:t>
            </w:r>
          </w:p>
        </w:tc>
      </w:tr>
      <w:tr w14:paraId="6A9F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26" w:type="pct"/>
            <w:noWrap w:val="0"/>
            <w:vAlign w:val="center"/>
          </w:tcPr>
          <w:p w14:paraId="526D08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3</w:t>
            </w:r>
          </w:p>
        </w:tc>
        <w:tc>
          <w:tcPr>
            <w:tcW w:w="4473" w:type="pct"/>
            <w:noWrap w:val="0"/>
            <w:vAlign w:val="center"/>
          </w:tcPr>
          <w:p w14:paraId="49BFDF04">
            <w:pPr>
              <w:numPr>
                <w:ilvl w:val="0"/>
                <w:numId w:val="0"/>
              </w:numPr>
              <w:autoSpaceDE w:val="0"/>
              <w:autoSpaceDN w:val="0"/>
              <w:spacing w:beforeLines="0" w:afterLines="0" w:line="360" w:lineRule="auto"/>
              <w:jc w:val="left"/>
              <w:rPr>
                <w:rFonts w:hint="eastAsia" w:ascii="仿宋_GB2312" w:hAnsi="仿宋_GB2312" w:eastAsia="仿宋_GB2312" w:cs="仿宋_GB2312"/>
                <w:b w:val="0"/>
                <w:bCs w:val="0"/>
                <w:color w:val="FF0000"/>
                <w:kern w:val="0"/>
                <w:sz w:val="24"/>
                <w:szCs w:val="24"/>
                <w:highlight w:val="none"/>
                <w:lang w:val="en-US" w:eastAsia="zh-CN" w:bidi="zh-CN"/>
              </w:rPr>
            </w:pPr>
            <w:r>
              <w:rPr>
                <w:rFonts w:hint="eastAsia" w:ascii="仿宋_GB2312" w:hAnsi="仿宋_GB2312" w:eastAsia="仿宋_GB2312" w:cs="仿宋_GB2312"/>
                <w:b w:val="0"/>
                <w:bCs w:val="0"/>
                <w:color w:val="FF0000"/>
                <w:kern w:val="0"/>
                <w:sz w:val="24"/>
                <w:szCs w:val="24"/>
                <w:highlight w:val="none"/>
                <w:lang w:val="en-US" w:eastAsia="zh-CN" w:bidi="zh-CN"/>
              </w:rPr>
              <w:t>★4.运营模式：</w:t>
            </w:r>
          </w:p>
          <w:p w14:paraId="3A6ADE93">
            <w:pPr>
              <w:numPr>
                <w:ilvl w:val="0"/>
                <w:numId w:val="0"/>
              </w:numPr>
              <w:autoSpaceDE w:val="0"/>
              <w:autoSpaceDN w:val="0"/>
              <w:spacing w:beforeLines="0" w:afterLines="0" w:line="360" w:lineRule="auto"/>
              <w:jc w:val="left"/>
              <w:rPr>
                <w:rFonts w:hint="eastAsia" w:ascii="仿宋_GB2312" w:hAnsi="仿宋_GB2312" w:eastAsia="仿宋_GB2312" w:cs="仿宋_GB2312"/>
                <w:b w:val="0"/>
                <w:bCs w:val="0"/>
                <w:color w:val="FF0000"/>
                <w:kern w:val="0"/>
                <w:sz w:val="24"/>
                <w:szCs w:val="24"/>
                <w:highlight w:val="none"/>
                <w:lang w:val="en-US" w:eastAsia="zh-CN" w:bidi="zh-CN"/>
              </w:rPr>
            </w:pPr>
            <w:r>
              <w:rPr>
                <w:rFonts w:hint="eastAsia" w:ascii="仿宋_GB2312" w:hAnsi="仿宋_GB2312" w:eastAsia="仿宋_GB2312" w:cs="仿宋_GB2312"/>
                <w:b w:val="0"/>
                <w:bCs w:val="0"/>
                <w:color w:val="FF0000"/>
                <w:kern w:val="0"/>
                <w:sz w:val="24"/>
                <w:szCs w:val="24"/>
                <w:highlight w:val="none"/>
                <w:lang w:val="en-US" w:eastAsia="zh-CN" w:bidi="zh-CN"/>
              </w:rPr>
              <w:t>（1）公共区整体对市民免费开放，设施进行单项收费，收费标准根据市场监督部门有关规定（暂定为10元-20元之间）进行定价。</w:t>
            </w:r>
          </w:p>
          <w:p w14:paraId="11EAA29A">
            <w:pPr>
              <w:numPr>
                <w:ilvl w:val="0"/>
                <w:numId w:val="0"/>
              </w:numPr>
              <w:autoSpaceDE w:val="0"/>
              <w:autoSpaceDN w:val="0"/>
              <w:spacing w:beforeLines="0" w:afterLines="0" w:line="360" w:lineRule="auto"/>
              <w:jc w:val="left"/>
              <w:rPr>
                <w:rFonts w:hint="eastAsia" w:ascii="仿宋_GB2312" w:hAnsi="仿宋_GB2312" w:eastAsia="仿宋_GB2312" w:cs="仿宋_GB2312"/>
                <w:b w:val="0"/>
                <w:bCs w:val="0"/>
                <w:color w:val="FF0000"/>
                <w:kern w:val="0"/>
                <w:sz w:val="28"/>
                <w:szCs w:val="28"/>
                <w:highlight w:val="none"/>
                <w:lang w:val="en-US" w:eastAsia="zh-CN" w:bidi="zh-CN"/>
              </w:rPr>
            </w:pPr>
            <w:r>
              <w:rPr>
                <w:rFonts w:hint="eastAsia" w:ascii="仿宋_GB2312" w:hAnsi="仿宋_GB2312" w:eastAsia="仿宋_GB2312" w:cs="仿宋_GB2312"/>
                <w:b w:val="0"/>
                <w:bCs w:val="0"/>
                <w:color w:val="FF0000"/>
                <w:kern w:val="0"/>
                <w:sz w:val="24"/>
                <w:szCs w:val="24"/>
                <w:highlight w:val="none"/>
                <w:lang w:val="en-US" w:eastAsia="zh-CN" w:bidi="zh-CN"/>
              </w:rPr>
              <w:t>（2）配合招标方及公园方举办公益活动。</w:t>
            </w:r>
          </w:p>
          <w:tbl>
            <w:tblPr>
              <w:tblStyle w:val="23"/>
              <w:tblpPr w:leftFromText="180" w:rightFromText="180" w:vertAnchor="text" w:horzAnchor="page" w:tblpX="1851" w:tblpY="21"/>
              <w:tblOverlap w:val="never"/>
              <w:tblW w:w="4731"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028"/>
              <w:gridCol w:w="1200"/>
              <w:gridCol w:w="5431"/>
            </w:tblGrid>
            <w:tr w14:paraId="439C514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6" w:hRule="atLeast"/>
                <w:jc w:val="center"/>
              </w:trPr>
              <w:tc>
                <w:tcPr>
                  <w:tcW w:w="1454" w:type="pct"/>
                  <w:gridSpan w:val="2"/>
                  <w:noWrap/>
                  <w:vAlign w:val="center"/>
                </w:tcPr>
                <w:p w14:paraId="27749E01">
                  <w:pPr>
                    <w:widowControl/>
                    <w:snapToGrid/>
                    <w:spacing w:before="0" w:beforeLines="0" w:after="0" w:afterLines="0" w:line="360" w:lineRule="auto"/>
                    <w:ind w:firstLine="0" w:firstLineChars="0"/>
                    <w:jc w:val="center"/>
                    <w:rPr>
                      <w:rFonts w:ascii="仿宋" w:hAnsi="仿宋" w:eastAsia="仿宋" w:cs="仿宋"/>
                      <w:b/>
                      <w:color w:val="FF0000"/>
                      <w:sz w:val="24"/>
                      <w:szCs w:val="24"/>
                    </w:rPr>
                  </w:pPr>
                  <w:r>
                    <w:rPr>
                      <w:rFonts w:hint="eastAsia" w:ascii="仿宋" w:hAnsi="仿宋" w:eastAsia="仿宋" w:cs="仿宋"/>
                      <w:b/>
                      <w:color w:val="FF0000"/>
                      <w:kern w:val="0"/>
                      <w:sz w:val="24"/>
                      <w:szCs w:val="24"/>
                    </w:rPr>
                    <w:t>功能分区</w:t>
                  </w:r>
                </w:p>
              </w:tc>
              <w:tc>
                <w:tcPr>
                  <w:tcW w:w="3545" w:type="pct"/>
                  <w:noWrap/>
                  <w:vAlign w:val="center"/>
                </w:tcPr>
                <w:p w14:paraId="5A09B133">
                  <w:pPr>
                    <w:widowControl/>
                    <w:snapToGrid/>
                    <w:spacing w:before="0" w:beforeLines="0" w:after="0" w:afterLines="0" w:line="240" w:lineRule="auto"/>
                    <w:ind w:firstLine="0" w:firstLineChars="0"/>
                    <w:jc w:val="center"/>
                    <w:rPr>
                      <w:rFonts w:ascii="仿宋" w:hAnsi="仿宋" w:eastAsia="仿宋" w:cs="仿宋"/>
                      <w:color w:val="FF0000"/>
                      <w:sz w:val="24"/>
                      <w:szCs w:val="24"/>
                    </w:rPr>
                  </w:pPr>
                  <w:r>
                    <w:rPr>
                      <w:rFonts w:hint="eastAsia" w:ascii="仿宋" w:hAnsi="仿宋" w:eastAsia="仿宋" w:cs="仿宋"/>
                      <w:b/>
                      <w:color w:val="FF0000"/>
                      <w:kern w:val="0"/>
                      <w:sz w:val="24"/>
                      <w:szCs w:val="24"/>
                    </w:rPr>
                    <w:t>开放要求</w:t>
                  </w:r>
                </w:p>
              </w:tc>
            </w:tr>
            <w:tr w14:paraId="175C64E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963" w:hRule="atLeast"/>
                <w:jc w:val="center"/>
              </w:trPr>
              <w:tc>
                <w:tcPr>
                  <w:tcW w:w="671" w:type="pct"/>
                  <w:noWrap/>
                  <w:vAlign w:val="center"/>
                </w:tcPr>
                <w:p w14:paraId="426971CE">
                  <w:pPr>
                    <w:widowControl/>
                    <w:snapToGrid/>
                    <w:spacing w:before="0" w:beforeLines="0" w:after="0" w:afterLines="0" w:line="360" w:lineRule="auto"/>
                    <w:ind w:firstLine="0" w:firstLineChars="0"/>
                    <w:jc w:val="left"/>
                    <w:rPr>
                      <w:rFonts w:ascii="仿宋" w:hAnsi="仿宋" w:eastAsia="仿宋" w:cs="仿宋"/>
                      <w:b/>
                      <w:color w:val="FF0000"/>
                      <w:kern w:val="0"/>
                      <w:sz w:val="24"/>
                      <w:szCs w:val="24"/>
                    </w:rPr>
                  </w:pPr>
                  <w:r>
                    <w:rPr>
                      <w:rFonts w:hint="eastAsia" w:ascii="仿宋" w:hAnsi="仿宋" w:eastAsia="仿宋" w:cs="仿宋"/>
                      <w:b/>
                      <w:color w:val="FF0000"/>
                      <w:kern w:val="0"/>
                      <w:sz w:val="24"/>
                      <w:szCs w:val="24"/>
                    </w:rPr>
                    <w:t>动力游戏区</w:t>
                  </w:r>
                </w:p>
              </w:tc>
              <w:tc>
                <w:tcPr>
                  <w:tcW w:w="783" w:type="pct"/>
                  <w:noWrap/>
                  <w:vAlign w:val="center"/>
                </w:tcPr>
                <w:p w14:paraId="5E03CBA0">
                  <w:pPr>
                    <w:widowControl/>
                    <w:snapToGrid/>
                    <w:spacing w:before="0" w:beforeLines="0" w:after="0" w:afterLines="0" w:line="360" w:lineRule="auto"/>
                    <w:ind w:firstLine="0" w:firstLineChars="0"/>
                    <w:jc w:val="left"/>
                    <w:rPr>
                      <w:rFonts w:ascii="仿宋" w:hAnsi="仿宋" w:eastAsia="仿宋" w:cs="仿宋"/>
                      <w:b/>
                      <w:color w:val="FF0000"/>
                      <w:kern w:val="0"/>
                      <w:sz w:val="24"/>
                      <w:szCs w:val="24"/>
                    </w:rPr>
                  </w:pPr>
                  <w:r>
                    <w:rPr>
                      <w:rFonts w:hint="eastAsia" w:ascii="仿宋" w:hAnsi="仿宋" w:eastAsia="仿宋" w:cs="仿宋"/>
                      <w:b/>
                      <w:color w:val="FF0000"/>
                      <w:sz w:val="24"/>
                      <w:szCs w:val="24"/>
                    </w:rPr>
                    <w:t>机动游戏设施</w:t>
                  </w:r>
                </w:p>
              </w:tc>
              <w:tc>
                <w:tcPr>
                  <w:tcW w:w="3545" w:type="pct"/>
                  <w:noWrap/>
                  <w:vAlign w:val="center"/>
                </w:tcPr>
                <w:p w14:paraId="50DAA5A8">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snapToGrid w:val="0"/>
                      <w:color w:val="FF0000"/>
                      <w:kern w:val="2"/>
                      <w:sz w:val="24"/>
                      <w:szCs w:val="24"/>
                      <w:lang w:val="en-US" w:eastAsia="zh-CN" w:bidi="ar-SA"/>
                    </w:rPr>
                  </w:pPr>
                  <w:r>
                    <w:rPr>
                      <w:rFonts w:hint="eastAsia" w:ascii="仿宋" w:hAnsi="仿宋" w:eastAsia="仿宋" w:cs="仿宋"/>
                      <w:snapToGrid w:val="0"/>
                      <w:color w:val="FF0000"/>
                      <w:kern w:val="2"/>
                      <w:sz w:val="24"/>
                      <w:szCs w:val="24"/>
                      <w:lang w:val="en-US" w:eastAsia="zh-CN" w:bidi="ar-SA"/>
                    </w:rPr>
                    <w:t>1.每年开放不少于300日（法定节假日、周末、寒暑假期间必须开放）</w:t>
                  </w:r>
                </w:p>
                <w:p w14:paraId="140AC7E3">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color w:val="FF0000"/>
                      <w:kern w:val="2"/>
                      <w:sz w:val="24"/>
                      <w:szCs w:val="24"/>
                      <w:lang w:val="en-US" w:eastAsia="zh-CN" w:bidi="ar-SA"/>
                    </w:rPr>
                  </w:pPr>
                  <w:r>
                    <w:rPr>
                      <w:rFonts w:hint="eastAsia" w:ascii="仿宋" w:hAnsi="仿宋" w:eastAsia="仿宋" w:cs="仿宋"/>
                      <w:snapToGrid w:val="0"/>
                      <w:color w:val="FF0000"/>
                      <w:kern w:val="2"/>
                      <w:sz w:val="24"/>
                      <w:szCs w:val="24"/>
                      <w:lang w:val="en-US" w:eastAsia="zh-CN" w:bidi="ar-SA"/>
                    </w:rPr>
                    <w:t>2.每个开放日的</w:t>
                  </w:r>
                  <w:r>
                    <w:rPr>
                      <w:rFonts w:hint="eastAsia" w:ascii="仿宋" w:hAnsi="仿宋" w:eastAsia="仿宋" w:cs="仿宋"/>
                      <w:color w:val="FF0000"/>
                      <w:kern w:val="2"/>
                      <w:sz w:val="24"/>
                      <w:szCs w:val="24"/>
                      <w:lang w:val="en-US" w:eastAsia="zh-CN" w:bidi="ar-SA"/>
                    </w:rPr>
                    <w:t>开放时间不少于12小时</w:t>
                  </w:r>
                </w:p>
                <w:p w14:paraId="2483767D">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color w:val="FF0000"/>
                      <w:kern w:val="2"/>
                      <w:sz w:val="24"/>
                      <w:szCs w:val="24"/>
                      <w:lang w:val="en-US" w:eastAsia="zh-CN" w:bidi="ar-SA"/>
                    </w:rPr>
                  </w:pPr>
                  <w:r>
                    <w:rPr>
                      <w:rFonts w:hint="eastAsia" w:ascii="仿宋" w:hAnsi="仿宋" w:eastAsia="仿宋" w:cs="仿宋"/>
                      <w:color w:val="FF0000"/>
                      <w:kern w:val="2"/>
                      <w:sz w:val="24"/>
                      <w:szCs w:val="24"/>
                      <w:lang w:val="en-US" w:eastAsia="zh-CN" w:bidi="ar-SA"/>
                    </w:rPr>
                    <w:t>3.父亲节免费向带儿童的父亲开放</w:t>
                  </w:r>
                </w:p>
                <w:p w14:paraId="087FD779">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color w:val="FF0000"/>
                      <w:kern w:val="0"/>
                      <w:sz w:val="24"/>
                      <w:szCs w:val="24"/>
                      <w:lang w:val="en-US" w:eastAsia="zh-CN" w:bidi="ar-SA"/>
                    </w:rPr>
                  </w:pPr>
                  <w:r>
                    <w:rPr>
                      <w:rFonts w:hint="eastAsia" w:ascii="仿宋" w:hAnsi="仿宋" w:eastAsia="仿宋" w:cs="仿宋"/>
                      <w:color w:val="FF0000"/>
                      <w:kern w:val="2"/>
                      <w:sz w:val="24"/>
                      <w:szCs w:val="24"/>
                      <w:lang w:val="en-US" w:eastAsia="zh-CN" w:bidi="ar-SA"/>
                    </w:rPr>
                    <w:t>4.母亲节免费向带儿童的母亲开放</w:t>
                  </w:r>
                </w:p>
                <w:p w14:paraId="4ED0A98B">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color w:val="FF0000"/>
                      <w:kern w:val="0"/>
                      <w:sz w:val="24"/>
                      <w:szCs w:val="24"/>
                      <w:lang w:val="en-US" w:eastAsia="zh-CN" w:bidi="ar-SA"/>
                    </w:rPr>
                  </w:pPr>
                  <w:r>
                    <w:rPr>
                      <w:rFonts w:hint="eastAsia" w:ascii="仿宋" w:hAnsi="仿宋" w:eastAsia="仿宋" w:cs="仿宋"/>
                      <w:color w:val="FF0000"/>
                      <w:kern w:val="0"/>
                      <w:sz w:val="24"/>
                      <w:szCs w:val="24"/>
                      <w:lang w:val="en-US" w:eastAsia="zh-CN" w:bidi="ar-SA"/>
                    </w:rPr>
                    <w:t>5.</w:t>
                  </w:r>
                  <w:r>
                    <w:rPr>
                      <w:rFonts w:ascii="仿宋" w:hAnsi="仿宋" w:eastAsia="仿宋" w:cs="仿宋"/>
                      <w:color w:val="FF0000"/>
                      <w:kern w:val="0"/>
                      <w:sz w:val="24"/>
                      <w:szCs w:val="24"/>
                      <w:lang w:val="en-US" w:eastAsia="zh-CN" w:bidi="ar-SA"/>
                    </w:rPr>
                    <w:t>儿童节对特定对象</w:t>
                  </w:r>
                  <w:r>
                    <w:rPr>
                      <w:rFonts w:hint="eastAsia" w:ascii="仿宋" w:hAnsi="仿宋" w:eastAsia="仿宋" w:cs="仿宋"/>
                      <w:color w:val="FF0000"/>
                      <w:kern w:val="0"/>
                      <w:sz w:val="24"/>
                      <w:szCs w:val="24"/>
                      <w:lang w:val="en-US" w:eastAsia="zh-CN" w:bidi="ar-SA"/>
                    </w:rPr>
                    <w:t>发放有限数量免费票</w:t>
                  </w:r>
                </w:p>
              </w:tc>
            </w:tr>
          </w:tbl>
          <w:p w14:paraId="184FBBC3">
            <w:pPr>
              <w:numPr>
                <w:ilvl w:val="0"/>
                <w:numId w:val="0"/>
              </w:numPr>
              <w:autoSpaceDE w:val="0"/>
              <w:autoSpaceDN w:val="0"/>
              <w:spacing w:beforeLines="0" w:afterLines="0" w:line="240" w:lineRule="auto"/>
              <w:jc w:val="left"/>
              <w:rPr>
                <w:rFonts w:hint="eastAsia" w:ascii="宋体" w:hAnsi="宋体"/>
                <w:color w:val="FF0000"/>
              </w:rPr>
            </w:pPr>
            <w:r>
              <w:rPr>
                <w:rFonts w:hint="eastAsia" w:ascii="仿宋_GB2312" w:hAnsi="仿宋_GB2312" w:eastAsia="仿宋_GB2312" w:cs="仿宋_GB2312"/>
                <w:b w:val="0"/>
                <w:bCs w:val="0"/>
                <w:color w:val="FF0000"/>
                <w:kern w:val="0"/>
                <w:sz w:val="24"/>
                <w:szCs w:val="24"/>
                <w:highlight w:val="none"/>
                <w:lang w:val="en-US" w:eastAsia="zh-CN" w:bidi="zh-CN"/>
              </w:rPr>
              <w:t>（3）划定的动力设施相关区域包括连接道路的一切安全责任、清扫保洁、设备维修运营、安保及保险购买等均由运营单位负全责。运营方应当在开始运营日前，根据要求参考同类项目确定具体开放的时间段，报招标人审核同意后在动力游戏区现场醒目位置公示，并通过网络向公众推送。</w:t>
            </w:r>
          </w:p>
        </w:tc>
      </w:tr>
      <w:tr w14:paraId="75BC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26" w:type="pct"/>
            <w:noWrap w:val="0"/>
            <w:vAlign w:val="center"/>
          </w:tcPr>
          <w:p w14:paraId="54BC9A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4</w:t>
            </w:r>
          </w:p>
        </w:tc>
        <w:tc>
          <w:tcPr>
            <w:tcW w:w="4473" w:type="pct"/>
            <w:noWrap w:val="0"/>
            <w:vAlign w:val="center"/>
          </w:tcPr>
          <w:p w14:paraId="18BE30DA">
            <w:pPr>
              <w:autoSpaceDE w:val="0"/>
              <w:autoSpaceDN w:val="0"/>
              <w:spacing w:beforeLines="0" w:afterLines="0" w:line="240" w:lineRule="auto"/>
              <w:jc w:val="left"/>
              <w:rPr>
                <w:rFonts w:hint="eastAsia" w:ascii="仿宋_GB2312" w:hAnsi="仿宋_GB2312" w:eastAsia="仿宋_GB2312" w:cs="仿宋_GB2312"/>
                <w:b w:val="0"/>
                <w:bCs w:val="0"/>
                <w:color w:val="FF0000"/>
                <w:kern w:val="0"/>
                <w:sz w:val="24"/>
                <w:szCs w:val="24"/>
                <w:highlight w:val="none"/>
                <w:lang w:val="en-US" w:eastAsia="zh-CN" w:bidi="zh-CN"/>
              </w:rPr>
            </w:pPr>
            <w:r>
              <w:rPr>
                <w:rFonts w:hint="eastAsia" w:ascii="宋体" w:hAnsi="宋体"/>
                <w:color w:val="FF0000"/>
              </w:rPr>
              <w:t>★</w:t>
            </w:r>
            <w:r>
              <w:rPr>
                <w:rFonts w:hint="eastAsia" w:ascii="仿宋_GB2312" w:hAnsi="仿宋_GB2312" w:eastAsia="仿宋_GB2312" w:cs="仿宋_GB2312"/>
                <w:b w:val="0"/>
                <w:bCs w:val="0"/>
                <w:color w:val="FF0000"/>
                <w:kern w:val="0"/>
                <w:sz w:val="24"/>
                <w:szCs w:val="24"/>
                <w:highlight w:val="none"/>
                <w:lang w:val="en-US" w:eastAsia="zh-CN" w:bidi="zh-CN"/>
              </w:rPr>
              <w:t>5.利润分成方式：采取收入分成的模式，自项目运营的第3个运营年期满、第4个运营年的第1天开始，政府按照不低于运营收入的5%进行分成，最终分成比例以供应商中标报价的比例为准。</w:t>
            </w:r>
          </w:p>
        </w:tc>
      </w:tr>
      <w:tr w14:paraId="7A34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26" w:type="pct"/>
            <w:noWrap w:val="0"/>
            <w:vAlign w:val="center"/>
          </w:tcPr>
          <w:p w14:paraId="6DB4CE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5</w:t>
            </w:r>
          </w:p>
        </w:tc>
        <w:tc>
          <w:tcPr>
            <w:tcW w:w="4473" w:type="pct"/>
            <w:noWrap w:val="0"/>
            <w:vAlign w:val="center"/>
          </w:tcPr>
          <w:p w14:paraId="6A7D73F4">
            <w:pPr>
              <w:autoSpaceDE w:val="0"/>
              <w:autoSpaceDN w:val="0"/>
              <w:spacing w:beforeLines="0" w:afterLines="0" w:line="240" w:lineRule="auto"/>
              <w:jc w:val="left"/>
              <w:rPr>
                <w:rFonts w:hint="eastAsia" w:ascii="仿宋_GB2312" w:hAnsi="仿宋_GB2312" w:eastAsia="仿宋_GB2312" w:cs="仿宋_GB2312"/>
                <w:b w:val="0"/>
                <w:bCs w:val="0"/>
                <w:color w:val="FF0000"/>
                <w:kern w:val="0"/>
                <w:sz w:val="24"/>
                <w:szCs w:val="24"/>
                <w:highlight w:val="none"/>
                <w:lang w:val="en-US" w:eastAsia="zh-CN" w:bidi="zh-CN"/>
              </w:rPr>
            </w:pPr>
            <w:r>
              <w:rPr>
                <w:rFonts w:hint="eastAsia" w:ascii="宋体" w:hAnsi="宋体"/>
                <w:color w:val="FF0000"/>
              </w:rPr>
              <w:t>★</w:t>
            </w:r>
            <w:r>
              <w:rPr>
                <w:rFonts w:hint="eastAsia" w:ascii="仿宋_GB2312" w:hAnsi="仿宋_GB2312" w:eastAsia="仿宋_GB2312" w:cs="仿宋_GB2312"/>
                <w:b w:val="0"/>
                <w:bCs w:val="0"/>
                <w:color w:val="FF0000"/>
                <w:kern w:val="0"/>
                <w:sz w:val="24"/>
                <w:szCs w:val="24"/>
                <w:highlight w:val="none"/>
                <w:lang w:val="en-US" w:eastAsia="zh-CN" w:bidi="zh-CN"/>
              </w:rPr>
              <w:t>6.</w:t>
            </w:r>
            <w:r>
              <w:rPr>
                <w:rFonts w:hint="eastAsia" w:ascii="仿宋_GB2312" w:hAnsi="仿宋_GB2312" w:eastAsia="仿宋_GB2312" w:cs="仿宋_GB2312"/>
                <w:b w:val="0"/>
                <w:bCs w:val="0"/>
                <w:color w:val="FF0000"/>
                <w:kern w:val="0"/>
                <w:sz w:val="24"/>
                <w:szCs w:val="24"/>
                <w:highlight w:val="none"/>
                <w:lang w:eastAsia="zh-CN" w:bidi="zh-CN"/>
              </w:rPr>
              <w:t>如因建设或政策等原因致使场地面积减少、增加或取消范围，中选方应无条件予以配合。</w:t>
            </w:r>
          </w:p>
        </w:tc>
      </w:tr>
      <w:tr w14:paraId="47A8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26" w:type="pct"/>
            <w:noWrap w:val="0"/>
            <w:vAlign w:val="center"/>
          </w:tcPr>
          <w:p w14:paraId="26D36D3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6</w:t>
            </w:r>
          </w:p>
        </w:tc>
        <w:tc>
          <w:tcPr>
            <w:tcW w:w="4473" w:type="pct"/>
            <w:noWrap w:val="0"/>
            <w:vAlign w:val="center"/>
          </w:tcPr>
          <w:p w14:paraId="3E0832B8">
            <w:pPr>
              <w:autoSpaceDE w:val="0"/>
              <w:autoSpaceDN w:val="0"/>
              <w:spacing w:beforeLines="0" w:afterLines="0" w:line="240" w:lineRule="auto"/>
              <w:jc w:val="left"/>
              <w:rPr>
                <w:rFonts w:hint="eastAsia" w:ascii="仿宋_GB2312" w:hAnsi="仿宋_GB2312" w:eastAsia="仿宋_GB2312" w:cs="仿宋_GB2312"/>
                <w:b w:val="0"/>
                <w:bCs w:val="0"/>
                <w:color w:val="FF0000"/>
                <w:kern w:val="0"/>
                <w:sz w:val="24"/>
                <w:szCs w:val="24"/>
                <w:highlight w:val="none"/>
                <w:lang w:val="en-US" w:eastAsia="zh-CN" w:bidi="zh-CN"/>
              </w:rPr>
            </w:pPr>
            <w:r>
              <w:rPr>
                <w:rFonts w:hint="eastAsia" w:ascii="宋体" w:hAnsi="宋体"/>
                <w:color w:val="FF0000"/>
              </w:rPr>
              <w:t>★</w:t>
            </w:r>
            <w:r>
              <w:rPr>
                <w:rFonts w:hint="eastAsia" w:ascii="仿宋_GB2312" w:hAnsi="仿宋_GB2312" w:eastAsia="仿宋_GB2312" w:cs="仿宋_GB2312"/>
                <w:b w:val="0"/>
                <w:bCs w:val="0"/>
                <w:color w:val="FF0000"/>
                <w:kern w:val="0"/>
                <w:sz w:val="24"/>
                <w:szCs w:val="24"/>
                <w:highlight w:val="none"/>
                <w:lang w:val="en-US" w:eastAsia="zh-CN" w:bidi="zh-CN"/>
              </w:rPr>
              <w:t>7.中标方应无条件配合招标人对营业收入监管的相关管理措施，提供真实有效的报告及数据，若存在虚假报送或瞒报、漏报，招标人有权立即终止项目，且向中标方追索相应的损失。</w:t>
            </w:r>
          </w:p>
        </w:tc>
      </w:tr>
    </w:tbl>
    <w:p w14:paraId="00DE8164">
      <w:pPr>
        <w:pageBreakBefore w:val="0"/>
        <w:kinsoku/>
        <w:overflowPunct/>
        <w:topLinePunct w:val="0"/>
        <w:bidi w:val="0"/>
        <w:spacing w:line="240" w:lineRule="auto"/>
        <w:outlineLvl w:val="9"/>
        <w:rPr>
          <w:rFonts w:hint="eastAsia" w:ascii="宋体" w:hAnsi="宋体" w:eastAsia="宋体" w:cs="宋体"/>
          <w:b w:val="0"/>
          <w:kern w:val="0"/>
          <w:sz w:val="24"/>
          <w:szCs w:val="24"/>
          <w:highlight w:val="none"/>
        </w:rPr>
      </w:pPr>
    </w:p>
    <w:p w14:paraId="70FCD782">
      <w:pPr>
        <w:pageBreakBefore w:val="0"/>
        <w:kinsoku/>
        <w:overflowPunct/>
        <w:topLinePunct w:val="0"/>
        <w:bidi w:val="0"/>
        <w:spacing w:line="240" w:lineRule="auto"/>
        <w:outlineLvl w:val="9"/>
        <w:rPr>
          <w:rFonts w:hint="eastAsia" w:ascii="宋体" w:hAnsi="宋体" w:eastAsia="宋体" w:cs="宋体"/>
          <w:b w:val="0"/>
          <w:kern w:val="0"/>
          <w:sz w:val="24"/>
          <w:szCs w:val="24"/>
          <w:highlight w:val="none"/>
        </w:rPr>
      </w:pPr>
    </w:p>
    <w:p w14:paraId="20A6486A">
      <w:pPr>
        <w:pageBreakBefore w:val="0"/>
        <w:kinsoku/>
        <w:overflowPunct/>
        <w:topLinePunct w:val="0"/>
        <w:bidi w:val="0"/>
        <w:spacing w:line="240" w:lineRule="auto"/>
        <w:outlineLvl w:val="9"/>
        <w:rPr>
          <w:rFonts w:hint="eastAsia"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注：上表所列内容为不可负偏离条款，负偏离将视为未实质性满足招标文件要求作投标无效处理。</w:t>
      </w:r>
    </w:p>
    <w:p w14:paraId="15F3C1AB">
      <w:pPr>
        <w:pageBreakBefore w:val="0"/>
        <w:kinsoku/>
        <w:overflowPunct/>
        <w:topLinePunct w:val="0"/>
        <w:bidi w:val="0"/>
        <w:spacing w:line="240" w:lineRule="auto"/>
        <w:ind w:right="2" w:rightChars="1"/>
        <w:rPr>
          <w:rFonts w:hint="eastAsia" w:ascii="宋体" w:hAnsi="宋体" w:eastAsia="宋体" w:cs="宋体"/>
          <w:color w:val="FF0000"/>
          <w:kern w:val="0"/>
          <w:sz w:val="24"/>
          <w:szCs w:val="24"/>
          <w:highlight w:val="none"/>
          <w:lang w:val="en-US" w:eastAsia="zh-CN"/>
        </w:rPr>
      </w:pPr>
    </w:p>
    <w:p w14:paraId="7AE98369">
      <w:pPr>
        <w:pageBreakBefore w:val="0"/>
        <w:widowControl w:val="0"/>
        <w:kinsoku/>
        <w:overflowPunct/>
        <w:topLinePunct w:val="0"/>
        <w:autoSpaceDE/>
        <w:autoSpaceDN/>
        <w:bidi w:val="0"/>
        <w:adjustRightInd w:val="0"/>
        <w:snapToGrid w:val="0"/>
        <w:spacing w:before="120" w:beforeLines="50" w:after="120" w:afterLines="50" w:line="400" w:lineRule="exact"/>
        <w:ind w:firstLine="0" w:firstLineChars="0"/>
        <w:jc w:val="center"/>
        <w:outlineLvl w:val="2"/>
        <w:rPr>
          <w:rFonts w:hint="eastAsia" w:ascii="宋体" w:hAnsi="宋体" w:eastAsia="宋体" w:cs="宋体"/>
          <w:b/>
          <w:bCs/>
          <w:kern w:val="44"/>
          <w:sz w:val="24"/>
          <w:szCs w:val="24"/>
          <w:highlight w:val="none"/>
          <w:lang w:val="en-US" w:eastAsia="zh-CN" w:bidi="ar-SA"/>
        </w:rPr>
      </w:pPr>
      <w:bookmarkStart w:id="52" w:name="_Toc256000019"/>
      <w:r>
        <w:rPr>
          <w:rFonts w:hint="eastAsia" w:ascii="宋体" w:hAnsi="宋体" w:eastAsia="宋体" w:cs="宋体"/>
          <w:b/>
          <w:bCs/>
          <w:kern w:val="44"/>
          <w:sz w:val="24"/>
          <w:szCs w:val="24"/>
          <w:highlight w:val="none"/>
          <w:lang w:val="en-US" w:eastAsia="zh-CN" w:bidi="ar-SA"/>
        </w:rPr>
        <w:t>三、注意事项</w:t>
      </w:r>
      <w:bookmarkEnd w:id="52"/>
    </w:p>
    <w:p w14:paraId="35ACB11E">
      <w:pPr>
        <w:pStyle w:val="7"/>
        <w:pageBreakBefore w:val="0"/>
        <w:kinsoku/>
        <w:overflowPunct/>
        <w:topLinePunct w:val="0"/>
        <w:bidi w:val="0"/>
        <w:adjustRightInd w:val="0"/>
        <w:snapToGrid w:val="0"/>
        <w:spacing w:line="240" w:lineRule="auto"/>
        <w:ind w:firstLine="448" w:firstLineChars="187"/>
        <w:rPr>
          <w:rFonts w:hint="eastAsia" w:ascii="宋体" w:hAnsi="宋体" w:eastAsia="宋体" w:cs="宋体"/>
          <w:sz w:val="24"/>
          <w:szCs w:val="24"/>
          <w:highlight w:val="none"/>
        </w:rPr>
      </w:pPr>
      <w:r>
        <w:rPr>
          <w:rFonts w:hint="eastAsia" w:ascii="宋体" w:hAnsi="宋体" w:eastAsia="宋体" w:cs="宋体"/>
          <w:sz w:val="24"/>
          <w:szCs w:val="24"/>
          <w:highlight w:val="none"/>
        </w:rPr>
        <w:t>1、中标人不得将项目非法分包或转包给任何单位和个人。否则，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有权即刻终止</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，并要求中标人赔偿相应损失。</w:t>
      </w:r>
    </w:p>
    <w:p w14:paraId="1363F645">
      <w:pPr>
        <w:pStyle w:val="7"/>
        <w:pageBreakBefore w:val="0"/>
        <w:kinsoku/>
        <w:overflowPunct/>
        <w:topLinePunct w:val="0"/>
        <w:bidi w:val="0"/>
        <w:adjustRightInd w:val="0"/>
        <w:snapToGrid w:val="0"/>
        <w:spacing w:line="240" w:lineRule="auto"/>
        <w:ind w:firstLine="448" w:firstLineChars="187"/>
        <w:rPr>
          <w:rFonts w:hint="eastAsia" w:ascii="宋体" w:hAnsi="宋体" w:eastAsia="宋体" w:cs="宋体"/>
          <w:sz w:val="24"/>
          <w:szCs w:val="24"/>
          <w:highlight w:val="none"/>
        </w:rPr>
      </w:pPr>
      <w:r>
        <w:rPr>
          <w:rFonts w:hint="eastAsia" w:ascii="宋体" w:hAnsi="宋体" w:eastAsia="宋体" w:cs="宋体"/>
          <w:sz w:val="24"/>
          <w:szCs w:val="24"/>
          <w:highlight w:val="none"/>
        </w:rPr>
        <w:t>2、投标人若认为招标文件的技术要求或其他要求有倾向性或不公正性，可在招标答疑阶段提出，以维护招标行为的公平、公正。</w:t>
      </w:r>
    </w:p>
    <w:p w14:paraId="7A84AFDE">
      <w:pPr>
        <w:pStyle w:val="7"/>
        <w:pageBreakBefore w:val="0"/>
        <w:kinsoku/>
        <w:overflowPunct/>
        <w:topLinePunct w:val="0"/>
        <w:bidi w:val="0"/>
        <w:adjustRightInd w:val="0"/>
        <w:snapToGrid w:val="0"/>
        <w:spacing w:line="240" w:lineRule="auto"/>
        <w:ind w:firstLine="448" w:firstLineChars="187"/>
        <w:rPr>
          <w:rFonts w:hint="eastAsia" w:ascii="宋体" w:hAnsi="宋体" w:eastAsia="宋体" w:cs="宋体"/>
          <w:sz w:val="24"/>
          <w:szCs w:val="24"/>
          <w:highlight w:val="none"/>
        </w:rPr>
      </w:pPr>
      <w:r>
        <w:rPr>
          <w:rFonts w:hint="eastAsia" w:ascii="宋体" w:hAnsi="宋体" w:eastAsia="宋体" w:cs="宋体"/>
          <w:sz w:val="24"/>
          <w:szCs w:val="24"/>
          <w:highlight w:val="none"/>
        </w:rPr>
        <w:t>3、投标人使用的标准必须是国际公认或国家、或地方政府颁布的同等或更高的标准，如投标人使用的标准低于上述标准,评标委员会将有权不予接受，投标人必须列表将明显的差异详细说明。</w:t>
      </w:r>
    </w:p>
    <w:p w14:paraId="5A5C1075">
      <w:pPr>
        <w:pageBreakBefore w:val="0"/>
        <w:kinsoku/>
        <w:overflowPunct/>
        <w:topLinePunct w:val="0"/>
        <w:bidi w:val="0"/>
        <w:adjustRightInd w:val="0"/>
        <w:snapToGrid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4、投标人所提交的投标文件对技术参数和各项要求的响应应是列出具体内容。如果投标人只注明“符合”或“满足”，将被视为“不符合”，并可能严重影响评标结果。</w:t>
      </w:r>
    </w:p>
    <w:p w14:paraId="10717EED">
      <w:pPr>
        <w:pageBreakBefore w:val="0"/>
        <w:kinsoku/>
        <w:overflowPunct/>
        <w:topLinePunct w:val="0"/>
        <w:bidi w:val="0"/>
        <w:spacing w:line="240" w:lineRule="auto"/>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5、本项目为网上电子投标项目，投标文件不需法人或授权委托人另行签字，无需加盖单位公章，招标文件专用条款另有规定的除外。</w:t>
      </w:r>
    </w:p>
    <w:p w14:paraId="3929CA32">
      <w:pPr>
        <w:pageBreakBefore w:val="0"/>
        <w:kinsoku/>
        <w:overflowPunct/>
        <w:topLinePunct w:val="0"/>
        <w:bidi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6、除</w:t>
      </w:r>
      <w:r>
        <w:rPr>
          <w:rFonts w:hint="eastAsia" w:ascii="宋体" w:hAnsi="宋体" w:eastAsia="宋体" w:cs="宋体"/>
          <w:bCs/>
          <w:sz w:val="24"/>
          <w:szCs w:val="24"/>
          <w:highlight w:val="none"/>
          <w:lang w:eastAsia="zh-CN"/>
        </w:rPr>
        <w:t>协议</w:t>
      </w:r>
      <w:r>
        <w:rPr>
          <w:rFonts w:hint="eastAsia" w:ascii="宋体" w:hAnsi="宋体" w:eastAsia="宋体" w:cs="宋体"/>
          <w:bCs/>
          <w:sz w:val="24"/>
          <w:szCs w:val="24"/>
          <w:highlight w:val="none"/>
        </w:rPr>
        <w:t>继续履行将损害国家利益和社会公共利益外，双方当事人不得擅自变更、中止或者终止</w:t>
      </w:r>
      <w:r>
        <w:rPr>
          <w:rFonts w:hint="eastAsia" w:ascii="宋体" w:hAnsi="宋体" w:eastAsia="宋体" w:cs="宋体"/>
          <w:bCs/>
          <w:sz w:val="24"/>
          <w:szCs w:val="24"/>
          <w:highlight w:val="none"/>
          <w:lang w:eastAsia="zh-CN"/>
        </w:rPr>
        <w:t>协议</w:t>
      </w:r>
      <w:r>
        <w:rPr>
          <w:rFonts w:hint="eastAsia" w:ascii="宋体" w:hAnsi="宋体" w:eastAsia="宋体" w:cs="宋体"/>
          <w:bCs/>
          <w:sz w:val="24"/>
          <w:szCs w:val="24"/>
          <w:highlight w:val="none"/>
        </w:rPr>
        <w:t>。</w:t>
      </w:r>
    </w:p>
    <w:p w14:paraId="4894770B">
      <w:pPr>
        <w:pageBreakBefore w:val="0"/>
        <w:kinsoku/>
        <w:overflowPunct/>
        <w:topLinePunct w:val="0"/>
        <w:bidi w:val="0"/>
        <w:spacing w:line="24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w:t>
      </w:r>
      <w:r>
        <w:rPr>
          <w:rFonts w:hint="eastAsia" w:ascii="宋体" w:hAnsi="宋体" w:eastAsia="宋体" w:cs="宋体"/>
          <w:bCs/>
          <w:sz w:val="24"/>
          <w:szCs w:val="24"/>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34F0C8D6">
      <w:pPr>
        <w:pStyle w:val="7"/>
        <w:pageBreakBefore w:val="0"/>
        <w:kinsoku/>
        <w:overflowPunct/>
        <w:topLinePunct w:val="0"/>
        <w:bidi w:val="0"/>
        <w:spacing w:beforeLines="25" w:afterLines="25" w:line="240" w:lineRule="auto"/>
        <w:ind w:firstLine="448" w:firstLineChars="187"/>
        <w:rPr>
          <w:rFonts w:hint="eastAsia" w:ascii="宋体" w:hAnsi="宋体" w:eastAsia="宋体" w:cs="宋体"/>
          <w:sz w:val="24"/>
          <w:szCs w:val="24"/>
          <w:highlight w:val="none"/>
        </w:rPr>
      </w:pPr>
    </w:p>
    <w:p w14:paraId="11917BAD">
      <w:pPr>
        <w:pStyle w:val="19"/>
        <w:rPr>
          <w:rFonts w:hint="eastAsia"/>
          <w:bCs/>
          <w:szCs w:val="21"/>
        </w:rPr>
      </w:pPr>
    </w:p>
    <w:p w14:paraId="032731C2">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FF161DA">
      <w:pPr>
        <w:outlineLvl w:val="9"/>
        <w:rPr>
          <w:rFonts w:ascii="黑体" w:eastAsia="黑体"/>
          <w:b/>
          <w:bCs/>
          <w:color w:val="FF0000"/>
          <w:sz w:val="28"/>
        </w:rPr>
      </w:pPr>
      <w:r>
        <w:rPr>
          <w:rFonts w:hint="eastAsia" w:ascii="黑体" w:eastAsia="黑体"/>
          <w:b/>
          <w:bCs/>
          <w:color w:val="FF0000"/>
          <w:sz w:val="28"/>
        </w:rPr>
        <w:t>特别提醒：</w:t>
      </w:r>
    </w:p>
    <w:p w14:paraId="3292EE2A">
      <w:pPr>
        <w:ind w:firstLine="480" w:firstLineChars="200"/>
        <w:rPr>
          <w:rFonts w:hint="eastAsia" w:ascii="宋体" w:hAnsi="宋体" w:eastAsia="宋体" w:cs="宋体"/>
          <w:sz w:val="24"/>
        </w:rPr>
      </w:pPr>
      <w:r>
        <w:rPr>
          <w:rFonts w:hint="eastAsia" w:ascii="宋体" w:hAnsi="宋体" w:eastAsia="宋体" w:cs="宋体"/>
          <w:sz w:val="24"/>
        </w:rPr>
        <w:t>投标文件正文将对外公开，投标文件附件不公开。投标人在编辑投标文件时，在投标文件目录中属于本节点内容的必须在本节点中填写，填写到其他节点或附件的将可能导致投标无效，一切后果由投标人自行承担。</w:t>
      </w:r>
    </w:p>
    <w:p w14:paraId="54494DEA">
      <w:pPr>
        <w:rPr>
          <w:rFonts w:ascii="黑体" w:eastAsia="黑体"/>
          <w:b/>
          <w:bCs/>
          <w:color w:val="FF0000"/>
          <w:sz w:val="28"/>
        </w:rPr>
      </w:pPr>
      <w:r>
        <w:rPr>
          <w:rFonts w:hint="eastAsia" w:ascii="宋体" w:hAnsi="宋体" w:eastAsia="宋体" w:cs="宋体"/>
          <w:sz w:val="24"/>
        </w:rPr>
        <w:t xml:space="preserve">    投标文件正文（信息公开部分）必须编制于“正文（公开部分）”部分，投标文件附件（非信息公开部分）必须编制于“附件（不公开部分）”部分</w:t>
      </w:r>
      <w:r>
        <w:rPr>
          <w:rFonts w:hint="eastAsia" w:ascii="仿宋_GB2312" w:eastAsia="仿宋_GB2312"/>
          <w:sz w:val="24"/>
        </w:rPr>
        <w:t>。</w:t>
      </w:r>
    </w:p>
    <w:p w14:paraId="413A6DBC">
      <w:pPr>
        <w:ind w:firstLine="480" w:firstLineChars="200"/>
        <w:rPr>
          <w:rFonts w:hint="eastAsia" w:ascii="宋体" w:hAnsi="宋体" w:eastAsia="宋体" w:cs="Times New Roman"/>
          <w:b/>
          <w:color w:val="FF0000"/>
          <w:sz w:val="24"/>
          <w:szCs w:val="24"/>
        </w:rPr>
      </w:pPr>
      <w:bookmarkStart w:id="53" w:name="_Hlk72257167"/>
      <w:r>
        <w:rPr>
          <w:rFonts w:hint="eastAsia" w:ascii="宋体" w:hAnsi="宋体" w:eastAsia="宋体" w:cs="宋体"/>
          <w:sz w:val="24"/>
          <w:lang w:val="en-US" w:eastAsia="zh-CN"/>
        </w:rPr>
        <w:t>招标代理</w:t>
      </w:r>
      <w:r>
        <w:rPr>
          <w:rFonts w:hint="eastAsia" w:ascii="宋体" w:hAnsi="宋体" w:eastAsia="宋体" w:cs="宋体"/>
          <w:sz w:val="24"/>
        </w:rPr>
        <w:t>机构公布投标文件正文（信息公开部分）时为计算机截取信息自动公布，</w:t>
      </w:r>
      <w:r>
        <w:rPr>
          <w:rFonts w:hint="eastAsia" w:ascii="宋体" w:hAnsi="宋体" w:eastAsia="宋体" w:cs="宋体"/>
          <w:b/>
          <w:bCs/>
          <w:sz w:val="24"/>
        </w:rPr>
        <w:t>如投标人误将涉及个人隐私的信息放入投标文件正文，相关后果由投标人自负；</w:t>
      </w:r>
      <w:r>
        <w:rPr>
          <w:rFonts w:hint="eastAsia" w:ascii="宋体" w:hAnsi="宋体" w:eastAsia="宋体" w:cs="宋体"/>
          <w:sz w:val="24"/>
          <w:highlight w:val="yellow"/>
        </w:rPr>
        <w:t>如投标人将必须放于投标文件正文（信息公开部分）的内容放入投标文件附件（非信息公开部分），将作投标无效处理。</w:t>
      </w:r>
    </w:p>
    <w:bookmarkEnd w:id="53"/>
    <w:p w14:paraId="3AA98B8B">
      <w:pPr>
        <w:keepNext w:val="0"/>
        <w:keepLines w:val="0"/>
        <w:pageBreakBefore w:val="0"/>
        <w:widowControl/>
        <w:kinsoku/>
        <w:wordWrap/>
        <w:overflowPunct/>
        <w:topLinePunct w:val="0"/>
        <w:autoSpaceDE/>
        <w:autoSpaceDN/>
        <w:bidi w:val="0"/>
        <w:adjustRightInd/>
        <w:jc w:val="left"/>
        <w:textAlignment w:val="auto"/>
        <w:outlineLvl w:val="9"/>
        <w:rPr>
          <w:rFonts w:hint="eastAsia" w:ascii="宋体" w:hAnsi="宋体" w:eastAsia="宋体" w:cs="宋体"/>
          <w:bCs/>
          <w:kern w:val="44"/>
          <w:sz w:val="24"/>
          <w:szCs w:val="24"/>
        </w:rPr>
      </w:pPr>
    </w:p>
    <w:p w14:paraId="1FAF18CA">
      <w:pPr>
        <w:keepNext w:val="0"/>
        <w:keepLines w:val="0"/>
        <w:pageBreakBefore w:val="0"/>
        <w:widowControl/>
        <w:kinsoku/>
        <w:wordWrap/>
        <w:overflowPunct/>
        <w:topLinePunct w:val="0"/>
        <w:autoSpaceDE/>
        <w:autoSpaceDN/>
        <w:bidi w:val="0"/>
        <w:adjustRightInd/>
        <w:jc w:val="left"/>
        <w:textAlignment w:val="auto"/>
        <w:outlineLvl w:val="9"/>
        <w:rPr>
          <w:rFonts w:hint="eastAsia" w:ascii="宋体" w:hAnsi="宋体" w:eastAsia="宋体" w:cs="宋体"/>
          <w:bCs/>
          <w:kern w:val="44"/>
          <w:sz w:val="24"/>
          <w:szCs w:val="24"/>
        </w:rPr>
      </w:pPr>
      <w:r>
        <w:rPr>
          <w:rFonts w:hint="eastAsia" w:ascii="宋体" w:hAnsi="宋体" w:eastAsia="宋体" w:cs="宋体"/>
          <w:bCs/>
          <w:kern w:val="44"/>
          <w:sz w:val="24"/>
          <w:szCs w:val="24"/>
        </w:rPr>
        <w:t>投标文件组成：</w:t>
      </w:r>
    </w:p>
    <w:p w14:paraId="41E34714">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b/>
          <w:color w:val="FF0000"/>
          <w:sz w:val="24"/>
          <w:szCs w:val="24"/>
        </w:rPr>
      </w:pPr>
      <w:bookmarkStart w:id="54" w:name="_Hlk72257771"/>
      <w:r>
        <w:rPr>
          <w:rFonts w:hint="eastAsia" w:ascii="宋体" w:hAnsi="宋体" w:eastAsia="宋体" w:cs="宋体"/>
          <w:b/>
          <w:color w:val="FF0000"/>
          <w:kern w:val="0"/>
          <w:sz w:val="24"/>
          <w:szCs w:val="24"/>
        </w:rPr>
        <w:t>投标文件正文（信息公开部分）：</w:t>
      </w:r>
    </w:p>
    <w:p w14:paraId="719077FA">
      <w:pPr>
        <w:keepNext w:val="0"/>
        <w:keepLines w:val="0"/>
        <w:pageBreakBefore w:val="0"/>
        <w:numPr>
          <w:ilvl w:val="0"/>
          <w:numId w:val="2"/>
        </w:numPr>
        <w:kinsoku/>
        <w:wordWrap/>
        <w:overflowPunct/>
        <w:topLinePunct w:val="0"/>
        <w:autoSpaceDE/>
        <w:autoSpaceDN/>
        <w:bidi w:val="0"/>
        <w:adjustRightInd/>
        <w:snapToGrid w:val="0"/>
        <w:jc w:val="left"/>
        <w:textAlignment w:val="auto"/>
        <w:rPr>
          <w:rFonts w:hint="eastAsia" w:ascii="宋体" w:hAnsi="宋体" w:eastAsia="宋体" w:cs="宋体"/>
          <w:sz w:val="24"/>
          <w:szCs w:val="24"/>
        </w:rPr>
      </w:pPr>
      <w:r>
        <w:rPr>
          <w:rFonts w:hint="eastAsia" w:ascii="宋体" w:hAnsi="宋体" w:eastAsia="宋体" w:cs="宋体"/>
          <w:sz w:val="24"/>
          <w:szCs w:val="24"/>
        </w:rPr>
        <w:t>投标函；</w:t>
      </w:r>
    </w:p>
    <w:p w14:paraId="45C833DC">
      <w:pPr>
        <w:keepNext w:val="0"/>
        <w:keepLines w:val="0"/>
        <w:pageBreakBefore w:val="0"/>
        <w:numPr>
          <w:ilvl w:val="0"/>
          <w:numId w:val="2"/>
        </w:numPr>
        <w:kinsoku/>
        <w:wordWrap/>
        <w:overflowPunct/>
        <w:topLinePunct w:val="0"/>
        <w:autoSpaceDE/>
        <w:autoSpaceDN/>
        <w:bidi w:val="0"/>
        <w:adjustRightInd/>
        <w:snapToGrid w:val="0"/>
        <w:jc w:val="left"/>
        <w:textAlignment w:val="auto"/>
        <w:rPr>
          <w:rFonts w:hint="eastAsia" w:ascii="宋体" w:hAnsi="宋体" w:eastAsia="宋体" w:cs="宋体"/>
          <w:sz w:val="24"/>
          <w:szCs w:val="24"/>
        </w:rPr>
      </w:pPr>
      <w:bookmarkStart w:id="55" w:name="_Hlk72062521"/>
      <w:bookmarkStart w:id="56" w:name="OLE_LINK25"/>
      <w:r>
        <w:rPr>
          <w:rFonts w:hint="eastAsia" w:ascii="宋体" w:hAnsi="宋体" w:eastAsia="宋体" w:cs="宋体"/>
          <w:sz w:val="24"/>
          <w:szCs w:val="24"/>
        </w:rPr>
        <w:t>投标及履约承诺函</w:t>
      </w:r>
      <w:bookmarkEnd w:id="55"/>
      <w:bookmarkEnd w:id="56"/>
      <w:r>
        <w:rPr>
          <w:rFonts w:hint="eastAsia" w:ascii="宋体" w:hAnsi="宋体" w:eastAsia="宋体" w:cs="宋体"/>
          <w:sz w:val="24"/>
          <w:szCs w:val="24"/>
        </w:rPr>
        <w:t>；</w:t>
      </w:r>
    </w:p>
    <w:p w14:paraId="73051F57">
      <w:pPr>
        <w:keepNext w:val="0"/>
        <w:keepLines w:val="0"/>
        <w:pageBreakBefore w:val="0"/>
        <w:numPr>
          <w:ilvl w:val="0"/>
          <w:numId w:val="2"/>
        </w:numPr>
        <w:kinsoku/>
        <w:wordWrap/>
        <w:overflowPunct/>
        <w:topLinePunct w:val="0"/>
        <w:autoSpaceDE/>
        <w:autoSpaceDN/>
        <w:bidi w:val="0"/>
        <w:adjustRightInd/>
        <w:snapToGrid w:val="0"/>
        <w:jc w:val="left"/>
        <w:textAlignment w:val="auto"/>
        <w:rPr>
          <w:rFonts w:hint="eastAsia" w:ascii="宋体" w:hAnsi="宋体" w:eastAsia="宋体" w:cs="宋体"/>
          <w:sz w:val="24"/>
          <w:szCs w:val="24"/>
        </w:rPr>
      </w:pPr>
      <w:bookmarkStart w:id="57" w:name="OLE_LINK26"/>
      <w:r>
        <w:rPr>
          <w:rFonts w:hint="eastAsia" w:ascii="宋体" w:hAnsi="宋体" w:eastAsia="宋体" w:cs="宋体"/>
          <w:sz w:val="24"/>
          <w:szCs w:val="24"/>
        </w:rPr>
        <w:t>投标人情况及资格证明文件</w:t>
      </w:r>
      <w:bookmarkEnd w:id="57"/>
      <w:r>
        <w:rPr>
          <w:rFonts w:hint="eastAsia" w:ascii="宋体" w:hAnsi="宋体" w:eastAsia="宋体" w:cs="宋体"/>
          <w:sz w:val="24"/>
          <w:szCs w:val="24"/>
        </w:rPr>
        <w:t>；</w:t>
      </w:r>
    </w:p>
    <w:p w14:paraId="2C55BEEB">
      <w:pPr>
        <w:keepNext w:val="0"/>
        <w:keepLines w:val="0"/>
        <w:pageBreakBefore w:val="0"/>
        <w:numPr>
          <w:ilvl w:val="0"/>
          <w:numId w:val="2"/>
        </w:numPr>
        <w:kinsoku/>
        <w:wordWrap/>
        <w:overflowPunct/>
        <w:topLinePunct w:val="0"/>
        <w:autoSpaceDE/>
        <w:autoSpaceDN/>
        <w:bidi w:val="0"/>
        <w:adjustRightInd/>
        <w:snapToGrid w:val="0"/>
        <w:jc w:val="left"/>
        <w:textAlignment w:val="auto"/>
        <w:rPr>
          <w:rFonts w:hint="eastAsia" w:ascii="宋体" w:hAnsi="宋体" w:eastAsia="宋体" w:cs="宋体"/>
          <w:sz w:val="24"/>
          <w:szCs w:val="24"/>
        </w:rPr>
      </w:pPr>
      <w:r>
        <w:rPr>
          <w:rFonts w:hint="eastAsia" w:ascii="宋体" w:hAnsi="宋体" w:eastAsia="宋体" w:cs="宋体"/>
          <w:sz w:val="24"/>
          <w:szCs w:val="24"/>
        </w:rPr>
        <w:t>项目报价</w:t>
      </w:r>
      <w:r>
        <w:rPr>
          <w:rFonts w:hint="eastAsia" w:ascii="宋体" w:hAnsi="宋体" w:eastAsia="宋体" w:cs="宋体"/>
          <w:sz w:val="24"/>
          <w:szCs w:val="24"/>
          <w:lang w:val="en-US" w:eastAsia="zh-CN"/>
        </w:rPr>
        <w:t>表</w:t>
      </w:r>
      <w:r>
        <w:rPr>
          <w:rFonts w:hint="eastAsia" w:ascii="宋体" w:hAnsi="宋体" w:eastAsia="宋体" w:cs="宋体"/>
          <w:sz w:val="24"/>
          <w:szCs w:val="24"/>
        </w:rPr>
        <w:t>；</w:t>
      </w:r>
    </w:p>
    <w:p w14:paraId="69CD7053">
      <w:pPr>
        <w:keepNext w:val="0"/>
        <w:keepLines w:val="0"/>
        <w:pageBreakBefore w:val="0"/>
        <w:numPr>
          <w:ilvl w:val="0"/>
          <w:numId w:val="2"/>
        </w:numPr>
        <w:kinsoku/>
        <w:wordWrap/>
        <w:overflowPunct/>
        <w:topLinePunct w:val="0"/>
        <w:autoSpaceDE/>
        <w:autoSpaceDN/>
        <w:bidi w:val="0"/>
        <w:adjustRightInd/>
        <w:snapToGrid w:val="0"/>
        <w:jc w:val="left"/>
        <w:textAlignment w:val="auto"/>
        <w:rPr>
          <w:rFonts w:hint="eastAsia" w:ascii="宋体" w:hAnsi="宋体" w:eastAsia="宋体" w:cs="宋体"/>
          <w:sz w:val="24"/>
          <w:szCs w:val="24"/>
        </w:rPr>
      </w:pPr>
      <w:r>
        <w:rPr>
          <w:rFonts w:hint="eastAsia" w:asciiTheme="minorEastAsia" w:hAnsiTheme="minorEastAsia" w:eastAsiaTheme="minorEastAsia" w:cstheme="minorEastAsia"/>
          <w:sz w:val="24"/>
          <w:szCs w:val="24"/>
          <w:lang w:eastAsia="zh-CN"/>
        </w:rPr>
        <w:t>同类业绩</w:t>
      </w:r>
      <w:r>
        <w:rPr>
          <w:rFonts w:hint="eastAsia" w:ascii="宋体" w:hAnsi="宋体" w:eastAsia="宋体" w:cs="宋体"/>
          <w:sz w:val="24"/>
          <w:szCs w:val="24"/>
          <w:lang w:eastAsia="zh-CN"/>
        </w:rPr>
        <w:t>；</w:t>
      </w:r>
    </w:p>
    <w:p w14:paraId="50171967">
      <w:pPr>
        <w:keepNext w:val="0"/>
        <w:keepLines w:val="0"/>
        <w:pageBreakBefore w:val="0"/>
        <w:numPr>
          <w:ilvl w:val="0"/>
          <w:numId w:val="2"/>
        </w:numPr>
        <w:kinsoku/>
        <w:wordWrap/>
        <w:overflowPunct/>
        <w:topLinePunct w:val="0"/>
        <w:autoSpaceDE/>
        <w:autoSpaceDN/>
        <w:bidi w:val="0"/>
        <w:adjustRightInd/>
        <w:snapToGrid w:val="0"/>
        <w:jc w:val="left"/>
        <w:textAlignment w:val="auto"/>
        <w:rPr>
          <w:rFonts w:hint="eastAsia" w:ascii="宋体" w:hAnsi="宋体" w:eastAsia="宋体" w:cs="宋体"/>
          <w:sz w:val="24"/>
          <w:szCs w:val="24"/>
        </w:rPr>
      </w:pPr>
      <w:r>
        <w:rPr>
          <w:rFonts w:hint="eastAsia" w:asciiTheme="minorEastAsia" w:hAnsiTheme="minorEastAsia" w:eastAsiaTheme="minorEastAsia" w:cstheme="minorEastAsia"/>
          <w:sz w:val="24"/>
          <w:szCs w:val="24"/>
          <w:lang w:eastAsia="zh-CN"/>
        </w:rPr>
        <w:t>本地化服务能力</w:t>
      </w:r>
      <w:r>
        <w:rPr>
          <w:rFonts w:hint="eastAsia" w:ascii="宋体" w:hAnsi="宋体" w:eastAsia="宋体" w:cs="宋体"/>
          <w:sz w:val="24"/>
          <w:szCs w:val="24"/>
          <w:lang w:eastAsia="zh-CN"/>
        </w:rPr>
        <w:t>；</w:t>
      </w:r>
    </w:p>
    <w:p w14:paraId="5B44E416">
      <w:pPr>
        <w:keepNext w:val="0"/>
        <w:keepLines w:val="0"/>
        <w:pageBreakBefore w:val="0"/>
        <w:numPr>
          <w:ilvl w:val="0"/>
          <w:numId w:val="2"/>
        </w:numPr>
        <w:kinsoku/>
        <w:wordWrap/>
        <w:overflowPunct/>
        <w:topLinePunct w:val="0"/>
        <w:autoSpaceDE/>
        <w:autoSpaceDN/>
        <w:bidi w:val="0"/>
        <w:adjustRightInd/>
        <w:snapToGrid w:val="0"/>
        <w:jc w:val="left"/>
        <w:textAlignment w:val="auto"/>
        <w:rPr>
          <w:rFonts w:hint="eastAsia" w:ascii="宋体" w:hAnsi="宋体" w:eastAsia="宋体" w:cs="宋体"/>
          <w:sz w:val="24"/>
          <w:szCs w:val="24"/>
        </w:rPr>
      </w:pPr>
      <w:bookmarkStart w:id="58" w:name="OLE_LINK27"/>
      <w:r>
        <w:rPr>
          <w:rFonts w:hint="eastAsia" w:ascii="宋体" w:hAnsi="宋体" w:eastAsia="宋体" w:cs="宋体"/>
          <w:sz w:val="24"/>
          <w:szCs w:val="24"/>
        </w:rPr>
        <w:t>投标人认为需要加以说明的其他内容</w:t>
      </w:r>
      <w:bookmarkEnd w:id="58"/>
      <w:r>
        <w:rPr>
          <w:rFonts w:hint="eastAsia" w:ascii="宋体" w:hAnsi="宋体" w:eastAsia="宋体" w:cs="宋体"/>
          <w:sz w:val="24"/>
          <w:szCs w:val="24"/>
        </w:rPr>
        <w:t>。</w:t>
      </w:r>
    </w:p>
    <w:p w14:paraId="1CE33A2D">
      <w:pPr>
        <w:keepNext w:val="0"/>
        <w:keepLines w:val="0"/>
        <w:pageBreakBefore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color w:val="FF0000"/>
          <w:kern w:val="0"/>
          <w:sz w:val="24"/>
          <w:szCs w:val="24"/>
        </w:rPr>
      </w:pPr>
      <w:r>
        <w:rPr>
          <w:rFonts w:hint="eastAsia" w:ascii="宋体" w:hAnsi="宋体" w:eastAsia="宋体" w:cs="宋体"/>
          <w:b/>
          <w:color w:val="FF0000"/>
          <w:kern w:val="0"/>
          <w:sz w:val="24"/>
          <w:szCs w:val="24"/>
        </w:rPr>
        <w:t>投标文件附件（信息不公开部分）：</w:t>
      </w:r>
    </w:p>
    <w:p w14:paraId="099AEC8E">
      <w:pPr>
        <w:keepNext w:val="0"/>
        <w:keepLines w:val="0"/>
        <w:pageBreakBefore w:val="0"/>
        <w:numPr>
          <w:ilvl w:val="0"/>
          <w:numId w:val="3"/>
        </w:numPr>
        <w:kinsoku/>
        <w:wordWrap/>
        <w:overflowPunct/>
        <w:topLinePunct w:val="0"/>
        <w:autoSpaceDE/>
        <w:autoSpaceDN/>
        <w:bidi w:val="0"/>
        <w:adjustRightInd/>
        <w:snapToGrid w:val="0"/>
        <w:textAlignment w:val="auto"/>
        <w:rPr>
          <w:rFonts w:hint="eastAsia" w:ascii="宋体" w:hAnsi="宋体" w:eastAsia="宋体" w:cs="宋体"/>
          <w:sz w:val="24"/>
          <w:szCs w:val="24"/>
        </w:rPr>
      </w:pPr>
      <w:bookmarkStart w:id="59" w:name="OLE_LINK28"/>
      <w:r>
        <w:rPr>
          <w:rFonts w:hint="eastAsia" w:ascii="宋体" w:hAnsi="宋体" w:eastAsia="宋体" w:cs="宋体"/>
          <w:sz w:val="24"/>
          <w:szCs w:val="24"/>
        </w:rPr>
        <w:t>法定代表人（负责人）证明书</w:t>
      </w:r>
      <w:bookmarkEnd w:id="59"/>
      <w:r>
        <w:rPr>
          <w:rFonts w:hint="eastAsia" w:ascii="宋体" w:hAnsi="宋体" w:eastAsia="宋体" w:cs="宋体"/>
          <w:sz w:val="24"/>
          <w:szCs w:val="24"/>
        </w:rPr>
        <w:t>；</w:t>
      </w:r>
    </w:p>
    <w:p w14:paraId="64B793F0">
      <w:pPr>
        <w:keepNext w:val="0"/>
        <w:keepLines w:val="0"/>
        <w:pageBreakBefore w:val="0"/>
        <w:numPr>
          <w:ilvl w:val="0"/>
          <w:numId w:val="3"/>
        </w:numPr>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宋体" w:hAnsi="宋体" w:eastAsia="宋体" w:cs="宋体"/>
          <w:sz w:val="24"/>
          <w:szCs w:val="24"/>
        </w:rPr>
        <w:t>投标文件签署授权委托书；</w:t>
      </w:r>
    </w:p>
    <w:p w14:paraId="52108AD1">
      <w:pPr>
        <w:keepNext w:val="0"/>
        <w:keepLines w:val="0"/>
        <w:pageBreakBefore w:val="0"/>
        <w:numPr>
          <w:ilvl w:val="0"/>
          <w:numId w:val="3"/>
        </w:numPr>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宋体" w:hAnsi="宋体" w:eastAsia="宋体" w:cs="宋体"/>
          <w:sz w:val="24"/>
          <w:szCs w:val="24"/>
        </w:rPr>
        <w:t>实质性条款响应情况表</w:t>
      </w:r>
      <w:r>
        <w:rPr>
          <w:rFonts w:hint="eastAsia" w:ascii="宋体" w:hAnsi="宋体" w:eastAsia="宋体" w:cs="宋体"/>
          <w:sz w:val="24"/>
          <w:szCs w:val="24"/>
          <w:lang w:eastAsia="zh-CN"/>
        </w:rPr>
        <w:t>；</w:t>
      </w:r>
    </w:p>
    <w:p w14:paraId="759887EF">
      <w:pPr>
        <w:keepNext w:val="0"/>
        <w:keepLines w:val="0"/>
        <w:pageBreakBefore w:val="0"/>
        <w:numPr>
          <w:ilvl w:val="0"/>
          <w:numId w:val="3"/>
        </w:numPr>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Theme="minorEastAsia" w:hAnsiTheme="minorEastAsia" w:eastAsiaTheme="minorEastAsia" w:cstheme="minorEastAsia"/>
          <w:sz w:val="24"/>
          <w:szCs w:val="24"/>
          <w:highlight w:val="none"/>
          <w:lang w:val="en-US" w:eastAsia="zh-CN"/>
        </w:rPr>
        <w:t>整体项目运营方案</w:t>
      </w:r>
    </w:p>
    <w:p w14:paraId="29D944AA">
      <w:pPr>
        <w:keepNext w:val="0"/>
        <w:keepLines w:val="0"/>
        <w:pageBreakBefore w:val="0"/>
        <w:numPr>
          <w:ilvl w:val="0"/>
          <w:numId w:val="3"/>
        </w:numPr>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Theme="minorEastAsia" w:hAnsiTheme="minorEastAsia" w:eastAsiaTheme="minorEastAsia" w:cstheme="minorEastAsia"/>
          <w:spacing w:val="6"/>
          <w:sz w:val="24"/>
          <w:szCs w:val="24"/>
          <w:lang w:val="en-US" w:eastAsia="zh-CN"/>
        </w:rPr>
        <w:t>管理制度</w:t>
      </w:r>
    </w:p>
    <w:p w14:paraId="22A24C1F">
      <w:pPr>
        <w:keepNext w:val="0"/>
        <w:keepLines w:val="0"/>
        <w:pageBreakBefore w:val="0"/>
        <w:numPr>
          <w:ilvl w:val="0"/>
          <w:numId w:val="3"/>
        </w:numPr>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pacing w:val="6"/>
          <w:sz w:val="24"/>
          <w:szCs w:val="24"/>
          <w:lang w:val="en-US" w:eastAsia="zh-CN"/>
        </w:rPr>
      </w:pPr>
      <w:bookmarkStart w:id="60" w:name="OLE_LINK29"/>
      <w:r>
        <w:rPr>
          <w:rFonts w:hint="eastAsia" w:asciiTheme="minorEastAsia" w:hAnsiTheme="minorEastAsia" w:eastAsiaTheme="minorEastAsia" w:cstheme="minorEastAsia"/>
          <w:spacing w:val="6"/>
          <w:sz w:val="24"/>
          <w:szCs w:val="24"/>
          <w:lang w:val="en-US" w:eastAsia="zh-CN"/>
        </w:rPr>
        <w:t>应急预案及处置措施</w:t>
      </w:r>
    </w:p>
    <w:bookmarkEnd w:id="60"/>
    <w:p w14:paraId="4A76DEA9">
      <w:pPr>
        <w:keepNext w:val="0"/>
        <w:keepLines w:val="0"/>
        <w:pageBreakBefore w:val="0"/>
        <w:numPr>
          <w:ilvl w:val="0"/>
          <w:numId w:val="3"/>
        </w:numPr>
        <w:kinsoku/>
        <w:wordWrap/>
        <w:overflowPunct/>
        <w:topLinePunct w:val="0"/>
        <w:autoSpaceDE/>
        <w:autoSpaceDN/>
        <w:bidi w:val="0"/>
        <w:adjustRightInd/>
        <w:snapToGrid w:val="0"/>
        <w:textAlignment w:val="auto"/>
        <w:rPr>
          <w:rFonts w:hint="eastAsia" w:ascii="宋体" w:hAnsi="宋体" w:eastAsia="宋体" w:cs="宋体"/>
          <w:sz w:val="24"/>
          <w:szCs w:val="24"/>
        </w:rPr>
      </w:pPr>
      <w:bookmarkStart w:id="61" w:name="OLE_LINK30"/>
      <w:r>
        <w:rPr>
          <w:rFonts w:hint="eastAsia" w:asciiTheme="minorEastAsia" w:hAnsiTheme="minorEastAsia" w:eastAsiaTheme="minorEastAsia" w:cstheme="minorEastAsia"/>
          <w:sz w:val="24"/>
          <w:szCs w:val="24"/>
          <w:highlight w:val="none"/>
          <w:lang w:val="zh-CN"/>
        </w:rPr>
        <w:t>拟安排的项目负责人情况（仅限一人）</w:t>
      </w:r>
    </w:p>
    <w:bookmarkEnd w:id="61"/>
    <w:p w14:paraId="04631ED7">
      <w:pPr>
        <w:keepNext w:val="0"/>
        <w:keepLines w:val="0"/>
        <w:pageBreakBefore w:val="0"/>
        <w:numPr>
          <w:ilvl w:val="0"/>
          <w:numId w:val="3"/>
        </w:numPr>
        <w:kinsoku/>
        <w:wordWrap/>
        <w:overflowPunct/>
        <w:topLinePunct w:val="0"/>
        <w:autoSpaceDE/>
        <w:autoSpaceDN/>
        <w:bidi w:val="0"/>
        <w:adjustRightInd/>
        <w:snapToGrid w:val="0"/>
        <w:textAlignment w:val="auto"/>
        <w:rPr>
          <w:rFonts w:hint="eastAsia" w:ascii="宋体" w:hAnsi="宋体" w:eastAsia="宋体" w:cs="宋体"/>
          <w:sz w:val="24"/>
          <w:szCs w:val="24"/>
        </w:rPr>
      </w:pPr>
      <w:r>
        <w:rPr>
          <w:rFonts w:hint="eastAsia" w:ascii="宋体" w:hAnsi="宋体" w:eastAsia="宋体" w:cs="宋体"/>
          <w:sz w:val="24"/>
          <w:szCs w:val="24"/>
        </w:rPr>
        <w:t>投标人认为需要加以说明的其他内容。</w:t>
      </w:r>
    </w:p>
    <w:p w14:paraId="5DF17905">
      <w:pPr>
        <w:rPr>
          <w:rFonts w:ascii="宋体" w:hAnsi="宋体"/>
          <w:b/>
          <w:sz w:val="24"/>
          <w:szCs w:val="24"/>
        </w:rPr>
      </w:pPr>
      <w:r>
        <w:rPr>
          <w:rFonts w:hint="eastAsia" w:ascii="宋体" w:hAnsi="宋体"/>
          <w:b/>
          <w:sz w:val="24"/>
          <w:szCs w:val="24"/>
        </w:rPr>
        <w:t>备注：</w:t>
      </w:r>
    </w:p>
    <w:p w14:paraId="32516080">
      <w:pPr>
        <w:snapToGrid w:val="0"/>
        <w:spacing w:afterLines="25"/>
        <w:ind w:firstLine="482" w:firstLineChars="200"/>
        <w:rPr>
          <w:rFonts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8DB6733">
      <w:pPr>
        <w:snapToGrid w:val="0"/>
        <w:spacing w:afterLines="25"/>
        <w:ind w:firstLine="482" w:firstLineChars="200"/>
        <w:rPr>
          <w:rFonts w:hint="eastAsia" w:ascii="宋体" w:hAnsi="宋体"/>
          <w:b/>
          <w:sz w:val="24"/>
          <w:szCs w:val="24"/>
        </w:rPr>
      </w:pPr>
      <w:bookmarkStart w:id="62" w:name="_Hlk72263559"/>
      <w:r>
        <w:rPr>
          <w:rFonts w:hint="eastAsia" w:ascii="宋体" w:hAnsi="宋体"/>
          <w:b/>
          <w:sz w:val="24"/>
          <w:szCs w:val="24"/>
        </w:rPr>
        <w:t>2.关于填写“开标一览表”的说明：“开标一览表”中除“投标总价”外，其他信息不作评审依据。</w:t>
      </w:r>
      <w:bookmarkEnd w:id="54"/>
      <w:bookmarkEnd w:id="62"/>
    </w:p>
    <w:p w14:paraId="2260E065">
      <w:pPr>
        <w:snapToGrid w:val="0"/>
        <w:spacing w:afterLines="25"/>
        <w:ind w:firstLine="482" w:firstLineChars="200"/>
        <w:rPr>
          <w:rFonts w:hint="eastAsia" w:ascii="宋体" w:hAnsi="宋体"/>
          <w:b/>
          <w:color w:val="FF0000"/>
          <w:sz w:val="24"/>
          <w:szCs w:val="24"/>
          <w:highlight w:val="none"/>
        </w:rPr>
      </w:pPr>
      <w:r>
        <w:rPr>
          <w:rFonts w:hint="eastAsia" w:ascii="宋体" w:hAnsi="宋体"/>
          <w:b/>
          <w:color w:val="FF0000"/>
          <w:sz w:val="24"/>
          <w:szCs w:val="24"/>
          <w:highlight w:val="none"/>
        </w:rPr>
        <w:t>投标供应商应在“开标一览表”的“投标总价”一栏填报</w:t>
      </w:r>
      <w:r>
        <w:rPr>
          <w:rFonts w:hint="eastAsia" w:ascii="宋体" w:hAnsi="宋体"/>
          <w:b/>
          <w:color w:val="FF0000"/>
          <w:sz w:val="24"/>
          <w:szCs w:val="24"/>
          <w:highlight w:val="none"/>
          <w:lang w:eastAsia="zh-CN"/>
        </w:rPr>
        <w:t>“</w:t>
      </w:r>
      <w:r>
        <w:rPr>
          <w:rFonts w:hint="eastAsia" w:ascii="宋体" w:hAnsi="宋体"/>
          <w:b/>
          <w:color w:val="FF0000"/>
          <w:sz w:val="24"/>
          <w:szCs w:val="24"/>
          <w:highlight w:val="none"/>
          <w:lang w:val="en-US" w:eastAsia="zh-CN"/>
        </w:rPr>
        <w:t>分成系数</w:t>
      </w:r>
      <w:r>
        <w:rPr>
          <w:rFonts w:hint="eastAsia" w:ascii="宋体" w:hAnsi="宋体"/>
          <w:b/>
          <w:color w:val="FF0000"/>
          <w:sz w:val="24"/>
          <w:szCs w:val="24"/>
          <w:highlight w:val="none"/>
          <w:lang w:eastAsia="zh-CN"/>
        </w:rPr>
        <w:t>”</w:t>
      </w:r>
      <w:r>
        <w:rPr>
          <w:rFonts w:hint="eastAsia" w:ascii="宋体" w:hAnsi="宋体"/>
          <w:b/>
          <w:color w:val="FF0000"/>
          <w:sz w:val="24"/>
          <w:szCs w:val="24"/>
          <w:highlight w:val="none"/>
        </w:rPr>
        <w:t>，网上政府采购系统自动计算价格分（如下图所示）。</w:t>
      </w:r>
    </w:p>
    <w:p w14:paraId="59DE955F">
      <w:pPr>
        <w:snapToGrid w:val="0"/>
        <w:spacing w:afterLines="25"/>
        <w:ind w:firstLine="420" w:firstLineChars="200"/>
        <w:rPr>
          <w:rFonts w:ascii="宋体" w:hAnsi="宋体" w:eastAsia="黑体" w:cs="Times New Roman"/>
          <w:bCs/>
          <w:color w:val="FF0000"/>
          <w:kern w:val="44"/>
          <w:sz w:val="32"/>
          <w:szCs w:val="32"/>
          <w:highlight w:val="none"/>
        </w:rPr>
      </w:pPr>
      <w:r>
        <w:drawing>
          <wp:anchor distT="0" distB="0" distL="0" distR="0" simplePos="0" relativeHeight="251661312" behindDoc="0" locked="0" layoutInCell="1" allowOverlap="1">
            <wp:simplePos x="0" y="0"/>
            <wp:positionH relativeFrom="column">
              <wp:posOffset>770255</wp:posOffset>
            </wp:positionH>
            <wp:positionV relativeFrom="paragraph">
              <wp:posOffset>158115</wp:posOffset>
            </wp:positionV>
            <wp:extent cx="3738880" cy="1913890"/>
            <wp:effectExtent l="0" t="0" r="10160" b="635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4"/>
                    <a:stretch>
                      <a:fillRect/>
                    </a:stretch>
                  </pic:blipFill>
                  <pic:spPr>
                    <a:xfrm>
                      <a:off x="0" y="0"/>
                      <a:ext cx="3738880" cy="1913890"/>
                    </a:xfrm>
                    <a:prstGeom prst="rect">
                      <a:avLst/>
                    </a:prstGeom>
                  </pic:spPr>
                </pic:pic>
              </a:graphicData>
            </a:graphic>
          </wp:anchor>
        </w:drawing>
      </w:r>
      <w:r>
        <w:rPr>
          <w:rFonts w:ascii="宋体" w:hAnsi="宋体" w:eastAsia="黑体" w:cs="Times New Roman"/>
          <w:bCs/>
          <w:color w:val="FF0000"/>
          <w:kern w:val="44"/>
          <w:sz w:val="32"/>
          <w:szCs w:val="32"/>
          <w:highlight w:val="none"/>
        </w:rPr>
        <w:br w:type="page"/>
      </w:r>
    </w:p>
    <w:p w14:paraId="324C477E">
      <w:pPr>
        <w:widowControl/>
        <w:jc w:val="left"/>
        <w:outlineLvl w:val="2"/>
        <w:rPr>
          <w:rFonts w:ascii="宋体" w:hAnsi="宋体" w:eastAsia="宋体" w:cs="宋体"/>
          <w:b/>
          <w:color w:val="FF0000"/>
          <w:kern w:val="0"/>
          <w:sz w:val="32"/>
          <w:szCs w:val="32"/>
        </w:rPr>
      </w:pPr>
      <w:r>
        <w:rPr>
          <w:rFonts w:hint="eastAsia" w:ascii="宋体" w:hAnsi="宋体" w:eastAsia="宋体" w:cs="宋体"/>
          <w:b/>
          <w:color w:val="FF0000"/>
          <w:kern w:val="0"/>
          <w:sz w:val="32"/>
          <w:szCs w:val="32"/>
          <w:lang w:val="en-US" w:eastAsia="zh-CN"/>
        </w:rPr>
        <w:t>一、</w:t>
      </w:r>
      <w:r>
        <w:rPr>
          <w:rFonts w:hint="eastAsia" w:ascii="宋体" w:hAnsi="宋体" w:eastAsia="宋体" w:cs="宋体"/>
          <w:b/>
          <w:color w:val="FF0000"/>
          <w:kern w:val="0"/>
          <w:sz w:val="32"/>
          <w:szCs w:val="32"/>
        </w:rPr>
        <w:t>投标文件正文（信息公开部分）</w:t>
      </w:r>
    </w:p>
    <w:p w14:paraId="57D1E5CC">
      <w:pPr>
        <w:pStyle w:val="5"/>
        <w:pageBreakBefore w:val="0"/>
        <w:kinsoku/>
        <w:overflowPunct/>
        <w:topLinePunct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Times New Roman"/>
          <w:b/>
          <w:bCs/>
          <w:kern w:val="0"/>
          <w:sz w:val="24"/>
          <w:szCs w:val="20"/>
        </w:rPr>
        <w:t>.</w:t>
      </w:r>
      <w:r>
        <w:rPr>
          <w:rFonts w:hint="eastAsia" w:ascii="宋体" w:hAnsi="宋体" w:eastAsia="宋体" w:cs="宋体"/>
          <w:sz w:val="24"/>
          <w:szCs w:val="24"/>
          <w:highlight w:val="none"/>
        </w:rPr>
        <w:t>投标函</w:t>
      </w:r>
    </w:p>
    <w:p w14:paraId="31AE1729">
      <w:pPr>
        <w:pageBreakBefore w:val="0"/>
        <w:kinsoku/>
        <w:overflowPunct/>
        <w:topLinePunct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  标  函</w:t>
      </w:r>
    </w:p>
    <w:p w14:paraId="461711F0">
      <w:pPr>
        <w:pageBreakBefore w:val="0"/>
        <w:kinsoku/>
        <w:overflowPunct/>
        <w:topLinePunct w:val="0"/>
        <w:bidi w:val="0"/>
        <w:spacing w:line="240" w:lineRule="auto"/>
        <w:rPr>
          <w:rFonts w:hint="eastAsia" w:ascii="宋体" w:hAnsi="宋体" w:eastAsia="宋体" w:cs="宋体"/>
          <w:sz w:val="24"/>
          <w:szCs w:val="24"/>
          <w:highlight w:val="none"/>
        </w:rPr>
      </w:pPr>
    </w:p>
    <w:p w14:paraId="1AADD08C">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深圳市罗湖区市政园林管理所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深圳交易集团有限公司罗湖分公司</w:t>
      </w:r>
      <w:r>
        <w:rPr>
          <w:rFonts w:hint="eastAsia" w:ascii="宋体" w:hAnsi="宋体" w:eastAsia="宋体" w:cs="宋体"/>
          <w:sz w:val="24"/>
          <w:szCs w:val="24"/>
          <w:highlight w:val="none"/>
        </w:rPr>
        <w:t>：</w:t>
      </w:r>
    </w:p>
    <w:p w14:paraId="2BE09AE9">
      <w:pPr>
        <w:pStyle w:val="10"/>
        <w:pageBreakBefore w:val="0"/>
        <w:kinsoku/>
        <w:overflowPunct/>
        <w:topLinePunct w:val="0"/>
        <w:bidi w:val="0"/>
        <w:spacing w:before="154" w:line="240" w:lineRule="auto"/>
        <w:ind w:left="117" w:right="103" w:firstLine="48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我方收到并认真研究了你方项目编号为</w:t>
      </w:r>
      <w:r>
        <w:rPr>
          <w:rFonts w:hint="eastAsia" w:ascii="宋体" w:hAnsi="宋体" w:eastAsia="宋体" w:cs="宋体"/>
          <w:b w:val="0"/>
          <w:bCs w:val="0"/>
          <w:sz w:val="24"/>
          <w:szCs w:val="24"/>
          <w:highlight w:val="none"/>
          <w:u w:val="single"/>
        </w:rPr>
        <w:t>LHZXCG-2025-00006</w:t>
      </w:r>
      <w:r>
        <w:rPr>
          <w:rFonts w:hint="eastAsia" w:ascii="宋体" w:hAnsi="宋体" w:eastAsia="宋体" w:cs="宋体"/>
          <w:b w:val="0"/>
          <w:bCs w:val="0"/>
          <w:sz w:val="24"/>
          <w:szCs w:val="24"/>
          <w:highlight w:val="none"/>
        </w:rPr>
        <w:t>的</w:t>
      </w:r>
      <w:r>
        <w:rPr>
          <w:rFonts w:hint="eastAsia" w:ascii="宋体" w:hAnsi="宋体" w:eastAsia="宋体" w:cs="宋体"/>
          <w:b w:val="0"/>
          <w:bCs w:val="0"/>
          <w:sz w:val="24"/>
          <w:szCs w:val="24"/>
          <w:highlight w:val="none"/>
          <w:u w:val="single"/>
        </w:rPr>
        <w:t xml:space="preserve"> 深圳市罗湖区洪湖公园儿童活动区动力设施建设运营项目</w:t>
      </w:r>
      <w:r>
        <w:rPr>
          <w:rFonts w:hint="eastAsia" w:ascii="宋体" w:hAnsi="宋体" w:eastAsia="宋体" w:cs="宋体"/>
          <w:b w:val="0"/>
          <w:bCs w:val="0"/>
          <w:sz w:val="24"/>
          <w:szCs w:val="24"/>
          <w:highlight w:val="none"/>
        </w:rPr>
        <w:t>的招标文件。经详细研究，我方自愿参加该项目的公开招标活动，响应招标文件的各项规定，郑重声明以下诸点并负法律责任。</w:t>
      </w:r>
    </w:p>
    <w:p w14:paraId="3B1FF6CB">
      <w:pPr>
        <w:pStyle w:val="10"/>
        <w:pageBreakBefore w:val="0"/>
        <w:kinsoku/>
        <w:overflowPunct/>
        <w:topLinePunct w:val="0"/>
        <w:bidi w:val="0"/>
        <w:spacing w:before="36" w:line="240" w:lineRule="auto"/>
        <w:ind w:left="117" w:right="235" w:firstLine="48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1．我方已经详细审核了全部招标文件，包括修改、补充的文件（如有）和</w:t>
      </w:r>
      <w:r>
        <w:rPr>
          <w:rFonts w:hint="eastAsia" w:ascii="宋体" w:hAnsi="宋体" w:eastAsia="宋体" w:cs="宋体"/>
          <w:b w:val="0"/>
          <w:bCs w:val="0"/>
          <w:spacing w:val="-3"/>
          <w:sz w:val="24"/>
          <w:szCs w:val="24"/>
          <w:highlight w:val="none"/>
        </w:rPr>
        <w:t>参考资料，并提供了招标文件中要求的所有文件资料。我方知道必须在整个采购</w:t>
      </w:r>
      <w:r>
        <w:rPr>
          <w:rFonts w:hint="eastAsia" w:ascii="宋体" w:hAnsi="宋体" w:eastAsia="宋体" w:cs="宋体"/>
          <w:b w:val="0"/>
          <w:bCs w:val="0"/>
          <w:spacing w:val="3"/>
          <w:sz w:val="24"/>
          <w:szCs w:val="24"/>
          <w:highlight w:val="none"/>
        </w:rPr>
        <w:t>阶段放弃以对上述文件和资料的所有条款存有含糊不清或不理解之处为由而要</w:t>
      </w:r>
      <w:r>
        <w:rPr>
          <w:rFonts w:hint="eastAsia" w:ascii="宋体" w:hAnsi="宋体" w:eastAsia="宋体" w:cs="宋体"/>
          <w:b w:val="0"/>
          <w:bCs w:val="0"/>
          <w:sz w:val="24"/>
          <w:szCs w:val="24"/>
          <w:highlight w:val="none"/>
        </w:rPr>
        <w:t>求免于承担责任的权利。</w:t>
      </w:r>
    </w:p>
    <w:p w14:paraId="6D6D3C0E">
      <w:pPr>
        <w:pStyle w:val="10"/>
        <w:pageBreakBefore w:val="0"/>
        <w:kinsoku/>
        <w:overflowPunct/>
        <w:topLinePunct w:val="0"/>
        <w:bidi w:val="0"/>
        <w:spacing w:before="36" w:line="240" w:lineRule="auto"/>
        <w:ind w:left="117" w:right="235" w:firstLine="48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2.我方承诺在参与本项目前，已按照相关投资决策管理规定，完成参与本项目的决策流程（包括但不限于会议纪要、董事会决议、主管部门批复）；</w:t>
      </w:r>
    </w:p>
    <w:p w14:paraId="389BB5B9">
      <w:pPr>
        <w:pStyle w:val="10"/>
        <w:pageBreakBefore w:val="0"/>
        <w:kinsoku/>
        <w:overflowPunct/>
        <w:topLinePunct w:val="0"/>
        <w:bidi w:val="0"/>
        <w:spacing w:before="36" w:line="240" w:lineRule="auto"/>
        <w:ind w:left="117" w:right="133" w:firstLine="48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3．我方如果中标，将保证履行招标文件</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招标文件修改书（如有）以及</w:t>
      </w:r>
      <w:r>
        <w:rPr>
          <w:rFonts w:hint="eastAsia" w:ascii="宋体" w:hAnsi="宋体" w:eastAsia="宋体" w:cs="宋体"/>
          <w:b w:val="0"/>
          <w:bCs w:val="0"/>
          <w:sz w:val="24"/>
          <w:szCs w:val="24"/>
          <w:highlight w:val="none"/>
          <w:lang w:val="en-US" w:eastAsia="zh-CN"/>
        </w:rPr>
        <w:t>附件</w:t>
      </w:r>
      <w:r>
        <w:rPr>
          <w:rFonts w:hint="eastAsia" w:ascii="宋体" w:hAnsi="宋体" w:eastAsia="宋体" w:cs="宋体"/>
          <w:b w:val="0"/>
          <w:bCs w:val="0"/>
          <w:sz w:val="24"/>
          <w:szCs w:val="24"/>
          <w:highlight w:val="none"/>
        </w:rPr>
        <w:t>（如有）中的全部责任和义务，按质、按量、按期完成《合同书》中的全部任务。</w:t>
      </w:r>
    </w:p>
    <w:p w14:paraId="79E15828">
      <w:pPr>
        <w:pStyle w:val="10"/>
        <w:pageBreakBefore w:val="0"/>
        <w:kinsoku/>
        <w:overflowPunct/>
        <w:topLinePunct w:val="0"/>
        <w:bidi w:val="0"/>
        <w:spacing w:before="36" w:line="240" w:lineRule="auto"/>
        <w:ind w:left="117" w:right="235" w:firstLine="48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4．我方同意本招标文件的投标有效期自递交投标文件截止之日起120日。在该有效期内的任何时间，本投标文件对我方一直具有约束力，并可随时接受中标。</w:t>
      </w:r>
    </w:p>
    <w:p w14:paraId="1A734D26">
      <w:pPr>
        <w:pStyle w:val="10"/>
        <w:pageBreakBefore w:val="0"/>
        <w:kinsoku/>
        <w:overflowPunct/>
        <w:topLinePunct w:val="0"/>
        <w:bidi w:val="0"/>
        <w:spacing w:before="36" w:line="240" w:lineRule="auto"/>
        <w:ind w:left="117" w:right="235" w:firstLine="48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5．我方完全理解贵方在发出中标通知书前宣布本次采购无效，对此给投标人造成的影响不承担责任。</w:t>
      </w:r>
    </w:p>
    <w:p w14:paraId="457BA487">
      <w:pPr>
        <w:pStyle w:val="10"/>
        <w:pageBreakBefore w:val="0"/>
        <w:kinsoku/>
        <w:overflowPunct/>
        <w:topLinePunct w:val="0"/>
        <w:bidi w:val="0"/>
        <w:spacing w:before="36" w:line="240" w:lineRule="auto"/>
        <w:ind w:left="117" w:right="235" w:firstLine="48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6．在</w:t>
      </w:r>
      <w:r>
        <w:rPr>
          <w:rFonts w:hint="eastAsia" w:ascii="宋体" w:hAnsi="宋体" w:eastAsia="宋体" w:cs="宋体"/>
          <w:b w:val="0"/>
          <w:bCs w:val="0"/>
          <w:sz w:val="24"/>
          <w:szCs w:val="24"/>
          <w:highlight w:val="none"/>
          <w:lang w:eastAsia="zh-CN"/>
        </w:rPr>
        <w:t>协议</w:t>
      </w:r>
      <w:r>
        <w:rPr>
          <w:rFonts w:hint="eastAsia" w:ascii="宋体" w:hAnsi="宋体" w:eastAsia="宋体" w:cs="宋体"/>
          <w:b w:val="0"/>
          <w:bCs w:val="0"/>
          <w:sz w:val="24"/>
          <w:szCs w:val="24"/>
          <w:highlight w:val="none"/>
        </w:rPr>
        <w:t>正式签署前，我方的投标文件和贵方的中标通知书应视为贵我双方的</w:t>
      </w:r>
      <w:r>
        <w:rPr>
          <w:rFonts w:hint="eastAsia" w:ascii="宋体" w:hAnsi="宋体" w:eastAsia="宋体" w:cs="宋体"/>
          <w:b w:val="0"/>
          <w:bCs w:val="0"/>
          <w:sz w:val="24"/>
          <w:szCs w:val="24"/>
          <w:highlight w:val="none"/>
          <w:lang w:eastAsia="zh-CN"/>
        </w:rPr>
        <w:t>协议</w:t>
      </w:r>
      <w:r>
        <w:rPr>
          <w:rFonts w:hint="eastAsia" w:ascii="宋体" w:hAnsi="宋体" w:eastAsia="宋体" w:cs="宋体"/>
          <w:b w:val="0"/>
          <w:bCs w:val="0"/>
          <w:sz w:val="24"/>
          <w:szCs w:val="24"/>
          <w:highlight w:val="none"/>
        </w:rPr>
        <w:t>，对双方具有约束力。</w:t>
      </w:r>
    </w:p>
    <w:p w14:paraId="15806C4C">
      <w:pPr>
        <w:pStyle w:val="10"/>
        <w:pageBreakBefore w:val="0"/>
        <w:kinsoku/>
        <w:overflowPunct/>
        <w:topLinePunct w:val="0"/>
        <w:bidi w:val="0"/>
        <w:spacing w:before="36" w:line="240" w:lineRule="auto"/>
        <w:ind w:left="117" w:right="235" w:firstLine="48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7．我方为本次公开招标向贵方提交了</w:t>
      </w:r>
      <w:r>
        <w:rPr>
          <w:rFonts w:hint="eastAsia" w:ascii="宋体" w:hAnsi="宋体" w:eastAsia="宋体" w:cs="宋体"/>
          <w:b/>
          <w:bCs/>
          <w:sz w:val="24"/>
          <w:szCs w:val="24"/>
          <w:highlight w:val="none"/>
          <w:u w:val="single"/>
        </w:rPr>
        <w:t>人民币</w:t>
      </w:r>
      <w:r>
        <w:rPr>
          <w:rFonts w:hint="eastAsia" w:ascii="宋体" w:hAnsi="宋体" w:eastAsia="宋体" w:cs="宋体"/>
          <w:b/>
          <w:bCs/>
          <w:sz w:val="24"/>
          <w:szCs w:val="24"/>
          <w:highlight w:val="none"/>
          <w:u w:val="single"/>
          <w:lang w:val="en-US" w:eastAsia="zh-CN"/>
        </w:rPr>
        <w:t>/</w:t>
      </w:r>
      <w:r>
        <w:rPr>
          <w:rFonts w:hint="eastAsia" w:ascii="宋体" w:hAnsi="宋体" w:eastAsia="宋体" w:cs="宋体"/>
          <w:b/>
          <w:bCs/>
          <w:sz w:val="24"/>
          <w:szCs w:val="24"/>
          <w:highlight w:val="none"/>
          <w:u w:val="single"/>
        </w:rPr>
        <w:t>元</w:t>
      </w:r>
      <w:r>
        <w:rPr>
          <w:rFonts w:hint="eastAsia" w:ascii="宋体" w:hAnsi="宋体" w:eastAsia="宋体" w:cs="宋体"/>
          <w:b/>
          <w:bCs/>
          <w:sz w:val="24"/>
          <w:szCs w:val="24"/>
          <w:highlight w:val="none"/>
          <w:u w:val="single"/>
          <w:lang w:val="en-US" w:eastAsia="zh-CN"/>
        </w:rPr>
        <w:t>（￥/元）</w:t>
      </w:r>
      <w:r>
        <w:rPr>
          <w:rFonts w:hint="eastAsia" w:ascii="宋体" w:hAnsi="宋体" w:eastAsia="宋体" w:cs="宋体"/>
          <w:b w:val="0"/>
          <w:bCs w:val="0"/>
          <w:spacing w:val="-3"/>
          <w:sz w:val="24"/>
          <w:szCs w:val="24"/>
          <w:highlight w:val="none"/>
        </w:rPr>
        <w:t>的投标保证金，作为我方按照招标文件的有关规定参加本次投标的担保。</w:t>
      </w:r>
      <w:bookmarkStart w:id="63" w:name="_Hlk77237390"/>
      <w:r>
        <w:rPr>
          <w:rFonts w:hint="eastAsia" w:ascii="宋体" w:hAnsi="宋体" w:eastAsia="宋体" w:cs="宋体"/>
          <w:b w:val="0"/>
          <w:bCs w:val="0"/>
          <w:spacing w:val="-3"/>
          <w:sz w:val="24"/>
          <w:szCs w:val="24"/>
          <w:highlight w:val="none"/>
        </w:rPr>
        <w:t>如</w:t>
      </w:r>
      <w:r>
        <w:rPr>
          <w:rFonts w:hint="eastAsia" w:ascii="宋体" w:hAnsi="宋体" w:eastAsia="宋体" w:cs="宋体"/>
          <w:b w:val="0"/>
          <w:bCs w:val="0"/>
          <w:sz w:val="24"/>
          <w:szCs w:val="24"/>
          <w:highlight w:val="none"/>
        </w:rPr>
        <w:t>果我方发生以下情况之一</w:t>
      </w:r>
      <w:bookmarkEnd w:id="63"/>
      <w:r>
        <w:rPr>
          <w:rFonts w:hint="eastAsia" w:ascii="宋体" w:hAnsi="宋体" w:eastAsia="宋体" w:cs="宋体"/>
          <w:b w:val="0"/>
          <w:bCs w:val="0"/>
          <w:sz w:val="24"/>
          <w:szCs w:val="24"/>
          <w:highlight w:val="none"/>
        </w:rPr>
        <w:t>，贵方有权不予退还投标保证金：</w:t>
      </w:r>
    </w:p>
    <w:p w14:paraId="23B5A43E">
      <w:pPr>
        <w:pStyle w:val="10"/>
        <w:pageBreakBefore w:val="0"/>
        <w:kinsoku/>
        <w:overflowPunct/>
        <w:topLinePunct w:val="0"/>
        <w:bidi w:val="0"/>
        <w:spacing w:before="36" w:line="240" w:lineRule="auto"/>
        <w:ind w:left="597" w:right="105"/>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（1）在递交投标文件截止时间后撤回投标文件；</w:t>
      </w:r>
    </w:p>
    <w:p w14:paraId="76A045E8">
      <w:pPr>
        <w:pStyle w:val="10"/>
        <w:pageBreakBefore w:val="0"/>
        <w:kinsoku/>
        <w:overflowPunct/>
        <w:topLinePunct w:val="0"/>
        <w:bidi w:val="0"/>
        <w:spacing w:before="154" w:line="240" w:lineRule="auto"/>
        <w:ind w:left="117" w:right="235" w:firstLine="48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（2）无故不领取中标通知书，或中标后无正当理由不与招标人签订</w:t>
      </w:r>
      <w:r>
        <w:rPr>
          <w:rFonts w:hint="eastAsia" w:ascii="宋体" w:hAnsi="宋体" w:eastAsia="宋体" w:cs="宋体"/>
          <w:b w:val="0"/>
          <w:bCs w:val="0"/>
          <w:sz w:val="24"/>
          <w:szCs w:val="24"/>
          <w:highlight w:val="none"/>
          <w:lang w:eastAsia="zh-CN"/>
        </w:rPr>
        <w:t>协议</w:t>
      </w:r>
      <w:r>
        <w:rPr>
          <w:rFonts w:hint="eastAsia" w:ascii="宋体" w:hAnsi="宋体" w:eastAsia="宋体" w:cs="宋体"/>
          <w:b w:val="0"/>
          <w:bCs w:val="0"/>
          <w:sz w:val="24"/>
          <w:szCs w:val="24"/>
          <w:highlight w:val="none"/>
        </w:rPr>
        <w:t>， 或在签订</w:t>
      </w:r>
      <w:r>
        <w:rPr>
          <w:rFonts w:hint="eastAsia" w:ascii="宋体" w:hAnsi="宋体" w:eastAsia="宋体" w:cs="宋体"/>
          <w:b w:val="0"/>
          <w:bCs w:val="0"/>
          <w:sz w:val="24"/>
          <w:szCs w:val="24"/>
          <w:highlight w:val="none"/>
          <w:lang w:eastAsia="zh-CN"/>
        </w:rPr>
        <w:t>协议</w:t>
      </w:r>
      <w:r>
        <w:rPr>
          <w:rFonts w:hint="eastAsia" w:ascii="宋体" w:hAnsi="宋体" w:eastAsia="宋体" w:cs="宋体"/>
          <w:b w:val="0"/>
          <w:bCs w:val="0"/>
          <w:sz w:val="24"/>
          <w:szCs w:val="24"/>
          <w:highlight w:val="none"/>
        </w:rPr>
        <w:t>时向招标人提出附加条件，或不按照招标文件的规定提交履约保函；</w:t>
      </w:r>
    </w:p>
    <w:p w14:paraId="263C0CEF">
      <w:pPr>
        <w:pStyle w:val="10"/>
        <w:pageBreakBefore w:val="0"/>
        <w:kinsoku/>
        <w:overflowPunct/>
        <w:topLinePunct w:val="0"/>
        <w:bidi w:val="0"/>
        <w:spacing w:before="36" w:line="240" w:lineRule="auto"/>
        <w:ind w:left="597" w:right="105"/>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（3）与他人串通投标、行贿或投标文件中含有虚假陈述等事项；</w:t>
      </w:r>
    </w:p>
    <w:p w14:paraId="65D6E007">
      <w:pPr>
        <w:pStyle w:val="10"/>
        <w:pageBreakBefore w:val="0"/>
        <w:kinsoku/>
        <w:overflowPunct/>
        <w:topLinePunct w:val="0"/>
        <w:bidi w:val="0"/>
        <w:spacing w:before="154" w:line="240" w:lineRule="auto"/>
        <w:ind w:left="597" w:right="105"/>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（4）法律法规所规定的其他情形。 </w:t>
      </w:r>
    </w:p>
    <w:p w14:paraId="54AB596A">
      <w:pPr>
        <w:pStyle w:val="10"/>
        <w:pageBreakBefore w:val="0"/>
        <w:kinsoku/>
        <w:overflowPunct/>
        <w:topLinePunct w:val="0"/>
        <w:bidi w:val="0"/>
        <w:spacing w:before="36" w:line="240" w:lineRule="auto"/>
        <w:ind w:left="117" w:right="235" w:firstLine="48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 我方保证，本投标文件的所有内容均属独立完成，未经与其他投标人以限制对本项目的竞争为目的进行协商、合作或达成谅解后完成。</w:t>
      </w:r>
    </w:p>
    <w:p w14:paraId="497785DC">
      <w:pPr>
        <w:pStyle w:val="10"/>
        <w:pageBreakBefore w:val="0"/>
        <w:kinsoku/>
        <w:overflowPunct/>
        <w:topLinePunct w:val="0"/>
        <w:bidi w:val="0"/>
        <w:spacing w:before="36" w:line="240" w:lineRule="auto"/>
        <w:ind w:left="117" w:right="235" w:firstLine="48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9. 与本次招标有关的投标人正式联系方式如下：</w:t>
      </w:r>
    </w:p>
    <w:p w14:paraId="2CA7CF8C">
      <w:pPr>
        <w:pStyle w:val="10"/>
        <w:pageBreakBefore w:val="0"/>
        <w:kinsoku/>
        <w:overflowPunct/>
        <w:topLinePunct w:val="0"/>
        <w:bidi w:val="0"/>
        <w:spacing w:before="36" w:line="240" w:lineRule="auto"/>
        <w:ind w:right="6266"/>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联系人姓名：</w:t>
      </w:r>
    </w:p>
    <w:p w14:paraId="727F7F4F">
      <w:pPr>
        <w:pStyle w:val="10"/>
        <w:pageBreakBefore w:val="0"/>
        <w:kinsoku/>
        <w:overflowPunct/>
        <w:topLinePunct w:val="0"/>
        <w:bidi w:val="0"/>
        <w:spacing w:before="36" w:line="240" w:lineRule="auto"/>
        <w:ind w:right="6266"/>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职 务： </w:t>
      </w:r>
    </w:p>
    <w:p w14:paraId="30C79F87">
      <w:pPr>
        <w:pStyle w:val="10"/>
        <w:pageBreakBefore w:val="0"/>
        <w:kinsoku/>
        <w:overflowPunct/>
        <w:topLinePunct w:val="0"/>
        <w:bidi w:val="0"/>
        <w:spacing w:before="36" w:line="240" w:lineRule="auto"/>
        <w:ind w:right="6266"/>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电话号码：</w:t>
      </w:r>
    </w:p>
    <w:p w14:paraId="4784435A">
      <w:pPr>
        <w:pStyle w:val="10"/>
        <w:pageBreakBefore w:val="0"/>
        <w:kinsoku/>
        <w:overflowPunct/>
        <w:topLinePunct w:val="0"/>
        <w:bidi w:val="0"/>
        <w:spacing w:before="36" w:line="240" w:lineRule="auto"/>
        <w:ind w:right="6266"/>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传真号码： </w:t>
      </w:r>
    </w:p>
    <w:p w14:paraId="7DA538BF">
      <w:pPr>
        <w:pStyle w:val="10"/>
        <w:pageBreakBefore w:val="0"/>
        <w:kinsoku/>
        <w:overflowPunct/>
        <w:topLinePunct w:val="0"/>
        <w:bidi w:val="0"/>
        <w:spacing w:before="36" w:line="240" w:lineRule="auto"/>
        <w:ind w:right="6266"/>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邮寄地址：</w:t>
      </w:r>
    </w:p>
    <w:p w14:paraId="49D6AD07">
      <w:pPr>
        <w:pStyle w:val="10"/>
        <w:pageBreakBefore w:val="0"/>
        <w:kinsoku/>
        <w:overflowPunct/>
        <w:topLinePunct w:val="0"/>
        <w:bidi w:val="0"/>
        <w:spacing w:before="36" w:line="240" w:lineRule="auto"/>
        <w:ind w:right="6266"/>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邮政编码：</w:t>
      </w:r>
    </w:p>
    <w:p w14:paraId="42376174">
      <w:pPr>
        <w:pStyle w:val="10"/>
        <w:pageBreakBefore w:val="0"/>
        <w:kinsoku/>
        <w:overflowPunct/>
        <w:topLinePunct w:val="0"/>
        <w:bidi w:val="0"/>
        <w:spacing w:line="240" w:lineRule="auto"/>
        <w:rPr>
          <w:rFonts w:hint="eastAsia" w:ascii="宋体" w:hAnsi="宋体" w:eastAsia="宋体" w:cs="宋体"/>
          <w:b w:val="0"/>
          <w:bCs w:val="0"/>
          <w:sz w:val="24"/>
          <w:szCs w:val="24"/>
          <w:highlight w:val="none"/>
        </w:rPr>
      </w:pPr>
    </w:p>
    <w:p w14:paraId="464D8657">
      <w:pPr>
        <w:pStyle w:val="10"/>
        <w:pageBreakBefore w:val="0"/>
        <w:tabs>
          <w:tab w:val="left" w:pos="5040"/>
        </w:tabs>
        <w:kinsoku/>
        <w:overflowPunct/>
        <w:topLinePunct w:val="0"/>
        <w:bidi w:val="0"/>
        <w:spacing w:before="186" w:line="240" w:lineRule="auto"/>
        <w:jc w:val="righ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投标人名称：</w:t>
      </w:r>
      <w:r>
        <w:rPr>
          <w:rFonts w:hint="eastAsia" w:ascii="宋体" w:hAnsi="宋体" w:eastAsia="宋体" w:cs="宋体"/>
          <w:b w:val="0"/>
          <w:bCs w:val="0"/>
          <w:sz w:val="24"/>
          <w:szCs w:val="24"/>
          <w:highlight w:val="none"/>
          <w:u w:val="single"/>
        </w:rPr>
        <w:t xml:space="preserve">             （盖章）</w:t>
      </w:r>
    </w:p>
    <w:p w14:paraId="245C862C">
      <w:pPr>
        <w:pStyle w:val="10"/>
        <w:pageBreakBefore w:val="0"/>
        <w:tabs>
          <w:tab w:val="left" w:pos="6240"/>
        </w:tabs>
        <w:kinsoku/>
        <w:overflowPunct/>
        <w:topLinePunct w:val="0"/>
        <w:bidi w:val="0"/>
        <w:spacing w:before="26" w:line="240" w:lineRule="auto"/>
        <w:jc w:val="righ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法定代表人或其委托代理人</w:t>
      </w:r>
      <w:r>
        <w:rPr>
          <w:rFonts w:hint="eastAsia" w:ascii="宋体" w:hAnsi="宋体" w:eastAsia="宋体" w:cs="宋体"/>
          <w:b w:val="0"/>
          <w:bCs w:val="0"/>
          <w:sz w:val="24"/>
          <w:szCs w:val="24"/>
          <w:highlight w:val="none"/>
          <w:u w:val="single"/>
        </w:rPr>
        <w:t>：      （签字或盖章）</w:t>
      </w:r>
    </w:p>
    <w:p w14:paraId="56E73F5C">
      <w:pPr>
        <w:pageBreakBefore w:val="0"/>
        <w:kinsoku/>
        <w:overflowPunct/>
        <w:topLinePunct w:val="0"/>
        <w:bidi w:val="0"/>
        <w:spacing w:line="240" w:lineRule="auto"/>
        <w:ind w:firstLine="4740" w:firstLineChars="1975"/>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1517525F">
      <w:pPr>
        <w:pageBreakBefore w:val="0"/>
        <w:kinsoku/>
        <w:overflowPunct/>
        <w:topLinePunct w:val="0"/>
        <w:bidi w:val="0"/>
        <w:spacing w:line="240" w:lineRule="auto"/>
        <w:ind w:firstLine="4740" w:firstLineChars="1975"/>
        <w:jc w:val="right"/>
        <w:rPr>
          <w:rFonts w:hint="eastAsia" w:ascii="宋体" w:hAnsi="宋体" w:eastAsia="宋体" w:cs="宋体"/>
          <w:sz w:val="24"/>
          <w:szCs w:val="24"/>
          <w:highlight w:val="none"/>
        </w:rPr>
      </w:pPr>
    </w:p>
    <w:p w14:paraId="634BA1B7">
      <w:pPr>
        <w:pageBreakBefore w:val="0"/>
        <w:kinsoku/>
        <w:overflowPunct/>
        <w:topLinePunct w:val="0"/>
        <w:autoSpaceDE w:val="0"/>
        <w:autoSpaceDN w:val="0"/>
        <w:bidi w:val="0"/>
        <w:adjustRightIn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3AD3A3AF">
      <w:pPr>
        <w:pageBreakBefore w:val="0"/>
        <w:numPr>
          <w:ilvl w:val="0"/>
          <w:numId w:val="0"/>
        </w:numPr>
        <w:kinsoku/>
        <w:overflowPunct/>
        <w:topLinePunct w:val="0"/>
        <w:autoSpaceDE w:val="0"/>
        <w:autoSpaceDN w:val="0"/>
        <w:bidi w:val="0"/>
        <w:adjustRightInd w:val="0"/>
        <w:spacing w:line="240" w:lineRule="auto"/>
        <w:jc w:val="left"/>
        <w:rPr>
          <w:rFonts w:hint="eastAsia"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1、</w:t>
      </w:r>
      <w:r>
        <w:rPr>
          <w:rFonts w:hint="eastAsia" w:ascii="宋体" w:hAnsi="宋体" w:eastAsia="宋体" w:cs="宋体"/>
          <w:sz w:val="24"/>
          <w:szCs w:val="24"/>
          <w:highlight w:val="none"/>
        </w:rPr>
        <w:t>投标人在投标函中填写内容必须与投标文件一致。</w:t>
      </w:r>
      <w:r>
        <w:rPr>
          <w:rFonts w:hint="eastAsia" w:ascii="宋体" w:hAnsi="宋体" w:eastAsia="宋体" w:cs="宋体"/>
          <w:b/>
          <w:bCs/>
          <w:sz w:val="24"/>
          <w:szCs w:val="24"/>
          <w:highlight w:val="none"/>
        </w:rPr>
        <w:t>未按照本投标函要求填报的，将被视为未实质性响应招标文件要求，从而导致其投标被否决。</w:t>
      </w:r>
    </w:p>
    <w:p w14:paraId="0D254A06">
      <w:pPr>
        <w:pageBreakBefore w:val="0"/>
        <w:numPr>
          <w:ilvl w:val="0"/>
          <w:numId w:val="0"/>
        </w:numPr>
        <w:kinsoku/>
        <w:overflowPunct/>
        <w:topLinePunct w:val="0"/>
        <w:autoSpaceDE w:val="0"/>
        <w:autoSpaceDN w:val="0"/>
        <w:bidi w:val="0"/>
        <w:adjustRightInd w:val="0"/>
        <w:spacing w:line="240" w:lineRule="auto"/>
        <w:jc w:val="left"/>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color w:val="FF0000"/>
          <w:sz w:val="24"/>
          <w:szCs w:val="24"/>
          <w:highlight w:val="none"/>
          <w:lang w:val="en-US" w:eastAsia="zh-CN"/>
        </w:rPr>
        <w:t>如为联合体投标，投标供应商一栏仅需填写主体方（牵头人）的名称。</w:t>
      </w:r>
    </w:p>
    <w:p w14:paraId="03100139">
      <w:pPr>
        <w:ind w:left="420" w:leftChars="200" w:firstLine="240" w:firstLineChars="100"/>
        <w:rPr>
          <w:sz w:val="24"/>
        </w:rPr>
      </w:pPr>
      <w:r>
        <w:rPr>
          <w:rFonts w:hint="eastAsia"/>
          <w:sz w:val="24"/>
        </w:rPr>
        <w:t xml:space="preserve"> </w:t>
      </w:r>
    </w:p>
    <w:p w14:paraId="68A4F6D4">
      <w:pPr>
        <w:ind w:left="420" w:leftChars="200"/>
        <w:rPr>
          <w:sz w:val="24"/>
        </w:rPr>
      </w:pPr>
      <w:r>
        <w:rPr>
          <w:rFonts w:hint="eastAsia"/>
          <w:sz w:val="24"/>
        </w:rPr>
        <w:t xml:space="preserve">                       </w:t>
      </w:r>
    </w:p>
    <w:p w14:paraId="5E81D30A">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rPr>
      </w:pPr>
      <w:r>
        <w:rPr>
          <w:rFonts w:hint="eastAsia" w:ascii="宋体" w:hAnsi="宋体" w:eastAsia="宋体" w:cs="Times New Roman"/>
          <w:b/>
          <w:bCs/>
          <w:kern w:val="0"/>
          <w:sz w:val="24"/>
          <w:szCs w:val="20"/>
          <w:lang w:val="en-US" w:eastAsia="zh-CN"/>
        </w:rPr>
        <w:t>2</w:t>
      </w:r>
      <w:r>
        <w:rPr>
          <w:rFonts w:hint="eastAsia" w:ascii="宋体" w:hAnsi="宋体" w:eastAsia="宋体" w:cs="Times New Roman"/>
          <w:b/>
          <w:bCs/>
          <w:kern w:val="0"/>
          <w:sz w:val="24"/>
          <w:szCs w:val="20"/>
        </w:rPr>
        <w:t>.投标及履约承诺函</w:t>
      </w:r>
    </w:p>
    <w:p w14:paraId="79582EC2">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深圳市罗湖区市政园林管理所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深圳交易集团有限公司罗湖分公司</w:t>
      </w:r>
      <w:r>
        <w:rPr>
          <w:rFonts w:hint="eastAsia" w:ascii="宋体" w:hAnsi="宋体" w:eastAsia="宋体" w:cs="宋体"/>
          <w:sz w:val="24"/>
          <w:szCs w:val="24"/>
          <w:highlight w:val="none"/>
        </w:rPr>
        <w:t>：</w:t>
      </w:r>
    </w:p>
    <w:p w14:paraId="7A370542">
      <w:pPr>
        <w:pageBreakBefore w:val="0"/>
        <w:kinsoku/>
        <w:overflowPunct/>
        <w:topLinePunct w:val="0"/>
        <w:bidi w:val="0"/>
        <w:spacing w:line="240" w:lineRule="auto"/>
        <w:ind w:right="-815"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我单位承诺：</w:t>
      </w:r>
    </w:p>
    <w:p w14:paraId="0D6A4A8F">
      <w:pPr>
        <w:pageBreakBefore w:val="0"/>
        <w:kinsoku/>
        <w:overflowPunct/>
        <w:topLinePunct w:val="0"/>
        <w:bidi w:val="0"/>
        <w:snapToGrid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rPr>
        <w:t>我单位参与本项目所投标（响应）的货物、工程或服务，不存在侵犯知识产权的情况。</w:t>
      </w:r>
    </w:p>
    <w:p w14:paraId="338156A2">
      <w:pPr>
        <w:pageBreakBefore w:val="0"/>
        <w:kinsoku/>
        <w:overflowPunct/>
        <w:topLinePunct w:val="0"/>
        <w:bidi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2.我单位参与本项目</w:t>
      </w:r>
      <w:r>
        <w:rPr>
          <w:rFonts w:hint="eastAsia" w:ascii="宋体" w:hAnsi="宋体" w:eastAsia="宋体" w:cs="宋体"/>
          <w:sz w:val="24"/>
          <w:szCs w:val="24"/>
          <w:lang w:eastAsia="zh-CN"/>
        </w:rPr>
        <w:t>交易</w:t>
      </w:r>
      <w:r>
        <w:rPr>
          <w:rFonts w:hint="eastAsia" w:ascii="宋体" w:hAnsi="宋体" w:eastAsia="宋体" w:cs="宋体"/>
          <w:sz w:val="24"/>
          <w:szCs w:val="24"/>
        </w:rPr>
        <w:t>活动时不存在被有关部门禁止参与</w:t>
      </w:r>
      <w:r>
        <w:rPr>
          <w:rFonts w:hint="eastAsia" w:ascii="宋体" w:hAnsi="宋体" w:eastAsia="宋体" w:cs="宋体"/>
          <w:sz w:val="24"/>
          <w:szCs w:val="24"/>
          <w:lang w:eastAsia="zh-CN"/>
        </w:rPr>
        <w:t>交易</w:t>
      </w:r>
      <w:r>
        <w:rPr>
          <w:rFonts w:hint="eastAsia" w:ascii="宋体" w:hAnsi="宋体" w:eastAsia="宋体" w:cs="宋体"/>
          <w:sz w:val="24"/>
          <w:szCs w:val="24"/>
        </w:rPr>
        <w:t>活动且在有效期内的情况。</w:t>
      </w:r>
    </w:p>
    <w:p w14:paraId="0D5F1A79">
      <w:pPr>
        <w:pageBreakBefore w:val="0"/>
        <w:kinsoku/>
        <w:overflowPunct/>
        <w:topLinePunct w:val="0"/>
        <w:bidi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3.我单位具备《中华人民共和国政府采购法》第二十二条第一款规定的六项条件。</w:t>
      </w:r>
    </w:p>
    <w:p w14:paraId="60C66A4C">
      <w:pPr>
        <w:pageBreakBefore w:val="0"/>
        <w:kinsoku/>
        <w:overflowPunct/>
        <w:topLinePunct w:val="0"/>
        <w:bidi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4.我单位未被列入失信被执行人、重大税收违法案件当事人名单、政府采购严重违法失信行为记录名单。</w:t>
      </w:r>
    </w:p>
    <w:p w14:paraId="473CF040">
      <w:pPr>
        <w:pageBreakBefore w:val="0"/>
        <w:kinsoku/>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.我单位参与该项目投标，严格遵守政府采购相关法律，不造假，不围标、串标、陪标。我单位已清楚，如违反上述要求，投标将作无效处理。</w:t>
      </w:r>
    </w:p>
    <w:p w14:paraId="11949486">
      <w:pPr>
        <w:pageBreakBefore w:val="0"/>
        <w:kinsoku/>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.我单位如果中标，做到守信，不偷工减料，依照本项目招标文件需求内容、签署的</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及本单位在投标中所作的一切承诺履约。我单位对本项目的报价负责，中标后将严格按照本项目招标文件需求、签署的</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及我单位在投标中所作的全部承诺履行。</w:t>
      </w:r>
    </w:p>
    <w:p w14:paraId="02A2E443">
      <w:pPr>
        <w:pageBreakBefore w:val="0"/>
        <w:kinsoku/>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我单位清楚，本项目将成为重点监管、重点验收项目，我单位将按时保质保量完成，并全力配合有关监管、验收工作；若我单位未按上述要求履约，我单位愿意接受主管部门的处理处罚。</w:t>
      </w:r>
    </w:p>
    <w:p w14:paraId="6928FC27">
      <w:pPr>
        <w:pageBreakBefore w:val="0"/>
        <w:kinsoku/>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553A273">
      <w:pPr>
        <w:pageBreakBefore w:val="0"/>
        <w:kinsoku/>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.我单位承诺中标后项目不转包，未经</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同意不进行分包。</w:t>
      </w:r>
    </w:p>
    <w:p w14:paraId="17A57C47">
      <w:pPr>
        <w:pageBreakBefore w:val="0"/>
        <w:kinsoku/>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.我单位保证，其所提供的货物通过合法正规渠道供货，在提供给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前具有完全的所有权，</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41580C8">
      <w:pPr>
        <w:pageBreakBefore w:val="0"/>
        <w:kinsoku/>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.我单位保证，若所投货物涉及《财政部生态环境部关于印发节能产品政府采购品目清单的通知》（财库〔2019〕19号）列明的政府采购强制产品，则所投该产品符合节能产品的认证要求。</w:t>
      </w:r>
    </w:p>
    <w:p w14:paraId="6A9C0849">
      <w:pPr>
        <w:pageBreakBefore w:val="0"/>
        <w:kinsoku/>
        <w:overflowPunct/>
        <w:topLinePunct w:val="0"/>
        <w:bidi w:val="0"/>
        <w:spacing w:line="24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.我单位已悉知并同意中标（成交）结果信息公示（公开）的内容。</w:t>
      </w:r>
    </w:p>
    <w:p w14:paraId="2FE64195">
      <w:pPr>
        <w:pageBreakBefore w:val="0"/>
        <w:kinsoku/>
        <w:overflowPunct/>
        <w:topLinePunct w:val="0"/>
        <w:bidi w:val="0"/>
        <w:spacing w:line="24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.我单位与其他投标</w:t>
      </w:r>
      <w:r>
        <w:rPr>
          <w:rFonts w:hint="eastAsia" w:ascii="宋体" w:hAnsi="宋体" w:eastAsia="宋体" w:cs="宋体"/>
          <w:b/>
          <w:sz w:val="24"/>
          <w:szCs w:val="24"/>
          <w:highlight w:val="none"/>
          <w:lang w:val="en-US" w:eastAsia="zh-CN"/>
        </w:rPr>
        <w:t>人</w:t>
      </w:r>
      <w:r>
        <w:rPr>
          <w:rFonts w:hint="eastAsia" w:ascii="宋体" w:hAnsi="宋体" w:eastAsia="宋体" w:cs="宋体"/>
          <w:b/>
          <w:sz w:val="24"/>
          <w:szCs w:val="24"/>
          <w:highlight w:val="none"/>
        </w:rPr>
        <w:t>不存在单位负责人为同一人或者存在直接控股、管理关系；未对本次采购项目提供整体设计、规范编制或者项目管理、监理、检测等服务。</w:t>
      </w:r>
    </w:p>
    <w:p w14:paraId="7D0D9186">
      <w:pPr>
        <w:pageBreakBefore w:val="0"/>
        <w:kinsoku/>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以上承诺，如有违反，愿依照国家相关法律法规处理，并承担由此给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带来的损失。</w:t>
      </w:r>
    </w:p>
    <w:p w14:paraId="4B4FB042">
      <w:pPr>
        <w:pageBreakBefore w:val="0"/>
        <w:kinsoku/>
        <w:overflowPunct/>
        <w:topLinePunct w:val="0"/>
        <w:bidi w:val="0"/>
        <w:spacing w:beforeLines="25" w:afterLines="25" w:line="240" w:lineRule="auto"/>
        <w:ind w:firstLine="6240" w:firstLineChars="2600"/>
        <w:rPr>
          <w:rFonts w:hint="eastAsia" w:ascii="宋体" w:hAnsi="宋体" w:eastAsia="宋体" w:cs="宋体"/>
          <w:sz w:val="24"/>
          <w:szCs w:val="24"/>
          <w:highlight w:val="none"/>
        </w:rPr>
      </w:pPr>
    </w:p>
    <w:p w14:paraId="5C833438">
      <w:pPr>
        <w:pageBreakBefore w:val="0"/>
        <w:kinsoku/>
        <w:overflowPunct/>
        <w:topLinePunct w:val="0"/>
        <w:bidi w:val="0"/>
        <w:spacing w:beforeLines="25" w:afterLines="25" w:line="240" w:lineRule="auto"/>
        <w:ind w:firstLine="6240" w:firstLineChars="2600"/>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p>
    <w:p w14:paraId="19686548">
      <w:pPr>
        <w:pageBreakBefore w:val="0"/>
        <w:kinsoku/>
        <w:overflowPunct/>
        <w:topLinePunct w:val="0"/>
        <w:bidi w:val="0"/>
        <w:spacing w:line="24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5DBCA7F6">
      <w:pPr>
        <w:pageBreakBefore w:val="0"/>
        <w:kinsoku/>
        <w:overflowPunct/>
        <w:topLinePunct w:val="0"/>
        <w:bidi w:val="0"/>
        <w:spacing w:line="240" w:lineRule="auto"/>
        <w:rPr>
          <w:rFonts w:hint="eastAsia" w:ascii="宋体" w:hAnsi="宋体" w:eastAsia="宋体" w:cs="宋体"/>
          <w:sz w:val="24"/>
          <w:szCs w:val="24"/>
          <w:highlight w:val="none"/>
        </w:rPr>
      </w:pPr>
    </w:p>
    <w:p w14:paraId="253AAED7">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Times New Roman"/>
          <w:b/>
          <w:bCs/>
          <w:kern w:val="0"/>
          <w:sz w:val="24"/>
          <w:szCs w:val="20"/>
        </w:rPr>
      </w:pPr>
      <w:r>
        <w:rPr>
          <w:rFonts w:hint="eastAsia" w:ascii="宋体" w:hAnsi="宋体" w:eastAsia="宋体" w:cs="Times New Roman"/>
          <w:b/>
          <w:bCs/>
          <w:kern w:val="0"/>
          <w:sz w:val="24"/>
          <w:szCs w:val="20"/>
          <w:lang w:val="en-US" w:eastAsia="zh-CN"/>
        </w:rPr>
        <w:t>备注：</w:t>
      </w:r>
      <w:r>
        <w:rPr>
          <w:rFonts w:hint="eastAsia" w:ascii="宋体" w:hAnsi="宋体" w:eastAsia="宋体" w:cs="Times New Roman"/>
          <w:b/>
          <w:bCs/>
          <w:color w:val="FF0000"/>
          <w:kern w:val="0"/>
          <w:sz w:val="24"/>
          <w:szCs w:val="20"/>
          <w:lang w:val="en-US" w:eastAsia="zh-CN"/>
        </w:rPr>
        <w:t>如联合体投标，投标人一栏需填写联合体所有成员名称。</w:t>
      </w:r>
      <w:r>
        <w:rPr>
          <w:rFonts w:hint="eastAsia" w:ascii="宋体" w:hAnsi="宋体" w:eastAsia="宋体" w:cs="Times New Roman"/>
          <w:b/>
          <w:bCs/>
          <w:kern w:val="0"/>
          <w:sz w:val="24"/>
          <w:szCs w:val="20"/>
        </w:rPr>
        <w:br w:type="page"/>
      </w:r>
    </w:p>
    <w:p w14:paraId="08B2C9E4">
      <w:pPr>
        <w:pStyle w:val="5"/>
        <w:pageBreakBefore w:val="0"/>
        <w:kinsoku/>
        <w:overflowPunct/>
        <w:topLinePunct w:val="0"/>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3.投标人情况及资格证明文件</w:t>
      </w:r>
    </w:p>
    <w:p w14:paraId="155E657B">
      <w:pPr>
        <w:spacing w:before="120" w:beforeLines="50"/>
        <w:jc w:val="center"/>
        <w:rPr>
          <w:rFonts w:hint="eastAsia"/>
          <w:b/>
          <w:bCs/>
          <w:color w:val="FF0000"/>
        </w:rPr>
      </w:pPr>
      <w:r>
        <w:rPr>
          <w:rFonts w:hint="eastAsia" w:ascii="黑体" w:hAnsi="宋体" w:eastAsia="黑体"/>
          <w:bCs/>
          <w:kern w:val="0"/>
          <w:sz w:val="24"/>
          <w:szCs w:val="32"/>
          <w:lang w:eastAsia="zh-CN"/>
        </w:rPr>
        <w:t>（</w:t>
      </w:r>
      <w:r>
        <w:rPr>
          <w:rFonts w:hint="eastAsia" w:ascii="黑体" w:hAnsi="宋体" w:eastAsia="黑体"/>
          <w:bCs/>
          <w:kern w:val="0"/>
          <w:sz w:val="24"/>
          <w:szCs w:val="32"/>
          <w:lang w:val="en-US" w:eastAsia="zh-CN"/>
        </w:rPr>
        <w:t>1</w:t>
      </w:r>
      <w:r>
        <w:rPr>
          <w:rFonts w:hint="eastAsia" w:ascii="黑体" w:hAnsi="宋体" w:eastAsia="黑体"/>
          <w:bCs/>
          <w:kern w:val="0"/>
          <w:sz w:val="24"/>
          <w:szCs w:val="32"/>
          <w:lang w:eastAsia="zh-CN"/>
        </w:rPr>
        <w:t>）</w:t>
      </w:r>
      <w:r>
        <w:rPr>
          <w:rFonts w:hint="eastAsia" w:ascii="黑体" w:hAnsi="宋体" w:eastAsia="黑体"/>
          <w:bCs/>
          <w:kern w:val="0"/>
          <w:sz w:val="24"/>
          <w:szCs w:val="32"/>
        </w:rPr>
        <w:t>投标人资格证明文件</w:t>
      </w:r>
    </w:p>
    <w:p w14:paraId="413EF822">
      <w:pPr>
        <w:spacing w:before="120" w:beforeLines="50"/>
        <w:jc w:val="center"/>
        <w:rPr>
          <w:rFonts w:hint="eastAsia"/>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投标及履约承诺函》且已在“2.投标及履约承诺函”章节中提供了，此处可不重复提供。）</w:t>
      </w:r>
    </w:p>
    <w:p w14:paraId="340517A5">
      <w:pPr>
        <w:spacing w:before="120" w:beforeLines="50"/>
        <w:jc w:val="center"/>
        <w:rPr>
          <w:rFonts w:hint="eastAsia"/>
          <w:b/>
          <w:bCs/>
          <w:color w:val="FF0000"/>
        </w:rPr>
      </w:pPr>
    </w:p>
    <w:p w14:paraId="268560A3">
      <w:pPr>
        <w:pStyle w:val="10"/>
        <w:jc w:val="center"/>
        <w:rPr>
          <w:rFonts w:hint="eastAsia" w:ascii="黑体" w:hAnsi="宋体" w:eastAsia="黑体" w:cstheme="minorBidi"/>
          <w:b w:val="0"/>
          <w:bCs/>
          <w:kern w:val="0"/>
          <w:sz w:val="24"/>
          <w:szCs w:val="32"/>
          <w:lang w:val="en-US" w:eastAsia="zh-CN" w:bidi="ar-SA"/>
        </w:rPr>
      </w:pPr>
      <w:r>
        <w:rPr>
          <w:rFonts w:hint="eastAsia" w:ascii="黑体" w:hAnsi="宋体" w:eastAsia="黑体" w:cstheme="minorBidi"/>
          <w:b w:val="0"/>
          <w:bCs/>
          <w:kern w:val="0"/>
          <w:sz w:val="24"/>
          <w:szCs w:val="32"/>
          <w:lang w:val="en-US" w:eastAsia="zh-CN" w:bidi="ar-SA"/>
        </w:rPr>
        <w:t>1、</w:t>
      </w:r>
      <w:r>
        <w:rPr>
          <w:rFonts w:hint="default" w:ascii="黑体" w:hAnsi="宋体" w:eastAsia="黑体" w:cstheme="minorBidi"/>
          <w:b w:val="0"/>
          <w:bCs/>
          <w:kern w:val="0"/>
          <w:sz w:val="24"/>
          <w:szCs w:val="32"/>
          <w:lang w:val="en-US" w:eastAsia="zh-CN" w:bidi="ar-SA"/>
        </w:rPr>
        <w:t>联合体共同投标协议书</w:t>
      </w:r>
    </w:p>
    <w:p w14:paraId="61D9E3F8">
      <w:pPr>
        <w:numPr>
          <w:ilvl w:val="0"/>
          <w:numId w:val="0"/>
        </w:numPr>
        <w:spacing w:line="540" w:lineRule="exact"/>
        <w:jc w:val="both"/>
        <w:rPr>
          <w:rFonts w:hint="default" w:ascii="仿宋_GB2312" w:hAnsi="仿宋_GB2312" w:eastAsia="仿宋_GB2312" w:cs="仿宋_GB2312"/>
          <w:b/>
          <w:bCs/>
          <w:color w:val="FF0000"/>
          <w:sz w:val="24"/>
          <w:szCs w:val="24"/>
          <w:lang w:val="en-US" w:eastAsia="zh-CN"/>
        </w:rPr>
      </w:pPr>
      <w:r>
        <w:rPr>
          <w:rFonts w:hint="default" w:ascii="仿宋_GB2312" w:hAnsi="仿宋_GB2312" w:eastAsia="仿宋_GB2312" w:cs="仿宋_GB2312"/>
          <w:b/>
          <w:bCs/>
          <w:color w:val="FF0000"/>
          <w:sz w:val="24"/>
          <w:szCs w:val="24"/>
          <w:lang w:val="en-US" w:eastAsia="zh-CN"/>
        </w:rPr>
        <w:t>如联合体投标，投标人必须提供《联合体共同投标协议》。</w:t>
      </w:r>
    </w:p>
    <w:p w14:paraId="6469DA15">
      <w:pPr>
        <w:numPr>
          <w:ilvl w:val="0"/>
          <w:numId w:val="0"/>
        </w:numPr>
        <w:spacing w:line="540" w:lineRule="exact"/>
        <w:jc w:val="both"/>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提醒：《联合体共同投标协议》为联合体投标的情况下填写，协议格式自定，但协议必须明确联合体牵头单位（主体方），并约定联合体单位成员各方承担的工作范围、相应的责任以及有无承担相同的工作内容，联合体单位成员不得再以自己的名义单独或组成新的联合体参加投标，联合体各方须共同与采购人签订采购合同，就采购合同约定的事项对采购人承担连带责任。</w:t>
      </w:r>
    </w:p>
    <w:p w14:paraId="2A562748">
      <w:pPr>
        <w:numPr>
          <w:ilvl w:val="0"/>
          <w:numId w:val="0"/>
        </w:numPr>
        <w:spacing w:line="540" w:lineRule="exact"/>
        <w:jc w:val="both"/>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投标人须提供联合体所有成员加盖公章的《联合体共同投标协议》扫描件，以证明该协议的有效性及联合体所有成员对投标文件的认可。</w:t>
      </w:r>
    </w:p>
    <w:p w14:paraId="758B9500">
      <w:pPr>
        <w:numPr>
          <w:ilvl w:val="0"/>
          <w:numId w:val="0"/>
        </w:numPr>
        <w:spacing w:line="540" w:lineRule="exact"/>
        <w:jc w:val="center"/>
        <w:rPr>
          <w:rFonts w:hint="default" w:ascii="仿宋_GB2312" w:hAnsi="仿宋_GB2312" w:eastAsia="仿宋_GB2312" w:cs="仿宋_GB2312"/>
          <w:b/>
          <w:bCs/>
          <w:sz w:val="24"/>
          <w:szCs w:val="24"/>
          <w:lang w:val="en-US" w:eastAsia="zh-CN"/>
        </w:rPr>
      </w:pPr>
    </w:p>
    <w:p w14:paraId="68FF37C7">
      <w:pPr>
        <w:numPr>
          <w:ilvl w:val="0"/>
          <w:numId w:val="0"/>
        </w:numPr>
        <w:spacing w:line="540" w:lineRule="exact"/>
        <w:jc w:val="center"/>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联合体共同投标协议书（参考范本）</w:t>
      </w:r>
    </w:p>
    <w:p w14:paraId="25114DFD">
      <w:pPr>
        <w:numPr>
          <w:ilvl w:val="0"/>
          <w:numId w:val="0"/>
        </w:numPr>
        <w:spacing w:line="540" w:lineRule="exact"/>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 xml:space="preserve">  </w:t>
      </w:r>
      <w:r>
        <w:rPr>
          <w:rFonts w:hint="default" w:ascii="仿宋_GB2312" w:hAnsi="仿宋_GB2312" w:eastAsia="仿宋_GB2312" w:cs="仿宋_GB2312"/>
          <w:b w:val="0"/>
          <w:bCs w:val="0"/>
          <w:sz w:val="24"/>
          <w:szCs w:val="24"/>
          <w:u w:val="single"/>
          <w:lang w:val="en-US" w:eastAsia="zh-CN"/>
        </w:rPr>
        <w:t xml:space="preserve"> （主体方名称）     与    （参加方名称）    就招标编号为</w:t>
      </w:r>
      <w:r>
        <w:rPr>
          <w:rFonts w:hint="eastAsia" w:ascii="宋体" w:hAnsi="宋体" w:eastAsia="宋体" w:cs="宋体"/>
          <w:b/>
          <w:bCs/>
          <w:sz w:val="24"/>
          <w:szCs w:val="24"/>
          <w:highlight w:val="none"/>
          <w:u w:val="single"/>
        </w:rPr>
        <w:t>LHZXCG-2025-00006</w:t>
      </w:r>
      <w:r>
        <w:rPr>
          <w:rFonts w:hint="default" w:ascii="仿宋_GB2312" w:hAnsi="仿宋_GB2312" w:eastAsia="仿宋_GB2312" w:cs="仿宋_GB2312"/>
          <w:b w:val="0"/>
          <w:bCs w:val="0"/>
          <w:sz w:val="24"/>
          <w:szCs w:val="24"/>
          <w:u w:val="single"/>
          <w:lang w:val="en-US" w:eastAsia="zh-CN"/>
        </w:rPr>
        <w:t xml:space="preserve">     的</w:t>
      </w:r>
      <w:r>
        <w:rPr>
          <w:rFonts w:hint="default" w:ascii="仿宋_GB2312" w:hAnsi="仿宋_GB2312" w:eastAsia="仿宋_GB2312" w:cs="仿宋_GB2312"/>
          <w:b/>
          <w:bCs/>
          <w:sz w:val="24"/>
          <w:szCs w:val="24"/>
          <w:u w:val="single"/>
          <w:lang w:val="en-US" w:eastAsia="zh-CN"/>
        </w:rPr>
        <w:t>深圳市罗湖区洪湖公园儿童活动区动力设施建设运营项目</w:t>
      </w:r>
      <w:r>
        <w:rPr>
          <w:rFonts w:hint="default" w:ascii="仿宋_GB2312" w:hAnsi="仿宋_GB2312" w:eastAsia="仿宋_GB2312" w:cs="仿宋_GB2312"/>
          <w:b w:val="0"/>
          <w:bCs w:val="0"/>
          <w:sz w:val="24"/>
          <w:szCs w:val="24"/>
          <w:lang w:val="en-US" w:eastAsia="zh-CN"/>
        </w:rPr>
        <w:t>招标项目投标有关事宜，经各方充分协商一致，达成如下协议：</w:t>
      </w:r>
    </w:p>
    <w:p w14:paraId="020192E8">
      <w:pPr>
        <w:numPr>
          <w:ilvl w:val="0"/>
          <w:numId w:val="0"/>
        </w:numPr>
        <w:spacing w:line="540" w:lineRule="exact"/>
        <w:ind w:firstLine="480" w:firstLineChars="200"/>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一、由</w:t>
      </w:r>
      <w:r>
        <w:rPr>
          <w:rFonts w:hint="default" w:ascii="仿宋_GB2312" w:hAnsi="仿宋_GB2312" w:eastAsia="仿宋_GB2312" w:cs="仿宋_GB2312"/>
          <w:b w:val="0"/>
          <w:bCs w:val="0"/>
          <w:sz w:val="24"/>
          <w:szCs w:val="24"/>
          <w:u w:val="single"/>
          <w:lang w:val="en-US" w:eastAsia="zh-CN"/>
        </w:rPr>
        <w:t xml:space="preserve">    （主体方名称）        </w:t>
      </w:r>
      <w:r>
        <w:rPr>
          <w:rFonts w:hint="default" w:ascii="仿宋_GB2312" w:hAnsi="仿宋_GB2312" w:eastAsia="仿宋_GB2312" w:cs="仿宋_GB2312"/>
          <w:b w:val="0"/>
          <w:bCs w:val="0"/>
          <w:sz w:val="24"/>
          <w:szCs w:val="24"/>
          <w:lang w:val="en-US" w:eastAsia="zh-CN"/>
        </w:rPr>
        <w:t>牵头，</w:t>
      </w:r>
      <w:r>
        <w:rPr>
          <w:rFonts w:hint="default" w:ascii="仿宋_GB2312" w:hAnsi="仿宋_GB2312" w:eastAsia="仿宋_GB2312" w:cs="仿宋_GB2312"/>
          <w:b w:val="0"/>
          <w:bCs w:val="0"/>
          <w:sz w:val="24"/>
          <w:szCs w:val="24"/>
          <w:u w:val="single"/>
          <w:lang w:val="en-US" w:eastAsia="zh-CN"/>
        </w:rPr>
        <w:t>___（参加方名称）____</w:t>
      </w:r>
      <w:r>
        <w:rPr>
          <w:rFonts w:hint="default" w:ascii="仿宋_GB2312" w:hAnsi="仿宋_GB2312" w:eastAsia="仿宋_GB2312" w:cs="仿宋_GB2312"/>
          <w:b w:val="0"/>
          <w:bCs w:val="0"/>
          <w:sz w:val="24"/>
          <w:szCs w:val="24"/>
          <w:lang w:val="en-US" w:eastAsia="zh-CN"/>
        </w:rPr>
        <w:t>参加，组成联合体共同进行本招标项目的投标工作。</w:t>
      </w:r>
    </w:p>
    <w:p w14:paraId="5F4C2C48">
      <w:pPr>
        <w:numPr>
          <w:ilvl w:val="0"/>
          <w:numId w:val="0"/>
        </w:numPr>
        <w:spacing w:line="540" w:lineRule="exact"/>
        <w:ind w:firstLine="480" w:firstLineChars="200"/>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二、</w:t>
      </w:r>
      <w:r>
        <w:rPr>
          <w:rFonts w:hint="default" w:ascii="仿宋_GB2312" w:hAnsi="仿宋_GB2312" w:eastAsia="仿宋_GB2312" w:cs="仿宋_GB2312"/>
          <w:b w:val="0"/>
          <w:bCs w:val="0"/>
          <w:sz w:val="24"/>
          <w:szCs w:val="24"/>
          <w:u w:val="single"/>
          <w:lang w:val="en-US" w:eastAsia="zh-CN"/>
        </w:rPr>
        <w:t>____（主体方名称）_____</w:t>
      </w:r>
      <w:r>
        <w:rPr>
          <w:rFonts w:hint="default" w:ascii="仿宋_GB2312" w:hAnsi="仿宋_GB2312" w:eastAsia="仿宋_GB2312" w:cs="仿宋_GB2312"/>
          <w:b w:val="0"/>
          <w:bCs w:val="0"/>
          <w:sz w:val="24"/>
          <w:szCs w:val="24"/>
          <w:lang w:val="en-US" w:eastAsia="zh-CN"/>
        </w:rPr>
        <w:t>为本次投标的主体单位，联合体以主体方的名义参加投标，由牵头单位（主体方）法定代表人授权代理人办理投标相关事宜；联合体中标后，联合体各方共同与采购人签订合同，就本中标项目对采购人承担连带责任。</w:t>
      </w:r>
    </w:p>
    <w:p w14:paraId="573BCE85">
      <w:pPr>
        <w:numPr>
          <w:ilvl w:val="0"/>
          <w:numId w:val="0"/>
        </w:numPr>
        <w:spacing w:line="540" w:lineRule="exact"/>
        <w:ind w:firstLine="480" w:firstLineChars="200"/>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三、主体方</w:t>
      </w:r>
      <w:r>
        <w:rPr>
          <w:rFonts w:hint="default" w:ascii="仿宋_GB2312" w:hAnsi="仿宋_GB2312" w:eastAsia="仿宋_GB2312" w:cs="仿宋_GB2312"/>
          <w:b w:val="0"/>
          <w:bCs w:val="0"/>
          <w:sz w:val="24"/>
          <w:szCs w:val="24"/>
          <w:u w:val="single"/>
          <w:lang w:val="en-US" w:eastAsia="zh-CN"/>
        </w:rPr>
        <w:t>___（主体方名称）______</w:t>
      </w:r>
      <w:r>
        <w:rPr>
          <w:rFonts w:hint="default" w:ascii="仿宋_GB2312" w:hAnsi="仿宋_GB2312" w:eastAsia="仿宋_GB2312" w:cs="仿宋_GB2312"/>
          <w:b w:val="0"/>
          <w:bCs w:val="0"/>
          <w:sz w:val="24"/>
          <w:szCs w:val="24"/>
          <w:lang w:val="en-US" w:eastAsia="zh-CN"/>
        </w:rPr>
        <w:t>，具有</w:t>
      </w:r>
      <w:r>
        <w:rPr>
          <w:rFonts w:hint="default" w:ascii="仿宋_GB2312" w:hAnsi="仿宋_GB2312" w:eastAsia="仿宋_GB2312" w:cs="仿宋_GB2312"/>
          <w:b w:val="0"/>
          <w:bCs w:val="0"/>
          <w:sz w:val="24"/>
          <w:szCs w:val="24"/>
          <w:u w:val="single"/>
          <w:lang w:val="en-US" w:eastAsia="zh-CN"/>
        </w:rPr>
        <w:t>______________资质，负责__________________等工作；参加方____（参加方名称）_____，具有_______________资质，负责________________________</w:t>
      </w:r>
      <w:r>
        <w:rPr>
          <w:rFonts w:hint="default" w:ascii="仿宋_GB2312" w:hAnsi="仿宋_GB2312" w:eastAsia="仿宋_GB2312" w:cs="仿宋_GB2312"/>
          <w:b w:val="0"/>
          <w:bCs w:val="0"/>
          <w:sz w:val="24"/>
          <w:szCs w:val="24"/>
          <w:lang w:val="en-US" w:eastAsia="zh-CN"/>
        </w:rPr>
        <w:t>工作。具体工作范围、内容以合同为准。</w:t>
      </w:r>
    </w:p>
    <w:p w14:paraId="47A0602E">
      <w:pPr>
        <w:numPr>
          <w:ilvl w:val="0"/>
          <w:numId w:val="0"/>
        </w:numPr>
        <w:spacing w:line="540" w:lineRule="exact"/>
        <w:ind w:firstLine="480" w:firstLineChars="200"/>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四、联合体各方的责任、权利、义务，在中标后经各方协商后报招标方同意另行签订协议或合同。联合体的一方没有履行自己的义务时，应承担另一方由此而造成的直接损失。</w:t>
      </w:r>
    </w:p>
    <w:p w14:paraId="75AEEB7B">
      <w:pPr>
        <w:numPr>
          <w:ilvl w:val="0"/>
          <w:numId w:val="0"/>
        </w:numPr>
        <w:spacing w:line="540" w:lineRule="exact"/>
        <w:ind w:firstLine="480" w:firstLineChars="200"/>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五、联合体各方不得再以自己名义在本项目中单独投标。联合投标的项目责任人不能作为其它联合体或单独投标单位的项目组成员。因发生上述问题导致联合体投标成为投标无效，联合体的其他成员可追究违约行为。</w:t>
      </w:r>
    </w:p>
    <w:p w14:paraId="2883256B">
      <w:pPr>
        <w:numPr>
          <w:ilvl w:val="0"/>
          <w:numId w:val="0"/>
        </w:numPr>
        <w:spacing w:line="540" w:lineRule="exact"/>
        <w:rPr>
          <w:rFonts w:hint="default" w:ascii="仿宋_GB2312" w:hAnsi="仿宋_GB2312" w:eastAsia="仿宋_GB2312" w:cs="仿宋_GB2312"/>
          <w:b w:val="0"/>
          <w:bCs w:val="0"/>
          <w:sz w:val="24"/>
          <w:szCs w:val="24"/>
          <w:lang w:val="en-US" w:eastAsia="zh-CN"/>
        </w:rPr>
      </w:pPr>
    </w:p>
    <w:p w14:paraId="6D303323">
      <w:pPr>
        <w:numPr>
          <w:ilvl w:val="0"/>
          <w:numId w:val="0"/>
        </w:numPr>
        <w:spacing w:line="540" w:lineRule="exact"/>
        <w:rPr>
          <w:rFonts w:hint="default" w:ascii="仿宋_GB2312" w:hAnsi="仿宋_GB2312" w:eastAsia="仿宋_GB2312" w:cs="仿宋_GB2312"/>
          <w:b w:val="0"/>
          <w:bCs w:val="0"/>
          <w:sz w:val="24"/>
          <w:szCs w:val="24"/>
          <w:lang w:val="en-US" w:eastAsia="zh-CN"/>
        </w:rPr>
      </w:pPr>
    </w:p>
    <w:p w14:paraId="158FF61C">
      <w:pPr>
        <w:numPr>
          <w:ilvl w:val="0"/>
          <w:numId w:val="0"/>
        </w:numPr>
        <w:spacing w:line="540" w:lineRule="exact"/>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主体方（公章）：</w:t>
      </w:r>
      <w:r>
        <w:rPr>
          <w:rFonts w:hint="default" w:ascii="仿宋_GB2312" w:hAnsi="仿宋_GB2312" w:eastAsia="仿宋_GB2312" w:cs="仿宋_GB2312"/>
          <w:b w:val="0"/>
          <w:bCs w:val="0"/>
          <w:sz w:val="24"/>
          <w:szCs w:val="24"/>
          <w:u w:val="single"/>
          <w:lang w:val="en-US" w:eastAsia="zh-CN"/>
        </w:rPr>
        <w:t xml:space="preserve">___      _______　 </w:t>
      </w:r>
      <w:r>
        <w:rPr>
          <w:rFonts w:hint="default" w:ascii="仿宋_GB2312" w:hAnsi="仿宋_GB2312" w:eastAsia="仿宋_GB2312" w:cs="仿宋_GB2312"/>
          <w:b w:val="0"/>
          <w:bCs w:val="0"/>
          <w:sz w:val="24"/>
          <w:szCs w:val="24"/>
          <w:lang w:val="en-US" w:eastAsia="zh-CN"/>
        </w:rPr>
        <w:t xml:space="preserve">               </w:t>
      </w:r>
    </w:p>
    <w:p w14:paraId="7C289C46">
      <w:pPr>
        <w:numPr>
          <w:ilvl w:val="0"/>
          <w:numId w:val="0"/>
        </w:numPr>
        <w:spacing w:line="540" w:lineRule="exact"/>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法定代表人</w:t>
      </w:r>
      <w:r>
        <w:rPr>
          <w:rFonts w:hint="default" w:ascii="仿宋_GB2312" w:hAnsi="仿宋_GB2312" w:eastAsia="仿宋_GB2312" w:cs="仿宋_GB2312"/>
          <w:b w:val="0"/>
          <w:bCs w:val="0"/>
          <w:sz w:val="24"/>
          <w:szCs w:val="24"/>
          <w:u w:val="single"/>
          <w:lang w:val="en-US" w:eastAsia="zh-CN"/>
        </w:rPr>
        <w:t>：_____      ____</w:t>
      </w:r>
      <w:r>
        <w:rPr>
          <w:rFonts w:hint="default" w:ascii="仿宋_GB2312" w:hAnsi="仿宋_GB2312" w:eastAsia="仿宋_GB2312" w:cs="仿宋_GB2312"/>
          <w:b w:val="0"/>
          <w:bCs w:val="0"/>
          <w:sz w:val="24"/>
          <w:szCs w:val="24"/>
          <w:lang w:val="en-US" w:eastAsia="zh-CN"/>
        </w:rPr>
        <w:t xml:space="preserve">            　　</w:t>
      </w:r>
    </w:p>
    <w:p w14:paraId="0BC363AC">
      <w:pPr>
        <w:numPr>
          <w:ilvl w:val="0"/>
          <w:numId w:val="0"/>
        </w:numPr>
        <w:spacing w:line="540" w:lineRule="exact"/>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u w:val="single"/>
          <w:lang w:val="en-US" w:eastAsia="zh-CN"/>
        </w:rPr>
        <w:t>_____年___月___日　</w:t>
      </w:r>
      <w:r>
        <w:rPr>
          <w:rFonts w:hint="default" w:ascii="仿宋_GB2312" w:hAnsi="仿宋_GB2312" w:eastAsia="仿宋_GB2312" w:cs="仿宋_GB2312"/>
          <w:b w:val="0"/>
          <w:bCs w:val="0"/>
          <w:sz w:val="24"/>
          <w:szCs w:val="24"/>
          <w:lang w:val="en-US" w:eastAsia="zh-CN"/>
        </w:rPr>
        <w:t>　                 　</w:t>
      </w:r>
    </w:p>
    <w:p w14:paraId="33BE5925">
      <w:pPr>
        <w:numPr>
          <w:ilvl w:val="0"/>
          <w:numId w:val="0"/>
        </w:numPr>
        <w:spacing w:line="540" w:lineRule="exact"/>
        <w:rPr>
          <w:rFonts w:hint="default" w:ascii="仿宋_GB2312" w:hAnsi="仿宋_GB2312" w:eastAsia="仿宋_GB2312" w:cs="仿宋_GB2312"/>
          <w:b w:val="0"/>
          <w:bCs w:val="0"/>
          <w:sz w:val="24"/>
          <w:szCs w:val="24"/>
          <w:lang w:val="en-US" w:eastAsia="zh-CN"/>
        </w:rPr>
      </w:pPr>
    </w:p>
    <w:p w14:paraId="22F1915D">
      <w:pPr>
        <w:numPr>
          <w:ilvl w:val="0"/>
          <w:numId w:val="0"/>
        </w:numPr>
        <w:spacing w:line="540" w:lineRule="exact"/>
        <w:rPr>
          <w:rFonts w:hint="default" w:ascii="仿宋_GB2312" w:hAnsi="仿宋_GB2312" w:eastAsia="仿宋_GB2312" w:cs="仿宋_GB2312"/>
          <w:b w:val="0"/>
          <w:bCs w:val="0"/>
          <w:sz w:val="24"/>
          <w:szCs w:val="24"/>
          <w:u w:val="single"/>
          <w:lang w:val="en-US" w:eastAsia="zh-CN"/>
        </w:rPr>
      </w:pPr>
      <w:r>
        <w:rPr>
          <w:rFonts w:hint="default" w:ascii="仿宋_GB2312" w:hAnsi="仿宋_GB2312" w:eastAsia="仿宋_GB2312" w:cs="仿宋_GB2312"/>
          <w:b w:val="0"/>
          <w:bCs w:val="0"/>
          <w:sz w:val="24"/>
          <w:szCs w:val="24"/>
          <w:lang w:val="en-US" w:eastAsia="zh-CN"/>
        </w:rPr>
        <w:t>参加方（公章）：</w:t>
      </w:r>
      <w:r>
        <w:rPr>
          <w:rFonts w:hint="default" w:ascii="仿宋_GB2312" w:hAnsi="仿宋_GB2312" w:eastAsia="仿宋_GB2312" w:cs="仿宋_GB2312"/>
          <w:b w:val="0"/>
          <w:bCs w:val="0"/>
          <w:sz w:val="24"/>
          <w:szCs w:val="24"/>
          <w:u w:val="single"/>
          <w:lang w:val="en-US" w:eastAsia="zh-CN"/>
        </w:rPr>
        <w:t>___      _______</w:t>
      </w:r>
    </w:p>
    <w:p w14:paraId="4284BC75">
      <w:pPr>
        <w:numPr>
          <w:ilvl w:val="0"/>
          <w:numId w:val="0"/>
        </w:numPr>
        <w:spacing w:line="540" w:lineRule="exact"/>
        <w:rPr>
          <w:rFonts w:hint="default" w:ascii="仿宋_GB2312" w:hAnsi="仿宋_GB2312" w:eastAsia="仿宋_GB2312" w:cs="仿宋_GB2312"/>
          <w:b w:val="0"/>
          <w:bCs w:val="0"/>
          <w:sz w:val="24"/>
          <w:szCs w:val="24"/>
          <w:u w:val="single"/>
          <w:lang w:val="en-US" w:eastAsia="zh-CN"/>
        </w:rPr>
      </w:pPr>
      <w:r>
        <w:rPr>
          <w:rFonts w:hint="default" w:ascii="仿宋_GB2312" w:hAnsi="仿宋_GB2312" w:eastAsia="仿宋_GB2312" w:cs="仿宋_GB2312"/>
          <w:b w:val="0"/>
          <w:bCs w:val="0"/>
          <w:sz w:val="24"/>
          <w:szCs w:val="24"/>
          <w:lang w:val="en-US" w:eastAsia="zh-CN"/>
        </w:rPr>
        <w:t>法定代表人：</w:t>
      </w:r>
      <w:r>
        <w:rPr>
          <w:rFonts w:hint="default" w:ascii="仿宋_GB2312" w:hAnsi="仿宋_GB2312" w:eastAsia="仿宋_GB2312" w:cs="仿宋_GB2312"/>
          <w:b w:val="0"/>
          <w:bCs w:val="0"/>
          <w:sz w:val="24"/>
          <w:szCs w:val="24"/>
          <w:u w:val="single"/>
          <w:lang w:val="en-US" w:eastAsia="zh-CN"/>
        </w:rPr>
        <w:t>___      _______</w:t>
      </w:r>
    </w:p>
    <w:p w14:paraId="1E8663F1">
      <w:pPr>
        <w:numPr>
          <w:ilvl w:val="0"/>
          <w:numId w:val="0"/>
        </w:numPr>
        <w:spacing w:line="540" w:lineRule="exact"/>
        <w:rPr>
          <w:rFonts w:hint="default" w:ascii="仿宋_GB2312" w:hAnsi="仿宋_GB2312" w:eastAsia="仿宋_GB2312" w:cs="仿宋_GB2312"/>
          <w:b w:val="0"/>
          <w:bCs w:val="0"/>
          <w:sz w:val="24"/>
          <w:szCs w:val="24"/>
          <w:u w:val="single"/>
          <w:lang w:val="en-US" w:eastAsia="zh-CN"/>
        </w:rPr>
      </w:pPr>
      <w:r>
        <w:rPr>
          <w:rFonts w:hint="default" w:ascii="仿宋_GB2312" w:hAnsi="仿宋_GB2312" w:eastAsia="仿宋_GB2312" w:cs="仿宋_GB2312"/>
          <w:b w:val="0"/>
          <w:bCs w:val="0"/>
          <w:sz w:val="24"/>
          <w:szCs w:val="24"/>
          <w:u w:val="single"/>
          <w:lang w:val="en-US" w:eastAsia="zh-CN"/>
        </w:rPr>
        <w:t>______年___月___日</w:t>
      </w:r>
    </w:p>
    <w:p w14:paraId="7B11E927">
      <w:pPr>
        <w:pStyle w:val="11"/>
        <w:rPr>
          <w:rFonts w:hint="eastAsia"/>
          <w:sz w:val="15"/>
          <w:szCs w:val="15"/>
          <w:lang w:eastAsia="zh-CN"/>
        </w:rPr>
      </w:pPr>
    </w:p>
    <w:p w14:paraId="07084447">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2693E1C6">
      <w:pPr>
        <w:pStyle w:val="5"/>
        <w:pageBreakBefore w:val="0"/>
        <w:kinsoku/>
        <w:overflowPunct/>
        <w:topLinePunct w:val="0"/>
        <w:bidi w:val="0"/>
        <w:spacing w:line="240" w:lineRule="auto"/>
        <w:jc w:val="center"/>
        <w:rPr>
          <w:rFonts w:hint="eastAsia" w:ascii="仿宋_GB2312" w:hAnsi="仿宋_GB2312" w:eastAsia="仿宋_GB2312" w:cs="仿宋_GB2312"/>
          <w:snapToGrid w:val="0"/>
          <w:kern w:val="0"/>
          <w:sz w:val="28"/>
          <w:szCs w:val="28"/>
        </w:rPr>
      </w:pPr>
      <w:r>
        <w:rPr>
          <w:rFonts w:hint="eastAsia" w:ascii="宋体" w:hAnsi="宋体" w:eastAsia="宋体" w:cs="宋体"/>
          <w:sz w:val="24"/>
          <w:szCs w:val="24"/>
          <w:highlight w:val="none"/>
          <w:lang w:val="en-US" w:eastAsia="zh-CN"/>
        </w:rPr>
        <w:t>4.项目报价表</w:t>
      </w:r>
      <w:r>
        <w:rPr>
          <w:rFonts w:hint="eastAsia" w:ascii="仿宋_GB2312" w:hAnsi="仿宋_GB2312" w:eastAsia="仿宋_GB2312" w:cs="仿宋_GB2312"/>
          <w:snapToGrid w:val="0"/>
          <w:kern w:val="0"/>
          <w:sz w:val="28"/>
          <w:szCs w:val="28"/>
        </w:rPr>
        <w:t xml:space="preserve">                         　　　　　　　　　　　　　</w:t>
      </w:r>
    </w:p>
    <w:tbl>
      <w:tblPr>
        <w:tblStyle w:val="23"/>
        <w:tblW w:w="8921"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1"/>
        <w:gridCol w:w="3308"/>
        <w:gridCol w:w="1722"/>
      </w:tblGrid>
      <w:tr w14:paraId="49FA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3891" w:type="dxa"/>
            <w:noWrap w:val="0"/>
            <w:vAlign w:val="center"/>
          </w:tcPr>
          <w:p w14:paraId="571F1DD6">
            <w:pPr>
              <w:pStyle w:val="13"/>
              <w:spacing w:line="560" w:lineRule="exact"/>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项目名称</w:t>
            </w:r>
          </w:p>
        </w:tc>
        <w:tc>
          <w:tcPr>
            <w:tcW w:w="3308" w:type="dxa"/>
            <w:noWrap w:val="0"/>
            <w:vAlign w:val="center"/>
          </w:tcPr>
          <w:p w14:paraId="7DA7B657">
            <w:pPr>
              <w:pStyle w:val="13"/>
              <w:spacing w:line="560" w:lineRule="exact"/>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b/>
                <w:bCs/>
                <w:snapToGrid w:val="0"/>
                <w:kern w:val="0"/>
                <w:sz w:val="28"/>
                <w:szCs w:val="28"/>
              </w:rPr>
              <w:t>分成系数</w:t>
            </w:r>
          </w:p>
        </w:tc>
        <w:tc>
          <w:tcPr>
            <w:tcW w:w="1722" w:type="dxa"/>
            <w:noWrap w:val="0"/>
            <w:vAlign w:val="center"/>
          </w:tcPr>
          <w:p w14:paraId="7ED22278">
            <w:pPr>
              <w:pStyle w:val="13"/>
              <w:spacing w:line="560" w:lineRule="exact"/>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备注</w:t>
            </w:r>
          </w:p>
        </w:tc>
      </w:tr>
      <w:tr w14:paraId="4248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891" w:type="dxa"/>
            <w:noWrap w:val="0"/>
            <w:vAlign w:val="center"/>
          </w:tcPr>
          <w:p w14:paraId="39BF23DD">
            <w:pPr>
              <w:autoSpaceDE w:val="0"/>
              <w:autoSpaceDN w:val="0"/>
              <w:spacing w:line="560" w:lineRule="exact"/>
              <w:jc w:val="center"/>
              <w:textAlignment w:val="bottom"/>
              <w:rPr>
                <w:rFonts w:hint="eastAsia" w:ascii="仿宋_GB2312" w:hAnsi="仿宋_GB2312" w:eastAsia="仿宋_GB2312" w:cs="仿宋_GB2312"/>
                <w:snapToGrid w:val="0"/>
                <w:kern w:val="0"/>
                <w:sz w:val="28"/>
                <w:szCs w:val="28"/>
              </w:rPr>
            </w:pPr>
            <w:bookmarkStart w:id="64" w:name="OLE_LINK31"/>
            <w:r>
              <w:rPr>
                <w:rFonts w:hint="eastAsia" w:ascii="仿宋_GB2312" w:hAnsi="仿宋_GB2312" w:eastAsia="仿宋_GB2312" w:cs="仿宋_GB2312"/>
                <w:snapToGrid w:val="0"/>
                <w:kern w:val="0"/>
                <w:sz w:val="28"/>
                <w:szCs w:val="28"/>
              </w:rPr>
              <w:t>深圳市罗湖区洪湖公园儿童活动区动力设施建设运营项目</w:t>
            </w:r>
            <w:bookmarkEnd w:id="64"/>
          </w:p>
        </w:tc>
        <w:tc>
          <w:tcPr>
            <w:tcW w:w="3308" w:type="dxa"/>
            <w:noWrap w:val="0"/>
            <w:vAlign w:val="center"/>
          </w:tcPr>
          <w:p w14:paraId="034547C9">
            <w:pPr>
              <w:pStyle w:val="13"/>
              <w:spacing w:line="560" w:lineRule="exact"/>
              <w:rPr>
                <w:rFonts w:hint="eastAsia" w:ascii="仿宋_GB2312" w:hAnsi="仿宋_GB2312" w:eastAsia="仿宋_GB2312" w:cs="仿宋_GB2312"/>
                <w:snapToGrid w:val="0"/>
                <w:kern w:val="0"/>
                <w:sz w:val="28"/>
                <w:szCs w:val="28"/>
              </w:rPr>
            </w:pPr>
          </w:p>
        </w:tc>
        <w:tc>
          <w:tcPr>
            <w:tcW w:w="1722" w:type="dxa"/>
            <w:noWrap w:val="0"/>
            <w:vAlign w:val="center"/>
          </w:tcPr>
          <w:p w14:paraId="077CEE78">
            <w:pPr>
              <w:pStyle w:val="13"/>
              <w:spacing w:line="560" w:lineRule="exact"/>
              <w:jc w:val="center"/>
              <w:rPr>
                <w:rFonts w:hint="eastAsia" w:ascii="仿宋_GB2312" w:hAnsi="仿宋_GB2312" w:eastAsia="仿宋_GB2312" w:cs="仿宋_GB2312"/>
                <w:snapToGrid w:val="0"/>
                <w:kern w:val="0"/>
                <w:sz w:val="28"/>
                <w:szCs w:val="28"/>
              </w:rPr>
            </w:pPr>
          </w:p>
        </w:tc>
      </w:tr>
    </w:tbl>
    <w:p w14:paraId="5123330D">
      <w:pPr>
        <w:spacing w:line="560" w:lineRule="exact"/>
        <w:rPr>
          <w:rFonts w:hint="eastAsia" w:ascii="仿宋_GB2312" w:hAnsi="仿宋_GB2312" w:eastAsia="仿宋_GB2312" w:cs="仿宋_GB2312"/>
          <w:snapToGrid w:val="0"/>
          <w:color w:val="FF0000"/>
          <w:kern w:val="0"/>
          <w:sz w:val="28"/>
          <w:szCs w:val="28"/>
        </w:rPr>
      </w:pPr>
      <w:r>
        <w:rPr>
          <w:rFonts w:hint="eastAsia" w:ascii="仿宋_GB2312" w:hAnsi="仿宋_GB2312" w:eastAsia="仿宋_GB2312" w:cs="仿宋_GB2312"/>
          <w:snapToGrid w:val="0"/>
          <w:color w:val="FF0000"/>
          <w:kern w:val="0"/>
          <w:sz w:val="28"/>
          <w:szCs w:val="28"/>
        </w:rPr>
        <w:t>注：</w:t>
      </w:r>
    </w:p>
    <w:p w14:paraId="75CF4499">
      <w:pPr>
        <w:pStyle w:val="13"/>
        <w:spacing w:line="560" w:lineRule="exact"/>
        <w:ind w:firstLine="560" w:firstLineChars="200"/>
        <w:rPr>
          <w:rFonts w:hint="eastAsia" w:ascii="仿宋_GB2312" w:hAnsi="仿宋_GB2312" w:eastAsia="仿宋_GB2312" w:cs="仿宋_GB2312"/>
          <w:snapToGrid w:val="0"/>
          <w:color w:val="FF0000"/>
          <w:kern w:val="0"/>
          <w:sz w:val="28"/>
          <w:szCs w:val="28"/>
        </w:rPr>
      </w:pPr>
      <w:r>
        <w:rPr>
          <w:rFonts w:hint="eastAsia" w:ascii="仿宋_GB2312" w:hAnsi="仿宋_GB2312" w:eastAsia="仿宋_GB2312" w:cs="仿宋_GB2312"/>
          <w:snapToGrid w:val="0"/>
          <w:color w:val="FF0000"/>
          <w:kern w:val="0"/>
          <w:sz w:val="28"/>
          <w:szCs w:val="28"/>
        </w:rPr>
        <w:t>1.本次招标不涉及具体投标金额（无须投标人在投标文件中填报具体投标金额），投标人只需在投标一览表</w:t>
      </w:r>
      <w:r>
        <w:rPr>
          <w:rFonts w:hint="eastAsia" w:ascii="仿宋_GB2312" w:hAnsi="仿宋_GB2312" w:eastAsia="仿宋_GB2312" w:cs="仿宋_GB2312"/>
          <w:snapToGrid w:val="0"/>
          <w:color w:val="FF0000"/>
          <w:kern w:val="0"/>
          <w:sz w:val="28"/>
          <w:szCs w:val="28"/>
          <w:lang w:val="en-US" w:eastAsia="zh-CN"/>
        </w:rPr>
        <w:t>及项目报价表</w:t>
      </w:r>
      <w:r>
        <w:rPr>
          <w:rFonts w:hint="eastAsia" w:ascii="仿宋_GB2312" w:hAnsi="仿宋_GB2312" w:eastAsia="仿宋_GB2312" w:cs="仿宋_GB2312"/>
          <w:snapToGrid w:val="0"/>
          <w:color w:val="FF0000"/>
          <w:kern w:val="0"/>
          <w:sz w:val="28"/>
          <w:szCs w:val="28"/>
        </w:rPr>
        <w:t>“分成系数”一栏里报填报唯一的“分成系数”，投标人应根据自身成本自行填报“分成系数”。</w:t>
      </w:r>
    </w:p>
    <w:p w14:paraId="10D1F546">
      <w:pPr>
        <w:pStyle w:val="13"/>
        <w:spacing w:line="560" w:lineRule="exact"/>
        <w:ind w:firstLine="560" w:firstLineChars="200"/>
        <w:rPr>
          <w:rFonts w:hint="eastAsia" w:ascii="仿宋_GB2312" w:hAnsi="仿宋_GB2312" w:eastAsia="仿宋_GB2312" w:cs="仿宋_GB2312"/>
          <w:snapToGrid w:val="0"/>
          <w:color w:val="FF0000"/>
          <w:kern w:val="0"/>
          <w:sz w:val="28"/>
          <w:szCs w:val="28"/>
        </w:rPr>
      </w:pPr>
      <w:r>
        <w:rPr>
          <w:rFonts w:hint="eastAsia" w:ascii="仿宋_GB2312" w:hAnsi="仿宋_GB2312" w:eastAsia="仿宋_GB2312" w:cs="仿宋_GB2312"/>
          <w:snapToGrid w:val="0"/>
          <w:color w:val="FF0000"/>
          <w:kern w:val="0"/>
          <w:sz w:val="28"/>
          <w:szCs w:val="28"/>
        </w:rPr>
        <w:t>2.“分成系数”填写要求</w:t>
      </w:r>
    </w:p>
    <w:p w14:paraId="6C05546E">
      <w:pPr>
        <w:pStyle w:val="13"/>
        <w:spacing w:line="560" w:lineRule="exact"/>
        <w:ind w:firstLine="560" w:firstLineChars="200"/>
        <w:rPr>
          <w:rFonts w:hint="eastAsia" w:ascii="仿宋_GB2312" w:hAnsi="仿宋_GB2312" w:eastAsia="仿宋_GB2312" w:cs="仿宋_GB2312"/>
          <w:snapToGrid w:val="0"/>
          <w:color w:val="FF0000"/>
          <w:kern w:val="0"/>
          <w:sz w:val="28"/>
          <w:szCs w:val="28"/>
          <w:lang w:val="en-US" w:eastAsia="zh-CN"/>
        </w:rPr>
      </w:pPr>
      <w:r>
        <w:rPr>
          <w:rFonts w:hint="eastAsia" w:ascii="仿宋_GB2312" w:hAnsi="仿宋_GB2312" w:eastAsia="仿宋_GB2312" w:cs="仿宋_GB2312"/>
          <w:snapToGrid w:val="0"/>
          <w:color w:val="FF0000"/>
          <w:kern w:val="0"/>
          <w:sz w:val="28"/>
          <w:szCs w:val="28"/>
          <w:lang w:val="en-US" w:eastAsia="zh-CN"/>
        </w:rPr>
        <w:t>2.1填写要求：5%≤分成系数，未按此要求填写将作投标无效处理。</w:t>
      </w:r>
    </w:p>
    <w:p w14:paraId="25D141D6">
      <w:pPr>
        <w:pStyle w:val="13"/>
        <w:spacing w:line="560" w:lineRule="exact"/>
        <w:ind w:firstLine="560" w:firstLineChars="200"/>
        <w:rPr>
          <w:rFonts w:hint="eastAsia" w:ascii="仿宋_GB2312" w:hAnsi="仿宋_GB2312" w:eastAsia="仿宋_GB2312" w:cs="仿宋_GB2312"/>
          <w:snapToGrid w:val="0"/>
          <w:color w:val="FF0000"/>
          <w:kern w:val="0"/>
          <w:sz w:val="28"/>
          <w:szCs w:val="28"/>
          <w:lang w:val="en-US" w:eastAsia="zh-CN"/>
        </w:rPr>
      </w:pPr>
      <w:r>
        <w:rPr>
          <w:rFonts w:hint="eastAsia" w:ascii="仿宋_GB2312" w:hAnsi="仿宋_GB2312" w:eastAsia="仿宋_GB2312" w:cs="仿宋_GB2312"/>
          <w:snapToGrid w:val="0"/>
          <w:color w:val="FF0000"/>
          <w:kern w:val="0"/>
          <w:sz w:val="28"/>
          <w:szCs w:val="28"/>
          <w:lang w:val="en-US" w:eastAsia="zh-CN"/>
        </w:rPr>
        <w:t>2.2填写的“分成系数”时保留两位小数，如5.23%、6.22%、7.78%；</w:t>
      </w:r>
    </w:p>
    <w:p w14:paraId="6A704D9D">
      <w:pPr>
        <w:pStyle w:val="13"/>
        <w:spacing w:line="560" w:lineRule="exact"/>
        <w:ind w:firstLine="560" w:firstLineChars="200"/>
        <w:rPr>
          <w:rFonts w:hint="eastAsia" w:ascii="仿宋_GB2312" w:hAnsi="仿宋_GB2312" w:eastAsia="仿宋_GB2312" w:cs="仿宋_GB2312"/>
          <w:snapToGrid w:val="0"/>
          <w:color w:val="FF0000"/>
          <w:kern w:val="0"/>
          <w:sz w:val="28"/>
          <w:szCs w:val="28"/>
        </w:rPr>
      </w:pPr>
      <w:r>
        <w:rPr>
          <w:rFonts w:hint="eastAsia" w:ascii="仿宋_GB2312" w:hAnsi="仿宋_GB2312" w:eastAsia="仿宋_GB2312" w:cs="仿宋_GB2312"/>
          <w:snapToGrid w:val="0"/>
          <w:color w:val="FF0000"/>
          <w:kern w:val="0"/>
          <w:sz w:val="28"/>
          <w:szCs w:val="28"/>
          <w:lang w:val="en-US" w:eastAsia="zh-CN"/>
        </w:rPr>
        <w:t>2.3投标人参与投标只允许填报一个“分成系数”，不允许填报2个（或以上）的“分成系数”；填报了2个或以上“分成系数”的，其投标将直接作投标无效处理；</w:t>
      </w:r>
      <w:r>
        <w:rPr>
          <w:rFonts w:hint="eastAsia" w:ascii="仿宋_GB2312" w:hAnsi="仿宋_GB2312" w:eastAsia="仿宋_GB2312" w:cs="仿宋_GB2312"/>
          <w:snapToGrid w:val="0"/>
          <w:color w:val="FF0000"/>
          <w:kern w:val="0"/>
          <w:sz w:val="28"/>
          <w:szCs w:val="28"/>
        </w:rPr>
        <w:t>；</w:t>
      </w:r>
    </w:p>
    <w:p w14:paraId="75D7B16B">
      <w:pPr>
        <w:pStyle w:val="13"/>
        <w:spacing w:line="560" w:lineRule="exact"/>
        <w:ind w:firstLine="560" w:firstLineChars="200"/>
        <w:rPr>
          <w:rFonts w:hint="eastAsia" w:ascii="仿宋_GB2312" w:hAnsi="仿宋_GB2312" w:eastAsia="仿宋_GB2312" w:cs="仿宋_GB2312"/>
          <w:snapToGrid w:val="0"/>
          <w:color w:val="FF0000"/>
          <w:kern w:val="0"/>
          <w:sz w:val="28"/>
          <w:szCs w:val="28"/>
        </w:rPr>
      </w:pPr>
      <w:r>
        <w:rPr>
          <w:rFonts w:hint="eastAsia" w:ascii="仿宋_GB2312" w:hAnsi="仿宋_GB2312" w:eastAsia="仿宋_GB2312" w:cs="仿宋_GB2312"/>
          <w:snapToGrid w:val="0"/>
          <w:color w:val="FF0000"/>
          <w:kern w:val="0"/>
          <w:sz w:val="28"/>
          <w:szCs w:val="28"/>
        </w:rPr>
        <w:t>2.4“分成系数”缺填、漏填将直接作</w:t>
      </w:r>
      <w:r>
        <w:rPr>
          <w:rFonts w:hint="eastAsia" w:ascii="仿宋_GB2312" w:hAnsi="仿宋_GB2312" w:eastAsia="仿宋_GB2312" w:cs="仿宋_GB2312"/>
          <w:snapToGrid w:val="0"/>
          <w:color w:val="FF0000"/>
          <w:kern w:val="0"/>
          <w:sz w:val="28"/>
          <w:szCs w:val="28"/>
          <w:lang w:val="en-US" w:eastAsia="zh-CN"/>
        </w:rPr>
        <w:t>投标无效</w:t>
      </w:r>
      <w:r>
        <w:rPr>
          <w:rFonts w:hint="eastAsia" w:ascii="仿宋_GB2312" w:hAnsi="仿宋_GB2312" w:eastAsia="仿宋_GB2312" w:cs="仿宋_GB2312"/>
          <w:snapToGrid w:val="0"/>
          <w:color w:val="FF0000"/>
          <w:kern w:val="0"/>
          <w:sz w:val="28"/>
          <w:szCs w:val="28"/>
        </w:rPr>
        <w:t>处理。</w:t>
      </w:r>
    </w:p>
    <w:p w14:paraId="7C88145E">
      <w:pPr>
        <w:ind w:firstLine="560" w:firstLineChars="200"/>
        <w:rPr>
          <w:rFonts w:hint="eastAsia" w:ascii="仿宋_GB2312" w:hAnsi="仿宋_GB2312" w:eastAsia="仿宋_GB2312" w:cs="仿宋_GB2312"/>
          <w:snapToGrid w:val="0"/>
          <w:kern w:val="0"/>
          <w:sz w:val="28"/>
          <w:szCs w:val="28"/>
          <w:lang w:val="en-US" w:eastAsia="zh-CN" w:bidi="ar-SA"/>
        </w:rPr>
      </w:pPr>
      <w:r>
        <w:rPr>
          <w:rFonts w:hint="eastAsia" w:ascii="仿宋_GB2312" w:hAnsi="仿宋_GB2312" w:eastAsia="仿宋_GB2312" w:cs="仿宋_GB2312"/>
          <w:snapToGrid w:val="0"/>
          <w:color w:val="FF0000"/>
          <w:kern w:val="0"/>
          <w:sz w:val="28"/>
          <w:szCs w:val="28"/>
          <w:lang w:val="en-US" w:eastAsia="zh-CN" w:bidi="ar-SA"/>
        </w:rPr>
        <w:t>说明：当对应分成比例系数计算超过100%时，以100%为准。</w:t>
      </w:r>
    </w:p>
    <w:p w14:paraId="2F53CEA4">
      <w:pPr>
        <w:pStyle w:val="13"/>
        <w:spacing w:line="560" w:lineRule="exact"/>
        <w:rPr>
          <w:rFonts w:hint="eastAsia" w:ascii="仿宋_GB2312" w:hAnsi="仿宋_GB2312" w:eastAsia="仿宋_GB2312" w:cs="仿宋_GB2312"/>
          <w:snapToGrid w:val="0"/>
          <w:kern w:val="0"/>
          <w:sz w:val="28"/>
          <w:szCs w:val="28"/>
        </w:rPr>
      </w:pPr>
    </w:p>
    <w:p w14:paraId="2916C865">
      <w:pPr>
        <w:tabs>
          <w:tab w:val="left" w:pos="720"/>
        </w:tabs>
        <w:jc w:val="center"/>
        <w:rPr>
          <w:rFonts w:hint="eastAsia"/>
          <w:b/>
          <w:sz w:val="24"/>
        </w:rPr>
      </w:pPr>
    </w:p>
    <w:p w14:paraId="13CB14AD">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b/>
          <w:szCs w:val="21"/>
        </w:rPr>
      </w:pPr>
    </w:p>
    <w:p w14:paraId="1CF9B342">
      <w:pPr>
        <w:widowControl/>
        <w:jc w:val="left"/>
        <w:rPr>
          <w:rFonts w:ascii="Arial" w:hAnsi="Arial" w:eastAsia="宋体" w:cs="Arial"/>
          <w:sz w:val="24"/>
          <w:szCs w:val="24"/>
          <w:u w:val="single"/>
        </w:rPr>
      </w:pPr>
      <w:r>
        <w:rPr>
          <w:rFonts w:cs="Times New Roman" w:asciiTheme="minorEastAsia" w:hAnsiTheme="minorEastAsia"/>
          <w:sz w:val="24"/>
          <w:szCs w:val="24"/>
        </w:rPr>
        <w:br w:type="page"/>
      </w:r>
    </w:p>
    <w:p w14:paraId="631553DD">
      <w:pPr>
        <w:pStyle w:val="5"/>
        <w:pageBreakBefore w:val="0"/>
        <w:kinsoku/>
        <w:overflowPunct/>
        <w:topLinePunct w:val="0"/>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Theme="minorEastAsia" w:hAnsiTheme="minorEastAsia" w:eastAsiaTheme="minorEastAsia" w:cstheme="minorEastAsia"/>
          <w:sz w:val="24"/>
          <w:szCs w:val="24"/>
          <w:lang w:eastAsia="zh-CN"/>
        </w:rPr>
        <w:t>同类业绩</w:t>
      </w:r>
    </w:p>
    <w:p w14:paraId="691B0C47">
      <w:pPr>
        <w:rPr>
          <w:rFonts w:hint="eastAsia" w:ascii="宋体" w:hAnsi="宋体" w:eastAsia="宋体" w:cs="宋体"/>
          <w:sz w:val="24"/>
          <w:szCs w:val="24"/>
          <w:highlight w:val="none"/>
          <w:lang w:val="en-US" w:eastAsia="zh-CN"/>
        </w:rPr>
      </w:pPr>
      <w:r>
        <w:rPr>
          <w:rFonts w:hint="eastAsia"/>
        </w:rPr>
        <w:t>按照招标文件要求提供证明文件。</w:t>
      </w:r>
    </w:p>
    <w:p w14:paraId="7BA0DBA9">
      <w:pPr>
        <w:pStyle w:val="5"/>
        <w:pageBreakBefore w:val="0"/>
        <w:kinsoku/>
        <w:overflowPunct/>
        <w:topLinePunct w:val="0"/>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Theme="minorEastAsia" w:hAnsiTheme="minorEastAsia" w:eastAsiaTheme="minorEastAsia" w:cstheme="minorEastAsia"/>
          <w:sz w:val="24"/>
          <w:szCs w:val="24"/>
          <w:lang w:eastAsia="zh-CN"/>
        </w:rPr>
        <w:t>本地化服务能力</w:t>
      </w:r>
    </w:p>
    <w:p w14:paraId="514CCC35">
      <w:pPr>
        <w:rPr>
          <w:rFonts w:hint="eastAsia" w:ascii="宋体" w:hAnsi="宋体" w:eastAsia="宋体" w:cs="宋体"/>
          <w:sz w:val="24"/>
          <w:szCs w:val="24"/>
          <w:highlight w:val="none"/>
          <w:lang w:val="en-US" w:eastAsia="zh-CN"/>
        </w:rPr>
      </w:pPr>
      <w:r>
        <w:rPr>
          <w:rFonts w:hint="eastAsia"/>
        </w:rPr>
        <w:t>按照招标文件要求提供证明文件。</w:t>
      </w:r>
    </w:p>
    <w:p w14:paraId="4A79F013">
      <w:pPr>
        <w:pStyle w:val="5"/>
        <w:pageBreakBefore w:val="0"/>
        <w:kinsoku/>
        <w:overflowPunct/>
        <w:topLinePunct w:val="0"/>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7.投标人认为需要加以说明的其他内容</w:t>
      </w:r>
    </w:p>
    <w:p w14:paraId="3184B5A5">
      <w:pPr>
        <w:spacing w:afterLines="25" w:line="300" w:lineRule="auto"/>
        <w:rPr>
          <w:rFonts w:ascii="Arial" w:hAnsi="Arial" w:eastAsia="宋体" w:cs="Times New Roman"/>
          <w:sz w:val="24"/>
          <w:szCs w:val="24"/>
        </w:rPr>
      </w:pPr>
    </w:p>
    <w:p w14:paraId="53EC478F">
      <w:pPr>
        <w:spacing w:afterLines="25" w:line="300" w:lineRule="auto"/>
        <w:rPr>
          <w:rFonts w:ascii="Arial" w:hAnsi="Arial" w:eastAsia="宋体" w:cs="Times New Roman"/>
          <w:sz w:val="24"/>
          <w:szCs w:val="24"/>
        </w:rPr>
      </w:pPr>
    </w:p>
    <w:p w14:paraId="07694EF4">
      <w:pPr>
        <w:spacing w:afterLines="25" w:line="300" w:lineRule="auto"/>
        <w:rPr>
          <w:rFonts w:ascii="Arial" w:hAnsi="Arial" w:eastAsia="宋体" w:cs="Times New Roman"/>
          <w:sz w:val="24"/>
          <w:szCs w:val="24"/>
        </w:rPr>
      </w:pPr>
    </w:p>
    <w:p w14:paraId="7CEF1443">
      <w:pPr>
        <w:spacing w:afterLines="25" w:line="300" w:lineRule="auto"/>
        <w:rPr>
          <w:rFonts w:ascii="Arial" w:hAnsi="Arial" w:eastAsia="宋体" w:cs="Times New Roman"/>
          <w:sz w:val="24"/>
          <w:szCs w:val="24"/>
        </w:rPr>
      </w:pPr>
    </w:p>
    <w:p w14:paraId="451A4485">
      <w:pPr>
        <w:spacing w:afterLines="25" w:line="300" w:lineRule="auto"/>
        <w:rPr>
          <w:rFonts w:ascii="Arial" w:hAnsi="Arial" w:eastAsia="宋体" w:cs="Times New Roman"/>
          <w:sz w:val="24"/>
          <w:szCs w:val="24"/>
        </w:rPr>
      </w:pPr>
    </w:p>
    <w:p w14:paraId="70A979B1">
      <w:pPr>
        <w:spacing w:afterLines="25" w:line="300" w:lineRule="auto"/>
        <w:rPr>
          <w:rFonts w:ascii="Arial" w:hAnsi="Arial" w:eastAsia="宋体" w:cs="Times New Roman"/>
          <w:sz w:val="24"/>
          <w:szCs w:val="24"/>
        </w:rPr>
      </w:pPr>
    </w:p>
    <w:p w14:paraId="02006C89">
      <w:pPr>
        <w:spacing w:afterLines="25" w:line="300" w:lineRule="auto"/>
        <w:rPr>
          <w:rFonts w:ascii="Arial" w:hAnsi="Arial" w:eastAsia="宋体" w:cs="Times New Roman"/>
          <w:sz w:val="24"/>
          <w:szCs w:val="24"/>
        </w:rPr>
      </w:pPr>
    </w:p>
    <w:p w14:paraId="0A425357">
      <w:pPr>
        <w:spacing w:afterLines="25" w:line="300" w:lineRule="auto"/>
        <w:rPr>
          <w:rFonts w:ascii="Arial" w:hAnsi="Arial" w:eastAsia="宋体" w:cs="Times New Roman"/>
          <w:sz w:val="24"/>
          <w:szCs w:val="24"/>
        </w:rPr>
      </w:pPr>
    </w:p>
    <w:p w14:paraId="033AE599">
      <w:pPr>
        <w:spacing w:afterLines="25" w:line="300" w:lineRule="auto"/>
        <w:rPr>
          <w:rFonts w:ascii="Arial" w:hAnsi="Arial" w:eastAsia="宋体" w:cs="Times New Roman"/>
          <w:sz w:val="24"/>
          <w:szCs w:val="24"/>
        </w:rPr>
      </w:pPr>
    </w:p>
    <w:p w14:paraId="2C196E7D">
      <w:pPr>
        <w:spacing w:afterLines="25" w:line="300" w:lineRule="auto"/>
        <w:rPr>
          <w:rFonts w:ascii="Arial" w:hAnsi="Arial" w:eastAsia="宋体" w:cs="Times New Roman"/>
          <w:sz w:val="24"/>
          <w:szCs w:val="24"/>
        </w:rPr>
      </w:pPr>
    </w:p>
    <w:p w14:paraId="1BFAFCC0">
      <w:pPr>
        <w:spacing w:afterLines="25" w:line="300" w:lineRule="auto"/>
        <w:rPr>
          <w:rFonts w:ascii="Arial" w:hAnsi="Arial" w:eastAsia="宋体" w:cs="Times New Roman"/>
          <w:sz w:val="24"/>
          <w:szCs w:val="24"/>
        </w:rPr>
      </w:pPr>
    </w:p>
    <w:p w14:paraId="4318CC95">
      <w:pPr>
        <w:pStyle w:val="10"/>
        <w:rPr>
          <w:rFonts w:ascii="Arial" w:hAnsi="Arial" w:eastAsia="宋体" w:cs="Times New Roman"/>
          <w:sz w:val="24"/>
          <w:szCs w:val="24"/>
        </w:rPr>
      </w:pPr>
    </w:p>
    <w:p w14:paraId="46EB5A3A">
      <w:pPr>
        <w:pStyle w:val="19"/>
      </w:pPr>
    </w:p>
    <w:p w14:paraId="61A6BEE0">
      <w:pPr>
        <w:spacing w:afterLines="25" w:line="300" w:lineRule="auto"/>
        <w:rPr>
          <w:rFonts w:ascii="Arial" w:hAnsi="Arial" w:eastAsia="宋体" w:cs="Times New Roman"/>
          <w:sz w:val="24"/>
          <w:szCs w:val="24"/>
        </w:rPr>
      </w:pPr>
    </w:p>
    <w:p w14:paraId="3685879F">
      <w:pPr>
        <w:spacing w:afterLines="25" w:line="300" w:lineRule="auto"/>
        <w:jc w:val="center"/>
        <w:rPr>
          <w:rFonts w:hint="eastAsia" w:ascii="Arial" w:hAnsi="Arial" w:eastAsia="宋体" w:cs="Times New Roman"/>
          <w:b/>
          <w:sz w:val="24"/>
          <w:szCs w:val="24"/>
        </w:rPr>
      </w:pPr>
    </w:p>
    <w:p w14:paraId="56A9425D">
      <w:pPr>
        <w:ind w:firstLine="723" w:firstLineChars="300"/>
        <w:jc w:val="center"/>
        <w:rPr>
          <w:b/>
          <w:color w:val="FF0000"/>
          <w:sz w:val="24"/>
        </w:rPr>
      </w:pPr>
      <w:r>
        <w:rPr>
          <w:rFonts w:hint="eastAsia"/>
          <w:b/>
          <w:color w:val="FF0000"/>
          <w:sz w:val="24"/>
        </w:rPr>
        <w:t>（信息公开部分的内容到此为止！以下为信息不公开部分。）</w:t>
      </w:r>
    </w:p>
    <w:p w14:paraId="19FF891D">
      <w:pPr>
        <w:pStyle w:val="10"/>
        <w:rPr>
          <w:rFonts w:hint="eastAsia" w:ascii="Arial" w:hAnsi="Arial" w:eastAsia="宋体" w:cs="Times New Roman"/>
          <w:b/>
          <w:sz w:val="24"/>
          <w:szCs w:val="24"/>
        </w:rPr>
      </w:pPr>
    </w:p>
    <w:p w14:paraId="7015E03D">
      <w:pPr>
        <w:pStyle w:val="19"/>
        <w:rPr>
          <w:rFonts w:hint="eastAsia" w:ascii="Arial" w:hAnsi="Arial" w:eastAsia="宋体" w:cs="Times New Roman"/>
          <w:b/>
          <w:sz w:val="24"/>
          <w:szCs w:val="24"/>
        </w:rPr>
      </w:pPr>
    </w:p>
    <w:p w14:paraId="636C8553">
      <w:pPr>
        <w:pStyle w:val="19"/>
        <w:rPr>
          <w:rFonts w:hint="eastAsia" w:ascii="Arial" w:hAnsi="Arial" w:eastAsia="宋体" w:cs="Times New Roman"/>
          <w:b/>
          <w:sz w:val="24"/>
          <w:szCs w:val="24"/>
        </w:rPr>
      </w:pPr>
    </w:p>
    <w:p w14:paraId="049EF1C1">
      <w:pPr>
        <w:pStyle w:val="19"/>
        <w:rPr>
          <w:rFonts w:hint="eastAsia" w:ascii="Arial" w:hAnsi="Arial" w:eastAsia="宋体" w:cs="Times New Roman"/>
          <w:b/>
          <w:sz w:val="24"/>
          <w:szCs w:val="24"/>
        </w:rPr>
      </w:pPr>
    </w:p>
    <w:p w14:paraId="2DD12DD0">
      <w:pPr>
        <w:widowControl/>
        <w:jc w:val="left"/>
        <w:rPr>
          <w:rFonts w:ascii="Arial" w:hAnsi="Arial" w:eastAsia="宋体" w:cs="Times New Roman"/>
          <w:szCs w:val="24"/>
        </w:rPr>
      </w:pPr>
      <w:r>
        <w:rPr>
          <w:rFonts w:ascii="Arial" w:hAnsi="Arial" w:eastAsia="宋体" w:cs="Times New Roman"/>
          <w:szCs w:val="24"/>
        </w:rPr>
        <w:br w:type="page"/>
      </w:r>
    </w:p>
    <w:p w14:paraId="5C3C3A0D">
      <w:pPr>
        <w:spacing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lang w:val="en-US" w:eastAsia="zh-CN"/>
        </w:rPr>
        <w:t>二、</w:t>
      </w:r>
      <w:r>
        <w:rPr>
          <w:rFonts w:hint="eastAsia" w:ascii="Arial" w:hAnsi="Arial" w:eastAsia="宋体" w:cs="Times New Roman"/>
          <w:b/>
          <w:color w:val="FF0000"/>
          <w:sz w:val="32"/>
          <w:szCs w:val="32"/>
        </w:rPr>
        <w:t>投标文件附件（信息不公开部分）</w:t>
      </w:r>
    </w:p>
    <w:p w14:paraId="1AF5DBAD">
      <w:pPr>
        <w:keepNext/>
        <w:keepLines/>
        <w:adjustRightInd w:val="0"/>
        <w:snapToGrid w:val="0"/>
        <w:spacing w:line="360" w:lineRule="auto"/>
        <w:jc w:val="center"/>
        <w:textAlignment w:val="baseline"/>
        <w:outlineLvl w:val="3"/>
        <w:rPr>
          <w:rFonts w:ascii="宋体" w:hAnsi="宋体" w:eastAsia="宋体" w:cs="Times New Roman"/>
          <w:b/>
          <w:bCs/>
          <w:kern w:val="0"/>
          <w:sz w:val="24"/>
          <w:szCs w:val="20"/>
        </w:rPr>
      </w:pPr>
      <w:r>
        <w:rPr>
          <w:rFonts w:hint="eastAsia" w:ascii="宋体" w:hAnsi="宋体" w:eastAsia="宋体" w:cs="Times New Roman"/>
          <w:b/>
          <w:bCs/>
          <w:kern w:val="0"/>
          <w:sz w:val="24"/>
          <w:szCs w:val="20"/>
        </w:rPr>
        <w:t>1.法定代表人（负责人）证明书</w:t>
      </w:r>
    </w:p>
    <w:p w14:paraId="5C0AEAC2">
      <w:pPr>
        <w:spacing w:line="300" w:lineRule="auto"/>
        <w:ind w:left="140"/>
        <w:jc w:val="center"/>
        <w:rPr>
          <w:rFonts w:ascii="Arial" w:hAnsi="Arial" w:eastAsia="宋体" w:cs="Arial"/>
          <w:b/>
          <w:sz w:val="24"/>
          <w:szCs w:val="24"/>
        </w:rPr>
      </w:pPr>
    </w:p>
    <w:p w14:paraId="2C094DAA">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14:paraId="77AA4E4C">
      <w:pPr>
        <w:spacing w:line="360" w:lineRule="auto"/>
        <w:ind w:firstLine="420" w:firstLineChars="200"/>
        <w:rPr>
          <w:szCs w:val="21"/>
        </w:rPr>
      </w:pPr>
      <w:r>
        <w:rPr>
          <w:rFonts w:hint="eastAsia"/>
          <w:szCs w:val="21"/>
        </w:rPr>
        <w:t>特此证明。</w:t>
      </w:r>
    </w:p>
    <w:p w14:paraId="51FDD3DB">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14:paraId="5F92BF9B">
      <w:pPr>
        <w:numPr>
          <w:ilvl w:val="0"/>
          <w:numId w:val="0"/>
        </w:numPr>
        <w:spacing w:line="360" w:lineRule="auto"/>
        <w:ind w:left="210" w:leftChars="0" w:firstLine="420" w:firstLineChars="0"/>
        <w:rPr>
          <w:rFonts w:hint="eastAsia"/>
          <w:color w:val="auto"/>
          <w:szCs w:val="21"/>
          <w:lang w:val="en-US" w:eastAsia="zh-CN"/>
        </w:rPr>
      </w:pPr>
      <w:r>
        <w:rPr>
          <w:rFonts w:hint="eastAsia" w:asciiTheme="minorHAnsi" w:hAnsiTheme="minorHAnsi" w:eastAsiaTheme="minorEastAsia" w:cstheme="minorBidi"/>
          <w:color w:val="auto"/>
          <w:kern w:val="2"/>
          <w:sz w:val="21"/>
          <w:szCs w:val="21"/>
          <w:lang w:val="en-US" w:eastAsia="zh-CN" w:bidi="ar-SA"/>
        </w:rPr>
        <w:t>2、</w:t>
      </w: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225780AD">
      <w:pPr>
        <w:numPr>
          <w:ilvl w:val="0"/>
          <w:numId w:val="0"/>
        </w:numPr>
        <w:spacing w:line="360" w:lineRule="auto"/>
        <w:ind w:left="210" w:leftChars="0" w:firstLine="420" w:firstLineChars="0"/>
        <w:rPr>
          <w:szCs w:val="21"/>
        </w:rPr>
      </w:pPr>
      <w:r>
        <w:rPr>
          <w:rFonts w:asciiTheme="minorHAnsi" w:hAnsiTheme="minorHAnsi" w:eastAsiaTheme="minorEastAsia" w:cstheme="minorBidi"/>
          <w:kern w:val="2"/>
          <w:sz w:val="21"/>
          <w:szCs w:val="21"/>
          <w:lang w:val="en-US" w:eastAsia="zh-CN" w:bidi="ar-SA"/>
        </w:rPr>
        <w:t>3、</w:t>
      </w: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14:paraId="033A99FB">
      <w:pPr>
        <w:numPr>
          <w:ilvl w:val="0"/>
          <w:numId w:val="0"/>
        </w:numPr>
        <w:spacing w:line="360" w:lineRule="auto"/>
        <w:ind w:left="210" w:leftChars="0" w:firstLine="420" w:firstLineChars="0"/>
        <w:rPr>
          <w:szCs w:val="21"/>
        </w:rPr>
      </w:pPr>
      <w:r>
        <w:rPr>
          <w:rFonts w:asciiTheme="minorHAnsi" w:hAnsiTheme="minorHAnsi" w:eastAsiaTheme="minorEastAsia" w:cstheme="minorBidi"/>
          <w:kern w:val="2"/>
          <w:sz w:val="21"/>
          <w:szCs w:val="21"/>
          <w:lang w:val="en-US" w:eastAsia="zh-CN" w:bidi="ar-SA"/>
        </w:rPr>
        <w:t>4、</w:t>
      </w:r>
      <w:r>
        <w:rPr>
          <w:rFonts w:hint="eastAsia"/>
          <w:szCs w:val="21"/>
        </w:rPr>
        <w:t>内容必须填写真实、清楚，涂改无效，不得转让、买卖。</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5B3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03387DAE">
            <w:pPr>
              <w:jc w:val="center"/>
              <w:rPr>
                <w:rFonts w:hint="eastAsia"/>
                <w:lang w:val="en-US" w:eastAsia="zh-CN"/>
              </w:rPr>
            </w:pPr>
            <w:r>
              <w:rPr>
                <w:rFonts w:hint="eastAsia" w:ascii="Times New Roman" w:eastAsia="宋体"/>
                <w:lang w:val="en-US" w:eastAsia="zh-CN"/>
              </w:rPr>
              <w:t>证件扫描件正面</w:t>
            </w:r>
          </w:p>
          <w:p w14:paraId="2F9B08A5">
            <w:pPr>
              <w:pStyle w:val="10"/>
              <w:jc w:val="center"/>
              <w:rPr>
                <w:rFonts w:hint="eastAsia"/>
                <w:lang w:val="en-US" w:eastAsia="zh-CN"/>
              </w:rPr>
            </w:pPr>
            <w:r>
              <w:rPr>
                <w:rFonts w:hint="eastAsia"/>
                <w:lang w:val="en-US" w:eastAsia="zh-CN"/>
              </w:rPr>
              <w:t xml:space="preserve"> </w:t>
            </w:r>
          </w:p>
          <w:p w14:paraId="6F6F298B">
            <w:pPr>
              <w:pStyle w:val="19"/>
              <w:rPr>
                <w:rFonts w:hint="eastAsia"/>
                <w:lang w:val="en-US" w:eastAsia="zh-CN"/>
              </w:rPr>
            </w:pPr>
          </w:p>
          <w:p w14:paraId="6546373F">
            <w:pPr>
              <w:pStyle w:val="19"/>
              <w:rPr>
                <w:rFonts w:hint="eastAsia"/>
                <w:lang w:val="en-US" w:eastAsia="zh-CN"/>
              </w:rPr>
            </w:pPr>
          </w:p>
          <w:p w14:paraId="685926AE">
            <w:pPr>
              <w:pStyle w:val="19"/>
              <w:rPr>
                <w:rFonts w:hint="eastAsia"/>
                <w:lang w:val="en-US" w:eastAsia="zh-CN"/>
              </w:rPr>
            </w:pPr>
          </w:p>
          <w:p w14:paraId="7E4CAC0D">
            <w:pPr>
              <w:pStyle w:val="19"/>
              <w:rPr>
                <w:rFonts w:hint="default"/>
                <w:lang w:val="en-US" w:eastAsia="zh-CN"/>
              </w:rPr>
            </w:pPr>
          </w:p>
          <w:p w14:paraId="5C7AEE38">
            <w:pPr>
              <w:pStyle w:val="19"/>
              <w:jc w:val="center"/>
              <w:rPr>
                <w:rFonts w:hint="default"/>
                <w:lang w:val="en-US" w:eastAsia="zh-CN"/>
              </w:rPr>
            </w:pPr>
          </w:p>
        </w:tc>
        <w:tc>
          <w:tcPr>
            <w:tcW w:w="4265" w:type="dxa"/>
            <w:vAlign w:val="top"/>
          </w:tcPr>
          <w:p w14:paraId="0229CEF5">
            <w:pPr>
              <w:jc w:val="center"/>
              <w:rPr>
                <w:rFonts w:hint="eastAsia"/>
                <w:lang w:val="en-US" w:eastAsia="zh-CN"/>
              </w:rPr>
            </w:pPr>
            <w:r>
              <w:rPr>
                <w:rFonts w:hint="eastAsia" w:ascii="Times New Roman" w:eastAsia="宋体"/>
                <w:lang w:val="en-US" w:eastAsia="zh-CN"/>
              </w:rPr>
              <w:t>证件扫描件反面</w:t>
            </w:r>
          </w:p>
          <w:p w14:paraId="7306767D">
            <w:pPr>
              <w:pStyle w:val="10"/>
              <w:jc w:val="center"/>
              <w:rPr>
                <w:rFonts w:hint="eastAsia"/>
                <w:lang w:val="en-US" w:eastAsia="zh-CN"/>
              </w:rPr>
            </w:pPr>
          </w:p>
          <w:p w14:paraId="5CC40BAA">
            <w:pPr>
              <w:pStyle w:val="19"/>
              <w:jc w:val="center"/>
              <w:rPr>
                <w:rFonts w:hint="eastAsia"/>
                <w:sz w:val="24"/>
                <w:vertAlign w:val="baseline"/>
                <w:lang w:val="en-US" w:eastAsia="zh-CN"/>
              </w:rPr>
            </w:pPr>
          </w:p>
        </w:tc>
      </w:tr>
    </w:tbl>
    <w:p w14:paraId="31179BA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hAnsi="Arial" w:eastAsia="宋体" w:cs="Times New Roman"/>
          <w:szCs w:val="24"/>
        </w:rPr>
      </w:pPr>
    </w:p>
    <w:p w14:paraId="264F092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hAnsi="Arial" w:eastAsia="宋体" w:cs="Times New Roman"/>
          <w:szCs w:val="24"/>
        </w:rPr>
      </w:pPr>
    </w:p>
    <w:p w14:paraId="1EBB0924">
      <w:pPr>
        <w:numPr>
          <w:ilvl w:val="0"/>
          <w:numId w:val="0"/>
        </w:numPr>
        <w:spacing w:line="360" w:lineRule="auto"/>
        <w:ind w:left="210" w:leftChars="0" w:firstLine="420" w:firstLineChars="0"/>
        <w:rPr>
          <w:color w:val="FF0000"/>
          <w:szCs w:val="21"/>
        </w:rPr>
      </w:pPr>
      <w:r>
        <w:rPr>
          <w:rFonts w:hint="eastAsia" w:cstheme="minorBidi"/>
          <w:b/>
          <w:bCs/>
          <w:color w:val="FF0000"/>
          <w:kern w:val="2"/>
          <w:sz w:val="21"/>
          <w:szCs w:val="21"/>
          <w:lang w:val="en-US" w:eastAsia="zh-CN" w:bidi="ar-SA"/>
        </w:rPr>
        <w:t>备注：</w:t>
      </w:r>
      <w:r>
        <w:rPr>
          <w:rFonts w:hint="eastAsia"/>
          <w:b/>
          <w:bCs/>
          <w:color w:val="FF0000"/>
          <w:szCs w:val="21"/>
        </w:rPr>
        <w:t>如联合体投标，联合体所有成员均须提供《法定代表人（负责人）证明书》。</w:t>
      </w:r>
    </w:p>
    <w:p w14:paraId="35E16C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hAnsi="Arial" w:eastAsia="宋体" w:cs="Times New Roman"/>
          <w:szCs w:val="24"/>
        </w:rPr>
      </w:pPr>
    </w:p>
    <w:p w14:paraId="022CE139">
      <w:pPr>
        <w:keepNext/>
        <w:keepLines/>
        <w:pageBreakBefore/>
        <w:adjustRightInd w:val="0"/>
        <w:snapToGrid w:val="0"/>
        <w:spacing w:line="360" w:lineRule="auto"/>
        <w:jc w:val="center"/>
        <w:textAlignment w:val="baseline"/>
        <w:outlineLvl w:val="3"/>
        <w:rPr>
          <w:rFonts w:ascii="宋体" w:hAnsi="宋体" w:eastAsia="宋体" w:cs="Times New Roman"/>
          <w:b/>
          <w:bCs/>
          <w:kern w:val="0"/>
          <w:sz w:val="24"/>
          <w:szCs w:val="20"/>
        </w:rPr>
      </w:pPr>
      <w:r>
        <w:rPr>
          <w:rFonts w:hint="eastAsia" w:ascii="宋体" w:hAnsi="宋体" w:eastAsia="宋体" w:cs="Times New Roman"/>
          <w:b/>
          <w:bCs/>
          <w:kern w:val="0"/>
          <w:sz w:val="24"/>
          <w:szCs w:val="20"/>
        </w:rPr>
        <w:t>2.投标文件签署授权委托书</w:t>
      </w:r>
    </w:p>
    <w:p w14:paraId="640F749E">
      <w:pPr>
        <w:spacing w:line="300" w:lineRule="auto"/>
        <w:jc w:val="center"/>
        <w:rPr>
          <w:rFonts w:ascii="Arial" w:hAnsi="Arial" w:eastAsia="宋体" w:cs="Times New Roman"/>
          <w:b/>
          <w:sz w:val="28"/>
          <w:szCs w:val="28"/>
        </w:rPr>
      </w:pPr>
    </w:p>
    <w:p w14:paraId="39CBDD4B">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0B786C0A">
      <w:pPr>
        <w:spacing w:line="360" w:lineRule="auto"/>
        <w:ind w:firstLine="420" w:firstLineChars="200"/>
        <w:rPr>
          <w:rFonts w:hint="eastAsia"/>
          <w:szCs w:val="21"/>
        </w:rPr>
      </w:pPr>
      <w:r>
        <w:rPr>
          <w:rFonts w:hint="eastAsia"/>
          <w:szCs w:val="21"/>
        </w:rPr>
        <w:t>代理人无转委托权，特此委托。</w:t>
      </w:r>
    </w:p>
    <w:p w14:paraId="128396A5">
      <w:pPr>
        <w:spacing w:line="360" w:lineRule="auto"/>
        <w:ind w:firstLine="420" w:firstLineChars="200"/>
        <w:rPr>
          <w:rFonts w:hint="eastAsia"/>
          <w:szCs w:val="21"/>
        </w:rPr>
      </w:pPr>
    </w:p>
    <w:p w14:paraId="02555F86">
      <w:pPr>
        <w:spacing w:line="360" w:lineRule="auto"/>
        <w:ind w:firstLine="420" w:firstLineChars="200"/>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3DEA8E80">
      <w:pPr>
        <w:spacing w:line="360" w:lineRule="auto"/>
        <w:ind w:firstLine="420" w:firstLineChars="200"/>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2B48320D">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1228F525">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14:paraId="3CD78401">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44C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4264" w:type="dxa"/>
            <w:vAlign w:val="top"/>
          </w:tcPr>
          <w:p w14:paraId="0BCD513D">
            <w:pPr>
              <w:jc w:val="center"/>
              <w:rPr>
                <w:rFonts w:hint="eastAsia"/>
                <w:lang w:val="en-US" w:eastAsia="zh-CN"/>
              </w:rPr>
            </w:pPr>
            <w:r>
              <w:rPr>
                <w:rFonts w:hint="eastAsia" w:ascii="Times New Roman" w:eastAsia="宋体"/>
                <w:lang w:val="en-US" w:eastAsia="zh-CN"/>
              </w:rPr>
              <w:t>证件扫描件正面</w:t>
            </w:r>
          </w:p>
          <w:p w14:paraId="22F9203B">
            <w:pPr>
              <w:pStyle w:val="10"/>
              <w:jc w:val="center"/>
              <w:rPr>
                <w:rFonts w:hint="eastAsia"/>
                <w:lang w:val="en-US" w:eastAsia="zh-CN"/>
              </w:rPr>
            </w:pPr>
          </w:p>
          <w:p w14:paraId="152EB560">
            <w:pPr>
              <w:pStyle w:val="19"/>
              <w:jc w:val="center"/>
              <w:rPr>
                <w:rFonts w:hint="default"/>
                <w:lang w:val="en-US" w:eastAsia="zh-CN"/>
              </w:rPr>
            </w:pPr>
          </w:p>
        </w:tc>
        <w:tc>
          <w:tcPr>
            <w:tcW w:w="4265" w:type="dxa"/>
            <w:vAlign w:val="top"/>
          </w:tcPr>
          <w:p w14:paraId="2F1556F1">
            <w:pPr>
              <w:jc w:val="center"/>
              <w:rPr>
                <w:rFonts w:hint="eastAsia"/>
                <w:lang w:val="en-US" w:eastAsia="zh-CN"/>
              </w:rPr>
            </w:pPr>
            <w:r>
              <w:rPr>
                <w:rFonts w:hint="eastAsia" w:ascii="Times New Roman" w:eastAsia="宋体"/>
                <w:lang w:val="en-US" w:eastAsia="zh-CN"/>
              </w:rPr>
              <w:t>证件扫描件反面</w:t>
            </w:r>
          </w:p>
          <w:p w14:paraId="3D786A2D">
            <w:pPr>
              <w:pStyle w:val="10"/>
              <w:jc w:val="center"/>
              <w:rPr>
                <w:rFonts w:hint="eastAsia"/>
                <w:lang w:val="en-US" w:eastAsia="zh-CN"/>
              </w:rPr>
            </w:pPr>
          </w:p>
          <w:p w14:paraId="31CB1C39">
            <w:pPr>
              <w:pStyle w:val="19"/>
              <w:jc w:val="center"/>
              <w:rPr>
                <w:rFonts w:hint="eastAsia"/>
                <w:sz w:val="24"/>
                <w:vertAlign w:val="baseline"/>
                <w:lang w:val="en-US" w:eastAsia="zh-CN"/>
              </w:rPr>
            </w:pPr>
          </w:p>
        </w:tc>
      </w:tr>
    </w:tbl>
    <w:p w14:paraId="6D9C1913">
      <w:pPr>
        <w:tabs>
          <w:tab w:val="left" w:pos="651"/>
        </w:tabs>
        <w:snapToGrid w:val="0"/>
        <w:jc w:val="center"/>
        <w:rPr>
          <w:rFonts w:ascii="宋体" w:hAnsi="宋体" w:eastAsia="宋体" w:cs="Times New Roman"/>
          <w:color w:val="FF0000"/>
          <w:sz w:val="28"/>
          <w:szCs w:val="28"/>
        </w:rPr>
      </w:pPr>
    </w:p>
    <w:p w14:paraId="302A96B5">
      <w:pPr>
        <w:tabs>
          <w:tab w:val="left" w:pos="651"/>
        </w:tabs>
        <w:snapToGrid w:val="0"/>
        <w:jc w:val="center"/>
        <w:rPr>
          <w:rFonts w:ascii="宋体" w:hAnsi="宋体" w:eastAsia="宋体" w:cs="Times New Roman"/>
          <w:color w:val="FF0000"/>
          <w:sz w:val="28"/>
          <w:szCs w:val="28"/>
        </w:rPr>
      </w:pPr>
    </w:p>
    <w:p w14:paraId="53B9B625">
      <w:pPr>
        <w:tabs>
          <w:tab w:val="left" w:pos="651"/>
        </w:tabs>
        <w:snapToGrid w:val="0"/>
        <w:jc w:val="both"/>
        <w:rPr>
          <w:rFonts w:hint="eastAsia" w:ascii="宋体" w:hAnsi="宋体" w:eastAsia="宋体" w:cs="宋体"/>
          <w:sz w:val="24"/>
          <w:szCs w:val="24"/>
          <w:highlight w:val="none"/>
          <w:lang w:val="en-US" w:eastAsia="zh-CN"/>
        </w:rPr>
      </w:pPr>
      <w:r>
        <w:rPr>
          <w:rFonts w:hint="eastAsia"/>
          <w:b/>
          <w:color w:val="FF0000"/>
          <w:szCs w:val="21"/>
          <w:lang w:val="en-US" w:eastAsia="zh-CN"/>
        </w:rPr>
        <w:t>备注：如联合体投标，联合体所有成员均须提供《投标文件签署授权委托书》。</w:t>
      </w:r>
      <w:r>
        <w:rPr>
          <w:rFonts w:ascii="宋体" w:hAnsi="宋体" w:eastAsia="宋体" w:cs="Times New Roman"/>
          <w:color w:val="FF0000"/>
          <w:sz w:val="28"/>
          <w:szCs w:val="28"/>
        </w:rPr>
        <w:br w:type="page"/>
      </w:r>
    </w:p>
    <w:p w14:paraId="7142C9D8">
      <w:pPr>
        <w:keepNext/>
        <w:keepLines/>
        <w:numPr>
          <w:ilvl w:val="0"/>
          <w:numId w:val="0"/>
        </w:numPr>
        <w:adjustRightInd w:val="0"/>
        <w:snapToGrid w:val="0"/>
        <w:spacing w:line="360" w:lineRule="auto"/>
        <w:jc w:val="center"/>
        <w:textAlignment w:val="baseline"/>
        <w:outlineLvl w:val="9"/>
        <w:rPr>
          <w:rFonts w:hint="eastAsia" w:ascii="宋体" w:hAnsi="宋体" w:eastAsia="宋体" w:cs="Times New Roman"/>
          <w:b/>
          <w:bCs/>
          <w:kern w:val="0"/>
          <w:sz w:val="24"/>
          <w:szCs w:val="20"/>
          <w:lang w:val="en-US" w:eastAsia="zh-CN"/>
        </w:rPr>
      </w:pPr>
    </w:p>
    <w:p w14:paraId="5D5A8800">
      <w:pPr>
        <w:keepNext/>
        <w:keepLines/>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t>3.实质性条款响应情况表</w:t>
      </w:r>
    </w:p>
    <w:p w14:paraId="5E7DCACD">
      <w:pPr>
        <w:pStyle w:val="22"/>
        <w:numPr>
          <w:ilvl w:val="-1"/>
          <w:numId w:val="0"/>
        </w:numPr>
        <w:ind w:left="0" w:leftChars="0" w:firstLine="0" w:firstLineChars="0"/>
        <w:rPr>
          <w:rFonts w:hint="eastAsia"/>
        </w:rPr>
      </w:pPr>
    </w:p>
    <w:tbl>
      <w:tblPr>
        <w:tblStyle w:val="23"/>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38"/>
        <w:gridCol w:w="766"/>
        <w:gridCol w:w="1275"/>
        <w:gridCol w:w="933"/>
      </w:tblGrid>
      <w:tr w14:paraId="4452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5" w:type="dxa"/>
            <w:vAlign w:val="center"/>
          </w:tcPr>
          <w:p w14:paraId="514FC758">
            <w:pPr>
              <w:adjustRightInd w:val="0"/>
              <w:snapToGrid w:val="0"/>
              <w:spacing w:line="360" w:lineRule="auto"/>
              <w:jc w:val="center"/>
              <w:rPr>
                <w:rFonts w:ascii="宋体" w:hAnsi="宋体"/>
                <w:kern w:val="0"/>
                <w:sz w:val="24"/>
                <w:szCs w:val="24"/>
              </w:rPr>
            </w:pPr>
            <w:bookmarkStart w:id="65" w:name="_Hlk72092651"/>
            <w:r>
              <w:rPr>
                <w:rFonts w:hint="eastAsia" w:ascii="宋体" w:hAnsi="宋体"/>
                <w:kern w:val="0"/>
                <w:sz w:val="24"/>
                <w:szCs w:val="24"/>
              </w:rPr>
              <w:t>序号</w:t>
            </w:r>
          </w:p>
        </w:tc>
        <w:tc>
          <w:tcPr>
            <w:tcW w:w="4538" w:type="dxa"/>
            <w:vAlign w:val="center"/>
          </w:tcPr>
          <w:p w14:paraId="705AB02D">
            <w:pPr>
              <w:adjustRightInd w:val="0"/>
              <w:snapToGrid w:val="0"/>
              <w:spacing w:line="360" w:lineRule="auto"/>
              <w:jc w:val="center"/>
              <w:rPr>
                <w:rFonts w:ascii="宋体" w:hAnsi="宋体"/>
                <w:kern w:val="0"/>
                <w:sz w:val="24"/>
                <w:szCs w:val="24"/>
              </w:rPr>
            </w:pPr>
            <w:r>
              <w:rPr>
                <w:rFonts w:hint="eastAsia" w:ascii="宋体" w:hAnsi="宋体"/>
                <w:kern w:val="0"/>
                <w:sz w:val="24"/>
                <w:szCs w:val="24"/>
              </w:rPr>
              <w:t>实质性条款具体内容</w:t>
            </w:r>
          </w:p>
        </w:tc>
        <w:tc>
          <w:tcPr>
            <w:tcW w:w="766" w:type="dxa"/>
            <w:vAlign w:val="center"/>
          </w:tcPr>
          <w:p w14:paraId="58DF1F73">
            <w:pPr>
              <w:adjustRightInd w:val="0"/>
              <w:snapToGrid w:val="0"/>
              <w:spacing w:line="360" w:lineRule="auto"/>
              <w:jc w:val="center"/>
              <w:rPr>
                <w:rFonts w:ascii="宋体" w:hAnsi="宋体"/>
                <w:kern w:val="0"/>
                <w:sz w:val="24"/>
                <w:szCs w:val="24"/>
              </w:rPr>
            </w:pPr>
            <w:r>
              <w:rPr>
                <w:rFonts w:hint="eastAsia"/>
                <w:sz w:val="24"/>
                <w:szCs w:val="28"/>
              </w:rPr>
              <w:t>投标响应</w:t>
            </w:r>
          </w:p>
        </w:tc>
        <w:tc>
          <w:tcPr>
            <w:tcW w:w="1275" w:type="dxa"/>
            <w:vAlign w:val="center"/>
          </w:tcPr>
          <w:p w14:paraId="0B761B09">
            <w:pPr>
              <w:adjustRightInd w:val="0"/>
              <w:snapToGrid w:val="0"/>
              <w:spacing w:line="360" w:lineRule="auto"/>
              <w:jc w:val="center"/>
              <w:rPr>
                <w:rFonts w:ascii="宋体" w:hAnsi="宋体"/>
                <w:kern w:val="0"/>
                <w:sz w:val="24"/>
                <w:szCs w:val="24"/>
              </w:rPr>
            </w:pPr>
            <w:r>
              <w:rPr>
                <w:rFonts w:hint="eastAsia"/>
                <w:sz w:val="24"/>
                <w:szCs w:val="28"/>
              </w:rPr>
              <w:t>偏离情况</w:t>
            </w:r>
          </w:p>
        </w:tc>
        <w:tc>
          <w:tcPr>
            <w:tcW w:w="933" w:type="dxa"/>
            <w:vAlign w:val="center"/>
          </w:tcPr>
          <w:p w14:paraId="33276559">
            <w:pPr>
              <w:adjustRightInd w:val="0"/>
              <w:snapToGrid w:val="0"/>
              <w:spacing w:line="360" w:lineRule="auto"/>
              <w:jc w:val="center"/>
              <w:rPr>
                <w:rFonts w:ascii="宋体" w:hAnsi="宋体"/>
                <w:kern w:val="0"/>
                <w:sz w:val="24"/>
                <w:szCs w:val="24"/>
              </w:rPr>
            </w:pPr>
            <w:r>
              <w:rPr>
                <w:rFonts w:hint="eastAsia"/>
                <w:sz w:val="24"/>
                <w:szCs w:val="28"/>
              </w:rPr>
              <w:t>说明</w:t>
            </w:r>
          </w:p>
        </w:tc>
      </w:tr>
      <w:bookmarkEnd w:id="65"/>
      <w:tr w14:paraId="59AC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60089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hAnsi="宋体"/>
                <w:kern w:val="0"/>
                <w:sz w:val="24"/>
                <w:szCs w:val="24"/>
              </w:rPr>
            </w:pPr>
            <w:r>
              <w:rPr>
                <w:rFonts w:hint="eastAsia" w:ascii="宋体" w:hAnsi="宋体" w:eastAsia="宋体" w:cs="宋体"/>
                <w:color w:val="FF0000"/>
                <w:kern w:val="0"/>
                <w:sz w:val="24"/>
                <w:szCs w:val="24"/>
                <w:lang w:val="en-US" w:eastAsia="zh-CN"/>
              </w:rPr>
              <w:t>1</w:t>
            </w:r>
          </w:p>
        </w:tc>
        <w:tc>
          <w:tcPr>
            <w:tcW w:w="4538" w:type="dxa"/>
            <w:vAlign w:val="center"/>
          </w:tcPr>
          <w:p w14:paraId="21D580A2">
            <w:pPr>
              <w:keepNext w:val="0"/>
              <w:keepLines w:val="0"/>
              <w:pageBreakBefore w:val="0"/>
              <w:widowControl/>
              <w:kinsoku/>
              <w:wordWrap/>
              <w:overflowPunct/>
              <w:topLinePunct w:val="0"/>
              <w:autoSpaceDE w:val="0"/>
              <w:autoSpaceDN w:val="0"/>
              <w:bidi w:val="0"/>
              <w:adjustRightInd/>
              <w:snapToGrid/>
              <w:spacing w:before="0" w:beforeLines="0" w:after="0" w:afterLines="0" w:line="240" w:lineRule="auto"/>
              <w:ind w:firstLine="0" w:firstLineChars="0"/>
              <w:jc w:val="left"/>
              <w:textAlignment w:val="auto"/>
              <w:outlineLvl w:val="9"/>
              <w:rPr>
                <w:rFonts w:hAnsi="宋体"/>
                <w:color w:val="FF0000"/>
                <w:kern w:val="0"/>
                <w:szCs w:val="21"/>
              </w:rPr>
            </w:pPr>
            <w:r>
              <w:rPr>
                <w:rFonts w:hint="eastAsia" w:ascii="宋体" w:hAnsi="宋体"/>
                <w:color w:val="FF0000"/>
                <w:sz w:val="20"/>
                <w:szCs w:val="21"/>
              </w:rPr>
              <w:t>★</w:t>
            </w:r>
            <w:r>
              <w:rPr>
                <w:rFonts w:hint="eastAsia" w:ascii="仿宋_GB2312" w:hAnsi="仿宋_GB2312" w:eastAsia="仿宋_GB2312" w:cs="仿宋_GB2312"/>
                <w:b w:val="0"/>
                <w:bCs w:val="0"/>
                <w:color w:val="FF0000"/>
                <w:kern w:val="0"/>
                <w:sz w:val="24"/>
                <w:szCs w:val="24"/>
                <w:highlight w:val="none"/>
                <w:lang w:val="en-US" w:eastAsia="zh-CN" w:bidi="zh-CN"/>
              </w:rPr>
              <w:t>1.合作期限自通知进场日起计，共计5年。</w:t>
            </w:r>
          </w:p>
        </w:tc>
        <w:tc>
          <w:tcPr>
            <w:tcW w:w="766" w:type="dxa"/>
          </w:tcPr>
          <w:p w14:paraId="02D901BC">
            <w:pPr>
              <w:adjustRightInd w:val="0"/>
              <w:snapToGrid w:val="0"/>
              <w:spacing w:line="360" w:lineRule="auto"/>
              <w:rPr>
                <w:rFonts w:ascii="宋体" w:hAnsi="宋体"/>
                <w:kern w:val="0"/>
                <w:szCs w:val="21"/>
              </w:rPr>
            </w:pPr>
          </w:p>
        </w:tc>
        <w:tc>
          <w:tcPr>
            <w:tcW w:w="1275" w:type="dxa"/>
          </w:tcPr>
          <w:p w14:paraId="71865B42">
            <w:pPr>
              <w:adjustRightInd w:val="0"/>
              <w:snapToGrid w:val="0"/>
              <w:spacing w:line="360" w:lineRule="auto"/>
              <w:rPr>
                <w:rFonts w:ascii="宋体" w:hAnsi="宋体"/>
                <w:kern w:val="0"/>
                <w:szCs w:val="21"/>
              </w:rPr>
            </w:pPr>
          </w:p>
        </w:tc>
        <w:tc>
          <w:tcPr>
            <w:tcW w:w="933" w:type="dxa"/>
          </w:tcPr>
          <w:p w14:paraId="0FA5DFF0">
            <w:pPr>
              <w:adjustRightInd w:val="0"/>
              <w:snapToGrid w:val="0"/>
              <w:spacing w:line="360" w:lineRule="auto"/>
              <w:rPr>
                <w:rFonts w:ascii="宋体" w:hAnsi="宋体"/>
                <w:kern w:val="0"/>
                <w:szCs w:val="21"/>
              </w:rPr>
            </w:pPr>
          </w:p>
        </w:tc>
      </w:tr>
      <w:tr w14:paraId="4EEE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4E867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hAnsi="宋体"/>
                <w:kern w:val="0"/>
                <w:sz w:val="24"/>
                <w:szCs w:val="24"/>
              </w:rPr>
            </w:pPr>
            <w:r>
              <w:rPr>
                <w:rFonts w:hint="eastAsia" w:ascii="宋体" w:hAnsi="宋体" w:eastAsia="宋体" w:cs="宋体"/>
                <w:color w:val="FF0000"/>
                <w:kern w:val="0"/>
                <w:sz w:val="24"/>
                <w:szCs w:val="24"/>
                <w:lang w:val="en-US" w:eastAsia="zh-CN"/>
              </w:rPr>
              <w:t>2</w:t>
            </w:r>
          </w:p>
        </w:tc>
        <w:tc>
          <w:tcPr>
            <w:tcW w:w="4538" w:type="dxa"/>
            <w:vAlign w:val="center"/>
          </w:tcPr>
          <w:p w14:paraId="1EEA1DCC">
            <w:pPr>
              <w:autoSpaceDE w:val="0"/>
              <w:autoSpaceDN w:val="0"/>
              <w:spacing w:beforeLines="0" w:afterLines="0" w:line="240" w:lineRule="auto"/>
              <w:jc w:val="left"/>
              <w:rPr>
                <w:rFonts w:hAnsi="宋体"/>
                <w:color w:val="FF0000"/>
                <w:kern w:val="0"/>
                <w:szCs w:val="21"/>
              </w:rPr>
            </w:pPr>
            <w:r>
              <w:rPr>
                <w:rFonts w:hint="eastAsia" w:ascii="宋体" w:hAnsi="宋体"/>
                <w:color w:val="FF0000"/>
                <w:sz w:val="20"/>
                <w:szCs w:val="21"/>
              </w:rPr>
              <w:t>★</w:t>
            </w:r>
            <w:r>
              <w:rPr>
                <w:rFonts w:hint="eastAsia" w:ascii="仿宋_GB2312" w:hAnsi="仿宋_GB2312" w:eastAsia="仿宋_GB2312" w:cs="仿宋_GB2312"/>
                <w:b w:val="0"/>
                <w:bCs w:val="0"/>
                <w:color w:val="FF0000"/>
                <w:kern w:val="0"/>
                <w:sz w:val="24"/>
                <w:szCs w:val="24"/>
                <w:highlight w:val="none"/>
                <w:lang w:val="en-US" w:eastAsia="zh-CN" w:bidi="zh-CN"/>
              </w:rPr>
              <w:t>2.最低投资额：社会资本投资动力游乐设备最低投资额为242.05万元，政府方有权委托第三方造价咨询单位审核确认机动游戏设施相关投资，最终投资额以政府方确认的第三方造价咨询单位审核结果为准。</w:t>
            </w:r>
          </w:p>
        </w:tc>
        <w:tc>
          <w:tcPr>
            <w:tcW w:w="766" w:type="dxa"/>
          </w:tcPr>
          <w:p w14:paraId="23EA18FD">
            <w:pPr>
              <w:adjustRightInd w:val="0"/>
              <w:snapToGrid w:val="0"/>
              <w:spacing w:line="360" w:lineRule="auto"/>
              <w:rPr>
                <w:rFonts w:ascii="宋体" w:hAnsi="宋体"/>
                <w:kern w:val="0"/>
                <w:szCs w:val="21"/>
              </w:rPr>
            </w:pPr>
          </w:p>
        </w:tc>
        <w:tc>
          <w:tcPr>
            <w:tcW w:w="1275" w:type="dxa"/>
          </w:tcPr>
          <w:p w14:paraId="7F564392">
            <w:pPr>
              <w:adjustRightInd w:val="0"/>
              <w:snapToGrid w:val="0"/>
              <w:spacing w:line="360" w:lineRule="auto"/>
              <w:rPr>
                <w:rFonts w:ascii="宋体" w:hAnsi="宋体"/>
                <w:kern w:val="0"/>
                <w:szCs w:val="21"/>
              </w:rPr>
            </w:pPr>
          </w:p>
        </w:tc>
        <w:tc>
          <w:tcPr>
            <w:tcW w:w="933" w:type="dxa"/>
          </w:tcPr>
          <w:p w14:paraId="0AADC3F2">
            <w:pPr>
              <w:adjustRightInd w:val="0"/>
              <w:snapToGrid w:val="0"/>
              <w:spacing w:line="360" w:lineRule="auto"/>
              <w:rPr>
                <w:rFonts w:ascii="宋体" w:hAnsi="宋体"/>
                <w:kern w:val="0"/>
                <w:szCs w:val="21"/>
              </w:rPr>
            </w:pPr>
          </w:p>
        </w:tc>
      </w:tr>
      <w:tr w14:paraId="475F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F9513C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hAnsi="宋体"/>
                <w:kern w:val="0"/>
                <w:sz w:val="24"/>
                <w:szCs w:val="24"/>
              </w:rPr>
            </w:pPr>
            <w:r>
              <w:rPr>
                <w:rFonts w:hint="eastAsia" w:ascii="宋体" w:hAnsi="宋体" w:eastAsia="宋体" w:cs="宋体"/>
                <w:color w:val="FF0000"/>
                <w:kern w:val="0"/>
                <w:sz w:val="24"/>
                <w:szCs w:val="24"/>
                <w:lang w:val="en-US" w:eastAsia="zh-CN"/>
              </w:rPr>
              <w:t>3</w:t>
            </w:r>
          </w:p>
        </w:tc>
        <w:tc>
          <w:tcPr>
            <w:tcW w:w="4538" w:type="dxa"/>
            <w:vAlign w:val="center"/>
          </w:tcPr>
          <w:p w14:paraId="39AABF5E">
            <w:pPr>
              <w:numPr>
                <w:ilvl w:val="0"/>
                <w:numId w:val="0"/>
              </w:numPr>
              <w:autoSpaceDE w:val="0"/>
              <w:autoSpaceDN w:val="0"/>
              <w:spacing w:beforeLines="0" w:afterLines="0" w:line="360" w:lineRule="auto"/>
              <w:jc w:val="left"/>
              <w:rPr>
                <w:rFonts w:hint="eastAsia" w:ascii="仿宋_GB2312" w:hAnsi="仿宋_GB2312" w:eastAsia="仿宋_GB2312" w:cs="仿宋_GB2312"/>
                <w:b w:val="0"/>
                <w:bCs w:val="0"/>
                <w:color w:val="FF0000"/>
                <w:kern w:val="0"/>
                <w:sz w:val="24"/>
                <w:szCs w:val="24"/>
                <w:highlight w:val="none"/>
                <w:lang w:val="en-US" w:eastAsia="zh-CN" w:bidi="zh-CN"/>
              </w:rPr>
            </w:pPr>
            <w:r>
              <w:rPr>
                <w:rFonts w:hint="eastAsia" w:ascii="仿宋_GB2312" w:hAnsi="仿宋_GB2312" w:eastAsia="仿宋_GB2312" w:cs="仿宋_GB2312"/>
                <w:b w:val="0"/>
                <w:bCs w:val="0"/>
                <w:color w:val="FF0000"/>
                <w:kern w:val="0"/>
                <w:sz w:val="24"/>
                <w:szCs w:val="24"/>
                <w:highlight w:val="none"/>
                <w:lang w:val="en-US" w:eastAsia="zh-CN" w:bidi="zh-CN"/>
              </w:rPr>
              <w:t>★4.运营模式：</w:t>
            </w:r>
          </w:p>
          <w:p w14:paraId="474469DA">
            <w:pPr>
              <w:numPr>
                <w:ilvl w:val="0"/>
                <w:numId w:val="0"/>
              </w:numPr>
              <w:autoSpaceDE w:val="0"/>
              <w:autoSpaceDN w:val="0"/>
              <w:spacing w:beforeLines="0" w:afterLines="0" w:line="360" w:lineRule="auto"/>
              <w:jc w:val="left"/>
              <w:rPr>
                <w:rFonts w:hint="eastAsia" w:ascii="仿宋_GB2312" w:hAnsi="仿宋_GB2312" w:eastAsia="仿宋_GB2312" w:cs="仿宋_GB2312"/>
                <w:b w:val="0"/>
                <w:bCs w:val="0"/>
                <w:color w:val="FF0000"/>
                <w:kern w:val="0"/>
                <w:sz w:val="24"/>
                <w:szCs w:val="24"/>
                <w:highlight w:val="none"/>
                <w:lang w:val="en-US" w:eastAsia="zh-CN" w:bidi="zh-CN"/>
              </w:rPr>
            </w:pPr>
            <w:r>
              <w:rPr>
                <w:rFonts w:hint="eastAsia" w:ascii="仿宋_GB2312" w:hAnsi="仿宋_GB2312" w:eastAsia="仿宋_GB2312" w:cs="仿宋_GB2312"/>
                <w:b w:val="0"/>
                <w:bCs w:val="0"/>
                <w:color w:val="FF0000"/>
                <w:kern w:val="0"/>
                <w:sz w:val="24"/>
                <w:szCs w:val="24"/>
                <w:highlight w:val="none"/>
                <w:lang w:val="en-US" w:eastAsia="zh-CN" w:bidi="zh-CN"/>
              </w:rPr>
              <w:t>（1）公共区整体对市民免费开放，设施进行单项收费，收费标准根据市场监督部门有关规定（暂定为10元-20元之间）进行定价。</w:t>
            </w:r>
          </w:p>
          <w:p w14:paraId="208FF360">
            <w:pPr>
              <w:numPr>
                <w:ilvl w:val="0"/>
                <w:numId w:val="0"/>
              </w:numPr>
              <w:autoSpaceDE w:val="0"/>
              <w:autoSpaceDN w:val="0"/>
              <w:spacing w:beforeLines="0" w:afterLines="0" w:line="360" w:lineRule="auto"/>
              <w:jc w:val="left"/>
              <w:rPr>
                <w:rFonts w:hint="eastAsia" w:ascii="仿宋_GB2312" w:hAnsi="仿宋_GB2312" w:eastAsia="仿宋_GB2312" w:cs="仿宋_GB2312"/>
                <w:b w:val="0"/>
                <w:bCs w:val="0"/>
                <w:color w:val="FF0000"/>
                <w:kern w:val="0"/>
                <w:sz w:val="28"/>
                <w:szCs w:val="28"/>
                <w:highlight w:val="none"/>
                <w:lang w:val="en-US" w:eastAsia="zh-CN" w:bidi="zh-CN"/>
              </w:rPr>
            </w:pPr>
            <w:r>
              <w:rPr>
                <w:rFonts w:hint="eastAsia" w:ascii="仿宋_GB2312" w:hAnsi="仿宋_GB2312" w:eastAsia="仿宋_GB2312" w:cs="仿宋_GB2312"/>
                <w:b w:val="0"/>
                <w:bCs w:val="0"/>
                <w:color w:val="FF0000"/>
                <w:kern w:val="0"/>
                <w:sz w:val="24"/>
                <w:szCs w:val="24"/>
                <w:highlight w:val="none"/>
                <w:lang w:val="en-US" w:eastAsia="zh-CN" w:bidi="zh-CN"/>
              </w:rPr>
              <w:t>（2）配合招标方及公园方举办公益活动。</w:t>
            </w:r>
          </w:p>
          <w:tbl>
            <w:tblPr>
              <w:tblStyle w:val="23"/>
              <w:tblpPr w:leftFromText="180" w:rightFromText="180" w:vertAnchor="text" w:horzAnchor="page" w:tblpX="1851" w:tblpY="21"/>
              <w:tblOverlap w:val="never"/>
              <w:tblW w:w="4731"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49"/>
              <w:gridCol w:w="641"/>
              <w:gridCol w:w="2899"/>
            </w:tblGrid>
            <w:tr w14:paraId="78E82DB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6" w:hRule="atLeast"/>
                <w:jc w:val="center"/>
              </w:trPr>
              <w:tc>
                <w:tcPr>
                  <w:tcW w:w="1454" w:type="pct"/>
                  <w:gridSpan w:val="2"/>
                  <w:noWrap/>
                  <w:vAlign w:val="center"/>
                </w:tcPr>
                <w:p w14:paraId="708B639F">
                  <w:pPr>
                    <w:widowControl/>
                    <w:snapToGrid/>
                    <w:spacing w:before="0" w:beforeLines="0" w:after="0" w:afterLines="0" w:line="360" w:lineRule="auto"/>
                    <w:ind w:firstLine="0" w:firstLineChars="0"/>
                    <w:jc w:val="center"/>
                    <w:rPr>
                      <w:rFonts w:ascii="仿宋" w:hAnsi="仿宋" w:eastAsia="仿宋" w:cs="仿宋"/>
                      <w:b/>
                      <w:color w:val="FF0000"/>
                      <w:sz w:val="24"/>
                      <w:szCs w:val="24"/>
                    </w:rPr>
                  </w:pPr>
                  <w:r>
                    <w:rPr>
                      <w:rFonts w:hint="eastAsia" w:ascii="仿宋" w:hAnsi="仿宋" w:eastAsia="仿宋" w:cs="仿宋"/>
                      <w:b/>
                      <w:color w:val="FF0000"/>
                      <w:kern w:val="0"/>
                      <w:sz w:val="24"/>
                      <w:szCs w:val="24"/>
                    </w:rPr>
                    <w:t>功能分区</w:t>
                  </w:r>
                </w:p>
              </w:tc>
              <w:tc>
                <w:tcPr>
                  <w:tcW w:w="3545" w:type="pct"/>
                  <w:noWrap/>
                  <w:vAlign w:val="center"/>
                </w:tcPr>
                <w:p w14:paraId="0BE222DA">
                  <w:pPr>
                    <w:widowControl/>
                    <w:snapToGrid/>
                    <w:spacing w:before="0" w:beforeLines="0" w:after="0" w:afterLines="0" w:line="240" w:lineRule="auto"/>
                    <w:ind w:firstLine="0" w:firstLineChars="0"/>
                    <w:jc w:val="center"/>
                    <w:rPr>
                      <w:rFonts w:ascii="仿宋" w:hAnsi="仿宋" w:eastAsia="仿宋" w:cs="仿宋"/>
                      <w:color w:val="FF0000"/>
                      <w:sz w:val="24"/>
                      <w:szCs w:val="24"/>
                    </w:rPr>
                  </w:pPr>
                  <w:r>
                    <w:rPr>
                      <w:rFonts w:hint="eastAsia" w:ascii="仿宋" w:hAnsi="仿宋" w:eastAsia="仿宋" w:cs="仿宋"/>
                      <w:b/>
                      <w:color w:val="FF0000"/>
                      <w:kern w:val="0"/>
                      <w:sz w:val="24"/>
                      <w:szCs w:val="24"/>
                    </w:rPr>
                    <w:t>开放要求</w:t>
                  </w:r>
                </w:p>
              </w:tc>
            </w:tr>
            <w:tr w14:paraId="30EE7CF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963" w:hRule="atLeast"/>
                <w:jc w:val="center"/>
              </w:trPr>
              <w:tc>
                <w:tcPr>
                  <w:tcW w:w="671" w:type="pct"/>
                  <w:noWrap/>
                  <w:vAlign w:val="center"/>
                </w:tcPr>
                <w:p w14:paraId="78AAE56F">
                  <w:pPr>
                    <w:widowControl/>
                    <w:snapToGrid/>
                    <w:spacing w:before="0" w:beforeLines="0" w:after="0" w:afterLines="0" w:line="360" w:lineRule="auto"/>
                    <w:ind w:firstLine="0" w:firstLineChars="0"/>
                    <w:jc w:val="left"/>
                    <w:rPr>
                      <w:rFonts w:ascii="仿宋" w:hAnsi="仿宋" w:eastAsia="仿宋" w:cs="仿宋"/>
                      <w:b/>
                      <w:color w:val="FF0000"/>
                      <w:kern w:val="0"/>
                      <w:sz w:val="24"/>
                      <w:szCs w:val="24"/>
                    </w:rPr>
                  </w:pPr>
                  <w:r>
                    <w:rPr>
                      <w:rFonts w:hint="eastAsia" w:ascii="仿宋" w:hAnsi="仿宋" w:eastAsia="仿宋" w:cs="仿宋"/>
                      <w:b/>
                      <w:color w:val="FF0000"/>
                      <w:kern w:val="0"/>
                      <w:sz w:val="24"/>
                      <w:szCs w:val="24"/>
                    </w:rPr>
                    <w:t>动力游戏区</w:t>
                  </w:r>
                </w:p>
              </w:tc>
              <w:tc>
                <w:tcPr>
                  <w:tcW w:w="783" w:type="pct"/>
                  <w:noWrap/>
                  <w:vAlign w:val="center"/>
                </w:tcPr>
                <w:p w14:paraId="2F4A8DED">
                  <w:pPr>
                    <w:widowControl/>
                    <w:snapToGrid/>
                    <w:spacing w:before="0" w:beforeLines="0" w:after="0" w:afterLines="0" w:line="360" w:lineRule="auto"/>
                    <w:ind w:firstLine="0" w:firstLineChars="0"/>
                    <w:jc w:val="left"/>
                    <w:rPr>
                      <w:rFonts w:ascii="仿宋" w:hAnsi="仿宋" w:eastAsia="仿宋" w:cs="仿宋"/>
                      <w:b/>
                      <w:color w:val="FF0000"/>
                      <w:kern w:val="0"/>
                      <w:sz w:val="24"/>
                      <w:szCs w:val="24"/>
                    </w:rPr>
                  </w:pPr>
                  <w:r>
                    <w:rPr>
                      <w:rFonts w:hint="eastAsia" w:ascii="仿宋" w:hAnsi="仿宋" w:eastAsia="仿宋" w:cs="仿宋"/>
                      <w:b/>
                      <w:color w:val="FF0000"/>
                      <w:sz w:val="24"/>
                      <w:szCs w:val="24"/>
                    </w:rPr>
                    <w:t>机动游戏设施</w:t>
                  </w:r>
                </w:p>
              </w:tc>
              <w:tc>
                <w:tcPr>
                  <w:tcW w:w="3545" w:type="pct"/>
                  <w:noWrap/>
                  <w:vAlign w:val="center"/>
                </w:tcPr>
                <w:p w14:paraId="6DF94F61">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snapToGrid w:val="0"/>
                      <w:color w:val="FF0000"/>
                      <w:kern w:val="2"/>
                      <w:sz w:val="24"/>
                      <w:szCs w:val="24"/>
                      <w:lang w:val="en-US" w:eastAsia="zh-CN" w:bidi="ar-SA"/>
                    </w:rPr>
                  </w:pPr>
                  <w:r>
                    <w:rPr>
                      <w:rFonts w:hint="eastAsia" w:ascii="仿宋" w:hAnsi="仿宋" w:eastAsia="仿宋" w:cs="仿宋"/>
                      <w:snapToGrid w:val="0"/>
                      <w:color w:val="FF0000"/>
                      <w:kern w:val="2"/>
                      <w:sz w:val="24"/>
                      <w:szCs w:val="24"/>
                      <w:lang w:val="en-US" w:eastAsia="zh-CN" w:bidi="ar-SA"/>
                    </w:rPr>
                    <w:t>1.每年开放不少于300日（法定节假日、周末、寒暑假期间必须开放）</w:t>
                  </w:r>
                </w:p>
                <w:p w14:paraId="40062C0A">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color w:val="FF0000"/>
                      <w:kern w:val="2"/>
                      <w:sz w:val="24"/>
                      <w:szCs w:val="24"/>
                      <w:lang w:val="en-US" w:eastAsia="zh-CN" w:bidi="ar-SA"/>
                    </w:rPr>
                  </w:pPr>
                  <w:r>
                    <w:rPr>
                      <w:rFonts w:hint="eastAsia" w:ascii="仿宋" w:hAnsi="仿宋" w:eastAsia="仿宋" w:cs="仿宋"/>
                      <w:snapToGrid w:val="0"/>
                      <w:color w:val="FF0000"/>
                      <w:kern w:val="2"/>
                      <w:sz w:val="24"/>
                      <w:szCs w:val="24"/>
                      <w:lang w:val="en-US" w:eastAsia="zh-CN" w:bidi="ar-SA"/>
                    </w:rPr>
                    <w:t>2.每个开放日的</w:t>
                  </w:r>
                  <w:r>
                    <w:rPr>
                      <w:rFonts w:hint="eastAsia" w:ascii="仿宋" w:hAnsi="仿宋" w:eastAsia="仿宋" w:cs="仿宋"/>
                      <w:color w:val="FF0000"/>
                      <w:kern w:val="2"/>
                      <w:sz w:val="24"/>
                      <w:szCs w:val="24"/>
                      <w:lang w:val="en-US" w:eastAsia="zh-CN" w:bidi="ar-SA"/>
                    </w:rPr>
                    <w:t>开放时间不少于12小时</w:t>
                  </w:r>
                </w:p>
                <w:p w14:paraId="74DB2458">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color w:val="FF0000"/>
                      <w:kern w:val="2"/>
                      <w:sz w:val="24"/>
                      <w:szCs w:val="24"/>
                      <w:lang w:val="en-US" w:eastAsia="zh-CN" w:bidi="ar-SA"/>
                    </w:rPr>
                  </w:pPr>
                  <w:r>
                    <w:rPr>
                      <w:rFonts w:hint="eastAsia" w:ascii="仿宋" w:hAnsi="仿宋" w:eastAsia="仿宋" w:cs="仿宋"/>
                      <w:color w:val="FF0000"/>
                      <w:kern w:val="2"/>
                      <w:sz w:val="24"/>
                      <w:szCs w:val="24"/>
                      <w:lang w:val="en-US" w:eastAsia="zh-CN" w:bidi="ar-SA"/>
                    </w:rPr>
                    <w:t>3.父亲节免费向带儿童的父亲开放</w:t>
                  </w:r>
                </w:p>
                <w:p w14:paraId="4B6402A0">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color w:val="FF0000"/>
                      <w:kern w:val="0"/>
                      <w:sz w:val="24"/>
                      <w:szCs w:val="24"/>
                      <w:lang w:val="en-US" w:eastAsia="zh-CN" w:bidi="ar-SA"/>
                    </w:rPr>
                  </w:pPr>
                  <w:r>
                    <w:rPr>
                      <w:rFonts w:hint="eastAsia" w:ascii="仿宋" w:hAnsi="仿宋" w:eastAsia="仿宋" w:cs="仿宋"/>
                      <w:color w:val="FF0000"/>
                      <w:kern w:val="2"/>
                      <w:sz w:val="24"/>
                      <w:szCs w:val="24"/>
                      <w:lang w:val="en-US" w:eastAsia="zh-CN" w:bidi="ar-SA"/>
                    </w:rPr>
                    <w:t>4.母亲节免费向带儿童的母亲开放</w:t>
                  </w:r>
                </w:p>
                <w:p w14:paraId="3A3B9B2A">
                  <w:pPr>
                    <w:widowControl/>
                    <w:numPr>
                      <w:ilvl w:val="0"/>
                      <w:numId w:val="0"/>
                    </w:numPr>
                    <w:snapToGrid/>
                    <w:spacing w:before="0" w:beforeLines="0" w:after="0" w:afterLines="0" w:line="240" w:lineRule="auto"/>
                    <w:ind w:left="420" w:leftChars="0" w:hanging="420" w:firstLineChars="0"/>
                    <w:jc w:val="left"/>
                    <w:rPr>
                      <w:rFonts w:ascii="仿宋" w:hAnsi="仿宋" w:eastAsia="仿宋" w:cs="仿宋"/>
                      <w:color w:val="FF0000"/>
                      <w:kern w:val="0"/>
                      <w:sz w:val="24"/>
                      <w:szCs w:val="24"/>
                      <w:lang w:val="en-US" w:eastAsia="zh-CN" w:bidi="ar-SA"/>
                    </w:rPr>
                  </w:pPr>
                  <w:r>
                    <w:rPr>
                      <w:rFonts w:hint="eastAsia" w:ascii="仿宋" w:hAnsi="仿宋" w:eastAsia="仿宋" w:cs="仿宋"/>
                      <w:color w:val="FF0000"/>
                      <w:kern w:val="0"/>
                      <w:sz w:val="24"/>
                      <w:szCs w:val="24"/>
                      <w:lang w:val="en-US" w:eastAsia="zh-CN" w:bidi="ar-SA"/>
                    </w:rPr>
                    <w:t>5.</w:t>
                  </w:r>
                  <w:r>
                    <w:rPr>
                      <w:rFonts w:ascii="仿宋" w:hAnsi="仿宋" w:eastAsia="仿宋" w:cs="仿宋"/>
                      <w:color w:val="FF0000"/>
                      <w:kern w:val="0"/>
                      <w:sz w:val="24"/>
                      <w:szCs w:val="24"/>
                      <w:lang w:val="en-US" w:eastAsia="zh-CN" w:bidi="ar-SA"/>
                    </w:rPr>
                    <w:t>儿童节对特定对象</w:t>
                  </w:r>
                  <w:r>
                    <w:rPr>
                      <w:rFonts w:hint="eastAsia" w:ascii="仿宋" w:hAnsi="仿宋" w:eastAsia="仿宋" w:cs="仿宋"/>
                      <w:color w:val="FF0000"/>
                      <w:kern w:val="0"/>
                      <w:sz w:val="24"/>
                      <w:szCs w:val="24"/>
                      <w:lang w:val="en-US" w:eastAsia="zh-CN" w:bidi="ar-SA"/>
                    </w:rPr>
                    <w:t>发放有限数量免费票</w:t>
                  </w:r>
                </w:p>
              </w:tc>
            </w:tr>
          </w:tbl>
          <w:p w14:paraId="160EF080">
            <w:pPr>
              <w:numPr>
                <w:ilvl w:val="0"/>
                <w:numId w:val="0"/>
              </w:numPr>
              <w:autoSpaceDE w:val="0"/>
              <w:autoSpaceDN w:val="0"/>
              <w:spacing w:beforeLines="0" w:afterLines="0" w:line="240" w:lineRule="auto"/>
              <w:ind w:left="0" w:leftChars="0" w:firstLine="0" w:firstLineChars="0"/>
              <w:jc w:val="left"/>
              <w:rPr>
                <w:rFonts w:ascii="宋体" w:hAnsi="宋体"/>
                <w:color w:val="FF0000"/>
                <w:kern w:val="0"/>
                <w:szCs w:val="21"/>
              </w:rPr>
            </w:pPr>
            <w:r>
              <w:rPr>
                <w:rFonts w:hint="eastAsia" w:ascii="仿宋_GB2312" w:hAnsi="仿宋_GB2312" w:eastAsia="仿宋_GB2312" w:cs="仿宋_GB2312"/>
                <w:b w:val="0"/>
                <w:bCs w:val="0"/>
                <w:color w:val="FF0000"/>
                <w:kern w:val="0"/>
                <w:sz w:val="24"/>
                <w:szCs w:val="24"/>
                <w:highlight w:val="none"/>
                <w:lang w:val="en-US" w:eastAsia="zh-CN" w:bidi="zh-CN"/>
              </w:rPr>
              <w:t>（3）划定的动力设施相关区域包括连接道路的一切安全责任、清扫保洁、设备维修运营、安保及保险购买等均由运营单位负全责。运营方应当在开始运营日前，根据要求参考同类项目确定具体开放的时间段，报招标人审核同意后在动力游戏区现场醒目位置公示，并通过网络向公众推送。</w:t>
            </w:r>
          </w:p>
        </w:tc>
        <w:tc>
          <w:tcPr>
            <w:tcW w:w="766" w:type="dxa"/>
          </w:tcPr>
          <w:p w14:paraId="56E71E43">
            <w:pPr>
              <w:adjustRightInd w:val="0"/>
              <w:snapToGrid w:val="0"/>
              <w:spacing w:line="360" w:lineRule="auto"/>
              <w:rPr>
                <w:rFonts w:ascii="宋体" w:hAnsi="宋体"/>
                <w:kern w:val="0"/>
                <w:szCs w:val="21"/>
              </w:rPr>
            </w:pPr>
          </w:p>
        </w:tc>
        <w:tc>
          <w:tcPr>
            <w:tcW w:w="1275" w:type="dxa"/>
          </w:tcPr>
          <w:p w14:paraId="213BE419">
            <w:pPr>
              <w:adjustRightInd w:val="0"/>
              <w:snapToGrid w:val="0"/>
              <w:spacing w:line="360" w:lineRule="auto"/>
              <w:rPr>
                <w:rFonts w:ascii="宋体" w:hAnsi="宋体"/>
                <w:kern w:val="0"/>
                <w:szCs w:val="21"/>
              </w:rPr>
            </w:pPr>
          </w:p>
        </w:tc>
        <w:tc>
          <w:tcPr>
            <w:tcW w:w="933" w:type="dxa"/>
          </w:tcPr>
          <w:p w14:paraId="02915D84">
            <w:pPr>
              <w:adjustRightInd w:val="0"/>
              <w:snapToGrid w:val="0"/>
              <w:spacing w:line="360" w:lineRule="auto"/>
              <w:rPr>
                <w:rFonts w:ascii="宋体" w:hAnsi="宋体"/>
                <w:kern w:val="0"/>
                <w:szCs w:val="21"/>
              </w:rPr>
            </w:pPr>
          </w:p>
        </w:tc>
      </w:tr>
      <w:tr w14:paraId="6782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C7B5F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kern w:val="0"/>
                <w:sz w:val="24"/>
                <w:szCs w:val="24"/>
              </w:rPr>
            </w:pPr>
            <w:r>
              <w:rPr>
                <w:rFonts w:hint="eastAsia" w:ascii="宋体" w:hAnsi="宋体" w:eastAsia="宋体" w:cs="宋体"/>
                <w:color w:val="FF0000"/>
                <w:kern w:val="0"/>
                <w:sz w:val="24"/>
                <w:szCs w:val="24"/>
                <w:lang w:val="en-US" w:eastAsia="zh-CN"/>
              </w:rPr>
              <w:t>4</w:t>
            </w:r>
          </w:p>
        </w:tc>
        <w:tc>
          <w:tcPr>
            <w:tcW w:w="4538" w:type="dxa"/>
            <w:vAlign w:val="center"/>
          </w:tcPr>
          <w:p w14:paraId="3EAAFEA7">
            <w:pPr>
              <w:autoSpaceDE w:val="0"/>
              <w:autoSpaceDN w:val="0"/>
              <w:spacing w:beforeLines="0" w:afterLines="0" w:line="240" w:lineRule="auto"/>
              <w:jc w:val="left"/>
              <w:rPr>
                <w:rFonts w:hint="eastAsia" w:ascii="宋体" w:hAnsi="宋体"/>
                <w:color w:val="FF0000"/>
                <w:kern w:val="0"/>
                <w:szCs w:val="21"/>
              </w:rPr>
            </w:pPr>
            <w:r>
              <w:rPr>
                <w:rFonts w:hint="eastAsia" w:ascii="宋体" w:hAnsi="宋体"/>
                <w:color w:val="FF0000"/>
              </w:rPr>
              <w:t>★</w:t>
            </w:r>
            <w:r>
              <w:rPr>
                <w:rFonts w:hint="eastAsia" w:ascii="仿宋_GB2312" w:hAnsi="仿宋_GB2312" w:eastAsia="仿宋_GB2312" w:cs="仿宋_GB2312"/>
                <w:b w:val="0"/>
                <w:bCs w:val="0"/>
                <w:color w:val="FF0000"/>
                <w:kern w:val="0"/>
                <w:sz w:val="24"/>
                <w:szCs w:val="24"/>
                <w:highlight w:val="none"/>
                <w:lang w:val="en-US" w:eastAsia="zh-CN" w:bidi="zh-CN"/>
              </w:rPr>
              <w:t>5.利润分成方式：采取收入分成的模式，自项目运营的第3个运营年期满、第4个运营年的第1天开始，政府按照不低于运营收入的5%进行分成，最终分成比例以供应商中标报价的比例为准。</w:t>
            </w:r>
          </w:p>
        </w:tc>
        <w:tc>
          <w:tcPr>
            <w:tcW w:w="766" w:type="dxa"/>
          </w:tcPr>
          <w:p w14:paraId="538FA91F">
            <w:pPr>
              <w:adjustRightInd w:val="0"/>
              <w:snapToGrid w:val="0"/>
              <w:spacing w:line="360" w:lineRule="auto"/>
              <w:rPr>
                <w:rFonts w:ascii="宋体" w:hAnsi="宋体"/>
                <w:kern w:val="0"/>
                <w:szCs w:val="21"/>
              </w:rPr>
            </w:pPr>
          </w:p>
        </w:tc>
        <w:tc>
          <w:tcPr>
            <w:tcW w:w="1275" w:type="dxa"/>
          </w:tcPr>
          <w:p w14:paraId="362BA404">
            <w:pPr>
              <w:adjustRightInd w:val="0"/>
              <w:snapToGrid w:val="0"/>
              <w:spacing w:line="360" w:lineRule="auto"/>
              <w:rPr>
                <w:rFonts w:ascii="宋体" w:hAnsi="宋体"/>
                <w:kern w:val="0"/>
                <w:szCs w:val="21"/>
              </w:rPr>
            </w:pPr>
          </w:p>
        </w:tc>
        <w:tc>
          <w:tcPr>
            <w:tcW w:w="933" w:type="dxa"/>
          </w:tcPr>
          <w:p w14:paraId="5DB93C1C">
            <w:pPr>
              <w:adjustRightInd w:val="0"/>
              <w:snapToGrid w:val="0"/>
              <w:spacing w:line="360" w:lineRule="auto"/>
              <w:rPr>
                <w:rFonts w:ascii="宋体" w:hAnsi="宋体"/>
                <w:kern w:val="0"/>
                <w:szCs w:val="21"/>
              </w:rPr>
            </w:pPr>
          </w:p>
        </w:tc>
      </w:tr>
    </w:tbl>
    <w:p w14:paraId="30ABF601">
      <w:pPr>
        <w:ind w:firstLine="420" w:firstLineChars="200"/>
      </w:pPr>
      <w:r>
        <w:rPr>
          <w:rFonts w:hint="eastAsia"/>
        </w:rPr>
        <w:t>注：</w:t>
      </w:r>
    </w:p>
    <w:p w14:paraId="654F46B3">
      <w:pPr>
        <w:ind w:firstLine="420" w:firstLineChars="200"/>
      </w:pPr>
      <w:r>
        <w:rPr>
          <w:rFonts w:hint="eastAsia"/>
        </w:rPr>
        <w:t>1.上表所列各项均为不可负偏离条款。</w:t>
      </w:r>
    </w:p>
    <w:p w14:paraId="3E68AEF3">
      <w:pPr>
        <w:ind w:firstLine="420" w:firstLineChars="200"/>
      </w:pPr>
      <w:r>
        <w:rPr>
          <w:rFonts w:hint="eastAsia"/>
        </w:rPr>
        <w:t>2.“投标响应”一栏应当详细填写投标人自身响应情况，而不能不合理照搬照抄招实质性条款具体内容。</w:t>
      </w:r>
    </w:p>
    <w:p w14:paraId="7528FA20">
      <w:pPr>
        <w:ind w:firstLine="420" w:firstLineChars="20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267F51E">
      <w:pPr>
        <w:ind w:firstLine="420" w:firstLineChars="200"/>
      </w:pPr>
      <w:r>
        <w:t>4.</w:t>
      </w:r>
      <w:r>
        <w:rPr>
          <w:rFonts w:hint="eastAsia"/>
        </w:rPr>
        <w:t>评审委员会有权对投标响应情况作出判断（作出评审结论）。</w:t>
      </w:r>
    </w:p>
    <w:p w14:paraId="0C0D4DDD">
      <w:pPr>
        <w:ind w:firstLine="420" w:firstLineChars="200"/>
      </w:pPr>
      <w:r>
        <w:t>5</w:t>
      </w:r>
      <w:r>
        <w:rPr>
          <w:rFonts w:hint="eastAsia"/>
        </w:rPr>
        <w:t>.实质性响应条款“投标响应情况”与投标文件其它内容冲突的，以实质性响应条款“投标响应情况”为准。</w:t>
      </w:r>
    </w:p>
    <w:p w14:paraId="1884D3D3">
      <w:pPr>
        <w:numPr>
          <w:ilvl w:val="0"/>
          <w:numId w:val="0"/>
        </w:numPr>
        <w:snapToGrid w:val="0"/>
        <w:spacing w:afterLines="25" w:line="300" w:lineRule="auto"/>
        <w:ind w:leftChars="0"/>
        <w:rPr>
          <w:rFonts w:cs="Times New Roman" w:asciiTheme="majorEastAsia" w:hAnsiTheme="majorEastAsia" w:eastAsiaTheme="majorEastAsia"/>
          <w:b/>
          <w:color w:val="FF0000"/>
          <w:sz w:val="24"/>
          <w:szCs w:val="24"/>
        </w:rPr>
      </w:pPr>
      <w:r>
        <w:rPr>
          <w:rFonts w:hint="eastAsia"/>
        </w:rPr>
        <w:t>6.要求提供证明资料，在“说明”一栏中列明证明资料的位置,以便评审；未要求提供证明材料的</w:t>
      </w:r>
      <w:r>
        <w:rPr>
          <w:rFonts w:hint="eastAsia"/>
          <w:lang w:eastAsia="zh-CN"/>
        </w:rPr>
        <w:t>。</w:t>
      </w:r>
    </w:p>
    <w:p w14:paraId="7AD48990">
      <w:pPr>
        <w:pStyle w:val="10"/>
        <w:rPr>
          <w:rFonts w:cs="Times New Roman" w:asciiTheme="majorEastAsia" w:hAnsiTheme="majorEastAsia" w:eastAsiaTheme="majorEastAsia"/>
          <w:b/>
          <w:color w:val="FF0000"/>
          <w:sz w:val="24"/>
          <w:szCs w:val="24"/>
        </w:rPr>
      </w:pPr>
    </w:p>
    <w:p w14:paraId="5613C1E6">
      <w:pPr>
        <w:pStyle w:val="19"/>
        <w:rPr>
          <w:rFonts w:cs="Times New Roman" w:asciiTheme="majorEastAsia" w:hAnsiTheme="majorEastAsia" w:eastAsiaTheme="majorEastAsia"/>
          <w:b/>
          <w:color w:val="FF0000"/>
          <w:sz w:val="24"/>
          <w:szCs w:val="24"/>
        </w:rPr>
      </w:pPr>
    </w:p>
    <w:p w14:paraId="6E8D7D7E">
      <w:pPr>
        <w:rPr>
          <w:rFonts w:ascii="Arial" w:hAnsi="Arial" w:eastAsia="宋体" w:cs="Times New Roman"/>
          <w:sz w:val="24"/>
          <w:szCs w:val="24"/>
        </w:rPr>
      </w:pPr>
      <w:r>
        <w:rPr>
          <w:rFonts w:ascii="宋体" w:hAnsi="宋体" w:eastAsia="宋体" w:cs="Times New Roman"/>
          <w:color w:val="FF0000"/>
          <w:sz w:val="32"/>
          <w:szCs w:val="32"/>
        </w:rPr>
        <w:br w:type="page"/>
      </w:r>
    </w:p>
    <w:p w14:paraId="03376195">
      <w:pPr>
        <w:spacing w:afterLines="25" w:line="300" w:lineRule="auto"/>
        <w:rPr>
          <w:rFonts w:ascii="Arial" w:hAnsi="Arial" w:eastAsia="宋体" w:cs="Times New Roman"/>
          <w:sz w:val="24"/>
          <w:szCs w:val="24"/>
        </w:rPr>
        <w:sectPr>
          <w:headerReference r:id="rId3" w:type="default"/>
          <w:footerReference r:id="rId4" w:type="default"/>
          <w:pgSz w:w="11906" w:h="16838"/>
          <w:pgMar w:top="1440" w:right="1417" w:bottom="1440" w:left="1417" w:header="851" w:footer="992" w:gutter="0"/>
          <w:pgNumType w:fmt="decimal" w:start="1"/>
          <w:cols w:space="425" w:num="1"/>
          <w:docGrid w:type="lines" w:linePitch="312" w:charSpace="0"/>
        </w:sectPr>
      </w:pPr>
    </w:p>
    <w:p w14:paraId="1F74F53B">
      <w:pPr>
        <w:keepNext/>
        <w:keepLines/>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t>4</w:t>
      </w:r>
      <w:r>
        <w:rPr>
          <w:rFonts w:hint="eastAsia" w:ascii="宋体" w:hAnsi="宋体" w:eastAsia="宋体" w:cs="Times New Roman"/>
          <w:b/>
          <w:bCs/>
          <w:kern w:val="0"/>
          <w:sz w:val="24"/>
          <w:szCs w:val="20"/>
        </w:rPr>
        <w:t>.整体项目运营方案</w:t>
      </w:r>
    </w:p>
    <w:p w14:paraId="70697993">
      <w:pPr>
        <w:rPr>
          <w:rFonts w:hint="eastAsia"/>
        </w:rPr>
      </w:pPr>
      <w:r>
        <w:rPr>
          <w:rFonts w:hint="eastAsia"/>
        </w:rPr>
        <w:t>按照招标文件要求提供证明文件。</w:t>
      </w:r>
    </w:p>
    <w:p w14:paraId="6C075C73">
      <w:pPr>
        <w:pStyle w:val="22"/>
        <w:rPr>
          <w:rFonts w:hint="eastAsia"/>
          <w:lang w:val="en-US" w:eastAsia="zh-CN"/>
        </w:rPr>
      </w:pPr>
    </w:p>
    <w:p w14:paraId="08724590">
      <w:pPr>
        <w:keepNext/>
        <w:keepLines/>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t>5</w:t>
      </w:r>
      <w:r>
        <w:rPr>
          <w:rFonts w:hint="eastAsia" w:ascii="宋体" w:hAnsi="宋体" w:eastAsia="宋体" w:cs="Times New Roman"/>
          <w:b/>
          <w:bCs/>
          <w:kern w:val="0"/>
          <w:sz w:val="24"/>
          <w:szCs w:val="20"/>
        </w:rPr>
        <w:t>.管理制度</w:t>
      </w:r>
    </w:p>
    <w:p w14:paraId="42537ABA">
      <w:pPr>
        <w:rPr>
          <w:rFonts w:hint="eastAsia"/>
        </w:rPr>
      </w:pPr>
      <w:r>
        <w:rPr>
          <w:rFonts w:hint="eastAsia"/>
        </w:rPr>
        <w:t>按照招标文件要求提供证明文件。</w:t>
      </w:r>
    </w:p>
    <w:p w14:paraId="62AF351E">
      <w:pPr>
        <w:pStyle w:val="22"/>
        <w:rPr>
          <w:rFonts w:hint="eastAsia"/>
          <w:lang w:val="en-US" w:eastAsia="zh-CN"/>
        </w:rPr>
      </w:pPr>
    </w:p>
    <w:p w14:paraId="3BC19730">
      <w:pPr>
        <w:keepNext/>
        <w:keepLines/>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t>6</w:t>
      </w:r>
      <w:r>
        <w:rPr>
          <w:rFonts w:hint="eastAsia" w:ascii="宋体" w:hAnsi="宋体" w:eastAsia="宋体" w:cs="Times New Roman"/>
          <w:b/>
          <w:bCs/>
          <w:kern w:val="0"/>
          <w:sz w:val="24"/>
          <w:szCs w:val="20"/>
        </w:rPr>
        <w:t>.应急预案及处置措施</w:t>
      </w:r>
    </w:p>
    <w:p w14:paraId="10BF99DA">
      <w:pPr>
        <w:rPr>
          <w:rFonts w:hint="eastAsia"/>
        </w:rPr>
      </w:pPr>
      <w:r>
        <w:rPr>
          <w:rFonts w:hint="eastAsia"/>
        </w:rPr>
        <w:t>按照招标文件要求提供证明文件。</w:t>
      </w:r>
    </w:p>
    <w:p w14:paraId="6B6AF908">
      <w:pPr>
        <w:pStyle w:val="22"/>
        <w:rPr>
          <w:rFonts w:hint="eastAsia"/>
          <w:lang w:val="en-US" w:eastAsia="zh-CN"/>
        </w:rPr>
      </w:pPr>
    </w:p>
    <w:p w14:paraId="16908A7C">
      <w:pPr>
        <w:keepNext/>
        <w:keepLines/>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t>7</w:t>
      </w:r>
      <w:r>
        <w:rPr>
          <w:rFonts w:hint="eastAsia" w:ascii="宋体" w:hAnsi="宋体" w:eastAsia="宋体" w:cs="Times New Roman"/>
          <w:b/>
          <w:bCs/>
          <w:kern w:val="0"/>
          <w:sz w:val="24"/>
          <w:szCs w:val="20"/>
        </w:rPr>
        <w:t>.拟安排的项目负责人情况（仅限一人）</w:t>
      </w:r>
    </w:p>
    <w:p w14:paraId="037B8F22">
      <w:pPr>
        <w:rPr>
          <w:rFonts w:hint="eastAsia"/>
        </w:rPr>
      </w:pPr>
      <w:r>
        <w:rPr>
          <w:rFonts w:hint="eastAsia"/>
        </w:rPr>
        <w:t>按照招标文件要求提供证明文件。</w:t>
      </w:r>
    </w:p>
    <w:p w14:paraId="3D978B90">
      <w:pPr>
        <w:pStyle w:val="22"/>
        <w:rPr>
          <w:rFonts w:hint="eastAsia"/>
          <w:lang w:val="en-US" w:eastAsia="zh-CN"/>
        </w:rPr>
      </w:pPr>
    </w:p>
    <w:p w14:paraId="126632A4">
      <w:pPr>
        <w:keepNext/>
        <w:keepLines/>
        <w:numPr>
          <w:ilvl w:val="0"/>
          <w:numId w:val="0"/>
        </w:numPr>
        <w:adjustRightInd w:val="0"/>
        <w:snapToGrid w:val="0"/>
        <w:spacing w:line="360" w:lineRule="auto"/>
        <w:ind w:left="2310" w:leftChars="0"/>
        <w:jc w:val="both"/>
        <w:textAlignment w:val="baseline"/>
        <w:outlineLvl w:val="9"/>
        <w:rPr>
          <w:rFonts w:hint="eastAsia" w:ascii="宋体" w:hAnsi="宋体" w:eastAsia="宋体" w:cs="Times New Roman"/>
          <w:b/>
          <w:bCs/>
          <w:kern w:val="0"/>
          <w:sz w:val="24"/>
          <w:szCs w:val="20"/>
          <w:lang w:val="en-US" w:eastAsia="zh-CN"/>
        </w:rPr>
      </w:pPr>
    </w:p>
    <w:p w14:paraId="60EB89FA">
      <w:pPr>
        <w:keepNext/>
        <w:keepLines/>
        <w:numPr>
          <w:ilvl w:val="0"/>
          <w:numId w:val="0"/>
        </w:numPr>
        <w:adjustRightInd w:val="0"/>
        <w:snapToGrid w:val="0"/>
        <w:spacing w:line="360" w:lineRule="auto"/>
        <w:ind w:left="2310" w:leftChars="0"/>
        <w:jc w:val="both"/>
        <w:textAlignment w:val="baseline"/>
        <w:outlineLvl w:val="3"/>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t>8</w:t>
      </w:r>
      <w:r>
        <w:rPr>
          <w:rFonts w:hint="eastAsia" w:ascii="宋体" w:hAnsi="宋体" w:eastAsia="宋体" w:cs="Times New Roman"/>
          <w:b/>
          <w:bCs/>
          <w:kern w:val="0"/>
          <w:sz w:val="24"/>
          <w:szCs w:val="20"/>
        </w:rPr>
        <w:t>.</w:t>
      </w:r>
      <w:r>
        <w:rPr>
          <w:rFonts w:hint="eastAsia" w:ascii="宋体" w:hAnsi="宋体" w:eastAsia="宋体" w:cs="Times New Roman"/>
          <w:b/>
          <w:bCs/>
          <w:kern w:val="0"/>
          <w:sz w:val="24"/>
          <w:szCs w:val="20"/>
          <w:lang w:val="en-US" w:eastAsia="zh-CN"/>
        </w:rPr>
        <w:t>投标人认为需要加以说明的其他内容</w:t>
      </w:r>
    </w:p>
    <w:p w14:paraId="61916792">
      <w:pPr>
        <w:spacing w:afterLines="25" w:line="300" w:lineRule="auto"/>
        <w:rPr>
          <w:rFonts w:ascii="Arial" w:hAnsi="Arial" w:eastAsia="宋体" w:cs="Times New Roman"/>
          <w:sz w:val="24"/>
          <w:szCs w:val="24"/>
        </w:rPr>
      </w:pPr>
    </w:p>
    <w:p w14:paraId="07D26CC4">
      <w:pPr>
        <w:pStyle w:val="22"/>
        <w:rPr>
          <w:rFonts w:ascii="Arial" w:hAnsi="Arial" w:eastAsia="宋体" w:cs="Times New Roman"/>
          <w:sz w:val="24"/>
          <w:szCs w:val="24"/>
        </w:rPr>
      </w:pPr>
    </w:p>
    <w:p w14:paraId="29FE86A9">
      <w:pPr>
        <w:pStyle w:val="22"/>
        <w:rPr>
          <w:rFonts w:ascii="Arial" w:hAnsi="Arial" w:eastAsia="宋体" w:cs="Times New Roman"/>
          <w:sz w:val="24"/>
          <w:szCs w:val="24"/>
        </w:rPr>
      </w:pPr>
    </w:p>
    <w:p w14:paraId="197FA07E">
      <w:pPr>
        <w:pStyle w:val="22"/>
        <w:rPr>
          <w:rFonts w:ascii="Arial" w:hAnsi="Arial" w:eastAsia="宋体" w:cs="Times New Roman"/>
          <w:sz w:val="24"/>
          <w:szCs w:val="24"/>
        </w:rPr>
      </w:pPr>
    </w:p>
    <w:p w14:paraId="3A9F12E8">
      <w:pPr>
        <w:pStyle w:val="22"/>
        <w:rPr>
          <w:rFonts w:ascii="Arial" w:hAnsi="Arial" w:eastAsia="宋体" w:cs="Times New Roman"/>
          <w:sz w:val="24"/>
          <w:szCs w:val="24"/>
        </w:rPr>
      </w:pPr>
    </w:p>
    <w:p w14:paraId="03D21347">
      <w:pPr>
        <w:pStyle w:val="22"/>
        <w:rPr>
          <w:rFonts w:ascii="Arial" w:hAnsi="Arial" w:eastAsia="宋体" w:cs="Times New Roman"/>
          <w:sz w:val="24"/>
          <w:szCs w:val="24"/>
        </w:rPr>
      </w:pPr>
    </w:p>
    <w:p w14:paraId="58859B92">
      <w:pPr>
        <w:pStyle w:val="22"/>
        <w:rPr>
          <w:rFonts w:ascii="Arial" w:hAnsi="Arial" w:eastAsia="宋体" w:cs="Times New Roman"/>
          <w:sz w:val="24"/>
          <w:szCs w:val="24"/>
        </w:rPr>
      </w:pPr>
    </w:p>
    <w:p w14:paraId="478D5448">
      <w:pPr>
        <w:pStyle w:val="22"/>
        <w:rPr>
          <w:rFonts w:ascii="Arial" w:hAnsi="Arial" w:eastAsia="宋体" w:cs="Times New Roman"/>
          <w:sz w:val="24"/>
          <w:szCs w:val="24"/>
        </w:rPr>
      </w:pPr>
    </w:p>
    <w:p w14:paraId="4D837F5C">
      <w:pPr>
        <w:pStyle w:val="22"/>
        <w:rPr>
          <w:rFonts w:ascii="Arial" w:hAnsi="Arial" w:eastAsia="宋体" w:cs="Times New Roman"/>
          <w:sz w:val="24"/>
          <w:szCs w:val="24"/>
        </w:rPr>
      </w:pPr>
    </w:p>
    <w:p w14:paraId="2A8C557C">
      <w:pPr>
        <w:keepNext w:val="0"/>
        <w:keepLines w:val="0"/>
        <w:adjustRightInd/>
        <w:spacing w:before="0" w:after="0" w:afterLines="25" w:line="300" w:lineRule="auto"/>
        <w:jc w:val="center"/>
        <w:textAlignment w:val="auto"/>
        <w:outlineLvl w:val="9"/>
        <w:rPr>
          <w:rFonts w:hint="eastAsia" w:ascii="宋体" w:hAnsi="宋体" w:eastAsia="宋体" w:cs="Times New Roman"/>
          <w:b/>
          <w:bCs/>
          <w:kern w:val="0"/>
          <w:sz w:val="28"/>
          <w:szCs w:val="28"/>
        </w:rPr>
        <w:sectPr>
          <w:footerReference r:id="rId5" w:type="default"/>
          <w:pgSz w:w="11906" w:h="16838"/>
          <w:pgMar w:top="1440" w:right="1417" w:bottom="1440" w:left="1417" w:header="851" w:footer="992" w:gutter="0"/>
          <w:pgNumType w:fmt="decimal"/>
          <w:cols w:space="425" w:num="1"/>
          <w:docGrid w:type="lines" w:linePitch="312" w:charSpace="0"/>
        </w:sectPr>
      </w:pPr>
      <w:r>
        <w:rPr>
          <w:rFonts w:hint="eastAsia" w:ascii="Arial" w:hAnsi="Arial" w:eastAsia="宋体" w:cs="Times New Roman"/>
          <w:b/>
          <w:sz w:val="24"/>
          <w:szCs w:val="24"/>
        </w:rPr>
        <w:t>（本章未提供的招标要求的其他文件格式由</w:t>
      </w:r>
      <w:r>
        <w:rPr>
          <w:rFonts w:hint="eastAsia" w:ascii="Arial" w:hAnsi="Arial" w:eastAsia="宋体" w:cs="Times New Roman"/>
          <w:b/>
          <w:sz w:val="24"/>
          <w:szCs w:val="24"/>
          <w:lang w:eastAsia="zh-CN"/>
        </w:rPr>
        <w:t>投标人</w:t>
      </w:r>
      <w:r>
        <w:rPr>
          <w:rFonts w:hint="eastAsia" w:ascii="Arial" w:hAnsi="Arial" w:eastAsia="宋体" w:cs="Times New Roman"/>
          <w:b/>
          <w:sz w:val="24"/>
          <w:szCs w:val="24"/>
        </w:rPr>
        <w:t>自拟</w:t>
      </w:r>
    </w:p>
    <w:p w14:paraId="67D675FF">
      <w:pPr>
        <w:pStyle w:val="3"/>
        <w:pageBreakBefore w:val="0"/>
        <w:kinsoku/>
        <w:overflowPunct/>
        <w:topLinePunct w:val="0"/>
        <w:bidi w:val="0"/>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第五章  </w:t>
      </w:r>
      <w:r>
        <w:rPr>
          <w:rFonts w:hint="eastAsia" w:ascii="宋体" w:hAnsi="宋体" w:eastAsia="宋体" w:cs="宋体"/>
          <w:kern w:val="0"/>
          <w:sz w:val="24"/>
          <w:szCs w:val="24"/>
          <w:highlight w:val="none"/>
          <w:lang w:val="en-US" w:eastAsia="zh-CN"/>
        </w:rPr>
        <w:t>协议条款</w:t>
      </w:r>
      <w:r>
        <w:rPr>
          <w:rFonts w:hint="eastAsia" w:ascii="宋体" w:hAnsi="宋体" w:eastAsia="宋体" w:cs="宋体"/>
          <w:kern w:val="0"/>
          <w:sz w:val="24"/>
          <w:szCs w:val="24"/>
          <w:highlight w:val="none"/>
        </w:rPr>
        <w:t>及</w:t>
      </w:r>
      <w:r>
        <w:rPr>
          <w:rFonts w:hint="eastAsia" w:ascii="宋体" w:hAnsi="宋体" w:eastAsia="宋体" w:cs="宋体"/>
          <w:kern w:val="0"/>
          <w:sz w:val="24"/>
          <w:szCs w:val="24"/>
          <w:highlight w:val="none"/>
          <w:lang w:val="en-US" w:eastAsia="zh-CN"/>
        </w:rPr>
        <w:t>格式</w:t>
      </w:r>
    </w:p>
    <w:p w14:paraId="201E363C">
      <w:pPr>
        <w:tabs>
          <w:tab w:val="center" w:pos="4365"/>
          <w:tab w:val="left" w:pos="7360"/>
        </w:tabs>
        <w:snapToGrid w:val="0"/>
        <w:spacing w:before="156" w:beforeLines="50" w:after="156" w:afterLines="50" w:line="360" w:lineRule="auto"/>
        <w:ind w:firstLine="0" w:firstLineChars="0"/>
        <w:jc w:val="center"/>
        <w:rPr>
          <w:rFonts w:hint="eastAsia" w:ascii="Times New Roman" w:hAnsi="Times New Roman" w:eastAsia="仿宋" w:cs="Times New Roman"/>
          <w:b/>
          <w:sz w:val="44"/>
          <w:szCs w:val="52"/>
        </w:rPr>
      </w:pPr>
    </w:p>
    <w:p w14:paraId="25DC7283">
      <w:pPr>
        <w:tabs>
          <w:tab w:val="center" w:pos="4365"/>
          <w:tab w:val="left" w:pos="7360"/>
        </w:tabs>
        <w:snapToGrid w:val="0"/>
        <w:spacing w:before="156" w:beforeLines="50" w:after="156" w:afterLines="50" w:line="360" w:lineRule="auto"/>
        <w:ind w:firstLine="0" w:firstLineChars="0"/>
        <w:jc w:val="center"/>
        <w:rPr>
          <w:rFonts w:ascii="Times New Roman" w:hAnsi="Times New Roman" w:eastAsia="仿宋" w:cs="Times New Roman"/>
          <w:b/>
          <w:sz w:val="44"/>
          <w:szCs w:val="52"/>
        </w:rPr>
      </w:pPr>
      <w:r>
        <w:rPr>
          <w:rFonts w:hint="eastAsia" w:ascii="Times New Roman" w:hAnsi="Times New Roman" w:eastAsia="仿宋" w:cs="Times New Roman"/>
          <w:b/>
          <w:sz w:val="44"/>
          <w:szCs w:val="52"/>
        </w:rPr>
        <w:t>深圳市罗湖区洪湖公园儿童活动区动力设施建设运营项目合同</w:t>
      </w:r>
    </w:p>
    <w:p w14:paraId="52E0F0AE">
      <w:pPr>
        <w:tabs>
          <w:tab w:val="center" w:pos="4365"/>
          <w:tab w:val="left" w:pos="7360"/>
        </w:tabs>
        <w:snapToGrid w:val="0"/>
        <w:spacing w:before="156" w:beforeLines="50" w:after="156" w:afterLines="50" w:line="360" w:lineRule="auto"/>
        <w:ind w:firstLine="0" w:firstLineChars="0"/>
        <w:jc w:val="center"/>
        <w:rPr>
          <w:rFonts w:ascii="Times New Roman" w:hAnsi="Times New Roman" w:eastAsia="仿宋" w:cs="Times New Roman"/>
          <w:b/>
          <w:sz w:val="44"/>
          <w:szCs w:val="52"/>
        </w:rPr>
      </w:pPr>
      <w:r>
        <w:rPr>
          <w:rFonts w:hint="eastAsia" w:ascii="Times New Roman" w:hAnsi="Times New Roman" w:eastAsia="仿宋" w:cs="Times New Roman"/>
          <w:b/>
          <w:sz w:val="44"/>
          <w:szCs w:val="52"/>
        </w:rPr>
        <w:t>【参考文本，以最终实际签订为准】</w:t>
      </w:r>
    </w:p>
    <w:p w14:paraId="25C31709">
      <w:pPr>
        <w:snapToGrid w:val="0"/>
        <w:spacing w:before="156" w:beforeLines="50" w:after="156" w:afterLines="50" w:line="360" w:lineRule="auto"/>
        <w:ind w:firstLine="0" w:firstLineChars="0"/>
        <w:jc w:val="center"/>
        <w:rPr>
          <w:rFonts w:ascii="Times New Roman" w:hAnsi="Times New Roman" w:eastAsia="仿宋" w:cs="Times New Roman"/>
          <w:b/>
          <w:sz w:val="36"/>
          <w:szCs w:val="36"/>
        </w:rPr>
      </w:pPr>
    </w:p>
    <w:p w14:paraId="40B2AEBF">
      <w:pPr>
        <w:snapToGrid w:val="0"/>
        <w:spacing w:before="156" w:beforeLines="50" w:after="156" w:afterLines="50" w:line="360" w:lineRule="auto"/>
        <w:ind w:firstLine="0" w:firstLineChars="0"/>
        <w:jc w:val="center"/>
        <w:rPr>
          <w:rFonts w:ascii="Times New Roman" w:hAnsi="Times New Roman" w:eastAsia="仿宋" w:cs="Times New Roman"/>
          <w:b/>
          <w:sz w:val="36"/>
          <w:szCs w:val="36"/>
        </w:rPr>
      </w:pPr>
    </w:p>
    <w:p w14:paraId="54FF06E9">
      <w:pPr>
        <w:snapToGrid w:val="0"/>
        <w:spacing w:before="156" w:beforeLines="50" w:after="156" w:afterLines="50" w:line="360" w:lineRule="auto"/>
        <w:ind w:firstLine="0" w:firstLineChars="0"/>
        <w:jc w:val="center"/>
        <w:rPr>
          <w:rFonts w:ascii="Times New Roman" w:hAnsi="Times New Roman" w:eastAsia="仿宋" w:cs="Times New Roman"/>
          <w:b/>
          <w:sz w:val="36"/>
          <w:szCs w:val="36"/>
        </w:rPr>
      </w:pPr>
    </w:p>
    <w:p w14:paraId="3295C1B3">
      <w:pPr>
        <w:snapToGrid w:val="0"/>
        <w:spacing w:before="156" w:beforeLines="50" w:after="156" w:afterLines="50" w:line="360" w:lineRule="auto"/>
        <w:ind w:firstLine="0" w:firstLineChars="0"/>
        <w:jc w:val="center"/>
        <w:rPr>
          <w:rFonts w:ascii="Times New Roman" w:hAnsi="Times New Roman" w:eastAsia="仿宋" w:cs="Times New Roman"/>
          <w:b/>
          <w:sz w:val="36"/>
          <w:szCs w:val="36"/>
        </w:rPr>
      </w:pPr>
    </w:p>
    <w:p w14:paraId="476BDAAF">
      <w:pPr>
        <w:spacing w:before="156" w:after="156"/>
        <w:ind w:firstLine="0" w:firstLineChars="0"/>
        <w:jc w:val="cente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720" w:num="1"/>
          <w:docGrid w:type="lines" w:linePitch="312" w:charSpace="0"/>
        </w:sectPr>
      </w:pPr>
      <w:r>
        <w:rPr>
          <w:rFonts w:ascii="Times New Roman" w:hAnsi="Times New Roman" w:eastAsia="仿宋" w:cs="Times New Roman"/>
          <w:b/>
          <w:sz w:val="36"/>
          <w:szCs w:val="36"/>
        </w:rPr>
        <w:t>20</w:t>
      </w:r>
      <w:r>
        <w:rPr>
          <w:rFonts w:hint="eastAsia" w:ascii="Times New Roman" w:hAnsi="Times New Roman" w:eastAsia="仿宋" w:cs="Times New Roman"/>
          <w:b/>
          <w:sz w:val="36"/>
          <w:szCs w:val="36"/>
        </w:rPr>
        <w:t>25</w:t>
      </w:r>
      <w:r>
        <w:rPr>
          <w:rFonts w:ascii="Times New Roman" w:hAnsi="Times New Roman" w:eastAsia="仿宋" w:cs="Times New Roman"/>
          <w:b/>
          <w:sz w:val="36"/>
          <w:szCs w:val="36"/>
        </w:rPr>
        <w:t>年</w:t>
      </w:r>
    </w:p>
    <w:p w14:paraId="70422899">
      <w:pPr>
        <w:snapToGrid w:val="0"/>
        <w:spacing w:before="156" w:beforeLines="50" w:after="156" w:afterLines="50"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甲方：</w:t>
      </w:r>
      <w:r>
        <w:rPr>
          <w:rFonts w:hint="eastAsia" w:ascii="仿宋_GB2312" w:hAnsi="仿宋_GB2312" w:eastAsia="仿宋_GB2312" w:cs="仿宋_GB2312"/>
          <w:color w:val="auto"/>
          <w:sz w:val="28"/>
          <w:szCs w:val="28"/>
          <w:highlight w:val="none"/>
          <w:lang w:val="en-US" w:eastAsia="zh-CN"/>
        </w:rPr>
        <w:t>深圳市罗湖区市政园林管理所</w:t>
      </w:r>
    </w:p>
    <w:p w14:paraId="62375FE7">
      <w:pPr>
        <w:widowControl w:val="0"/>
        <w:snapToGrid/>
        <w:spacing w:before="156" w:beforeLines="50" w:beforeAutospacing="0" w:after="156" w:afterLines="50" w:afterAutospacing="0" w:line="560" w:lineRule="exact"/>
        <w:ind w:firstLine="560" w:firstLineChars="200"/>
        <w:jc w:val="both"/>
        <w:rPr>
          <w:rFonts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 xml:space="preserve">法定代表人： </w:t>
      </w:r>
    </w:p>
    <w:p w14:paraId="2F0D5182">
      <w:pPr>
        <w:widowControl w:val="0"/>
        <w:snapToGrid/>
        <w:spacing w:before="156" w:beforeLines="50" w:beforeAutospacing="0" w:after="156" w:afterLines="50" w:afterAutospacing="0" w:line="560" w:lineRule="exact"/>
        <w:ind w:firstLine="560" w:firstLineChars="200"/>
        <w:jc w:val="both"/>
        <w:rPr>
          <w:rFonts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联系电话：</w:t>
      </w:r>
    </w:p>
    <w:p w14:paraId="2B7E4A5D">
      <w:pPr>
        <w:widowControl/>
        <w:snapToGrid/>
        <w:spacing w:before="156" w:beforeLines="50" w:beforeAutospacing="0" w:after="156" w:afterLines="50" w:afterAutospacing="0" w:line="560" w:lineRule="exact"/>
        <w:ind w:firstLine="560" w:firstLineChars="200"/>
        <w:jc w:val="left"/>
        <w:rPr>
          <w:rFonts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地址：</w:t>
      </w:r>
    </w:p>
    <w:p w14:paraId="2C52A098">
      <w:pPr>
        <w:snapToGrid w:val="0"/>
        <w:spacing w:before="156" w:beforeLines="50" w:after="156" w:afterLines="50" w:line="560" w:lineRule="exact"/>
        <w:ind w:firstLine="560" w:firstLineChars="200"/>
        <w:rPr>
          <w:rFonts w:ascii="Times New Roman" w:hAnsi="Times New Roman" w:eastAsia="仿宋" w:cs="Times New Roman"/>
          <w:sz w:val="28"/>
          <w:szCs w:val="28"/>
        </w:rPr>
      </w:pPr>
    </w:p>
    <w:p w14:paraId="2CEEE39A">
      <w:pPr>
        <w:snapToGrid w:val="0"/>
        <w:spacing w:before="156" w:beforeLines="50" w:after="156" w:afterLines="50" w:line="56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乙方：</w:t>
      </w:r>
    </w:p>
    <w:p w14:paraId="73E71C80">
      <w:pPr>
        <w:widowControl w:val="0"/>
        <w:snapToGrid/>
        <w:spacing w:before="156" w:beforeLines="50" w:beforeAutospacing="0" w:after="156" w:afterLines="50" w:afterAutospacing="0" w:line="560" w:lineRule="exact"/>
        <w:ind w:firstLine="560" w:firstLineChars="200"/>
        <w:jc w:val="both"/>
        <w:rPr>
          <w:rFonts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 xml:space="preserve">法定代表人： </w:t>
      </w:r>
    </w:p>
    <w:p w14:paraId="76245AB5">
      <w:pPr>
        <w:widowControl w:val="0"/>
        <w:snapToGrid/>
        <w:spacing w:before="156" w:beforeLines="50" w:beforeAutospacing="0" w:after="156" w:afterLines="50" w:afterAutospacing="0" w:line="560" w:lineRule="exact"/>
        <w:ind w:firstLine="560" w:firstLineChars="200"/>
        <w:jc w:val="both"/>
        <w:rPr>
          <w:rFonts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联系电话：</w:t>
      </w:r>
    </w:p>
    <w:p w14:paraId="1A14DFE1">
      <w:pPr>
        <w:widowControl/>
        <w:snapToGrid/>
        <w:spacing w:before="156" w:beforeLines="50" w:beforeAutospacing="0" w:after="156" w:afterLines="50" w:afterAutospacing="0" w:line="560" w:lineRule="exact"/>
        <w:ind w:firstLine="560" w:firstLineChars="200"/>
        <w:jc w:val="left"/>
        <w:rPr>
          <w:rFonts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地址：</w:t>
      </w:r>
    </w:p>
    <w:p w14:paraId="6BC6E1D3">
      <w:pPr>
        <w:snapToGrid w:val="0"/>
        <w:spacing w:before="156" w:beforeLines="50" w:after="156" w:afterLines="50" w:line="360" w:lineRule="auto"/>
        <w:ind w:firstLine="0" w:firstLineChars="0"/>
        <w:rPr>
          <w:rFonts w:ascii="Times New Roman" w:hAnsi="Times New Roman" w:eastAsia="仿宋" w:cs="Times New Roman"/>
          <w:sz w:val="28"/>
          <w:szCs w:val="28"/>
        </w:rPr>
      </w:pPr>
    </w:p>
    <w:p w14:paraId="68FCFEB1">
      <w:pPr>
        <w:snapToGrid w:val="0"/>
        <w:spacing w:before="156" w:beforeLines="50" w:after="156" w:afterLines="50" w:line="360" w:lineRule="auto"/>
        <w:ind w:firstLine="0" w:firstLineChars="0"/>
        <w:rPr>
          <w:rFonts w:ascii="Times New Roman" w:hAnsi="Times New Roman" w:eastAsia="仿宋" w:cs="Times New Roman"/>
          <w:sz w:val="28"/>
          <w:szCs w:val="28"/>
        </w:rPr>
      </w:pPr>
    </w:p>
    <w:p w14:paraId="5977AD22">
      <w:pPr>
        <w:snapToGrid w:val="0"/>
        <w:spacing w:before="156" w:beforeLines="50" w:after="156" w:afterLines="50" w:line="360" w:lineRule="auto"/>
        <w:ind w:firstLine="0" w:firstLineChars="0"/>
        <w:rPr>
          <w:rFonts w:ascii="Times New Roman" w:hAnsi="Times New Roman" w:eastAsia="仿宋" w:cs="Times New Roman"/>
          <w:sz w:val="28"/>
          <w:szCs w:val="28"/>
        </w:rPr>
      </w:pPr>
    </w:p>
    <w:p w14:paraId="7773AF04">
      <w:pPr>
        <w:snapToGrid w:val="0"/>
        <w:spacing w:before="156" w:beforeLines="50" w:after="156" w:afterLines="50" w:line="360" w:lineRule="auto"/>
        <w:ind w:firstLine="0" w:firstLineChars="0"/>
        <w:rPr>
          <w:rFonts w:ascii="Times New Roman" w:hAnsi="Times New Roman" w:eastAsia="仿宋" w:cs="Times New Roman"/>
          <w:sz w:val="28"/>
          <w:szCs w:val="28"/>
        </w:rPr>
      </w:pPr>
    </w:p>
    <w:p w14:paraId="22E61209">
      <w:pPr>
        <w:snapToGrid w:val="0"/>
        <w:spacing w:before="156" w:beforeLines="50" w:after="156" w:afterLines="50" w:line="360" w:lineRule="auto"/>
        <w:ind w:firstLine="0" w:firstLineChars="0"/>
        <w:rPr>
          <w:rFonts w:ascii="Times New Roman" w:hAnsi="Times New Roman" w:eastAsia="仿宋" w:cs="Times New Roman"/>
          <w:sz w:val="28"/>
          <w:szCs w:val="28"/>
        </w:rPr>
      </w:pPr>
    </w:p>
    <w:p w14:paraId="2D33B9B4">
      <w:pPr>
        <w:snapToGrid w:val="0"/>
        <w:spacing w:before="156" w:beforeLines="50" w:after="156" w:afterLines="50" w:line="360" w:lineRule="auto"/>
        <w:ind w:firstLine="0" w:firstLineChars="0"/>
        <w:rPr>
          <w:rFonts w:ascii="Times New Roman" w:hAnsi="Times New Roman" w:eastAsia="仿宋" w:cs="Times New Roman"/>
          <w:sz w:val="28"/>
          <w:szCs w:val="28"/>
        </w:rPr>
      </w:pPr>
    </w:p>
    <w:p w14:paraId="6B0402C7">
      <w:pPr>
        <w:snapToGrid w:val="0"/>
        <w:spacing w:before="156" w:beforeLines="50" w:after="156" w:afterLines="50" w:line="360" w:lineRule="auto"/>
        <w:ind w:firstLine="0" w:firstLineChars="0"/>
        <w:rPr>
          <w:rFonts w:ascii="Times New Roman" w:hAnsi="Times New Roman" w:eastAsia="仿宋" w:cs="Times New Roman"/>
          <w:sz w:val="28"/>
          <w:szCs w:val="28"/>
        </w:rPr>
      </w:pPr>
    </w:p>
    <w:p w14:paraId="6D566253">
      <w:pPr>
        <w:snapToGrid w:val="0"/>
        <w:spacing w:before="156" w:beforeLines="50" w:after="156" w:afterLines="50" w:line="360" w:lineRule="auto"/>
        <w:ind w:firstLine="0" w:firstLineChars="0"/>
        <w:rPr>
          <w:rFonts w:ascii="Times New Roman" w:hAnsi="Times New Roman" w:eastAsia="仿宋" w:cs="Times New Roman"/>
          <w:sz w:val="28"/>
          <w:szCs w:val="28"/>
        </w:rPr>
      </w:pPr>
    </w:p>
    <w:p w14:paraId="28E04D8C">
      <w:pPr>
        <w:snapToGrid w:val="0"/>
        <w:spacing w:before="156" w:beforeLines="50" w:after="156" w:afterLines="50" w:line="360" w:lineRule="auto"/>
        <w:ind w:firstLine="0" w:firstLineChars="0"/>
        <w:rPr>
          <w:rFonts w:ascii="Times New Roman" w:hAnsi="Times New Roman" w:eastAsia="仿宋" w:cs="Times New Roman"/>
          <w:sz w:val="28"/>
          <w:szCs w:val="28"/>
        </w:rPr>
      </w:pPr>
    </w:p>
    <w:p w14:paraId="69E0EF09">
      <w:pPr>
        <w:snapToGrid w:val="0"/>
        <w:spacing w:before="156" w:beforeLines="50" w:after="156" w:afterLines="50" w:line="360" w:lineRule="auto"/>
        <w:ind w:firstLine="0" w:firstLineChars="0"/>
        <w:rPr>
          <w:rFonts w:ascii="Times New Roman" w:hAnsi="Times New Roman" w:eastAsia="仿宋" w:cs="Times New Roman"/>
          <w:sz w:val="28"/>
          <w:szCs w:val="28"/>
        </w:rPr>
      </w:pPr>
    </w:p>
    <w:p w14:paraId="67022A19">
      <w:pPr>
        <w:snapToGrid w:val="0"/>
        <w:spacing w:before="156" w:beforeLines="50" w:after="156" w:afterLines="50" w:line="360" w:lineRule="auto"/>
        <w:ind w:firstLine="0" w:firstLineChars="0"/>
        <w:rPr>
          <w:rFonts w:ascii="Times New Roman" w:hAnsi="Times New Roman" w:eastAsia="仿宋" w:cs="Times New Roman"/>
          <w:sz w:val="28"/>
          <w:szCs w:val="28"/>
        </w:rPr>
      </w:pPr>
    </w:p>
    <w:p w14:paraId="1A9D3CE0">
      <w:pPr>
        <w:snapToGrid w:val="0"/>
        <w:spacing w:before="156" w:beforeLines="50" w:after="156" w:afterLines="50" w:line="360" w:lineRule="auto"/>
        <w:ind w:firstLine="0" w:firstLineChars="0"/>
        <w:rPr>
          <w:rFonts w:ascii="Times New Roman" w:hAnsi="Times New Roman" w:eastAsia="仿宋" w:cs="Times New Roman"/>
          <w:sz w:val="28"/>
          <w:szCs w:val="28"/>
        </w:rPr>
      </w:pPr>
    </w:p>
    <w:p w14:paraId="1590996A">
      <w:pPr>
        <w:snapToGrid w:val="0"/>
        <w:spacing w:before="156" w:beforeLines="50" w:after="156" w:afterLines="50" w:line="360" w:lineRule="auto"/>
        <w:ind w:firstLine="0" w:firstLineChars="0"/>
        <w:rPr>
          <w:rFonts w:ascii="Times New Roman" w:hAnsi="Times New Roman" w:eastAsia="仿宋" w:cs="Times New Roman"/>
          <w:sz w:val="28"/>
          <w:szCs w:val="28"/>
        </w:rPr>
      </w:pPr>
    </w:p>
    <w:p w14:paraId="2070CED9">
      <w:pPr>
        <w:widowControl w:val="0"/>
        <w:snapToGrid w:val="0"/>
        <w:spacing w:before="156" w:beforeLines="50" w:after="156" w:afterLines="50" w:line="360" w:lineRule="auto"/>
        <w:ind w:firstLine="560" w:firstLineChars="200"/>
        <w:jc w:val="center"/>
        <w:rPr>
          <w:rFonts w:ascii="Times New Roman" w:hAnsi="Times New Roman" w:eastAsia="仿宋" w:cs="Times New Roman"/>
          <w:kern w:val="2"/>
          <w:sz w:val="28"/>
          <w:szCs w:val="28"/>
          <w:lang w:val="en-US" w:eastAsia="zh-CN" w:bidi="ar-SA"/>
        </w:rPr>
      </w:pPr>
      <w:bookmarkStart w:id="66" w:name="_Toc487144302"/>
      <w:r>
        <w:rPr>
          <w:rFonts w:ascii="Times New Roman" w:hAnsi="Times New Roman" w:eastAsia="仿宋" w:cs="Times New Roman"/>
          <w:kern w:val="2"/>
          <w:sz w:val="28"/>
          <w:szCs w:val="28"/>
          <w:lang w:val="en-US" w:eastAsia="zh-CN" w:bidi="ar-SA"/>
        </w:rPr>
        <w:t>目</w:t>
      </w:r>
      <w:r>
        <w:rPr>
          <w:rFonts w:hint="eastAsia" w:ascii="Times New Roman" w:hAnsi="Times New Roman" w:eastAsia="仿宋" w:cs="Times New Roman"/>
          <w:kern w:val="2"/>
          <w:sz w:val="28"/>
          <w:szCs w:val="28"/>
          <w:lang w:val="en-US" w:eastAsia="zh-CN" w:bidi="ar-SA"/>
        </w:rPr>
        <w:t xml:space="preserve">   </w:t>
      </w:r>
      <w:r>
        <w:rPr>
          <w:rFonts w:ascii="Times New Roman" w:hAnsi="Times New Roman" w:eastAsia="仿宋" w:cs="Times New Roman"/>
          <w:kern w:val="2"/>
          <w:sz w:val="28"/>
          <w:szCs w:val="28"/>
          <w:lang w:val="en-US" w:eastAsia="zh-CN" w:bidi="ar-SA"/>
        </w:rPr>
        <w:t>录</w:t>
      </w:r>
      <w:bookmarkEnd w:id="66"/>
    </w:p>
    <w:p w14:paraId="3D18A1F7">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TOC \o "1-2" \h \z \u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_Toc30963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第一条 合同解释</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_Toc30963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6</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2B2E320F">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_Toc24378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1.1 合同文件构成</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_Toc24378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6</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0D32A0DA">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_Toc32689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1.2 合同文件效力</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_Toc32689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6</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48273BF6">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_Toc23638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1.3 名词</w:t>
      </w:r>
      <w:r>
        <w:rPr>
          <w:rFonts w:ascii="Times New Roman" w:hAnsi="Times New Roman" w:eastAsia="仿宋" w:cs="Times New Roman"/>
          <w:kern w:val="2"/>
          <w:sz w:val="28"/>
          <w:szCs w:val="28"/>
          <w:lang w:val="en-US" w:eastAsia="zh-CN" w:bidi="ar-SA"/>
        </w:rPr>
        <w:t>定义</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_Toc23638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6</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6CAC7D82">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_Toc9342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1.4 合同文件</w:t>
      </w:r>
      <w:r>
        <w:rPr>
          <w:rFonts w:ascii="Times New Roman" w:hAnsi="Times New Roman" w:eastAsia="仿宋" w:cs="Times New Roman"/>
          <w:kern w:val="2"/>
          <w:sz w:val="28"/>
          <w:szCs w:val="28"/>
          <w:lang w:val="en-US" w:eastAsia="zh-CN" w:bidi="ar-SA"/>
        </w:rPr>
        <w:t>解释</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_Toc9342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8</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529A2287">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_Toc10544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 xml:space="preserve">第二条 </w:t>
      </w:r>
      <w:r>
        <w:rPr>
          <w:rFonts w:ascii="Times New Roman" w:hAnsi="Times New Roman" w:eastAsia="仿宋" w:cs="Times New Roman"/>
          <w:kern w:val="2"/>
          <w:sz w:val="28"/>
          <w:szCs w:val="28"/>
          <w:lang w:val="en-US" w:eastAsia="zh-CN" w:bidi="ar-SA"/>
        </w:rPr>
        <w:t>声明与保证</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_Toc10544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9</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6A6BD942">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_Toc23881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 xml:space="preserve">2.1 </w:t>
      </w:r>
      <w:r>
        <w:rPr>
          <w:rFonts w:ascii="Times New Roman" w:hAnsi="Times New Roman" w:eastAsia="仿宋" w:cs="Times New Roman"/>
          <w:kern w:val="2"/>
          <w:sz w:val="28"/>
          <w:szCs w:val="28"/>
          <w:lang w:val="en-US" w:eastAsia="zh-CN" w:bidi="ar-SA"/>
        </w:rPr>
        <w:t>甲方的声明与保证</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_Toc23881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9</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14E37698">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_Toc11615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 xml:space="preserve">2.2 </w:t>
      </w:r>
      <w:r>
        <w:rPr>
          <w:rFonts w:ascii="Times New Roman" w:hAnsi="Times New Roman" w:eastAsia="仿宋" w:cs="Times New Roman"/>
          <w:kern w:val="2"/>
          <w:sz w:val="28"/>
          <w:szCs w:val="28"/>
          <w:lang w:val="en-US" w:eastAsia="zh-CN" w:bidi="ar-SA"/>
        </w:rPr>
        <w:t>乙方的声明与保证</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_Toc11615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10</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6CB92051">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_Toc7980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第三条 项目概况</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_Toc7980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10</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58355F41">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_Toc28165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3.1 项目定位</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_Toc28165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10</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64E8B954">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_Toc30059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3.2 用地范围</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_Toc30059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11</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121388DE">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_Toc8541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3.3 功能分区</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_Toc8541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11</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5F2A2FAC">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_Toc15690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3.4 实施模式</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_Toc15690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11</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5BEC08D2">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_Toc6053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第四条 合作范围及模式</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_Toc6053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11</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349C90C0">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_Toc5597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第五条 合作期限</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_Toc5597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13</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20C53A4A">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_Toc27723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5.1 合作期限的构成</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_Toc27723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13</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58C7F5C3">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_Toc19190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5.2 合作期限的顺延</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_Toc19190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13</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2ED8F7BB">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_Toc18819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第六条 动力游戏区设施</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_Toc18819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13</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78C79C7C">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_Toc31965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6.1 动力游戏区设施权属</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_Toc31965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13</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175489F8">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_Toc6591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6.2 动力游戏区设施维护</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_Toc6591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13</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2CC6D3B8">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_Toc4729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第七条 机动游戏设施建设</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_Toc4729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14</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05530BB5">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_Toc7574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7.1 建设范围</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_Toc7574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14</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52B221CB">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_Toc12818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7.2 设计</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_Toc12818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14</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034A4915">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_Toc21013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7.3 设施设备选型</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_Toc21013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14</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18EAC8DB">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_Toc7383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7.4 建设进度与安全</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_Toc7383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15</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1EC593A3">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_Toc12961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 xml:space="preserve">7.5 </w:t>
      </w:r>
      <w:r>
        <w:rPr>
          <w:rFonts w:ascii="Times New Roman" w:hAnsi="Times New Roman" w:eastAsia="仿宋" w:cs="Times New Roman"/>
          <w:kern w:val="2"/>
          <w:sz w:val="28"/>
          <w:szCs w:val="28"/>
          <w:lang w:val="en-US" w:eastAsia="zh-CN" w:bidi="ar-SA"/>
        </w:rPr>
        <w:t>最低投资</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_Toc12961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15</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236D54A6">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_Toc27587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第八条 开始运营及对外开放</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_Toc27587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16</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04812C55">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_Toc31434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8.1 开始运营</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_Toc31434 \h </w:instrText>
      </w:r>
      <w:r>
        <w:rPr>
          <w:rFonts w:ascii="Times New Roman" w:hAnsi="Times New Roman" w:eastAsia="仿宋" w:cs="Times New Roman"/>
          <w:kern w:val="2"/>
          <w:sz w:val="28"/>
          <w:szCs w:val="28"/>
          <w:lang w:val="en-US" w:eastAsia="zh-CN" w:bidi="ar-SA"/>
        </w:rPr>
        <w:fldChar w:fldCharType="separate"/>
      </w:r>
      <w:r>
        <w:rPr>
          <w:b/>
        </w:rPr>
        <w:t>错误！未定义书签。</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39109637">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_Toc24740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8.2 对外开放</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_Toc24740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16</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7C21D4C0">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_Toc28600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第九条 运营管理</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_Toc28600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17</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7B8051F5">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_Toc21575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9.1 运营管理工作责任</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_Toc21575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17</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5E9153D2">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_Toc13862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9.2 费用承担</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_Toc13862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17</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331A2A29">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_Toc21272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9.3 收入归属</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_Toc21272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17</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2151A4F0">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_Toc8448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9.4 动力游戏区维护要求</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_Toc8448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18</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21341F73">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_Toc17340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9.5 收费限制</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_Toc17340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19</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2A910E7D">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_Toc1566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9.6 服务质量和社会环境影响要求</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_Toc1566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20</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35AF67D0">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_Toc20918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仿宋"/>
          <w:kern w:val="2"/>
          <w:sz w:val="28"/>
          <w:szCs w:val="28"/>
          <w:lang w:val="en-US" w:eastAsia="zh-CN" w:bidi="ar-SA"/>
        </w:rPr>
        <w:t>9.7 公众满意度要求</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_Toc20918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21</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11F0D7BE">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_Toc16892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第十条 机动游戏设施运营管理要求</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_Toc16892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21</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2FACF417">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_Toc5752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10.1 制度体系建设</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_Toc5752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21</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0DEF374B">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_Toc2122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10.2 人员配备与培训</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_Toc2122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22</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70532AB0">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_Toc25805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10.3 暂停运行</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_Toc25805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22</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6E88351E">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_Toc29232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10.4 设施维护</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_Toc29232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23</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4888BFB1">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_Toc30689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10.5 设施更换</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_Toc30689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25</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1321B224">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_Toc17070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10.6 机动游戏设施安全管理</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_Toc17070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26</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080912E0">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_Toc24152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10.7 应急处置</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_Toc24152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27</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058E566E">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_Toc10267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第十一条 保险及履约担保</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_Toc10267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28</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08555615">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_Toc446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11.1 保险义务</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_Toc446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28</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23945B5F">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_Toc26754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11.2 保险险种</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_Toc26754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29</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3EB38FE9">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_Toc20445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11.3 未按规定投保的责任</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_Toc20445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29</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71D6D22D">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_Toc8906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11.4 履约担保</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_Toc8906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29</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7B8EF3EB">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_Toc15162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第十二条 不可抗力</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_Toc15162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30</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4BA0F3E3">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_Toc31153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12.1 情形</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_Toc31153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31</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251A0FA1">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_Toc13476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12.2 通知认定</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_Toc13476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31</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6D093361">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_Toc14257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12.3 法律后果</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_Toc14257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31</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1E18FE28">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_Toc3595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12.4 恢复履行</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_Toc3595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32</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77D47666">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_Toc15082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第十三条 违约责任</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_Toc15082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33</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02FEBE7E">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_Toc31031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13.1 一般违约</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_Toc31031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33</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03ACB9A1">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_Toc12680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13.2 重大违约</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_Toc12680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34</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079A3660">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_Toc10521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第十四条 合同终止</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_Toc10521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36</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2AFD833E">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_Toc12871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14.1 终止事由</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_Toc12871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36</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5661254B">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_Toc4814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14.2 终止通知</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_Toc4814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36</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653F8692">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_Toc23026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14.3 终止处理</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_Toc23026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36</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4FCEC406">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_Toc29581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14.4 提前终止违约金及赔偿</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_Toc29581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37</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67808D14">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_Toc7706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 xml:space="preserve">第十五条 </w:t>
      </w:r>
      <w:r>
        <w:rPr>
          <w:rFonts w:ascii="Times New Roman" w:hAnsi="Times New Roman" w:eastAsia="仿宋" w:cs="Times New Roman"/>
          <w:kern w:val="2"/>
          <w:sz w:val="28"/>
          <w:szCs w:val="28"/>
          <w:lang w:val="en-US" w:eastAsia="zh-CN" w:bidi="ar-SA"/>
        </w:rPr>
        <w:t>其它</w:t>
      </w:r>
      <w:r>
        <w:rPr>
          <w:rFonts w:hint="eastAsia" w:ascii="Times New Roman" w:hAnsi="Times New Roman" w:eastAsia="仿宋" w:cs="Times New Roman"/>
          <w:kern w:val="2"/>
          <w:sz w:val="28"/>
          <w:szCs w:val="28"/>
          <w:lang w:val="en-US" w:eastAsia="zh-CN" w:bidi="ar-SA"/>
        </w:rPr>
        <w:t>事项</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_Toc7706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37</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6FBFA92F">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_Toc11019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15.1 争议解决方式</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_Toc11019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37</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3EB13B0B">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_Toc18013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 xml:space="preserve">15.2 </w:t>
      </w:r>
      <w:r>
        <w:rPr>
          <w:rFonts w:ascii="Times New Roman" w:hAnsi="Times New Roman" w:eastAsia="仿宋" w:cs="Times New Roman"/>
          <w:kern w:val="2"/>
          <w:sz w:val="28"/>
          <w:szCs w:val="28"/>
          <w:lang w:val="en-US" w:eastAsia="zh-CN" w:bidi="ar-SA"/>
        </w:rPr>
        <w:t>合同生效</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_Toc18013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38</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0C912F19">
      <w:pPr>
        <w:widowControl w:val="0"/>
        <w:tabs>
          <w:tab w:val="right" w:leader="dot" w:pos="8688"/>
        </w:tabs>
        <w:snapToGrid w:val="0"/>
        <w:spacing w:before="163" w:beforeLines="50" w:after="163" w:afterLines="50" w:line="360" w:lineRule="auto"/>
        <w:ind w:left="420" w:leftChars="200" w:firstLine="560" w:firstLineChars="20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_Toc13866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 xml:space="preserve">15.3 </w:t>
      </w:r>
      <w:r>
        <w:rPr>
          <w:rFonts w:ascii="Times New Roman" w:hAnsi="Times New Roman" w:eastAsia="仿宋" w:cs="Times New Roman"/>
          <w:kern w:val="2"/>
          <w:sz w:val="28"/>
          <w:szCs w:val="28"/>
          <w:lang w:val="en-US" w:eastAsia="zh-CN" w:bidi="ar-SA"/>
        </w:rPr>
        <w:t>合同补充</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_Toc13866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38</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56AC8DBE">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_Toc18665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附件一：机动游戏设施清单（暂定，以最终设计为准）</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_Toc18665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40</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3BC3A9E2">
      <w:pPr>
        <w:widowControl w:val="0"/>
        <w:numPr>
          <w:ilvl w:val="2"/>
          <w:numId w:val="4"/>
        </w:numPr>
        <w:tabs>
          <w:tab w:val="right" w:leader="dot" w:pos="8688"/>
        </w:tabs>
        <w:snapToGrid w:val="0"/>
        <w:spacing w:before="163" w:beforeLines="50" w:after="163" w:afterLines="50" w:line="360" w:lineRule="auto"/>
        <w:ind w:firstLine="0" w:firstLineChars="0"/>
        <w:jc w:val="both"/>
        <w:rPr>
          <w:rFonts w:ascii="Times New Roman" w:hAnsi="Times New Roman" w:eastAsia="仿宋" w:cs="Times New Roman"/>
          <w:kern w:val="2"/>
          <w:sz w:val="28"/>
          <w:szCs w:val="28"/>
          <w:lang w:val="en-US" w:eastAsia="zh-CN" w:bidi="ar-SA"/>
        </w:rPr>
      </w:pP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HYPERLINK \l _Toc13287 </w:instrText>
      </w:r>
      <w:r>
        <w:rPr>
          <w:rFonts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附件</w:t>
      </w:r>
      <w:r>
        <w:rPr>
          <w:rFonts w:hint="default" w:ascii="Times New Roman" w:hAnsi="Times New Roman" w:eastAsia="仿宋" w:cs="Times New Roman"/>
          <w:kern w:val="2"/>
          <w:sz w:val="28"/>
          <w:szCs w:val="28"/>
          <w:lang w:val="en-US" w:eastAsia="zh-CN" w:bidi="ar-SA"/>
        </w:rPr>
        <w:t>二</w:t>
      </w:r>
      <w:r>
        <w:rPr>
          <w:rFonts w:hint="eastAsia" w:ascii="Times New Roman" w:hAnsi="Times New Roman" w:eastAsia="仿宋" w:cs="Times New Roman"/>
          <w:kern w:val="2"/>
          <w:sz w:val="28"/>
          <w:szCs w:val="28"/>
          <w:lang w:val="en-US" w:eastAsia="zh-CN" w:bidi="ar-SA"/>
        </w:rPr>
        <w:t>：动力游戏区占地示意图（暂定，以最终设计为准）</w:t>
      </w:r>
      <w:r>
        <w:rPr>
          <w:rFonts w:ascii="Times New Roman" w:hAnsi="Times New Roman" w:eastAsia="仿宋" w:cs="Times New Roman"/>
          <w:kern w:val="2"/>
          <w:sz w:val="28"/>
          <w:szCs w:val="28"/>
          <w:lang w:val="en-US" w:eastAsia="zh-CN" w:bidi="ar-SA"/>
        </w:rPr>
        <w:tab/>
      </w:r>
      <w:r>
        <w:rPr>
          <w:rFonts w:ascii="Times New Roman" w:hAnsi="Times New Roman" w:eastAsia="仿宋" w:cs="Times New Roman"/>
          <w:kern w:val="2"/>
          <w:sz w:val="28"/>
          <w:szCs w:val="28"/>
          <w:lang w:val="en-US" w:eastAsia="zh-CN" w:bidi="ar-SA"/>
        </w:rPr>
        <w:fldChar w:fldCharType="begin"/>
      </w:r>
      <w:r>
        <w:rPr>
          <w:rFonts w:ascii="Times New Roman" w:hAnsi="Times New Roman" w:eastAsia="仿宋" w:cs="Times New Roman"/>
          <w:kern w:val="2"/>
          <w:sz w:val="28"/>
          <w:szCs w:val="28"/>
          <w:lang w:val="en-US" w:eastAsia="zh-CN" w:bidi="ar-SA"/>
        </w:rPr>
        <w:instrText xml:space="preserve"> PAGEREF _Toc13287 \h </w:instrText>
      </w:r>
      <w:r>
        <w:rPr>
          <w:rFonts w:ascii="Times New Roman" w:hAnsi="Times New Roman" w:eastAsia="仿宋" w:cs="Times New Roman"/>
          <w:kern w:val="2"/>
          <w:sz w:val="28"/>
          <w:szCs w:val="28"/>
          <w:lang w:val="en-US" w:eastAsia="zh-CN" w:bidi="ar-SA"/>
        </w:rPr>
        <w:fldChar w:fldCharType="separate"/>
      </w:r>
      <w:r>
        <w:rPr>
          <w:rFonts w:ascii="Times New Roman" w:hAnsi="Times New Roman" w:eastAsia="仿宋" w:cs="Times New Roman"/>
          <w:kern w:val="2"/>
          <w:sz w:val="28"/>
          <w:szCs w:val="28"/>
          <w:lang w:val="en-US" w:eastAsia="zh-CN" w:bidi="ar-SA"/>
        </w:rPr>
        <w:t>40</w:t>
      </w:r>
      <w:r>
        <w:rPr>
          <w:rFonts w:ascii="Times New Roman" w:hAnsi="Times New Roman" w:eastAsia="仿宋" w:cs="Times New Roman"/>
          <w:kern w:val="2"/>
          <w:sz w:val="28"/>
          <w:szCs w:val="28"/>
          <w:lang w:val="en-US" w:eastAsia="zh-CN" w:bidi="ar-SA"/>
        </w:rPr>
        <w:fldChar w:fldCharType="end"/>
      </w:r>
      <w:r>
        <w:rPr>
          <w:rFonts w:ascii="Times New Roman" w:hAnsi="Times New Roman" w:eastAsia="仿宋" w:cs="Times New Roman"/>
          <w:kern w:val="2"/>
          <w:sz w:val="28"/>
          <w:szCs w:val="28"/>
          <w:lang w:val="en-US" w:eastAsia="zh-CN" w:bidi="ar-SA"/>
        </w:rPr>
        <w:fldChar w:fldCharType="end"/>
      </w:r>
    </w:p>
    <w:p w14:paraId="2CD3CF9E">
      <w:pPr>
        <w:snapToGrid w:val="0"/>
        <w:spacing w:before="156" w:beforeLines="50" w:after="156" w:afterLines="50" w:line="360" w:lineRule="auto"/>
        <w:ind w:firstLine="0" w:firstLineChars="0"/>
        <w:rPr>
          <w:rFonts w:ascii="Times New Roman" w:hAnsi="Times New Roman" w:eastAsia="仿宋" w:cs="Times New Roman"/>
          <w:sz w:val="28"/>
          <w:szCs w:val="28"/>
        </w:rPr>
      </w:pPr>
      <w:r>
        <w:rPr>
          <w:rFonts w:ascii="Times New Roman" w:hAnsi="Times New Roman" w:eastAsia="仿宋" w:cs="Times New Roman"/>
          <w:sz w:val="28"/>
          <w:szCs w:val="28"/>
        </w:rPr>
        <w:fldChar w:fldCharType="end"/>
      </w:r>
    </w:p>
    <w:p w14:paraId="6D472F83">
      <w:pPr>
        <w:spacing w:before="468" w:after="468"/>
        <w:sectPr>
          <w:headerReference r:id="rId14" w:type="first"/>
          <w:headerReference r:id="rId12" w:type="default"/>
          <w:footerReference r:id="rId15" w:type="default"/>
          <w:headerReference r:id="rId13" w:type="even"/>
          <w:pgSz w:w="11906" w:h="16838"/>
          <w:pgMar w:top="1440" w:right="1800" w:bottom="1440" w:left="1418" w:header="851" w:footer="992" w:gutter="0"/>
          <w:pgNumType w:fmt="upperRoman" w:start="1"/>
          <w:cols w:space="720" w:num="1"/>
          <w:docGrid w:type="lines" w:linePitch="312" w:charSpace="0"/>
        </w:sectPr>
      </w:pPr>
    </w:p>
    <w:p w14:paraId="6D932CD7">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67" w:name="_Toc13642201"/>
      <w:bookmarkStart w:id="68" w:name="_Toc45811781"/>
      <w:bookmarkStart w:id="69" w:name="_Toc9693"/>
      <w:bookmarkStart w:id="70" w:name="_Toc19390"/>
      <w:bookmarkStart w:id="71" w:name="_Toc8244"/>
      <w:bookmarkStart w:id="72" w:name="_Toc30839"/>
      <w:bookmarkStart w:id="73" w:name="_Toc529224088"/>
      <w:bookmarkStart w:id="74" w:name="_Toc2751"/>
      <w:bookmarkStart w:id="75" w:name="_Toc30963"/>
      <w:bookmarkStart w:id="76" w:name="_Toc11042"/>
      <w:r>
        <w:rPr>
          <w:rFonts w:hint="eastAsia" w:ascii="黑体" w:hAnsi="黑体" w:eastAsia="黑体" w:cs="Times New Roman"/>
          <w:kern w:val="2"/>
          <w:sz w:val="32"/>
          <w:szCs w:val="32"/>
          <w:lang w:val="en-US" w:eastAsia="zh-CN" w:bidi="ar-SA"/>
        </w:rPr>
        <w:t>合同解释</w:t>
      </w:r>
      <w:bookmarkEnd w:id="67"/>
      <w:bookmarkEnd w:id="68"/>
      <w:bookmarkEnd w:id="69"/>
      <w:bookmarkEnd w:id="70"/>
      <w:bookmarkEnd w:id="71"/>
      <w:bookmarkEnd w:id="72"/>
      <w:bookmarkEnd w:id="73"/>
      <w:bookmarkEnd w:id="74"/>
      <w:bookmarkEnd w:id="75"/>
      <w:bookmarkEnd w:id="76"/>
    </w:p>
    <w:p w14:paraId="1487D47E">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7" w:name="_Toc13066"/>
      <w:bookmarkStart w:id="78" w:name="_Toc6417"/>
      <w:bookmarkStart w:id="79" w:name="_Toc23795"/>
      <w:bookmarkStart w:id="80" w:name="_Toc24378"/>
      <w:bookmarkStart w:id="81" w:name="_Toc13642202"/>
      <w:bookmarkStart w:id="82" w:name="_Toc28338"/>
      <w:bookmarkStart w:id="83" w:name="_Toc10688"/>
      <w:bookmarkStart w:id="84" w:name="_Toc29272"/>
      <w:bookmarkStart w:id="85" w:name="_Toc45811782"/>
      <w:bookmarkStart w:id="86" w:name="_Toc529224089"/>
      <w:r>
        <w:rPr>
          <w:rFonts w:hint="eastAsia" w:ascii="仿宋" w:hAnsi="仿宋" w:eastAsia="仿宋" w:cs="Times New Roman"/>
          <w:b/>
          <w:kern w:val="2"/>
          <w:sz w:val="30"/>
          <w:szCs w:val="30"/>
          <w:lang w:val="en-US" w:eastAsia="zh-CN" w:bidi="ar-SA"/>
        </w:rPr>
        <w:t>合同文件构成</w:t>
      </w:r>
      <w:bookmarkEnd w:id="77"/>
      <w:bookmarkEnd w:id="78"/>
      <w:bookmarkEnd w:id="79"/>
      <w:bookmarkEnd w:id="80"/>
      <w:bookmarkEnd w:id="81"/>
      <w:bookmarkEnd w:id="82"/>
      <w:bookmarkEnd w:id="83"/>
      <w:bookmarkEnd w:id="84"/>
      <w:bookmarkEnd w:id="85"/>
      <w:bookmarkEnd w:id="86"/>
    </w:p>
    <w:p w14:paraId="277BED7D">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本合同中，合同文件按效力优先顺序，依次包括：</w:t>
      </w:r>
    </w:p>
    <w:p w14:paraId="2C6F92DC">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本合同及其补充协议。</w:t>
      </w:r>
    </w:p>
    <w:p w14:paraId="2E26D497">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招标文件补充规定、澄清说明。</w:t>
      </w:r>
    </w:p>
    <w:p w14:paraId="518953E6">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招标文件。</w:t>
      </w:r>
    </w:p>
    <w:p w14:paraId="4E89BA19">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投标文件补充规定、澄清说明。</w:t>
      </w:r>
    </w:p>
    <w:p w14:paraId="12B979A6">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投标文件。</w:t>
      </w:r>
    </w:p>
    <w:p w14:paraId="74A90DA4">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双方在本合同签署前，签署的有约束力的其他书面文件。</w:t>
      </w:r>
    </w:p>
    <w:p w14:paraId="4F23CE6B">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87" w:name="_Toc11944666"/>
      <w:bookmarkEnd w:id="87"/>
      <w:bookmarkStart w:id="88" w:name="_Toc45811783"/>
      <w:bookmarkStart w:id="89" w:name="_Toc1056"/>
      <w:bookmarkStart w:id="90" w:name="_Toc26057"/>
      <w:bookmarkStart w:id="91" w:name="_Toc529224090"/>
      <w:bookmarkStart w:id="92" w:name="_Toc9961"/>
      <w:bookmarkStart w:id="93" w:name="_Toc12546"/>
      <w:bookmarkStart w:id="94" w:name="_Toc21487"/>
      <w:bookmarkStart w:id="95" w:name="_Toc32689"/>
      <w:bookmarkStart w:id="96" w:name="_Toc266"/>
      <w:bookmarkStart w:id="97" w:name="_Toc13642203"/>
      <w:r>
        <w:rPr>
          <w:rFonts w:hint="eastAsia" w:ascii="仿宋" w:hAnsi="仿宋" w:eastAsia="仿宋" w:cs="Times New Roman"/>
          <w:b/>
          <w:kern w:val="2"/>
          <w:sz w:val="30"/>
          <w:szCs w:val="30"/>
          <w:lang w:val="en-US" w:eastAsia="zh-CN" w:bidi="ar-SA"/>
        </w:rPr>
        <w:t>合同文件效力</w:t>
      </w:r>
      <w:bookmarkEnd w:id="88"/>
      <w:bookmarkEnd w:id="89"/>
      <w:bookmarkEnd w:id="90"/>
      <w:bookmarkEnd w:id="91"/>
      <w:bookmarkEnd w:id="92"/>
      <w:bookmarkEnd w:id="93"/>
      <w:bookmarkEnd w:id="94"/>
      <w:bookmarkEnd w:id="95"/>
      <w:bookmarkEnd w:id="96"/>
      <w:bookmarkEnd w:id="97"/>
    </w:p>
    <w:p w14:paraId="2EE8002D">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上述所有文件均为合同文件的一部分，与本合同正文条款互为补充、解释。</w:t>
      </w:r>
    </w:p>
    <w:p w14:paraId="46F2FD84">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 xml:space="preserve">若合同文件的内容不一致，根据本合同约定的顺序确定其适用的优先级别。 </w:t>
      </w:r>
    </w:p>
    <w:p w14:paraId="7F658784">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同一文件的条款间有意义不明、抵触、矛盾、错误或遗漏的情形导致争议的，甲乙双方应按本合同有关争议解决的约定处理。</w:t>
      </w:r>
    </w:p>
    <w:p w14:paraId="0D628BA0">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本合同未尽事宜或本合同约定事项与相关法律法规、规章和其他规范性文件的规定冲突的，以相关法律法规、规章和其他规范性文件的规定为准。</w:t>
      </w:r>
    </w:p>
    <w:p w14:paraId="4C374E40">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98" w:name="_Toc23638"/>
      <w:bookmarkStart w:id="99" w:name="_Toc3689"/>
      <w:bookmarkStart w:id="100" w:name="_Toc45811784"/>
      <w:bookmarkStart w:id="101" w:name="_Toc31266"/>
      <w:bookmarkStart w:id="102" w:name="_Toc19788"/>
      <w:bookmarkStart w:id="103" w:name="_Toc13642204"/>
      <w:bookmarkStart w:id="104" w:name="_Toc11861"/>
      <w:bookmarkStart w:id="105" w:name="_Toc529224091"/>
      <w:bookmarkStart w:id="106" w:name="_Toc24399"/>
      <w:bookmarkStart w:id="107" w:name="_Toc14658"/>
      <w:r>
        <w:rPr>
          <w:rFonts w:hint="eastAsia" w:ascii="仿宋" w:hAnsi="仿宋" w:eastAsia="仿宋" w:cs="Times New Roman"/>
          <w:b/>
          <w:kern w:val="2"/>
          <w:sz w:val="30"/>
          <w:szCs w:val="30"/>
          <w:lang w:val="en-US" w:eastAsia="zh-CN" w:bidi="ar-SA"/>
        </w:rPr>
        <w:t>名词</w:t>
      </w:r>
      <w:r>
        <w:rPr>
          <w:rFonts w:ascii="仿宋" w:hAnsi="仿宋" w:eastAsia="仿宋" w:cs="Times New Roman"/>
          <w:b/>
          <w:kern w:val="2"/>
          <w:sz w:val="30"/>
          <w:szCs w:val="30"/>
          <w:lang w:val="en-US" w:eastAsia="zh-CN" w:bidi="ar-SA"/>
        </w:rPr>
        <w:t>定义</w:t>
      </w:r>
      <w:bookmarkEnd w:id="98"/>
      <w:bookmarkEnd w:id="99"/>
      <w:bookmarkEnd w:id="100"/>
      <w:bookmarkEnd w:id="101"/>
      <w:bookmarkEnd w:id="102"/>
      <w:bookmarkEnd w:id="103"/>
      <w:bookmarkEnd w:id="104"/>
      <w:bookmarkEnd w:id="105"/>
      <w:bookmarkEnd w:id="106"/>
      <w:bookmarkEnd w:id="107"/>
    </w:p>
    <w:tbl>
      <w:tblPr>
        <w:tblStyle w:val="23"/>
        <w:tblW w:w="4996"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160"/>
        <w:gridCol w:w="1606"/>
        <w:gridCol w:w="6515"/>
      </w:tblGrid>
      <w:tr w14:paraId="17B7FF3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blHeader/>
        </w:trPr>
        <w:tc>
          <w:tcPr>
            <w:tcW w:w="625" w:type="pct"/>
            <w:shd w:val="clear" w:color="auto" w:fill="A6A6A6"/>
            <w:noWrap w:val="0"/>
            <w:vAlign w:val="center"/>
          </w:tcPr>
          <w:p w14:paraId="60B0FDD3">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序号</w:t>
            </w:r>
          </w:p>
        </w:tc>
        <w:tc>
          <w:tcPr>
            <w:tcW w:w="865" w:type="pct"/>
            <w:shd w:val="clear" w:color="auto" w:fill="A6A6A6"/>
            <w:noWrap w:val="0"/>
            <w:vAlign w:val="center"/>
          </w:tcPr>
          <w:p w14:paraId="697B5238">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名词</w:t>
            </w:r>
          </w:p>
        </w:tc>
        <w:tc>
          <w:tcPr>
            <w:tcW w:w="3509" w:type="pct"/>
            <w:shd w:val="clear" w:color="auto" w:fill="A6A6A6"/>
            <w:noWrap w:val="0"/>
            <w:vAlign w:val="center"/>
          </w:tcPr>
          <w:p w14:paraId="7A3ED612">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定义</w:t>
            </w:r>
          </w:p>
        </w:tc>
      </w:tr>
      <w:tr w14:paraId="5480AF3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41789119">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104745B9">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本合同</w:t>
            </w:r>
          </w:p>
        </w:tc>
        <w:tc>
          <w:tcPr>
            <w:tcW w:w="3509" w:type="pct"/>
            <w:noWrap w:val="0"/>
            <w:vAlign w:val="center"/>
          </w:tcPr>
          <w:p w14:paraId="6BB184EE">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指深圳市罗湖区洪湖公园儿童活动区动力设施建设运营项目合同。</w:t>
            </w:r>
          </w:p>
        </w:tc>
      </w:tr>
      <w:tr w14:paraId="44DD63C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36B83D1C">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2B36FA4E">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项目/本项目</w:t>
            </w:r>
          </w:p>
        </w:tc>
        <w:tc>
          <w:tcPr>
            <w:tcW w:w="3509" w:type="pct"/>
            <w:noWrap w:val="0"/>
            <w:vAlign w:val="center"/>
          </w:tcPr>
          <w:p w14:paraId="1F0D8F4C">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指深圳市罗湖区洪湖公园儿童活动区动力设施建设运营项目。</w:t>
            </w:r>
          </w:p>
        </w:tc>
      </w:tr>
      <w:tr w14:paraId="526D6F0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1DF1219B">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228246E5">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甲方</w:t>
            </w:r>
          </w:p>
        </w:tc>
        <w:tc>
          <w:tcPr>
            <w:tcW w:w="3509" w:type="pct"/>
            <w:noWrap w:val="0"/>
            <w:vAlign w:val="center"/>
          </w:tcPr>
          <w:p w14:paraId="16D240DB">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w:t>
            </w:r>
            <w:r>
              <w:rPr>
                <w:rFonts w:hint="eastAsia" w:ascii="仿宋_GB2312" w:hAnsi="仿宋_GB2312" w:eastAsia="仿宋_GB2312" w:cs="仿宋_GB2312"/>
                <w:color w:val="auto"/>
                <w:sz w:val="28"/>
                <w:szCs w:val="28"/>
                <w:highlight w:val="none"/>
                <w:lang w:val="en-US" w:eastAsia="zh-CN"/>
              </w:rPr>
              <w:t>深圳市罗湖区市政园林管理所</w:t>
            </w:r>
            <w:r>
              <w:rPr>
                <w:rFonts w:hint="eastAsia" w:ascii="仿宋" w:hAnsi="仿宋" w:eastAsia="仿宋" w:cs="仿宋"/>
                <w:sz w:val="28"/>
                <w:szCs w:val="28"/>
              </w:rPr>
              <w:t>。</w:t>
            </w:r>
          </w:p>
        </w:tc>
      </w:tr>
      <w:tr w14:paraId="3FDDF84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7CBE39E6">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5CE09565">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乙方</w:t>
            </w:r>
          </w:p>
        </w:tc>
        <w:tc>
          <w:tcPr>
            <w:tcW w:w="3509" w:type="pct"/>
            <w:noWrap w:val="0"/>
            <w:vAlign w:val="center"/>
          </w:tcPr>
          <w:p w14:paraId="4A8D34A8">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w:t>
            </w:r>
            <w:r>
              <w:rPr>
                <w:rFonts w:hint="eastAsia" w:ascii="仿宋" w:hAnsi="仿宋" w:eastAsia="仿宋" w:cs="仿宋"/>
                <w:sz w:val="28"/>
                <w:szCs w:val="28"/>
                <w:shd w:val="clear" w:color="auto" w:fill="FFFF00"/>
              </w:rPr>
              <w:t>【】</w:t>
            </w:r>
            <w:r>
              <w:rPr>
                <w:rFonts w:hint="eastAsia" w:ascii="仿宋" w:hAnsi="仿宋" w:eastAsia="仿宋" w:cs="仿宋"/>
                <w:sz w:val="28"/>
                <w:szCs w:val="28"/>
              </w:rPr>
              <w:t>。</w:t>
            </w:r>
          </w:p>
        </w:tc>
      </w:tr>
      <w:tr w14:paraId="1971A34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75036B94">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04E8CB8F">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政府/甲方</w:t>
            </w:r>
          </w:p>
        </w:tc>
        <w:tc>
          <w:tcPr>
            <w:tcW w:w="3509" w:type="pct"/>
            <w:noWrap w:val="0"/>
            <w:vAlign w:val="center"/>
          </w:tcPr>
          <w:p w14:paraId="0AE20A41">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指根据各自职责，对乙方执行适用法律以及其他有关监管要求进行监督管理的各级人民政府及其职能部门。</w:t>
            </w:r>
          </w:p>
        </w:tc>
      </w:tr>
      <w:tr w14:paraId="28239E1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2D7B2F17">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178B4FE2">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动力游戏区</w:t>
            </w:r>
          </w:p>
        </w:tc>
        <w:tc>
          <w:tcPr>
            <w:tcW w:w="3509" w:type="pct"/>
            <w:noWrap w:val="0"/>
            <w:vAlign w:val="center"/>
          </w:tcPr>
          <w:p w14:paraId="6B739148">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拟建设投资的机动游戏设施的区域，具体区位详见附件《：动力设施位置示意图》。</w:t>
            </w:r>
          </w:p>
        </w:tc>
      </w:tr>
      <w:tr w14:paraId="2BB45DF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3500982A">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447EB0B0">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合作期限</w:t>
            </w:r>
          </w:p>
        </w:tc>
        <w:tc>
          <w:tcPr>
            <w:tcW w:w="3509" w:type="pct"/>
            <w:noWrap w:val="0"/>
            <w:vAlign w:val="center"/>
          </w:tcPr>
          <w:p w14:paraId="6E87D59D">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指自本合同生效之日起，共</w:t>
            </w:r>
            <w:r>
              <w:rPr>
                <w:rFonts w:hint="eastAsia" w:ascii="Times New Roman" w:hAnsi="Times New Roman" w:eastAsia="仿宋" w:cs="Times New Roman"/>
                <w:sz w:val="28"/>
                <w:szCs w:val="28"/>
                <w:lang w:val="en-US" w:eastAsia="zh-CN"/>
              </w:rPr>
              <w:t>5</w:t>
            </w:r>
            <w:r>
              <w:rPr>
                <w:rFonts w:hint="eastAsia" w:ascii="仿宋" w:hAnsi="仿宋" w:eastAsia="仿宋" w:cs="仿宋"/>
                <w:sz w:val="28"/>
                <w:szCs w:val="28"/>
              </w:rPr>
              <w:t>年。</w:t>
            </w:r>
          </w:p>
        </w:tc>
      </w:tr>
      <w:tr w14:paraId="052B7CA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42491BAC">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451642AF">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动力游戏区设施</w:t>
            </w:r>
          </w:p>
        </w:tc>
        <w:tc>
          <w:tcPr>
            <w:tcW w:w="3509" w:type="pct"/>
            <w:noWrap w:val="0"/>
            <w:vAlign w:val="center"/>
          </w:tcPr>
          <w:p w14:paraId="1A068E5A">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指动力游戏区内的全部设备、设施、建筑物和构筑物。</w:t>
            </w:r>
          </w:p>
        </w:tc>
      </w:tr>
      <w:tr w14:paraId="0990996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7FD13971">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32914811">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机动游戏设施</w:t>
            </w:r>
          </w:p>
        </w:tc>
        <w:tc>
          <w:tcPr>
            <w:tcW w:w="3509" w:type="pct"/>
            <w:noWrap w:val="0"/>
            <w:vAlign w:val="center"/>
          </w:tcPr>
          <w:p w14:paraId="4870E2C9">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指动力游戏区内主要由乙方投资建设的游戏设施，如</w:t>
            </w:r>
            <w:r>
              <w:rPr>
                <w:rFonts w:hint="eastAsia" w:ascii="仿宋" w:hAnsi="仿宋" w:eastAsia="仿宋" w:cs="仿宋"/>
                <w:sz w:val="28"/>
                <w:szCs w:val="28"/>
                <w:lang w:val="en-US" w:eastAsia="zh-CN"/>
              </w:rPr>
              <w:t>牛仔很忙</w:t>
            </w:r>
            <w:r>
              <w:rPr>
                <w:rFonts w:hint="eastAsia" w:ascii="仿宋" w:hAnsi="仿宋" w:eastAsia="仿宋" w:cs="仿宋"/>
                <w:sz w:val="28"/>
                <w:szCs w:val="28"/>
              </w:rPr>
              <w:t>等。</w:t>
            </w:r>
          </w:p>
        </w:tc>
      </w:tr>
      <w:tr w14:paraId="390E832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41F34108">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1E176CE2">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甲方设施</w:t>
            </w:r>
          </w:p>
        </w:tc>
        <w:tc>
          <w:tcPr>
            <w:tcW w:w="3509" w:type="pct"/>
            <w:noWrap w:val="0"/>
            <w:vAlign w:val="center"/>
          </w:tcPr>
          <w:p w14:paraId="5665C694">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指甲方拥有所有权的动力游戏区设施。</w:t>
            </w:r>
          </w:p>
        </w:tc>
      </w:tr>
      <w:tr w14:paraId="77EEF52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3ED1833D">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7F982D3E">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大修</w:t>
            </w:r>
          </w:p>
        </w:tc>
        <w:tc>
          <w:tcPr>
            <w:tcW w:w="3509" w:type="pct"/>
            <w:noWrap w:val="0"/>
            <w:vAlign w:val="center"/>
          </w:tcPr>
          <w:p w14:paraId="3ED6CEE3">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指同时符合以下两项标准的修理：</w:t>
            </w:r>
          </w:p>
          <w:p w14:paraId="03D4A11A">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（1）修理支出达到取得固定资产时计税基础的50%以上。</w:t>
            </w:r>
          </w:p>
          <w:p w14:paraId="692C5005">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修理后固定资产的使用年限延长2年以上。</w:t>
            </w:r>
          </w:p>
        </w:tc>
      </w:tr>
      <w:tr w14:paraId="30491C5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121E4E3A">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42BDB775">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重置</w:t>
            </w:r>
          </w:p>
        </w:tc>
        <w:tc>
          <w:tcPr>
            <w:tcW w:w="3509" w:type="pct"/>
            <w:noWrap w:val="0"/>
            <w:vAlign w:val="center"/>
          </w:tcPr>
          <w:p w14:paraId="6D3CD157">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指动力游戏区设施发生自然磨损和损耗、事故或不可抗力等情况需要进行的更换。</w:t>
            </w:r>
          </w:p>
        </w:tc>
      </w:tr>
      <w:tr w14:paraId="1D58042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6D375CF1">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42B3D02A">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批准</w:t>
            </w:r>
          </w:p>
        </w:tc>
        <w:tc>
          <w:tcPr>
            <w:tcW w:w="3509" w:type="pct"/>
            <w:noWrap w:val="0"/>
            <w:vAlign w:val="center"/>
          </w:tcPr>
          <w:p w14:paraId="67395394">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指为开展本合同相关的各项工作，须从政府方获得的行政审批或行政许可。</w:t>
            </w:r>
          </w:p>
        </w:tc>
      </w:tr>
      <w:tr w14:paraId="595FFF6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3845E2ED">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226E323A">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法律变更</w:t>
            </w:r>
          </w:p>
        </w:tc>
        <w:tc>
          <w:tcPr>
            <w:tcW w:w="3509" w:type="pct"/>
            <w:noWrap w:val="0"/>
            <w:vAlign w:val="center"/>
          </w:tcPr>
          <w:p w14:paraId="5544CD4A">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指在本合同生效后，任何适用法律的实施、颁布、修改、废除或对其解释或执行的任何变动。</w:t>
            </w:r>
          </w:p>
        </w:tc>
      </w:tr>
      <w:tr w14:paraId="4A19DDF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1C4BD49B">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6561DCAE">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适用法律</w:t>
            </w:r>
          </w:p>
        </w:tc>
        <w:tc>
          <w:tcPr>
            <w:tcW w:w="3509" w:type="pct"/>
            <w:noWrap w:val="0"/>
            <w:vAlign w:val="center"/>
          </w:tcPr>
          <w:p w14:paraId="64AEC41F">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指所有适用的中国法律、法规、规章和各级政府、政府部门颁布的政策性文件、技术标准、技术规范、政府规范性文件以及所有其它适用的强制性要求。</w:t>
            </w:r>
          </w:p>
        </w:tc>
      </w:tr>
      <w:tr w14:paraId="4B33001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0" w:hRule="atLeast"/>
        </w:trPr>
        <w:tc>
          <w:tcPr>
            <w:tcW w:w="625" w:type="pct"/>
            <w:noWrap w:val="0"/>
            <w:vAlign w:val="center"/>
          </w:tcPr>
          <w:p w14:paraId="2DFB93D0">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4EB1D825">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谨慎运营惯例</w:t>
            </w:r>
          </w:p>
        </w:tc>
        <w:tc>
          <w:tcPr>
            <w:tcW w:w="3509" w:type="pct"/>
            <w:noWrap w:val="0"/>
            <w:vAlign w:val="center"/>
          </w:tcPr>
          <w:p w14:paraId="41DD86C0">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指熟练和有经验的游乐设施运营企业在运营同类项目时所采用或接受的惯例、方法、做法。</w:t>
            </w:r>
          </w:p>
        </w:tc>
      </w:tr>
      <w:tr w14:paraId="0FD02F7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3405A20A">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0D871128">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终止通知</w:t>
            </w:r>
          </w:p>
        </w:tc>
        <w:tc>
          <w:tcPr>
            <w:tcW w:w="3509" w:type="pct"/>
            <w:noWrap w:val="0"/>
            <w:vAlign w:val="center"/>
          </w:tcPr>
          <w:p w14:paraId="59C7A7E1">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指任何一方向对方发出的终止本合同的通知。</w:t>
            </w:r>
          </w:p>
        </w:tc>
      </w:tr>
      <w:tr w14:paraId="03AC78A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22CF9CC8">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04572F1C">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提前终止日</w:t>
            </w:r>
          </w:p>
        </w:tc>
        <w:tc>
          <w:tcPr>
            <w:tcW w:w="3509" w:type="pct"/>
            <w:noWrap w:val="0"/>
            <w:vAlign w:val="center"/>
          </w:tcPr>
          <w:p w14:paraId="44065493">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指终止通知载明的合同终止日。</w:t>
            </w:r>
          </w:p>
        </w:tc>
      </w:tr>
      <w:tr w14:paraId="3D7FFF5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625" w:type="pct"/>
            <w:noWrap w:val="0"/>
            <w:vAlign w:val="center"/>
          </w:tcPr>
          <w:p w14:paraId="63AE8F96">
            <w:pPr>
              <w:widowControl w:val="0"/>
              <w:numPr>
                <w:ilvl w:val="0"/>
                <w:numId w:val="6"/>
              </w:numPr>
              <w:snapToGrid w:val="0"/>
              <w:spacing w:before="190" w:beforeLines="50" w:after="190" w:afterLines="50" w:line="240" w:lineRule="auto"/>
              <w:ind w:left="0" w:firstLine="0" w:firstLineChars="0"/>
              <w:jc w:val="center"/>
              <w:outlineLvl w:val="9"/>
              <w:rPr>
                <w:rFonts w:ascii="仿宋" w:hAnsi="仿宋" w:eastAsia="仿宋" w:cs="仿宋"/>
                <w:kern w:val="2"/>
                <w:sz w:val="28"/>
                <w:szCs w:val="28"/>
                <w:lang w:val="en-US" w:eastAsia="zh-CN" w:bidi="ar-SA"/>
              </w:rPr>
            </w:pPr>
          </w:p>
        </w:tc>
        <w:tc>
          <w:tcPr>
            <w:tcW w:w="865" w:type="pct"/>
            <w:noWrap w:val="0"/>
            <w:vAlign w:val="center"/>
          </w:tcPr>
          <w:p w14:paraId="060A7E70">
            <w:pPr>
              <w:snapToGrid w:val="0"/>
              <w:spacing w:before="190" w:beforeLines="50" w:after="190" w:afterLines="50" w:line="240" w:lineRule="auto"/>
              <w:ind w:firstLine="0" w:firstLineChars="0"/>
              <w:jc w:val="center"/>
              <w:outlineLvl w:val="9"/>
              <w:rPr>
                <w:rFonts w:ascii="仿宋" w:hAnsi="仿宋" w:eastAsia="仿宋" w:cs="仿宋"/>
                <w:sz w:val="28"/>
                <w:szCs w:val="28"/>
              </w:rPr>
            </w:pPr>
            <w:r>
              <w:rPr>
                <w:rFonts w:hint="eastAsia" w:ascii="仿宋" w:hAnsi="仿宋" w:eastAsia="仿宋" w:cs="仿宋"/>
                <w:sz w:val="28"/>
                <w:szCs w:val="28"/>
              </w:rPr>
              <w:t>接收人</w:t>
            </w:r>
          </w:p>
        </w:tc>
        <w:tc>
          <w:tcPr>
            <w:tcW w:w="3509" w:type="pct"/>
            <w:noWrap w:val="0"/>
            <w:vAlign w:val="center"/>
          </w:tcPr>
          <w:p w14:paraId="27148914">
            <w:pPr>
              <w:snapToGrid w:val="0"/>
              <w:spacing w:before="190" w:beforeLines="50" w:after="190" w:afterLines="50" w:line="240" w:lineRule="auto"/>
              <w:ind w:firstLine="0" w:firstLineChars="0"/>
              <w:outlineLvl w:val="9"/>
              <w:rPr>
                <w:rFonts w:ascii="仿宋" w:hAnsi="仿宋" w:eastAsia="仿宋" w:cs="仿宋"/>
                <w:sz w:val="28"/>
                <w:szCs w:val="28"/>
              </w:rPr>
            </w:pPr>
            <w:r>
              <w:rPr>
                <w:rFonts w:hint="eastAsia" w:ascii="仿宋" w:hAnsi="仿宋" w:eastAsia="仿宋" w:cs="仿宋"/>
                <w:sz w:val="28"/>
                <w:szCs w:val="28"/>
              </w:rPr>
              <w:t>指甲方或甲方指定的接续运营管理动力游戏区的第三方单位。</w:t>
            </w:r>
          </w:p>
        </w:tc>
      </w:tr>
    </w:tbl>
    <w:p w14:paraId="49EE358F">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除另有说明外，下列名词或术语在本合同下具有下列含义：</w:t>
      </w:r>
    </w:p>
    <w:p w14:paraId="767D5CB5">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108" w:name="_Toc12042351"/>
      <w:bookmarkEnd w:id="108"/>
      <w:bookmarkStart w:id="109" w:name="_Toc12042715"/>
      <w:bookmarkEnd w:id="109"/>
      <w:bookmarkStart w:id="110" w:name="_Toc12042257"/>
      <w:bookmarkEnd w:id="110"/>
      <w:bookmarkStart w:id="111" w:name="_Toc23464"/>
      <w:bookmarkStart w:id="112" w:name="_Toc529224092"/>
      <w:bookmarkStart w:id="113" w:name="_Toc27945"/>
      <w:bookmarkStart w:id="114" w:name="_Toc25160"/>
      <w:bookmarkStart w:id="115" w:name="_Toc18245"/>
      <w:bookmarkStart w:id="116" w:name="_Toc9342"/>
      <w:bookmarkStart w:id="117" w:name="_Toc30814"/>
      <w:bookmarkStart w:id="118" w:name="_Toc45811785"/>
      <w:bookmarkStart w:id="119" w:name="_Toc13642205"/>
      <w:bookmarkStart w:id="120" w:name="_Toc22812"/>
      <w:r>
        <w:rPr>
          <w:rFonts w:hint="eastAsia" w:ascii="仿宋" w:hAnsi="仿宋" w:eastAsia="仿宋" w:cs="Times New Roman"/>
          <w:b/>
          <w:kern w:val="2"/>
          <w:sz w:val="30"/>
          <w:szCs w:val="30"/>
          <w:lang w:val="en-US" w:eastAsia="zh-CN" w:bidi="ar-SA"/>
        </w:rPr>
        <w:t>合同文件</w:t>
      </w:r>
      <w:r>
        <w:rPr>
          <w:rFonts w:ascii="仿宋" w:hAnsi="仿宋" w:eastAsia="仿宋" w:cs="Times New Roman"/>
          <w:b/>
          <w:kern w:val="2"/>
          <w:sz w:val="30"/>
          <w:szCs w:val="30"/>
          <w:lang w:val="en-US" w:eastAsia="zh-CN" w:bidi="ar-SA"/>
        </w:rPr>
        <w:t>解释</w:t>
      </w:r>
      <w:bookmarkEnd w:id="111"/>
      <w:bookmarkEnd w:id="112"/>
      <w:bookmarkEnd w:id="113"/>
      <w:bookmarkEnd w:id="114"/>
      <w:bookmarkEnd w:id="115"/>
      <w:bookmarkEnd w:id="116"/>
      <w:bookmarkEnd w:id="117"/>
      <w:bookmarkEnd w:id="118"/>
      <w:bookmarkEnd w:id="119"/>
      <w:bookmarkEnd w:id="120"/>
    </w:p>
    <w:p w14:paraId="66C0F1FB">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除非特别说明，本合同提及：</w:t>
      </w:r>
    </w:p>
    <w:p w14:paraId="1E330570">
      <w:pPr>
        <w:widowControl w:val="0"/>
        <w:numPr>
          <w:ilvl w:val="4"/>
          <w:numId w:val="5"/>
        </w:numPr>
        <w:kinsoku/>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“日”、“月”、“年”时，均指公历的“日”、“月”、“年”，其中一年以365日（闰年3</w:t>
      </w:r>
      <w:r>
        <w:rPr>
          <w:rFonts w:ascii="等线 Light" w:hAnsi="等线 Light" w:eastAsia="仿宋" w:cs="Times New Roman"/>
          <w:b w:val="0"/>
          <w:bCs/>
          <w:kern w:val="2"/>
          <w:sz w:val="28"/>
          <w:szCs w:val="28"/>
          <w:lang w:val="en-US" w:eastAsia="zh-CN" w:bidi="ar-SA"/>
        </w:rPr>
        <w:t>66</w:t>
      </w:r>
      <w:r>
        <w:rPr>
          <w:rFonts w:hint="eastAsia" w:ascii="等线 Light" w:hAnsi="等线 Light" w:eastAsia="仿宋" w:cs="Times New Roman"/>
          <w:b w:val="0"/>
          <w:bCs/>
          <w:kern w:val="2"/>
          <w:sz w:val="28"/>
          <w:szCs w:val="28"/>
          <w:lang w:val="en-US" w:eastAsia="zh-CN" w:bidi="ar-SA"/>
        </w:rPr>
        <w:t>日）计，一个月以30日计。</w:t>
      </w:r>
    </w:p>
    <w:p w14:paraId="25B7E7AE">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具体日数、天数时，均以自然日计算，星期六、星期日、法定节假日或其他休息日等均计入。</w:t>
      </w:r>
    </w:p>
    <w:p w14:paraId="6BD42EDE">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“以上”、“以下”、“以内”或“内”时，均含本数。</w:t>
      </w:r>
    </w:p>
    <w:p w14:paraId="023234F1">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“超过”、“以外”时，均不含本数。</w:t>
      </w:r>
    </w:p>
    <w:p w14:paraId="0BE52AC5">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ascii="等线 Light" w:hAnsi="等线 Light" w:eastAsia="仿宋" w:cs="Times New Roman"/>
          <w:bCs/>
          <w:kern w:val="2"/>
          <w:sz w:val="28"/>
          <w:szCs w:val="28"/>
          <w:lang w:val="en-US" w:eastAsia="zh-CN" w:bidi="ar-SA"/>
        </w:rPr>
        <w:t>本合同中的标题仅为参考所设，不视为对</w:t>
      </w:r>
      <w:r>
        <w:rPr>
          <w:rFonts w:hint="eastAsia" w:ascii="等线 Light" w:hAnsi="等线 Light" w:eastAsia="仿宋" w:cs="Times New Roman"/>
          <w:bCs/>
          <w:kern w:val="2"/>
          <w:sz w:val="28"/>
          <w:szCs w:val="28"/>
          <w:lang w:val="en-US" w:eastAsia="zh-CN" w:bidi="ar-SA"/>
        </w:rPr>
        <w:t>合同</w:t>
      </w:r>
      <w:r>
        <w:rPr>
          <w:rFonts w:ascii="等线 Light" w:hAnsi="等线 Light" w:eastAsia="仿宋" w:cs="Times New Roman"/>
          <w:bCs/>
          <w:kern w:val="2"/>
          <w:sz w:val="28"/>
          <w:szCs w:val="28"/>
          <w:lang w:val="en-US" w:eastAsia="zh-CN" w:bidi="ar-SA"/>
        </w:rPr>
        <w:t>条款的解释。</w:t>
      </w:r>
    </w:p>
    <w:p w14:paraId="7CF58F03">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ascii="等线 Light" w:hAnsi="等线 Light" w:eastAsia="仿宋" w:cs="Times New Roman"/>
          <w:bCs/>
          <w:kern w:val="2"/>
          <w:sz w:val="28"/>
          <w:szCs w:val="28"/>
          <w:lang w:val="en-US" w:eastAsia="zh-CN" w:bidi="ar-SA"/>
        </w:rPr>
        <w:t>本合同的各个组成部分都具有同等的法律效力。</w:t>
      </w:r>
      <w:bookmarkStart w:id="121" w:name="_Toc13642206"/>
    </w:p>
    <w:p w14:paraId="4495BC5D">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bookmarkStart w:id="122" w:name="_Toc2261"/>
      <w:bookmarkStart w:id="123" w:name="_Toc765"/>
      <w:bookmarkStart w:id="124" w:name="_Toc45811786"/>
    </w:p>
    <w:p w14:paraId="52118B5C">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125" w:name="_Toc20132"/>
      <w:bookmarkStart w:id="126" w:name="_Toc9709"/>
      <w:bookmarkStart w:id="127" w:name="_Toc10544"/>
      <w:bookmarkStart w:id="128" w:name="_Toc28237"/>
      <w:bookmarkStart w:id="129" w:name="_Toc25845"/>
      <w:r>
        <w:rPr>
          <w:rFonts w:ascii="黑体" w:hAnsi="黑体" w:eastAsia="黑体" w:cs="Times New Roman"/>
          <w:kern w:val="2"/>
          <w:sz w:val="32"/>
          <w:szCs w:val="32"/>
          <w:lang w:val="en-US" w:eastAsia="zh-CN" w:bidi="ar-SA"/>
        </w:rPr>
        <w:t>声明与保证</w:t>
      </w:r>
      <w:bookmarkEnd w:id="121"/>
      <w:bookmarkEnd w:id="122"/>
      <w:bookmarkEnd w:id="123"/>
      <w:bookmarkEnd w:id="124"/>
      <w:bookmarkEnd w:id="125"/>
      <w:bookmarkEnd w:id="126"/>
      <w:bookmarkEnd w:id="127"/>
      <w:bookmarkEnd w:id="128"/>
      <w:bookmarkEnd w:id="129"/>
      <w:bookmarkStart w:id="130" w:name="_Toc419709674"/>
      <w:bookmarkStart w:id="131" w:name="_Toc201207976"/>
      <w:bookmarkStart w:id="132" w:name="_Toc198837188"/>
      <w:bookmarkStart w:id="133" w:name="_Toc246672981"/>
      <w:bookmarkStart w:id="134" w:name="_Toc229481291"/>
    </w:p>
    <w:p w14:paraId="3924E50D">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135" w:name="_Toc10682"/>
      <w:bookmarkStart w:id="136" w:name="_Toc30763"/>
      <w:bookmarkStart w:id="137" w:name="_Toc8286"/>
      <w:bookmarkStart w:id="138" w:name="_Toc529224094"/>
      <w:bookmarkStart w:id="139" w:name="_Toc23168"/>
      <w:bookmarkStart w:id="140" w:name="_Toc45811787"/>
      <w:bookmarkStart w:id="141" w:name="_Toc13642207"/>
      <w:bookmarkStart w:id="142" w:name="_Toc8736"/>
      <w:bookmarkStart w:id="143" w:name="_Toc23881"/>
      <w:bookmarkStart w:id="144" w:name="_Toc18009"/>
      <w:r>
        <w:rPr>
          <w:rFonts w:ascii="仿宋" w:hAnsi="仿宋" w:eastAsia="仿宋" w:cs="Times New Roman"/>
          <w:b/>
          <w:kern w:val="2"/>
          <w:sz w:val="30"/>
          <w:szCs w:val="30"/>
          <w:lang w:val="en-US" w:eastAsia="zh-CN" w:bidi="ar-SA"/>
        </w:rPr>
        <w:t>甲方的声明与保证</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B67720F">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ascii="Times New Roman" w:hAnsi="Times New Roman" w:eastAsia="仿宋" w:cs="Times New Roman"/>
          <w:sz w:val="28"/>
          <w:szCs w:val="28"/>
        </w:rPr>
        <w:t>甲方在此向乙方声明并保证：</w:t>
      </w:r>
    </w:p>
    <w:p w14:paraId="110C35EA">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ascii="等线 Light" w:hAnsi="等线 Light" w:eastAsia="仿宋" w:cs="Times New Roman"/>
          <w:bCs/>
          <w:kern w:val="2"/>
          <w:sz w:val="28"/>
          <w:szCs w:val="28"/>
          <w:lang w:val="en-US" w:eastAsia="zh-CN" w:bidi="ar-SA"/>
        </w:rPr>
        <w:t>甲方已充分理解本合同背景和目的，并承诺按</w:t>
      </w:r>
      <w:r>
        <w:rPr>
          <w:rFonts w:hint="eastAsia" w:ascii="等线 Light" w:hAnsi="等线 Light" w:eastAsia="仿宋" w:cs="Times New Roman"/>
          <w:bCs/>
          <w:kern w:val="2"/>
          <w:sz w:val="28"/>
          <w:szCs w:val="28"/>
          <w:lang w:val="en-US" w:eastAsia="zh-CN" w:bidi="ar-SA"/>
        </w:rPr>
        <w:t>合同</w:t>
      </w:r>
      <w:r>
        <w:rPr>
          <w:rFonts w:ascii="等线 Light" w:hAnsi="等线 Light" w:eastAsia="仿宋" w:cs="Times New Roman"/>
          <w:bCs/>
          <w:kern w:val="2"/>
          <w:sz w:val="28"/>
          <w:szCs w:val="28"/>
          <w:lang w:val="en-US" w:eastAsia="zh-CN" w:bidi="ar-SA"/>
        </w:rPr>
        <w:t>相关约定执行本合同。</w:t>
      </w:r>
    </w:p>
    <w:p w14:paraId="68EB2C11">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ascii="等线 Light" w:hAnsi="等线 Light" w:eastAsia="仿宋" w:cs="Times New Roman"/>
          <w:bCs/>
          <w:kern w:val="2"/>
          <w:sz w:val="28"/>
          <w:szCs w:val="28"/>
          <w:lang w:val="en-US" w:eastAsia="zh-CN" w:bidi="ar-SA"/>
        </w:rPr>
        <w:t>甲方为依据中国法律成立的</w:t>
      </w:r>
      <w:r>
        <w:rPr>
          <w:rFonts w:hint="eastAsia" w:ascii="等线 Light" w:hAnsi="等线 Light" w:eastAsia="仿宋" w:cs="Times New Roman"/>
          <w:bCs/>
          <w:kern w:val="2"/>
          <w:sz w:val="28"/>
          <w:szCs w:val="28"/>
          <w:lang w:val="en-US" w:eastAsia="zh-CN" w:bidi="ar-SA"/>
        </w:rPr>
        <w:t>机关</w:t>
      </w:r>
      <w:r>
        <w:rPr>
          <w:rFonts w:ascii="等线 Light" w:hAnsi="等线 Light" w:eastAsia="仿宋" w:cs="Times New Roman"/>
          <w:bCs/>
          <w:kern w:val="2"/>
          <w:sz w:val="28"/>
          <w:szCs w:val="28"/>
          <w:lang w:val="en-US" w:eastAsia="zh-CN" w:bidi="ar-SA"/>
        </w:rPr>
        <w:t>法人，依法有权签署本合同并完全有能力承担和履行本合同项下的各项义务。</w:t>
      </w:r>
    </w:p>
    <w:p w14:paraId="59FF7BB9">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ascii="等线 Light" w:hAnsi="等线 Light" w:eastAsia="仿宋" w:cs="Times New Roman"/>
          <w:bCs/>
          <w:kern w:val="2"/>
          <w:sz w:val="28"/>
          <w:szCs w:val="28"/>
          <w:lang w:val="en-US" w:eastAsia="zh-CN" w:bidi="ar-SA"/>
        </w:rPr>
        <w:t>代表甲方签署本合同的</w:t>
      </w:r>
      <w:r>
        <w:rPr>
          <w:rFonts w:hint="eastAsia" w:ascii="等线 Light" w:hAnsi="等线 Light" w:eastAsia="仿宋" w:cs="Times New Roman"/>
          <w:bCs/>
          <w:kern w:val="2"/>
          <w:sz w:val="28"/>
          <w:szCs w:val="28"/>
          <w:lang w:val="en-US" w:eastAsia="zh-CN" w:bidi="ar-SA"/>
        </w:rPr>
        <w:t>合同</w:t>
      </w:r>
      <w:r>
        <w:rPr>
          <w:rFonts w:ascii="等线 Light" w:hAnsi="等线 Light" w:eastAsia="仿宋" w:cs="Times New Roman"/>
          <w:bCs/>
          <w:kern w:val="2"/>
          <w:sz w:val="28"/>
          <w:szCs w:val="28"/>
          <w:lang w:val="en-US" w:eastAsia="zh-CN" w:bidi="ar-SA"/>
        </w:rPr>
        <w:t>签署人已经获得签署本合同所需的必要的权利或授权。</w:t>
      </w:r>
    </w:p>
    <w:p w14:paraId="7351637E">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ascii="等线 Light" w:hAnsi="等线 Light" w:eastAsia="仿宋" w:cs="Times New Roman"/>
          <w:bCs/>
          <w:kern w:val="2"/>
          <w:sz w:val="28"/>
          <w:szCs w:val="28"/>
          <w:lang w:val="en-US" w:eastAsia="zh-CN" w:bidi="ar-SA"/>
        </w:rPr>
        <w:t>本合同的签署和履行不违反甲方的授权文件和其组织规则中的任何内容，也不违反其应当遵守的任何适用法律或对其具有约束力的文件。</w:t>
      </w:r>
    </w:p>
    <w:p w14:paraId="66B8BC8F">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ascii="等线 Light" w:hAnsi="等线 Light" w:eastAsia="仿宋" w:cs="Times New Roman"/>
          <w:bCs/>
          <w:kern w:val="2"/>
          <w:sz w:val="28"/>
          <w:szCs w:val="28"/>
          <w:lang w:val="en-US" w:eastAsia="zh-CN" w:bidi="ar-SA"/>
        </w:rPr>
        <w:t>甲方在签署本合同时，除已经向乙方充分披露的信息以外，不存在任何对甲方签署及履行本合同产生重大不利影响的诉讼、仲裁或其它争议（包括将要发生或可能发生的诉讼、仲裁或其它争议）</w:t>
      </w:r>
      <w:r>
        <w:rPr>
          <w:rFonts w:hint="eastAsia" w:ascii="等线 Light" w:hAnsi="等线 Light" w:eastAsia="仿宋" w:cs="Times New Roman"/>
          <w:bCs/>
          <w:kern w:val="2"/>
          <w:sz w:val="28"/>
          <w:szCs w:val="28"/>
          <w:lang w:val="en-US" w:eastAsia="zh-CN" w:bidi="ar-SA"/>
        </w:rPr>
        <w:t>。</w:t>
      </w:r>
    </w:p>
    <w:p w14:paraId="2707F7E7">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ascii="等线 Light" w:hAnsi="等线 Light" w:eastAsia="仿宋" w:cs="Times New Roman"/>
          <w:bCs/>
          <w:kern w:val="2"/>
          <w:sz w:val="28"/>
          <w:szCs w:val="28"/>
          <w:lang w:val="en-US" w:eastAsia="zh-CN" w:bidi="ar-SA"/>
        </w:rPr>
        <w:t>在本合同运营期限内，如发生职能变更导致甲方不再作为</w:t>
      </w:r>
      <w:r>
        <w:rPr>
          <w:rFonts w:hint="eastAsia" w:ascii="等线 Light" w:hAnsi="等线 Light" w:eastAsia="仿宋" w:cs="Times New Roman"/>
          <w:bCs/>
          <w:kern w:val="2"/>
          <w:sz w:val="28"/>
          <w:szCs w:val="28"/>
          <w:lang w:val="en-US" w:eastAsia="zh-CN" w:bidi="ar-SA"/>
        </w:rPr>
        <w:t>合格</w:t>
      </w:r>
      <w:r>
        <w:rPr>
          <w:rFonts w:ascii="等线 Light" w:hAnsi="等线 Light" w:eastAsia="仿宋" w:cs="Times New Roman"/>
          <w:bCs/>
          <w:kern w:val="2"/>
          <w:sz w:val="28"/>
          <w:szCs w:val="28"/>
          <w:lang w:val="en-US" w:eastAsia="zh-CN" w:bidi="ar-SA"/>
        </w:rPr>
        <w:t>的合同主体</w:t>
      </w:r>
      <w:r>
        <w:rPr>
          <w:rFonts w:hint="eastAsia" w:ascii="等线 Light" w:hAnsi="等线 Light" w:eastAsia="仿宋" w:cs="Times New Roman"/>
          <w:bCs/>
          <w:kern w:val="2"/>
          <w:sz w:val="28"/>
          <w:szCs w:val="28"/>
          <w:lang w:val="en-US" w:eastAsia="zh-CN" w:bidi="ar-SA"/>
        </w:rPr>
        <w:t>时</w:t>
      </w:r>
      <w:r>
        <w:rPr>
          <w:rFonts w:ascii="等线 Light" w:hAnsi="等线 Light" w:eastAsia="仿宋" w:cs="Times New Roman"/>
          <w:bCs/>
          <w:kern w:val="2"/>
          <w:sz w:val="28"/>
          <w:szCs w:val="28"/>
          <w:lang w:val="en-US" w:eastAsia="zh-CN" w:bidi="ar-SA"/>
        </w:rPr>
        <w:t>，则应由届时甲方的合法承继者与乙方重新签署补充合同，由届时合法承继者享有并承担本合同项下的所有权利和义务。</w:t>
      </w:r>
    </w:p>
    <w:p w14:paraId="582DA271">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145" w:name="_Toc496562508"/>
      <w:bookmarkEnd w:id="145"/>
      <w:bookmarkStart w:id="146" w:name="_Toc496562650"/>
      <w:bookmarkEnd w:id="146"/>
      <w:bookmarkStart w:id="147" w:name="_Toc496571008"/>
      <w:bookmarkEnd w:id="147"/>
      <w:bookmarkStart w:id="148" w:name="_Toc496562796"/>
      <w:bookmarkEnd w:id="148"/>
      <w:bookmarkStart w:id="149" w:name="_Toc496562248"/>
      <w:bookmarkEnd w:id="149"/>
      <w:bookmarkStart w:id="150" w:name="_Toc529224095"/>
      <w:bookmarkStart w:id="151" w:name="_Toc22815"/>
      <w:bookmarkStart w:id="152" w:name="_Toc201207977"/>
      <w:bookmarkStart w:id="153" w:name="_Toc11615"/>
      <w:bookmarkStart w:id="154" w:name="_Toc13642208"/>
      <w:bookmarkStart w:id="155" w:name="_Toc7709"/>
      <w:bookmarkStart w:id="156" w:name="_Toc45811788"/>
      <w:bookmarkStart w:id="157" w:name="_Toc198837189"/>
      <w:bookmarkStart w:id="158" w:name="_Toc419709675"/>
      <w:bookmarkStart w:id="159" w:name="_Toc229481292"/>
      <w:bookmarkStart w:id="160" w:name="_Toc6644"/>
      <w:bookmarkStart w:id="161" w:name="_Toc13398"/>
      <w:bookmarkStart w:id="162" w:name="_Toc10870"/>
      <w:bookmarkStart w:id="163" w:name="_Toc246672982"/>
      <w:r>
        <w:rPr>
          <w:rFonts w:ascii="仿宋" w:hAnsi="仿宋" w:eastAsia="仿宋" w:cs="Times New Roman"/>
          <w:b/>
          <w:kern w:val="2"/>
          <w:sz w:val="30"/>
          <w:szCs w:val="30"/>
          <w:lang w:val="en-US" w:eastAsia="zh-CN" w:bidi="ar-SA"/>
        </w:rPr>
        <w:t>乙方的声明与保证</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DE9B632">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ascii="Times New Roman" w:hAnsi="Times New Roman" w:eastAsia="仿宋" w:cs="Times New Roman"/>
          <w:sz w:val="28"/>
          <w:szCs w:val="28"/>
        </w:rPr>
        <w:t>乙方在此向甲方声明并保证：</w:t>
      </w:r>
    </w:p>
    <w:p w14:paraId="28ABDA6D">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ascii="等线 Light" w:hAnsi="等线 Light" w:eastAsia="仿宋" w:cs="Times New Roman"/>
          <w:bCs/>
          <w:kern w:val="2"/>
          <w:sz w:val="28"/>
          <w:szCs w:val="28"/>
          <w:lang w:val="en-US" w:eastAsia="zh-CN" w:bidi="ar-SA"/>
        </w:rPr>
        <w:t>乙方已充分理解本合同背景和目的，并承诺按</w:t>
      </w:r>
      <w:r>
        <w:rPr>
          <w:rFonts w:hint="eastAsia" w:ascii="等线 Light" w:hAnsi="等线 Light" w:eastAsia="仿宋" w:cs="Times New Roman"/>
          <w:bCs/>
          <w:kern w:val="2"/>
          <w:sz w:val="28"/>
          <w:szCs w:val="28"/>
          <w:lang w:val="en-US" w:eastAsia="zh-CN" w:bidi="ar-SA"/>
        </w:rPr>
        <w:t>合同</w:t>
      </w:r>
      <w:r>
        <w:rPr>
          <w:rFonts w:ascii="等线 Light" w:hAnsi="等线 Light" w:eastAsia="仿宋" w:cs="Times New Roman"/>
          <w:bCs/>
          <w:kern w:val="2"/>
          <w:sz w:val="28"/>
          <w:szCs w:val="28"/>
          <w:lang w:val="en-US" w:eastAsia="zh-CN" w:bidi="ar-SA"/>
        </w:rPr>
        <w:t>相关约定执行本合同。</w:t>
      </w:r>
    </w:p>
    <w:p w14:paraId="3B522128">
      <w:pPr>
        <w:widowControl w:val="0"/>
        <w:numPr>
          <w:ilvl w:val="3"/>
          <w:numId w:val="5"/>
        </w:numPr>
        <w:kinsoku/>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ascii="等线 Light" w:hAnsi="等线 Light" w:eastAsia="仿宋" w:cs="Times New Roman"/>
          <w:bCs/>
          <w:kern w:val="2"/>
          <w:sz w:val="28"/>
          <w:szCs w:val="28"/>
          <w:lang w:val="en-US" w:eastAsia="zh-CN" w:bidi="ar-SA"/>
        </w:rPr>
        <w:t>乙方为依据</w:t>
      </w:r>
      <w:r>
        <w:rPr>
          <w:rFonts w:hint="eastAsia" w:ascii="等线 Light" w:hAnsi="等线 Light" w:eastAsia="仿宋" w:cs="Times New Roman"/>
          <w:bCs/>
          <w:kern w:val="2"/>
          <w:sz w:val="28"/>
          <w:szCs w:val="28"/>
          <w:lang w:val="en-US" w:eastAsia="zh-CN" w:bidi="ar-SA"/>
        </w:rPr>
        <w:t>中国</w:t>
      </w:r>
      <w:r>
        <w:rPr>
          <w:rFonts w:ascii="等线 Light" w:hAnsi="等线 Light" w:eastAsia="仿宋" w:cs="Times New Roman"/>
          <w:bCs/>
          <w:kern w:val="2"/>
          <w:sz w:val="28"/>
          <w:szCs w:val="28"/>
          <w:lang w:val="en-US" w:eastAsia="zh-CN" w:bidi="ar-SA"/>
        </w:rPr>
        <w:t>法律</w:t>
      </w:r>
      <w:r>
        <w:rPr>
          <w:rFonts w:hint="eastAsia" w:ascii="等线 Light" w:hAnsi="等线 Light" w:eastAsia="仿宋" w:cs="Times New Roman"/>
          <w:bCs/>
          <w:kern w:val="2"/>
          <w:sz w:val="28"/>
          <w:szCs w:val="28"/>
          <w:lang w:val="en-US" w:eastAsia="zh-CN" w:bidi="ar-SA"/>
        </w:rPr>
        <w:t>依法</w:t>
      </w:r>
      <w:r>
        <w:rPr>
          <w:rFonts w:ascii="等线 Light" w:hAnsi="等线 Light" w:eastAsia="仿宋" w:cs="Times New Roman"/>
          <w:bCs/>
          <w:kern w:val="2"/>
          <w:sz w:val="28"/>
          <w:szCs w:val="28"/>
          <w:lang w:val="en-US" w:eastAsia="zh-CN" w:bidi="ar-SA"/>
        </w:rPr>
        <w:t>成立的</w:t>
      </w:r>
      <w:r>
        <w:rPr>
          <w:rFonts w:hint="eastAsia" w:ascii="等线 Light" w:hAnsi="等线 Light" w:eastAsia="仿宋" w:cs="Times New Roman"/>
          <w:bCs/>
          <w:kern w:val="2"/>
          <w:sz w:val="28"/>
          <w:szCs w:val="28"/>
          <w:lang w:val="en-US" w:eastAsia="zh-CN" w:bidi="ar-SA"/>
        </w:rPr>
        <w:t>企业</w:t>
      </w:r>
      <w:r>
        <w:rPr>
          <w:rFonts w:ascii="等线 Light" w:hAnsi="等线 Light" w:eastAsia="仿宋" w:cs="Times New Roman"/>
          <w:bCs/>
          <w:kern w:val="2"/>
          <w:sz w:val="28"/>
          <w:szCs w:val="28"/>
          <w:lang w:val="en-US" w:eastAsia="zh-CN" w:bidi="ar-SA"/>
        </w:rPr>
        <w:t>法人，乙方已经依据适用法律及公司章程的规定完成了签署本合同所需的全部必要内部行动，有权签署本合同并完全有能力承担和履行本合同项下的各项义务。</w:t>
      </w:r>
    </w:p>
    <w:p w14:paraId="46BD7DE1">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ascii="等线 Light" w:hAnsi="等线 Light" w:eastAsia="仿宋" w:cs="Times New Roman"/>
          <w:bCs/>
          <w:kern w:val="2"/>
          <w:sz w:val="28"/>
          <w:szCs w:val="28"/>
          <w:lang w:val="en-US" w:eastAsia="zh-CN" w:bidi="ar-SA"/>
        </w:rPr>
        <w:t>代表乙方签署本合同的</w:t>
      </w:r>
      <w:r>
        <w:rPr>
          <w:rFonts w:hint="eastAsia" w:ascii="等线 Light" w:hAnsi="等线 Light" w:eastAsia="仿宋" w:cs="Times New Roman"/>
          <w:bCs/>
          <w:kern w:val="2"/>
          <w:sz w:val="28"/>
          <w:szCs w:val="28"/>
          <w:lang w:val="en-US" w:eastAsia="zh-CN" w:bidi="ar-SA"/>
        </w:rPr>
        <w:t>合同</w:t>
      </w:r>
      <w:r>
        <w:rPr>
          <w:rFonts w:ascii="等线 Light" w:hAnsi="等线 Light" w:eastAsia="仿宋" w:cs="Times New Roman"/>
          <w:bCs/>
          <w:kern w:val="2"/>
          <w:sz w:val="28"/>
          <w:szCs w:val="28"/>
          <w:lang w:val="en-US" w:eastAsia="zh-CN" w:bidi="ar-SA"/>
        </w:rPr>
        <w:t>签署人已经获得签署本合同所需的必要授权。</w:t>
      </w:r>
    </w:p>
    <w:p w14:paraId="438CE457">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ascii="等线 Light" w:hAnsi="等线 Light" w:eastAsia="仿宋" w:cs="Times New Roman"/>
          <w:bCs/>
          <w:kern w:val="2"/>
          <w:sz w:val="28"/>
          <w:szCs w:val="28"/>
          <w:lang w:val="en-US" w:eastAsia="zh-CN" w:bidi="ar-SA"/>
        </w:rPr>
        <w:t>本合同的签署和履行不违反</w:t>
      </w:r>
      <w:r>
        <w:rPr>
          <w:rFonts w:hint="eastAsia" w:ascii="等线 Light" w:hAnsi="等线 Light" w:eastAsia="仿宋" w:cs="Times New Roman"/>
          <w:bCs/>
          <w:kern w:val="2"/>
          <w:sz w:val="28"/>
          <w:szCs w:val="28"/>
          <w:lang w:val="en-US" w:eastAsia="zh-CN" w:bidi="ar-SA"/>
        </w:rPr>
        <w:t>乙方</w:t>
      </w:r>
      <w:r>
        <w:rPr>
          <w:rFonts w:ascii="等线 Light" w:hAnsi="等线 Light" w:eastAsia="仿宋" w:cs="Times New Roman"/>
          <w:bCs/>
          <w:kern w:val="2"/>
          <w:sz w:val="28"/>
          <w:szCs w:val="28"/>
          <w:lang w:val="en-US" w:eastAsia="zh-CN" w:bidi="ar-SA"/>
        </w:rPr>
        <w:t>的授权文件和其组织规则中的任何内容，也不违反其应当遵守的任何适用法律或对其具有约束力的文件。</w:t>
      </w:r>
    </w:p>
    <w:p w14:paraId="7FB212EB">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ascii="等线 Light" w:hAnsi="等线 Light" w:eastAsia="仿宋" w:cs="Times New Roman"/>
          <w:bCs/>
          <w:kern w:val="2"/>
          <w:sz w:val="28"/>
          <w:szCs w:val="28"/>
          <w:lang w:val="en-US" w:eastAsia="zh-CN" w:bidi="ar-SA"/>
        </w:rPr>
        <w:t>乙方在签署本合同时，除已经向甲方充分披露的信息以外，不存在任何对乙方签署及履行本合同产生重大不利影响的诉讼、仲裁或其它争议（包括将要发生或可能发生的诉讼、仲裁或其它争议）。</w:t>
      </w:r>
      <w:bookmarkStart w:id="164" w:name="_Toc14707"/>
      <w:bookmarkStart w:id="165" w:name="_Toc10619"/>
      <w:bookmarkStart w:id="166" w:name="_Toc419709678"/>
      <w:bookmarkStart w:id="167" w:name="_Toc529224096"/>
      <w:bookmarkStart w:id="168" w:name="_Toc28276"/>
      <w:bookmarkStart w:id="169" w:name="_Toc3202"/>
      <w:bookmarkStart w:id="170" w:name="_Toc24375"/>
      <w:bookmarkStart w:id="171" w:name="_Toc20650"/>
    </w:p>
    <w:p w14:paraId="7096186C">
      <w:pPr>
        <w:widowControl/>
        <w:snapToGrid/>
        <w:spacing w:before="0" w:beforeLines="0" w:after="0" w:afterLines="0" w:line="240" w:lineRule="auto"/>
        <w:ind w:firstLine="0" w:firstLineChars="0"/>
        <w:jc w:val="left"/>
        <w:outlineLvl w:val="9"/>
        <w:rPr>
          <w:rFonts w:ascii="Times New Roman" w:hAnsi="Times New Roman" w:eastAsia="仿宋" w:cs="Times New Roman"/>
          <w:sz w:val="28"/>
          <w:szCs w:val="28"/>
        </w:rPr>
      </w:pPr>
    </w:p>
    <w:p w14:paraId="7C1A23E9">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172" w:name="_Toc24420"/>
      <w:bookmarkStart w:id="173" w:name="_Toc13514"/>
      <w:bookmarkStart w:id="174" w:name="_Toc45811789"/>
      <w:bookmarkStart w:id="175" w:name="_Toc7649"/>
      <w:bookmarkStart w:id="176" w:name="_Toc14015"/>
      <w:bookmarkStart w:id="177" w:name="_Toc7980"/>
      <w:bookmarkStart w:id="178" w:name="_Toc31831"/>
      <w:bookmarkStart w:id="179" w:name="_Toc393"/>
      <w:r>
        <w:rPr>
          <w:rFonts w:hint="eastAsia" w:ascii="黑体" w:hAnsi="黑体" w:eastAsia="黑体" w:cs="Times New Roman"/>
          <w:kern w:val="2"/>
          <w:sz w:val="32"/>
          <w:szCs w:val="32"/>
          <w:lang w:val="en-US" w:eastAsia="zh-CN" w:bidi="ar-SA"/>
        </w:rPr>
        <w:t>项目概况</w:t>
      </w:r>
      <w:bookmarkEnd w:id="172"/>
      <w:bookmarkEnd w:id="173"/>
      <w:bookmarkEnd w:id="174"/>
      <w:bookmarkEnd w:id="175"/>
      <w:bookmarkEnd w:id="176"/>
      <w:bookmarkEnd w:id="177"/>
      <w:bookmarkEnd w:id="178"/>
      <w:bookmarkEnd w:id="179"/>
    </w:p>
    <w:p w14:paraId="2A27C943">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180" w:name="_Toc26616"/>
      <w:bookmarkStart w:id="181" w:name="_Toc14192"/>
      <w:bookmarkStart w:id="182" w:name="_Toc13571"/>
      <w:bookmarkStart w:id="183" w:name="_Toc18638"/>
      <w:bookmarkStart w:id="184" w:name="_Toc28165"/>
      <w:bookmarkStart w:id="185" w:name="_Toc29228"/>
      <w:bookmarkStart w:id="186" w:name="_Toc45811790"/>
      <w:bookmarkStart w:id="187" w:name="_Toc20261"/>
      <w:r>
        <w:rPr>
          <w:rFonts w:hint="eastAsia" w:ascii="仿宋" w:hAnsi="仿宋" w:eastAsia="仿宋" w:cs="Times New Roman"/>
          <w:b/>
          <w:kern w:val="2"/>
          <w:sz w:val="30"/>
          <w:szCs w:val="30"/>
          <w:lang w:val="en-US" w:eastAsia="zh-CN" w:bidi="ar-SA"/>
        </w:rPr>
        <w:t>项目定位</w:t>
      </w:r>
      <w:bookmarkEnd w:id="180"/>
      <w:bookmarkEnd w:id="181"/>
      <w:bookmarkEnd w:id="182"/>
      <w:bookmarkEnd w:id="183"/>
      <w:bookmarkEnd w:id="184"/>
      <w:bookmarkEnd w:id="185"/>
      <w:bookmarkEnd w:id="186"/>
      <w:bookmarkEnd w:id="187"/>
    </w:p>
    <w:p w14:paraId="7893576A">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项目拟建设成符合社会主义先行示范区定位的公益性主题儿童活动区，旨在为儿童提供具有科学性、趣味性、探索性、互动性和创造性的，区别于其他同类项目的体验。</w:t>
      </w:r>
    </w:p>
    <w:p w14:paraId="5C62E68B">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188" w:name="_Toc20360"/>
      <w:bookmarkStart w:id="189" w:name="_Toc30059"/>
      <w:bookmarkStart w:id="190" w:name="_Toc31516"/>
      <w:bookmarkStart w:id="191" w:name="_Toc9770"/>
      <w:bookmarkStart w:id="192" w:name="_Toc27468"/>
      <w:bookmarkStart w:id="193" w:name="_Toc4658"/>
      <w:bookmarkStart w:id="194" w:name="_Toc29338"/>
      <w:bookmarkStart w:id="195" w:name="_Toc45811791"/>
      <w:r>
        <w:rPr>
          <w:rFonts w:hint="eastAsia" w:ascii="仿宋" w:hAnsi="仿宋" w:eastAsia="仿宋" w:cs="Times New Roman"/>
          <w:b/>
          <w:kern w:val="2"/>
          <w:sz w:val="30"/>
          <w:szCs w:val="30"/>
          <w:lang w:val="en-US" w:eastAsia="zh-CN" w:bidi="ar-SA"/>
        </w:rPr>
        <w:t>用地范围</w:t>
      </w:r>
      <w:bookmarkEnd w:id="188"/>
      <w:bookmarkEnd w:id="189"/>
      <w:bookmarkEnd w:id="190"/>
      <w:bookmarkEnd w:id="191"/>
      <w:bookmarkEnd w:id="192"/>
      <w:bookmarkEnd w:id="193"/>
      <w:bookmarkEnd w:id="194"/>
      <w:bookmarkEnd w:id="195"/>
    </w:p>
    <w:p w14:paraId="48012B87">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bookmarkStart w:id="196" w:name="_Hlk44660435"/>
      <w:r>
        <w:rPr>
          <w:rFonts w:hint="eastAsia" w:ascii="Times New Roman" w:hAnsi="Times New Roman" w:eastAsia="仿宋" w:cs="Times New Roman"/>
          <w:sz w:val="28"/>
          <w:szCs w:val="28"/>
        </w:rPr>
        <w:t>项目用地</w:t>
      </w:r>
      <w:bookmarkEnd w:id="196"/>
      <w:r>
        <w:rPr>
          <w:rFonts w:hint="eastAsia" w:ascii="Times New Roman" w:hAnsi="Times New Roman" w:eastAsia="仿宋" w:cs="Times New Roman"/>
          <w:sz w:val="28"/>
          <w:szCs w:val="28"/>
        </w:rPr>
        <w:t>位于深圳市罗湖区洪湖公园儿童活动区内，面积</w:t>
      </w:r>
      <w:r>
        <w:rPr>
          <w:rFonts w:hint="eastAsia" w:ascii="Times New Roman" w:hAnsi="Times New Roman" w:eastAsia="仿宋" w:cs="Times New Roman"/>
          <w:sz w:val="28"/>
          <w:szCs w:val="28"/>
          <w:lang w:val="en-US" w:eastAsia="zh-CN"/>
        </w:rPr>
        <w:t>约470平，具体面积以实地场地为准</w:t>
      </w:r>
      <w:r>
        <w:rPr>
          <w:rFonts w:hint="eastAsia" w:ascii="Times New Roman" w:hAnsi="Times New Roman" w:eastAsia="仿宋" w:cs="Times New Roman"/>
          <w:sz w:val="28"/>
          <w:szCs w:val="28"/>
        </w:rPr>
        <w:t>。</w:t>
      </w:r>
    </w:p>
    <w:p w14:paraId="0E50B21B">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197" w:name="_Toc45811792"/>
      <w:bookmarkStart w:id="198" w:name="_Toc22601"/>
      <w:bookmarkStart w:id="199" w:name="_Toc17735"/>
      <w:bookmarkStart w:id="200" w:name="_Toc19502"/>
      <w:bookmarkStart w:id="201" w:name="_Toc8541"/>
      <w:bookmarkStart w:id="202" w:name="_Toc27062"/>
      <w:bookmarkStart w:id="203" w:name="_Toc13471"/>
      <w:bookmarkStart w:id="204" w:name="_Toc26828"/>
      <w:r>
        <w:rPr>
          <w:rFonts w:hint="eastAsia" w:ascii="仿宋" w:hAnsi="仿宋" w:eastAsia="仿宋" w:cs="Times New Roman"/>
          <w:b/>
          <w:kern w:val="2"/>
          <w:sz w:val="30"/>
          <w:szCs w:val="30"/>
          <w:lang w:val="en-US" w:eastAsia="zh-CN" w:bidi="ar-SA"/>
        </w:rPr>
        <w:t>功能分区</w:t>
      </w:r>
      <w:bookmarkEnd w:id="197"/>
      <w:bookmarkEnd w:id="198"/>
      <w:bookmarkEnd w:id="199"/>
      <w:bookmarkEnd w:id="200"/>
      <w:bookmarkEnd w:id="201"/>
      <w:bookmarkEnd w:id="202"/>
      <w:bookmarkEnd w:id="203"/>
      <w:bookmarkEnd w:id="204"/>
    </w:p>
    <w:p w14:paraId="16127908">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项目计划设置服务用房、动力游戏区等功能分区。</w:t>
      </w:r>
      <w:r>
        <w:rPr>
          <w:rFonts w:hint="eastAsia" w:ascii="仿宋_GB2312" w:hAnsi="仿宋_GB2312" w:eastAsia="仿宋_GB2312" w:cs="仿宋_GB2312"/>
          <w:b w:val="0"/>
          <w:bCs w:val="0"/>
          <w:kern w:val="0"/>
          <w:sz w:val="28"/>
          <w:szCs w:val="28"/>
          <w:highlight w:val="none"/>
          <w:lang w:val="en-US" w:eastAsia="zh-CN" w:bidi="zh-CN"/>
        </w:rPr>
        <w:t>享有配套用房90平方米左右的使用权，该配套用房无租赁费用</w:t>
      </w:r>
    </w:p>
    <w:p w14:paraId="6B21A3B0">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205" w:name="_Toc45811793"/>
      <w:bookmarkStart w:id="206" w:name="_Toc23462"/>
      <w:bookmarkStart w:id="207" w:name="_Toc31647"/>
      <w:bookmarkStart w:id="208" w:name="_Toc5230"/>
      <w:bookmarkStart w:id="209" w:name="_Toc2032"/>
      <w:bookmarkStart w:id="210" w:name="_Toc3993"/>
      <w:bookmarkStart w:id="211" w:name="_Toc15690"/>
      <w:bookmarkStart w:id="212" w:name="_Toc31205"/>
      <w:r>
        <w:rPr>
          <w:rFonts w:hint="eastAsia" w:ascii="仿宋" w:hAnsi="仿宋" w:eastAsia="仿宋" w:cs="Times New Roman"/>
          <w:b/>
          <w:kern w:val="2"/>
          <w:sz w:val="30"/>
          <w:szCs w:val="30"/>
          <w:lang w:val="en-US" w:eastAsia="zh-CN" w:bidi="ar-SA"/>
        </w:rPr>
        <w:t>实施模式</w:t>
      </w:r>
      <w:bookmarkEnd w:id="205"/>
      <w:bookmarkEnd w:id="206"/>
      <w:bookmarkEnd w:id="207"/>
      <w:bookmarkEnd w:id="208"/>
      <w:bookmarkEnd w:id="209"/>
      <w:bookmarkEnd w:id="210"/>
      <w:bookmarkEnd w:id="211"/>
      <w:bookmarkEnd w:id="212"/>
    </w:p>
    <w:p w14:paraId="766E1953">
      <w:pPr>
        <w:widowControl w:val="0"/>
        <w:numPr>
          <w:ilvl w:val="3"/>
          <w:numId w:val="0"/>
        </w:numPr>
        <w:kinsoku/>
        <w:overflowPunct/>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动力设施相关区域按照引入社会资本负责项目建设和运营的模式实施。</w:t>
      </w:r>
    </w:p>
    <w:p w14:paraId="53DF90E7">
      <w:pPr>
        <w:widowControl w:val="0"/>
        <w:numPr>
          <w:ilvl w:val="3"/>
          <w:numId w:val="0"/>
        </w:numPr>
        <w:kinsoku/>
        <w:overflowPunct/>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highlight w:val="none"/>
          <w:lang w:val="en-US" w:eastAsia="zh-CN" w:bidi="ar-SA"/>
        </w:rPr>
      </w:pPr>
      <w:r>
        <w:rPr>
          <w:rFonts w:hint="eastAsia" w:ascii="等线 Light" w:hAnsi="等线 Light" w:eastAsia="仿宋" w:cs="Times New Roman"/>
          <w:bCs/>
          <w:kern w:val="2"/>
          <w:sz w:val="28"/>
          <w:szCs w:val="28"/>
          <w:lang w:val="en-US" w:eastAsia="zh-CN" w:bidi="ar-SA"/>
        </w:rPr>
        <w:t>乙方负责在动力</w:t>
      </w:r>
      <w:r>
        <w:rPr>
          <w:rFonts w:hint="eastAsia" w:ascii="等线 Light" w:hAnsi="等线 Light" w:eastAsia="仿宋" w:cs="Times New Roman"/>
          <w:bCs/>
          <w:kern w:val="2"/>
          <w:sz w:val="28"/>
          <w:szCs w:val="28"/>
          <w:highlight w:val="none"/>
          <w:lang w:val="en-US" w:eastAsia="zh-CN" w:bidi="ar-SA"/>
        </w:rPr>
        <w:t>设施相关区域内投资，包括设备基础、设备采购及安装、主体造型及外形包装以及周边环境的配套改造，并负责动力设施相关区域建成后的运营管理。</w:t>
      </w:r>
    </w:p>
    <w:p w14:paraId="2D50C948">
      <w:pPr>
        <w:widowControl w:val="0"/>
        <w:numPr>
          <w:ilvl w:val="3"/>
          <w:numId w:val="0"/>
        </w:numPr>
        <w:kinsoku/>
        <w:overflowPunct/>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乙方投资动力游乐设备总投资额为不低于人民币242.05万元（以甲方确认的第三方报告为准）。</w:t>
      </w:r>
    </w:p>
    <w:p w14:paraId="355B59C5">
      <w:pPr>
        <w:snapToGrid w:val="0"/>
        <w:spacing w:before="190" w:beforeLines="50" w:after="190" w:afterLines="50" w:line="360" w:lineRule="auto"/>
        <w:ind w:firstLine="560" w:firstLineChars="200"/>
        <w:outlineLvl w:val="9"/>
        <w:rPr>
          <w:rFonts w:ascii="Times New Roman" w:hAnsi="Times New Roman" w:eastAsia="仿宋" w:cs="Times New Roman"/>
          <w:sz w:val="28"/>
          <w:szCs w:val="28"/>
        </w:rPr>
      </w:pPr>
      <w:bookmarkStart w:id="213" w:name="_Toc45811794"/>
      <w:bookmarkStart w:id="214" w:name="_Toc31495"/>
      <w:bookmarkStart w:id="215" w:name="_Toc2887"/>
    </w:p>
    <w:p w14:paraId="11ECD4F3">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216" w:name="_Toc13497"/>
      <w:bookmarkStart w:id="217" w:name="_Toc6053"/>
      <w:bookmarkStart w:id="218" w:name="_Toc26336"/>
      <w:bookmarkStart w:id="219" w:name="_Toc17242"/>
      <w:r>
        <w:rPr>
          <w:rFonts w:hint="eastAsia" w:ascii="黑体" w:hAnsi="黑体" w:eastAsia="黑体" w:cs="Times New Roman"/>
          <w:kern w:val="2"/>
          <w:sz w:val="32"/>
          <w:szCs w:val="32"/>
          <w:lang w:val="en-US" w:eastAsia="zh-CN" w:bidi="ar-SA"/>
        </w:rPr>
        <w:t>合作范围及模式</w:t>
      </w:r>
      <w:bookmarkEnd w:id="213"/>
      <w:bookmarkEnd w:id="214"/>
      <w:bookmarkEnd w:id="215"/>
      <w:bookmarkEnd w:id="216"/>
      <w:bookmarkEnd w:id="217"/>
      <w:bookmarkEnd w:id="218"/>
      <w:bookmarkEnd w:id="219"/>
    </w:p>
    <w:p w14:paraId="45ED4CE3">
      <w:pPr>
        <w:widowControl w:val="0"/>
        <w:numPr>
          <w:ilvl w:val="3"/>
          <w:numId w:val="0"/>
        </w:numPr>
        <w:kinsoku w:val="0"/>
        <w:overflowPunct w:val="0"/>
        <w:snapToGrid w:val="0"/>
        <w:spacing w:before="190" w:beforeLines="50" w:after="190" w:afterLines="50" w:line="560" w:lineRule="exact"/>
        <w:ind w:left="0" w:firstLine="560" w:firstLineChars="200"/>
        <w:jc w:val="both"/>
        <w:outlineLvl w:val="9"/>
        <w:rPr>
          <w:rFonts w:hint="eastAsia"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乙方自主投资、自主经营、自负盈亏，通过经营活动收回各项投入，取得合理回报。为确保项目与时俱进，乙方应根据市场情况，自主对人气不旺或已过时的游乐设备进行升级改造。升级改造前，乙方需提前 30 日向甲方提交升级改造方案（含设计图纸、设备选型说明、安全评估报告、施工计划等），经甲方书面审批同意后方可实施。</w:t>
      </w:r>
    </w:p>
    <w:p w14:paraId="7FBAE3ED">
      <w:pPr>
        <w:widowControl w:val="0"/>
        <w:numPr>
          <w:ilvl w:val="3"/>
          <w:numId w:val="0"/>
        </w:numPr>
        <w:kinsoku w:val="0"/>
        <w:overflowPunct w:val="0"/>
        <w:snapToGrid w:val="0"/>
        <w:spacing w:before="190" w:beforeLines="50" w:after="190" w:afterLines="50" w:line="560" w:lineRule="exact"/>
        <w:ind w:left="0" w:firstLine="560" w:firstLineChars="200"/>
        <w:jc w:val="both"/>
        <w:outlineLvl w:val="9"/>
        <w:rPr>
          <w:rFonts w:hint="eastAsia"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甲方审批内容包括但不限于：</w:t>
      </w:r>
    </w:p>
    <w:p w14:paraId="202FF3A1">
      <w:pPr>
        <w:widowControl w:val="0"/>
        <w:numPr>
          <w:ilvl w:val="3"/>
          <w:numId w:val="0"/>
        </w:numPr>
        <w:kinsoku w:val="0"/>
        <w:overflowPunct w:val="0"/>
        <w:snapToGrid w:val="0"/>
        <w:spacing w:before="190" w:beforeLines="50" w:after="190" w:afterLines="50" w:line="560" w:lineRule="exact"/>
        <w:ind w:left="0" w:firstLine="560" w:firstLineChars="200"/>
        <w:jc w:val="both"/>
        <w:outlineLvl w:val="9"/>
        <w:rPr>
          <w:rFonts w:hint="eastAsia"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合规性审查：改造方案是否符合《公园体育游乐设施维护管理规范》（DB4403/T 316—2023）、</w:t>
      </w:r>
      <w:r>
        <w:rPr>
          <w:rFonts w:hint="eastAsia" w:ascii="仿宋_GB2312" w:hAnsi="仿宋_GB2312" w:eastAsia="仿宋_GB2312" w:cs="仿宋_GB2312"/>
          <w:b w:val="0"/>
          <w:bCs w:val="0"/>
          <w:kern w:val="0"/>
          <w:sz w:val="28"/>
          <w:szCs w:val="28"/>
          <w:highlight w:val="none"/>
          <w:lang w:val="en-US" w:eastAsia="zh-CN" w:bidi="zh-CN"/>
        </w:rPr>
        <w:t>《小型游乐设施安全规范》（GB/T 34272-2017）</w:t>
      </w:r>
      <w:r>
        <w:rPr>
          <w:rFonts w:hint="eastAsia" w:ascii="等线 Light" w:hAnsi="等线 Light" w:eastAsia="仿宋" w:cs="Times New Roman"/>
          <w:bCs/>
          <w:kern w:val="2"/>
          <w:sz w:val="28"/>
          <w:szCs w:val="28"/>
          <w:lang w:val="en-US" w:eastAsia="zh-CN" w:bidi="ar-SA"/>
        </w:rPr>
        <w:t>等相关规范，以及公园整体规划要求；</w:t>
      </w:r>
    </w:p>
    <w:p w14:paraId="74326A96">
      <w:pPr>
        <w:widowControl w:val="0"/>
        <w:numPr>
          <w:ilvl w:val="3"/>
          <w:numId w:val="0"/>
        </w:numPr>
        <w:kinsoku w:val="0"/>
        <w:overflowPunct w:val="0"/>
        <w:snapToGrid w:val="0"/>
        <w:spacing w:before="190" w:beforeLines="50" w:after="190" w:afterLines="50" w:line="560" w:lineRule="exact"/>
        <w:ind w:left="0" w:firstLine="560" w:firstLineChars="200"/>
        <w:jc w:val="both"/>
        <w:outlineLvl w:val="9"/>
        <w:rPr>
          <w:rFonts w:hint="eastAsia"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安全性评估：新增或改造设备的运行参数（如速度、高度）是否符合合同约定（最大运行线速度＜2m/s、运行高度＜2m），安全保护装置是否升级优化；</w:t>
      </w:r>
    </w:p>
    <w:p w14:paraId="36789E15">
      <w:pPr>
        <w:widowControl w:val="0"/>
        <w:numPr>
          <w:ilvl w:val="3"/>
          <w:numId w:val="0"/>
        </w:numPr>
        <w:kinsoku w:val="0"/>
        <w:overflowPunct w:val="0"/>
        <w:snapToGrid w:val="0"/>
        <w:spacing w:before="190" w:beforeLines="50" w:after="190" w:afterLines="50" w:line="560" w:lineRule="exact"/>
        <w:ind w:left="0" w:firstLine="560" w:firstLineChars="200"/>
        <w:jc w:val="both"/>
        <w:outlineLvl w:val="9"/>
        <w:rPr>
          <w:rFonts w:hint="eastAsia"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影响评估：施工期间对公园公共秩序、游客安全及周边环境的影响程度，是否制定可行的应急预案及围挡方案。</w:t>
      </w:r>
    </w:p>
    <w:p w14:paraId="4D59B066">
      <w:pPr>
        <w:widowControl w:val="0"/>
        <w:numPr>
          <w:ilvl w:val="3"/>
          <w:numId w:val="0"/>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改造期间，乙方需接受甲方或其委托的第三方机构的全程监管，确保施工安全和质量。改造完成后，乙方需按本合同的规定重新申请专业机构验收，验收合格后方可投入运营。升级改造所涉及的追加投资和相关费用由乙方负责。</w:t>
      </w:r>
    </w:p>
    <w:p w14:paraId="548CAC3B">
      <w:pPr>
        <w:widowControl w:val="0"/>
        <w:numPr>
          <w:ilvl w:val="3"/>
          <w:numId w:val="0"/>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合作期内，公共区域对市民免费开放，未经甲方同意乙方不得占用公共空间开展其他经营活动。乙方对项目所在区域，含所涉</w:t>
      </w:r>
      <w:r>
        <w:rPr>
          <w:rFonts w:hint="eastAsia" w:ascii="等线 Light" w:hAnsi="等线 Light" w:eastAsia="仿宋" w:cs="Times New Roman"/>
          <w:bCs/>
          <w:kern w:val="2"/>
          <w:sz w:val="28"/>
          <w:szCs w:val="28"/>
          <w:shd w:val="clear" w:color="auto" w:fill="FFFFFF"/>
          <w:lang w:val="en-US" w:eastAsia="zh-CN" w:bidi="ar-SA"/>
        </w:rPr>
        <w:t>相干</w:t>
      </w:r>
      <w:r>
        <w:rPr>
          <w:rFonts w:hint="eastAsia" w:ascii="等线 Light" w:hAnsi="等线 Light" w:eastAsia="仿宋" w:cs="Times New Roman"/>
          <w:bCs/>
          <w:kern w:val="2"/>
          <w:sz w:val="28"/>
          <w:szCs w:val="28"/>
          <w:lang w:val="en-US" w:eastAsia="zh-CN" w:bidi="ar-SA"/>
        </w:rPr>
        <w:t>公共区域的安全负全责，应积极自主排查整改一切可能存在的安全隐患。动力设施相关区域包括连接道路的一切安全责任、清扫保洁、设备维修运营、安保及保险购买等工作由乙方负责。乙方并需配合深圳市罗湖区洪湖公园公园管理处等相关单位园区管理工作的开展。运营过程中，甲方有权对项目进行检查和监督，甲方监督检查不减轻乙方安全责任。</w:t>
      </w:r>
    </w:p>
    <w:p w14:paraId="29287B35">
      <w:pPr>
        <w:widowControl w:val="0"/>
        <w:numPr>
          <w:ilvl w:val="3"/>
          <w:numId w:val="0"/>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在保持项目公益属性不变的前提下，乙方享有对自身投资机动游乐设备的自主经营权，可以对游乐设施进行单项收费。</w:t>
      </w:r>
    </w:p>
    <w:p w14:paraId="69DB210F">
      <w:pPr>
        <w:widowControl w:val="0"/>
        <w:numPr>
          <w:ilvl w:val="3"/>
          <w:numId w:val="0"/>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经营期满，乙方所投资资产的所有权归乙方所有。如乙方届时拟将该些资产有偿转让，同等条件下甲方有优先购买权。</w:t>
      </w:r>
    </w:p>
    <w:p w14:paraId="18EAF596">
      <w:pPr>
        <w:widowControl w:val="0"/>
        <w:numPr>
          <w:ilvl w:val="3"/>
          <w:numId w:val="0"/>
        </w:numPr>
        <w:kinsoku w:val="0"/>
        <w:overflowPunct w:val="0"/>
        <w:snapToGrid w:val="0"/>
        <w:spacing w:before="190" w:beforeLines="50" w:after="190" w:afterLines="50" w:line="560" w:lineRule="exact"/>
        <w:ind w:left="0" w:firstLine="560" w:firstLineChars="200"/>
        <w:jc w:val="both"/>
        <w:outlineLvl w:val="9"/>
        <w:rPr>
          <w:rFonts w:ascii="仿宋" w:hAnsi="仿宋" w:eastAsia="仿宋" w:cs="仿宋"/>
          <w:bCs/>
          <w:spacing w:val="-1"/>
          <w:kern w:val="2"/>
          <w:sz w:val="28"/>
          <w:szCs w:val="28"/>
          <w:lang w:val="en-US" w:eastAsia="zh-CN" w:bidi="ar-SA"/>
        </w:rPr>
      </w:pPr>
      <w:r>
        <w:rPr>
          <w:rFonts w:hint="eastAsia" w:ascii="等线 Light" w:hAnsi="等线 Light" w:eastAsia="仿宋" w:cs="Times New Roman"/>
          <w:bCs/>
          <w:kern w:val="2"/>
          <w:sz w:val="28"/>
          <w:szCs w:val="28"/>
          <w:lang w:val="en-US" w:eastAsia="zh-CN" w:bidi="ar-SA"/>
        </w:rPr>
        <w:t>本项目</w:t>
      </w:r>
      <w:r>
        <w:rPr>
          <w:rFonts w:ascii="仿宋" w:hAnsi="仿宋" w:eastAsia="仿宋" w:cs="仿宋"/>
          <w:bCs/>
          <w:spacing w:val="-1"/>
          <w:kern w:val="2"/>
          <w:sz w:val="28"/>
          <w:szCs w:val="28"/>
          <w:lang w:val="en-US" w:eastAsia="zh-CN" w:bidi="ar-SA"/>
        </w:rPr>
        <w:t>乙方不得转包，未经甲方书面许可不允许分包。</w:t>
      </w:r>
    </w:p>
    <w:p w14:paraId="5D2FA6F9">
      <w:pPr>
        <w:widowControl w:val="0"/>
        <w:numPr>
          <w:ilvl w:val="3"/>
          <w:numId w:val="0"/>
        </w:numPr>
        <w:kinsoku w:val="0"/>
        <w:overflowPunct w:val="0"/>
        <w:snapToGrid w:val="0"/>
        <w:spacing w:before="190" w:beforeLines="50" w:after="190" w:afterLines="50" w:line="560" w:lineRule="exact"/>
        <w:ind w:left="0" w:firstLine="556" w:firstLineChars="200"/>
        <w:jc w:val="both"/>
        <w:outlineLvl w:val="9"/>
        <w:rPr>
          <w:rFonts w:ascii="仿宋" w:hAnsi="仿宋" w:eastAsia="仿宋" w:cs="仿宋"/>
          <w:bCs/>
          <w:spacing w:val="-1"/>
          <w:kern w:val="2"/>
          <w:sz w:val="28"/>
          <w:szCs w:val="28"/>
          <w:highlight w:val="none"/>
          <w:lang w:val="en-US" w:eastAsia="zh-CN" w:bidi="ar-SA"/>
        </w:rPr>
      </w:pPr>
      <w:r>
        <w:rPr>
          <w:rFonts w:ascii="仿宋" w:hAnsi="仿宋" w:eastAsia="仿宋" w:cs="仿宋"/>
          <w:bCs/>
          <w:spacing w:val="-1"/>
          <w:kern w:val="2"/>
          <w:sz w:val="28"/>
          <w:szCs w:val="28"/>
          <w:lang w:val="en-US" w:eastAsia="zh-CN" w:bidi="ar-SA"/>
        </w:rPr>
        <w:t>项目运营的第</w:t>
      </w:r>
      <w:r>
        <w:rPr>
          <w:rFonts w:hint="eastAsia" w:ascii="仿宋" w:hAnsi="仿宋" w:eastAsia="仿宋" w:cs="仿宋"/>
          <w:bCs/>
          <w:spacing w:val="-1"/>
          <w:kern w:val="2"/>
          <w:sz w:val="28"/>
          <w:szCs w:val="28"/>
          <w:lang w:val="en-US" w:eastAsia="zh-CN" w:bidi="ar-SA"/>
        </w:rPr>
        <w:t>3</w:t>
      </w:r>
      <w:r>
        <w:rPr>
          <w:rFonts w:ascii="仿宋" w:hAnsi="仿宋" w:eastAsia="仿宋" w:cs="仿宋"/>
          <w:bCs/>
          <w:spacing w:val="-1"/>
          <w:kern w:val="2"/>
          <w:sz w:val="28"/>
          <w:szCs w:val="28"/>
          <w:lang w:val="en-US" w:eastAsia="zh-CN" w:bidi="ar-SA"/>
        </w:rPr>
        <w:t>个运营年期满</w:t>
      </w:r>
      <w:r>
        <w:rPr>
          <w:rFonts w:hint="eastAsia" w:ascii="仿宋" w:hAnsi="仿宋" w:eastAsia="仿宋" w:cs="仿宋"/>
          <w:bCs/>
          <w:spacing w:val="-1"/>
          <w:kern w:val="2"/>
          <w:sz w:val="28"/>
          <w:szCs w:val="28"/>
          <w:lang w:val="en-US" w:eastAsia="zh-CN" w:bidi="ar-SA"/>
        </w:rPr>
        <w:t>后，</w:t>
      </w:r>
      <w:r>
        <w:rPr>
          <w:rFonts w:ascii="仿宋" w:hAnsi="仿宋" w:eastAsia="仿宋" w:cs="仿宋"/>
          <w:bCs/>
          <w:spacing w:val="-1"/>
          <w:kern w:val="2"/>
          <w:sz w:val="28"/>
          <w:szCs w:val="28"/>
          <w:lang w:val="en-US" w:eastAsia="zh-CN" w:bidi="ar-SA"/>
        </w:rPr>
        <w:t>自第</w:t>
      </w:r>
      <w:r>
        <w:rPr>
          <w:rFonts w:hint="eastAsia" w:ascii="仿宋" w:hAnsi="仿宋" w:eastAsia="仿宋" w:cs="仿宋"/>
          <w:bCs/>
          <w:spacing w:val="-1"/>
          <w:kern w:val="2"/>
          <w:sz w:val="28"/>
          <w:szCs w:val="28"/>
          <w:lang w:val="en-US" w:eastAsia="zh-CN" w:bidi="ar-SA"/>
        </w:rPr>
        <w:t>4</w:t>
      </w:r>
      <w:r>
        <w:rPr>
          <w:rFonts w:ascii="仿宋" w:hAnsi="仿宋" w:eastAsia="仿宋" w:cs="仿宋"/>
          <w:bCs/>
          <w:spacing w:val="-1"/>
          <w:kern w:val="2"/>
          <w:sz w:val="28"/>
          <w:szCs w:val="28"/>
          <w:lang w:val="en-US" w:eastAsia="zh-CN" w:bidi="ar-SA"/>
        </w:rPr>
        <w:t>个运营年的第1天开始，甲方按照乙方经营收入（经营收入是指不含增值税</w:t>
      </w:r>
      <w:r>
        <w:rPr>
          <w:rFonts w:hint="eastAsia" w:ascii="仿宋" w:hAnsi="仿宋" w:eastAsia="仿宋" w:cs="仿宋"/>
          <w:bCs/>
          <w:spacing w:val="-1"/>
          <w:kern w:val="2"/>
          <w:sz w:val="28"/>
          <w:szCs w:val="28"/>
          <w:lang w:val="en-US" w:eastAsia="zh-CN" w:bidi="ar-SA"/>
        </w:rPr>
        <w:t>及其附加税费</w:t>
      </w:r>
      <w:r>
        <w:rPr>
          <w:rFonts w:ascii="仿宋" w:hAnsi="仿宋" w:eastAsia="仿宋" w:cs="仿宋"/>
          <w:bCs/>
          <w:spacing w:val="-1"/>
          <w:kern w:val="2"/>
          <w:sz w:val="28"/>
          <w:szCs w:val="28"/>
          <w:lang w:val="en-US" w:eastAsia="zh-CN" w:bidi="ar-SA"/>
        </w:rPr>
        <w:t>的全部经营所得，不是指扣除成本费用之后的利润）</w:t>
      </w:r>
      <w:r>
        <w:rPr>
          <w:rFonts w:ascii="仿宋" w:hAnsi="仿宋" w:eastAsia="仿宋" w:cs="仿宋"/>
          <w:bCs/>
          <w:spacing w:val="-1"/>
          <w:kern w:val="2"/>
          <w:sz w:val="28"/>
          <w:szCs w:val="28"/>
          <w:highlight w:val="none"/>
          <w:lang w:val="en-US" w:eastAsia="zh-CN" w:bidi="ar-SA"/>
        </w:rPr>
        <w:t>的</w:t>
      </w:r>
      <w:r>
        <w:rPr>
          <w:rFonts w:hint="eastAsia" w:ascii="仿宋" w:hAnsi="仿宋" w:eastAsia="仿宋" w:cs="仿宋"/>
          <w:bCs/>
          <w:spacing w:val="-1"/>
          <w:kern w:val="2"/>
          <w:sz w:val="28"/>
          <w:szCs w:val="28"/>
          <w:highlight w:val="none"/>
          <w:lang w:val="en-US" w:eastAsia="zh-CN" w:bidi="ar-SA"/>
        </w:rPr>
        <w:t>5</w:t>
      </w:r>
      <w:r>
        <w:rPr>
          <w:rFonts w:ascii="仿宋" w:hAnsi="仿宋" w:eastAsia="仿宋" w:cs="仿宋"/>
          <w:bCs/>
          <w:spacing w:val="-1"/>
          <w:kern w:val="2"/>
          <w:sz w:val="28"/>
          <w:szCs w:val="28"/>
          <w:highlight w:val="none"/>
          <w:lang w:val="en-US" w:eastAsia="zh-CN" w:bidi="ar-SA"/>
        </w:rPr>
        <w:t>%</w:t>
      </w:r>
      <w:r>
        <w:rPr>
          <w:rFonts w:hint="eastAsia" w:ascii="仿宋" w:hAnsi="仿宋" w:eastAsia="仿宋" w:cs="仿宋"/>
          <w:bCs/>
          <w:spacing w:val="-1"/>
          <w:kern w:val="2"/>
          <w:sz w:val="28"/>
          <w:szCs w:val="28"/>
          <w:highlight w:val="yellow"/>
          <w:lang w:val="en-US" w:eastAsia="zh-CN" w:bidi="ar-SA"/>
        </w:rPr>
        <w:t>（最终分成比例以供应商中标报价的比例为准）</w:t>
      </w:r>
      <w:r>
        <w:rPr>
          <w:rFonts w:ascii="仿宋" w:hAnsi="仿宋" w:eastAsia="仿宋" w:cs="仿宋"/>
          <w:bCs/>
          <w:spacing w:val="-1"/>
          <w:kern w:val="2"/>
          <w:sz w:val="28"/>
          <w:szCs w:val="28"/>
          <w:highlight w:val="none"/>
          <w:lang w:val="en-US" w:eastAsia="zh-CN" w:bidi="ar-SA"/>
        </w:rPr>
        <w:t>对乙方进行分成。</w:t>
      </w:r>
    </w:p>
    <w:p w14:paraId="2F1946D4">
      <w:pPr>
        <w:snapToGrid w:val="0"/>
        <w:spacing w:before="190" w:beforeLines="50" w:after="190" w:afterLines="50" w:line="360" w:lineRule="auto"/>
        <w:ind w:firstLine="560" w:firstLineChars="200"/>
        <w:outlineLvl w:val="9"/>
        <w:rPr>
          <w:rFonts w:ascii="Times New Roman" w:hAnsi="Times New Roman" w:eastAsia="仿宋" w:cs="Times New Roman"/>
          <w:sz w:val="28"/>
          <w:szCs w:val="28"/>
        </w:rPr>
      </w:pPr>
      <w:bookmarkStart w:id="220" w:name="_Toc28457"/>
      <w:bookmarkStart w:id="221" w:name="_Toc45811795"/>
      <w:bookmarkStart w:id="222" w:name="_Toc28676"/>
    </w:p>
    <w:p w14:paraId="4791550D">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223" w:name="_Toc5574"/>
      <w:bookmarkStart w:id="224" w:name="_Toc25633"/>
      <w:bookmarkStart w:id="225" w:name="_Toc21404"/>
      <w:bookmarkStart w:id="226" w:name="_Toc16801"/>
      <w:bookmarkStart w:id="227" w:name="_Toc5597"/>
      <w:r>
        <w:rPr>
          <w:rFonts w:hint="eastAsia" w:ascii="黑体" w:hAnsi="黑体" w:eastAsia="黑体" w:cs="Times New Roman"/>
          <w:kern w:val="2"/>
          <w:sz w:val="32"/>
          <w:szCs w:val="32"/>
          <w:lang w:val="en-US" w:eastAsia="zh-CN" w:bidi="ar-SA"/>
        </w:rPr>
        <w:t>合作期限</w:t>
      </w:r>
      <w:bookmarkEnd w:id="220"/>
      <w:bookmarkEnd w:id="221"/>
      <w:bookmarkEnd w:id="222"/>
      <w:bookmarkEnd w:id="223"/>
      <w:bookmarkEnd w:id="224"/>
      <w:bookmarkEnd w:id="225"/>
      <w:bookmarkEnd w:id="226"/>
      <w:bookmarkEnd w:id="227"/>
    </w:p>
    <w:p w14:paraId="102001B1">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228" w:name="_Toc45811796"/>
      <w:bookmarkStart w:id="229" w:name="_Toc27723"/>
      <w:bookmarkStart w:id="230" w:name="_Toc11079"/>
      <w:bookmarkStart w:id="231" w:name="_Toc27528"/>
      <w:bookmarkStart w:id="232" w:name="_Toc9092"/>
      <w:bookmarkStart w:id="233" w:name="_Toc14113"/>
      <w:bookmarkStart w:id="234" w:name="_Toc6944"/>
      <w:bookmarkStart w:id="235" w:name="_Toc11711"/>
      <w:r>
        <w:rPr>
          <w:rFonts w:hint="eastAsia" w:ascii="仿宋" w:hAnsi="仿宋" w:eastAsia="仿宋" w:cs="Times New Roman"/>
          <w:b/>
          <w:kern w:val="2"/>
          <w:sz w:val="30"/>
          <w:szCs w:val="30"/>
          <w:lang w:val="en-US" w:eastAsia="zh-CN" w:bidi="ar-SA"/>
        </w:rPr>
        <w:t>合作期限的构成</w:t>
      </w:r>
      <w:bookmarkEnd w:id="228"/>
      <w:bookmarkEnd w:id="229"/>
      <w:bookmarkEnd w:id="230"/>
      <w:bookmarkEnd w:id="231"/>
      <w:bookmarkEnd w:id="232"/>
      <w:bookmarkEnd w:id="233"/>
      <w:bookmarkEnd w:id="234"/>
      <w:bookmarkEnd w:id="235"/>
    </w:p>
    <w:p w14:paraId="16AA6834">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Times New Roman" w:hAnsi="Times New Roman" w:eastAsia="仿宋" w:cs="Times New Roman"/>
          <w:sz w:val="28"/>
          <w:szCs w:val="28"/>
        </w:rPr>
        <w:t>合作期限自本合同生效之日起算，共</w:t>
      </w:r>
      <w:r>
        <w:rPr>
          <w:rFonts w:hint="eastAsia" w:ascii="Times New Roman" w:hAnsi="Times New Roman" w:eastAsia="仿宋" w:cs="Times New Roman"/>
          <w:sz w:val="28"/>
          <w:szCs w:val="28"/>
          <w:lang w:val="en-US" w:eastAsia="zh-CN"/>
        </w:rPr>
        <w:t>5年。</w:t>
      </w:r>
    </w:p>
    <w:p w14:paraId="552D2DAE">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236" w:name="_Toc12613"/>
      <w:bookmarkStart w:id="237" w:name="_Toc13454"/>
      <w:bookmarkStart w:id="238" w:name="_Toc45811797"/>
      <w:bookmarkStart w:id="239" w:name="_Toc19190"/>
      <w:bookmarkStart w:id="240" w:name="_Toc19219"/>
      <w:bookmarkStart w:id="241" w:name="_Toc1399"/>
      <w:bookmarkStart w:id="242" w:name="_Toc22395"/>
      <w:bookmarkStart w:id="243" w:name="_Toc4184"/>
      <w:r>
        <w:rPr>
          <w:rFonts w:hint="eastAsia" w:ascii="仿宋" w:hAnsi="仿宋" w:eastAsia="仿宋" w:cs="Times New Roman"/>
          <w:b/>
          <w:kern w:val="2"/>
          <w:sz w:val="30"/>
          <w:szCs w:val="30"/>
          <w:lang w:val="en-US" w:eastAsia="zh-CN" w:bidi="ar-SA"/>
        </w:rPr>
        <w:t>合作期限的顺延</w:t>
      </w:r>
      <w:bookmarkEnd w:id="236"/>
      <w:bookmarkEnd w:id="237"/>
      <w:bookmarkEnd w:id="238"/>
      <w:bookmarkEnd w:id="239"/>
      <w:bookmarkEnd w:id="240"/>
      <w:bookmarkEnd w:id="241"/>
      <w:bookmarkEnd w:id="242"/>
      <w:bookmarkEnd w:id="243"/>
    </w:p>
    <w:p w14:paraId="406FA6AB">
      <w:pPr>
        <w:snapToGrid w:val="0"/>
        <w:spacing w:before="190" w:beforeLines="50" w:after="190" w:afterLines="50" w:line="560" w:lineRule="exact"/>
        <w:ind w:firstLine="500" w:firstLineChars="200"/>
        <w:outlineLvl w:val="9"/>
        <w:rPr>
          <w:rFonts w:ascii="Times New Roman" w:hAnsi="Times New Roman" w:eastAsia="仿宋" w:cs="Times New Roman"/>
          <w:sz w:val="28"/>
          <w:szCs w:val="28"/>
        </w:rPr>
      </w:pPr>
      <w:r>
        <w:rPr>
          <w:rFonts w:ascii="仿宋" w:hAnsi="仿宋" w:eastAsia="仿宋" w:cs="仿宋"/>
          <w:spacing w:val="-15"/>
          <w:sz w:val="28"/>
          <w:szCs w:val="28"/>
        </w:rPr>
        <w:t>因甲</w:t>
      </w:r>
      <w:r>
        <w:rPr>
          <w:rFonts w:hint="eastAsia" w:ascii="仿宋" w:hAnsi="仿宋" w:eastAsia="仿宋" w:cs="仿宋"/>
          <w:spacing w:val="-15"/>
          <w:sz w:val="28"/>
          <w:szCs w:val="28"/>
          <w:lang w:eastAsia="zh-CN"/>
        </w:rPr>
        <w:t>、</w:t>
      </w:r>
      <w:r>
        <w:rPr>
          <w:rFonts w:hint="eastAsia" w:ascii="仿宋" w:hAnsi="仿宋" w:eastAsia="仿宋" w:cs="仿宋"/>
          <w:spacing w:val="-15"/>
          <w:sz w:val="28"/>
          <w:szCs w:val="28"/>
          <w:lang w:val="en-US" w:eastAsia="zh-CN"/>
        </w:rPr>
        <w:t>乙任意一</w:t>
      </w:r>
      <w:r>
        <w:rPr>
          <w:rFonts w:ascii="仿宋" w:hAnsi="仿宋" w:eastAsia="仿宋" w:cs="仿宋"/>
          <w:spacing w:val="-15"/>
          <w:sz w:val="28"/>
          <w:szCs w:val="28"/>
        </w:rPr>
        <w:t>方或不可抗力等原因，导致</w:t>
      </w:r>
      <w:r>
        <w:rPr>
          <w:rFonts w:hint="eastAsia" w:ascii="仿宋" w:hAnsi="仿宋" w:eastAsia="仿宋" w:cs="仿宋"/>
          <w:spacing w:val="-15"/>
          <w:sz w:val="28"/>
          <w:szCs w:val="28"/>
          <w:lang w:val="en-US" w:eastAsia="zh-CN"/>
        </w:rPr>
        <w:t>约定的建设工期内未能完成场地建设或其他</w:t>
      </w:r>
      <w:r>
        <w:rPr>
          <w:rFonts w:ascii="仿宋" w:hAnsi="仿宋" w:eastAsia="仿宋" w:cs="仿宋"/>
          <w:spacing w:val="-11"/>
          <w:sz w:val="28"/>
          <w:szCs w:val="28"/>
        </w:rPr>
        <w:t>不能在本合同生效后</w:t>
      </w:r>
      <w:r>
        <w:rPr>
          <w:rFonts w:hint="eastAsia" w:ascii="仿宋" w:hAnsi="仿宋" w:eastAsia="仿宋" w:cs="仿宋"/>
          <w:spacing w:val="-11"/>
          <w:sz w:val="28"/>
          <w:szCs w:val="28"/>
        </w:rPr>
        <w:t>在约定的时间</w:t>
      </w:r>
      <w:r>
        <w:rPr>
          <w:rFonts w:ascii="仿宋" w:hAnsi="仿宋" w:eastAsia="仿宋" w:cs="仿宋"/>
          <w:spacing w:val="-11"/>
          <w:sz w:val="28"/>
          <w:szCs w:val="28"/>
        </w:rPr>
        <w:t>内开始运营的</w:t>
      </w:r>
      <w:r>
        <w:rPr>
          <w:rFonts w:hint="eastAsia" w:ascii="仿宋" w:hAnsi="仿宋" w:eastAsia="仿宋" w:cs="仿宋"/>
          <w:spacing w:val="-11"/>
          <w:sz w:val="28"/>
          <w:szCs w:val="28"/>
          <w:lang w:val="en-US" w:eastAsia="zh-CN"/>
        </w:rPr>
        <w:t>情形</w:t>
      </w:r>
      <w:r>
        <w:rPr>
          <w:rFonts w:ascii="仿宋" w:hAnsi="仿宋" w:eastAsia="仿宋" w:cs="仿宋"/>
          <w:spacing w:val="-11"/>
          <w:sz w:val="28"/>
          <w:szCs w:val="28"/>
        </w:rPr>
        <w:t>，</w:t>
      </w:r>
      <w:r>
        <w:rPr>
          <w:rFonts w:hint="eastAsia" w:ascii="仿宋" w:hAnsi="仿宋" w:eastAsia="仿宋" w:cs="仿宋"/>
          <w:spacing w:val="-11"/>
          <w:sz w:val="28"/>
          <w:szCs w:val="28"/>
        </w:rPr>
        <w:t>或者在正常运营后，因甲方或不可抗力等原因，造成停运的，</w:t>
      </w:r>
      <w:r>
        <w:rPr>
          <w:rFonts w:ascii="仿宋" w:hAnsi="仿宋" w:eastAsia="仿宋" w:cs="仿宋"/>
          <w:spacing w:val="-11"/>
          <w:sz w:val="28"/>
          <w:szCs w:val="28"/>
        </w:rPr>
        <w:t>经乙</w:t>
      </w:r>
      <w:r>
        <w:rPr>
          <w:rFonts w:ascii="仿宋" w:hAnsi="仿宋" w:eastAsia="仿宋" w:cs="仿宋"/>
          <w:spacing w:val="-12"/>
          <w:sz w:val="28"/>
          <w:szCs w:val="28"/>
        </w:rPr>
        <w:t>方申请、甲方书面</w:t>
      </w:r>
      <w:r>
        <w:rPr>
          <w:rFonts w:ascii="仿宋" w:hAnsi="仿宋" w:eastAsia="仿宋" w:cs="仿宋"/>
          <w:spacing w:val="-8"/>
          <w:sz w:val="28"/>
          <w:szCs w:val="28"/>
        </w:rPr>
        <w:t>同意后，可以相应顺延</w:t>
      </w:r>
      <w:r>
        <w:rPr>
          <w:rFonts w:ascii="仿宋" w:hAnsi="仿宋" w:eastAsia="仿宋" w:cs="仿宋"/>
          <w:spacing w:val="-9"/>
          <w:sz w:val="28"/>
          <w:szCs w:val="28"/>
        </w:rPr>
        <w:t>合作期限。</w:t>
      </w:r>
    </w:p>
    <w:p w14:paraId="06040920">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bookmarkStart w:id="244" w:name="_Toc18042"/>
      <w:bookmarkStart w:id="245" w:name="_Toc45811798"/>
    </w:p>
    <w:p w14:paraId="797A1E96">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246" w:name="_Toc18819"/>
      <w:bookmarkStart w:id="247" w:name="_Toc26708"/>
      <w:bookmarkStart w:id="248" w:name="_Toc6332"/>
      <w:bookmarkStart w:id="249" w:name="_Toc9850"/>
      <w:bookmarkStart w:id="250" w:name="_Toc24754"/>
      <w:r>
        <w:rPr>
          <w:rFonts w:hint="eastAsia" w:ascii="黑体" w:hAnsi="黑体" w:eastAsia="黑体" w:cs="Times New Roman"/>
          <w:kern w:val="2"/>
          <w:sz w:val="32"/>
          <w:szCs w:val="32"/>
          <w:lang w:val="en-US" w:eastAsia="zh-CN" w:bidi="ar-SA"/>
        </w:rPr>
        <w:t>动力游戏区设施</w:t>
      </w:r>
      <w:bookmarkEnd w:id="244"/>
      <w:bookmarkEnd w:id="245"/>
      <w:bookmarkEnd w:id="246"/>
      <w:bookmarkEnd w:id="247"/>
      <w:bookmarkEnd w:id="248"/>
      <w:bookmarkEnd w:id="249"/>
      <w:bookmarkEnd w:id="250"/>
    </w:p>
    <w:p w14:paraId="1382BFEC">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251" w:name="_Toc45811799"/>
      <w:bookmarkStart w:id="252" w:name="_Toc25503"/>
      <w:bookmarkStart w:id="253" w:name="_Toc10433"/>
      <w:bookmarkStart w:id="254" w:name="_Toc31965"/>
      <w:bookmarkStart w:id="255" w:name="_Toc17575"/>
      <w:bookmarkStart w:id="256" w:name="_Toc7896"/>
      <w:bookmarkStart w:id="257" w:name="_Toc27048"/>
      <w:bookmarkStart w:id="258" w:name="_Toc17189"/>
      <w:r>
        <w:rPr>
          <w:rFonts w:hint="eastAsia" w:ascii="仿宋" w:hAnsi="仿宋" w:eastAsia="仿宋" w:cs="Times New Roman"/>
          <w:b/>
          <w:kern w:val="2"/>
          <w:sz w:val="30"/>
          <w:szCs w:val="30"/>
          <w:lang w:val="en-US" w:eastAsia="zh-CN" w:bidi="ar-SA"/>
        </w:rPr>
        <w:t>动力游戏区设施权属</w:t>
      </w:r>
      <w:bookmarkEnd w:id="251"/>
      <w:bookmarkEnd w:id="252"/>
      <w:bookmarkEnd w:id="253"/>
      <w:bookmarkEnd w:id="254"/>
      <w:bookmarkEnd w:id="255"/>
      <w:bookmarkEnd w:id="256"/>
      <w:bookmarkEnd w:id="257"/>
      <w:bookmarkEnd w:id="258"/>
    </w:p>
    <w:p w14:paraId="0F945E90">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乙方出资建设的动力游戏区设施均归乙方所有。</w:t>
      </w:r>
    </w:p>
    <w:p w14:paraId="1B217E0D">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259" w:name="_Toc6591"/>
      <w:bookmarkStart w:id="260" w:name="_Toc45811801"/>
      <w:bookmarkStart w:id="261" w:name="_Toc30289"/>
      <w:bookmarkStart w:id="262" w:name="_Toc20601"/>
      <w:bookmarkStart w:id="263" w:name="_Toc12654"/>
      <w:bookmarkStart w:id="264" w:name="_Toc24891"/>
      <w:bookmarkStart w:id="265" w:name="_Toc4058"/>
      <w:bookmarkStart w:id="266" w:name="_Toc5108"/>
      <w:bookmarkStart w:id="267" w:name="_Toc496511441"/>
      <w:r>
        <w:rPr>
          <w:rFonts w:hint="eastAsia" w:ascii="仿宋" w:hAnsi="仿宋" w:eastAsia="仿宋" w:cs="Times New Roman"/>
          <w:b/>
          <w:kern w:val="2"/>
          <w:sz w:val="30"/>
          <w:szCs w:val="30"/>
          <w:lang w:val="en-US" w:eastAsia="zh-CN" w:bidi="ar-SA"/>
        </w:rPr>
        <w:t>动力游戏区设施维护</w:t>
      </w:r>
      <w:bookmarkEnd w:id="259"/>
      <w:bookmarkEnd w:id="260"/>
      <w:bookmarkEnd w:id="261"/>
      <w:bookmarkEnd w:id="262"/>
      <w:bookmarkEnd w:id="263"/>
      <w:bookmarkEnd w:id="264"/>
      <w:bookmarkEnd w:id="265"/>
      <w:bookmarkEnd w:id="266"/>
    </w:p>
    <w:p w14:paraId="285C85ED">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动力游戏区内全部设施的日常运营维护、大修重置（更换）工作由乙方负责。</w:t>
      </w:r>
    </w:p>
    <w:bookmarkEnd w:id="267"/>
    <w:p w14:paraId="73E62DB4">
      <w:pPr>
        <w:snapToGrid w:val="0"/>
        <w:spacing w:before="190" w:beforeLines="50" w:after="190" w:afterLines="50" w:line="360" w:lineRule="auto"/>
        <w:ind w:firstLine="560" w:firstLineChars="200"/>
        <w:outlineLvl w:val="9"/>
        <w:rPr>
          <w:rFonts w:ascii="Times New Roman" w:hAnsi="Times New Roman" w:eastAsia="仿宋" w:cs="Times New Roman"/>
          <w:sz w:val="28"/>
          <w:szCs w:val="28"/>
        </w:rPr>
      </w:pPr>
      <w:bookmarkStart w:id="268" w:name="_Toc3985"/>
      <w:bookmarkStart w:id="269" w:name="_Toc25189"/>
      <w:bookmarkStart w:id="270" w:name="_Toc45811803"/>
    </w:p>
    <w:p w14:paraId="0983A221">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271" w:name="_Toc4671"/>
      <w:bookmarkStart w:id="272" w:name="_Toc8152"/>
      <w:bookmarkStart w:id="273" w:name="_Toc16652"/>
      <w:bookmarkStart w:id="274" w:name="_Toc4729"/>
      <w:r>
        <w:rPr>
          <w:rFonts w:hint="eastAsia" w:ascii="黑体" w:hAnsi="黑体" w:eastAsia="黑体" w:cs="Times New Roman"/>
          <w:kern w:val="2"/>
          <w:sz w:val="32"/>
          <w:szCs w:val="32"/>
          <w:lang w:val="en-US" w:eastAsia="zh-CN" w:bidi="ar-SA"/>
        </w:rPr>
        <w:t>机动游戏设施建设</w:t>
      </w:r>
      <w:bookmarkEnd w:id="268"/>
      <w:bookmarkEnd w:id="269"/>
      <w:bookmarkEnd w:id="270"/>
      <w:bookmarkEnd w:id="271"/>
      <w:bookmarkEnd w:id="272"/>
      <w:bookmarkEnd w:id="273"/>
      <w:bookmarkEnd w:id="274"/>
    </w:p>
    <w:p w14:paraId="005CE564">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275" w:name="_Toc20542"/>
      <w:bookmarkStart w:id="276" w:name="_Toc26467"/>
      <w:bookmarkStart w:id="277" w:name="_Toc2904"/>
      <w:bookmarkStart w:id="278" w:name="_Toc29397"/>
      <w:bookmarkStart w:id="279" w:name="_Toc7574"/>
      <w:bookmarkStart w:id="280" w:name="_Toc25244"/>
      <w:bookmarkStart w:id="281" w:name="_Toc45811804"/>
      <w:bookmarkStart w:id="282" w:name="_Toc11310"/>
      <w:r>
        <w:rPr>
          <w:rFonts w:hint="eastAsia" w:ascii="仿宋" w:hAnsi="仿宋" w:eastAsia="仿宋" w:cs="Times New Roman"/>
          <w:b/>
          <w:kern w:val="2"/>
          <w:sz w:val="30"/>
          <w:szCs w:val="30"/>
          <w:lang w:val="en-US" w:eastAsia="zh-CN" w:bidi="ar-SA"/>
        </w:rPr>
        <w:t>建设范围</w:t>
      </w:r>
      <w:bookmarkEnd w:id="275"/>
      <w:bookmarkEnd w:id="276"/>
      <w:bookmarkEnd w:id="277"/>
      <w:bookmarkEnd w:id="278"/>
      <w:bookmarkEnd w:id="279"/>
      <w:bookmarkEnd w:id="280"/>
      <w:bookmarkEnd w:id="281"/>
      <w:bookmarkEnd w:id="282"/>
    </w:p>
    <w:p w14:paraId="6DA7137B">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乙方负责投资建设包括但不限于附件《机动游戏设施清单》内的各项机动游戏设施，投资建设内容包括但不限于机动游戏设施相关的设备基础、设备采购与安装、主题造型及外形包装</w:t>
      </w:r>
      <w:r>
        <w:rPr>
          <w:rFonts w:hint="eastAsia" w:ascii="Times New Roman" w:hAnsi="Times New Roman" w:eastAsia="仿宋" w:cs="Times New Roman"/>
          <w:sz w:val="28"/>
          <w:szCs w:val="28"/>
          <w:lang w:val="en-US" w:eastAsia="zh-CN"/>
        </w:rPr>
        <w:t>及</w:t>
      </w:r>
      <w:r>
        <w:rPr>
          <w:rFonts w:hint="eastAsia" w:ascii="仿宋_GB2312" w:hAnsi="仿宋_GB2312" w:eastAsia="仿宋_GB2312" w:cs="仿宋_GB2312"/>
          <w:b w:val="0"/>
          <w:bCs w:val="0"/>
          <w:kern w:val="0"/>
          <w:sz w:val="28"/>
          <w:szCs w:val="28"/>
          <w:highlight w:val="none"/>
          <w:lang w:val="en-US" w:eastAsia="zh-CN" w:bidi="zh-CN"/>
        </w:rPr>
        <w:t>周边环境的配套改造工作</w:t>
      </w:r>
      <w:r>
        <w:rPr>
          <w:rFonts w:hint="eastAsia" w:ascii="Times New Roman" w:hAnsi="Times New Roman" w:eastAsia="仿宋" w:cs="Times New Roman"/>
          <w:sz w:val="28"/>
          <w:szCs w:val="28"/>
        </w:rPr>
        <w:t>，具体以报甲方备案的设计文件为准。</w:t>
      </w:r>
    </w:p>
    <w:p w14:paraId="47601136">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283" w:name="_Toc1907"/>
      <w:bookmarkStart w:id="284" w:name="_Toc10081"/>
      <w:bookmarkStart w:id="285" w:name="_Toc10700"/>
      <w:bookmarkStart w:id="286" w:name="_Toc23519"/>
      <w:bookmarkStart w:id="287" w:name="_Toc8907"/>
      <w:bookmarkStart w:id="288" w:name="_Toc45811805"/>
      <w:bookmarkStart w:id="289" w:name="_Toc21858"/>
      <w:bookmarkStart w:id="290" w:name="_Toc12818"/>
      <w:r>
        <w:rPr>
          <w:rFonts w:hint="eastAsia" w:ascii="仿宋" w:hAnsi="仿宋" w:eastAsia="仿宋" w:cs="Times New Roman"/>
          <w:b/>
          <w:kern w:val="2"/>
          <w:sz w:val="30"/>
          <w:szCs w:val="30"/>
          <w:lang w:val="en-US" w:eastAsia="zh-CN" w:bidi="ar-SA"/>
        </w:rPr>
        <w:t>设计</w:t>
      </w:r>
      <w:bookmarkEnd w:id="283"/>
      <w:bookmarkEnd w:id="284"/>
      <w:bookmarkEnd w:id="285"/>
      <w:bookmarkEnd w:id="286"/>
      <w:bookmarkEnd w:id="287"/>
      <w:bookmarkEnd w:id="288"/>
      <w:bookmarkEnd w:id="289"/>
      <w:bookmarkEnd w:id="290"/>
    </w:p>
    <w:p w14:paraId="28DCAADF">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设计文件必须报甲方备案。</w:t>
      </w:r>
    </w:p>
    <w:p w14:paraId="6E4F0272">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甲方有权就设计文件提出修改建议。乙方应在甲方要求的合理时限内对甲方提出的建议进行回应。</w:t>
      </w:r>
    </w:p>
    <w:p w14:paraId="233B368A">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291" w:name="_Toc10417"/>
      <w:bookmarkStart w:id="292" w:name="_Toc8201"/>
      <w:bookmarkStart w:id="293" w:name="_Toc24933"/>
      <w:bookmarkStart w:id="294" w:name="_Toc10993"/>
      <w:bookmarkStart w:id="295" w:name="_Toc7361"/>
      <w:bookmarkStart w:id="296" w:name="_Toc21013"/>
      <w:bookmarkStart w:id="297" w:name="_Toc45811806"/>
      <w:bookmarkStart w:id="298" w:name="_Toc3075"/>
      <w:r>
        <w:rPr>
          <w:rFonts w:hint="eastAsia" w:ascii="仿宋" w:hAnsi="仿宋" w:eastAsia="仿宋" w:cs="Times New Roman"/>
          <w:b/>
          <w:kern w:val="2"/>
          <w:sz w:val="30"/>
          <w:szCs w:val="30"/>
          <w:lang w:val="en-US" w:eastAsia="zh-CN" w:bidi="ar-SA"/>
        </w:rPr>
        <w:t>设施设备选型</w:t>
      </w:r>
      <w:bookmarkEnd w:id="291"/>
      <w:bookmarkEnd w:id="292"/>
      <w:bookmarkEnd w:id="293"/>
      <w:bookmarkEnd w:id="294"/>
      <w:bookmarkEnd w:id="295"/>
      <w:bookmarkEnd w:id="296"/>
      <w:bookmarkEnd w:id="297"/>
      <w:bookmarkEnd w:id="298"/>
    </w:p>
    <w:p w14:paraId="5CA70EED">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乙方应结合项目的定位，</w:t>
      </w:r>
      <w:r>
        <w:rPr>
          <w:rFonts w:hint="eastAsia" w:ascii="Times New Roman" w:hAnsi="Times New Roman" w:eastAsia="仿宋" w:cs="Times New Roman"/>
          <w:sz w:val="28"/>
          <w:szCs w:val="28"/>
          <w:lang w:val="en-US" w:eastAsia="zh-CN"/>
        </w:rPr>
        <w:t>选用</w:t>
      </w:r>
      <w:r>
        <w:rPr>
          <w:rFonts w:hint="eastAsia" w:ascii="Times New Roman" w:hAnsi="Times New Roman" w:eastAsia="仿宋" w:cs="Times New Roman"/>
          <w:sz w:val="28"/>
          <w:szCs w:val="28"/>
        </w:rPr>
        <w:t>知名厂商的设施设备，充分体现探索性、互动性、新颖性，并确保安全性。</w:t>
      </w:r>
    </w:p>
    <w:p w14:paraId="25FA58F6">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所有设备供应商须具备国家颁发的相关制造与安装许可，同时必须符合现行法律法规的规范要求。</w:t>
      </w:r>
      <w:r>
        <w:rPr>
          <w:rFonts w:hint="eastAsia" w:ascii="Times New Roman" w:hAnsi="Times New Roman" w:eastAsia="仿宋" w:cs="Times New Roman"/>
          <w:sz w:val="28"/>
          <w:szCs w:val="28"/>
          <w:lang w:val="en-US" w:eastAsia="zh-CN"/>
        </w:rPr>
        <w:t>涉及的</w:t>
      </w:r>
      <w:r>
        <w:rPr>
          <w:rFonts w:hint="eastAsia" w:ascii="Times New Roman" w:hAnsi="Times New Roman" w:eastAsia="仿宋" w:cs="Times New Roman"/>
          <w:sz w:val="28"/>
          <w:szCs w:val="28"/>
        </w:rPr>
        <w:t>载人动力游乐设施设计最大运行线速度小于 2m/s，且运行高度距地面低于2m</w:t>
      </w:r>
      <w:r>
        <w:rPr>
          <w:rFonts w:hint="eastAsia" w:ascii="Times New Roman" w:hAnsi="Times New Roman" w:eastAsia="仿宋" w:cs="Times New Roman"/>
          <w:sz w:val="28"/>
          <w:szCs w:val="28"/>
          <w:lang w:eastAsia="zh-CN"/>
        </w:rPr>
        <w:t>。</w:t>
      </w:r>
    </w:p>
    <w:p w14:paraId="71B9DA7B">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所有设备的安装和更新乙方须事先报甲方审核确认，甲方并有权对相关设备组织验收，甲方的审核、确认和验收不免除乙方的建设和运营责任。乙方对设备本身的安全性负责，并承担安装、运营、更新过程中的全部安全生产责任。</w:t>
      </w:r>
    </w:p>
    <w:p w14:paraId="1C4C1EFC">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299" w:name="_Toc7383"/>
      <w:bookmarkStart w:id="300" w:name="_Toc14967"/>
      <w:bookmarkStart w:id="301" w:name="_Toc21434"/>
      <w:bookmarkStart w:id="302" w:name="_Toc26324"/>
      <w:bookmarkStart w:id="303" w:name="_Toc24859"/>
      <w:bookmarkStart w:id="304" w:name="_Toc11062"/>
      <w:bookmarkStart w:id="305" w:name="_Toc17858"/>
      <w:bookmarkStart w:id="306" w:name="_Toc45811807"/>
      <w:r>
        <w:rPr>
          <w:rFonts w:hint="eastAsia" w:ascii="仿宋" w:hAnsi="仿宋" w:eastAsia="仿宋" w:cs="Times New Roman"/>
          <w:b/>
          <w:kern w:val="2"/>
          <w:sz w:val="30"/>
          <w:szCs w:val="30"/>
          <w:lang w:val="en-US" w:eastAsia="zh-CN" w:bidi="ar-SA"/>
        </w:rPr>
        <w:t>建设进度与安全</w:t>
      </w:r>
      <w:bookmarkEnd w:id="299"/>
      <w:bookmarkEnd w:id="300"/>
      <w:bookmarkEnd w:id="301"/>
      <w:bookmarkEnd w:id="302"/>
      <w:bookmarkEnd w:id="303"/>
      <w:bookmarkEnd w:id="304"/>
      <w:bookmarkEnd w:id="305"/>
      <w:bookmarkEnd w:id="306"/>
    </w:p>
    <w:p w14:paraId="25937C32">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乙方自行掌握机动游戏设施建设进度，自行承担建设安全管理责任，但须服从甲方管理。</w:t>
      </w:r>
    </w:p>
    <w:p w14:paraId="6594494D">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乙方在建设机动游戏设施时应符合《中华人民共和国安全生产法》、《建设工程安全生产管理条例》等现行法律法规的规范要求。</w:t>
      </w:r>
    </w:p>
    <w:p w14:paraId="0130D932">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307" w:name="_Toc45811808"/>
      <w:bookmarkStart w:id="308" w:name="_Toc22511"/>
      <w:bookmarkStart w:id="309" w:name="_Toc16684"/>
      <w:bookmarkStart w:id="310" w:name="_Toc2722"/>
      <w:bookmarkStart w:id="311" w:name="_Toc10447"/>
      <w:bookmarkStart w:id="312" w:name="_Toc17958"/>
      <w:bookmarkStart w:id="313" w:name="_Toc12961"/>
      <w:bookmarkStart w:id="314" w:name="_Toc6081"/>
      <w:r>
        <w:rPr>
          <w:rFonts w:ascii="仿宋" w:hAnsi="仿宋" w:eastAsia="仿宋" w:cs="Times New Roman"/>
          <w:b/>
          <w:kern w:val="2"/>
          <w:sz w:val="30"/>
          <w:szCs w:val="30"/>
          <w:lang w:val="en-US" w:eastAsia="zh-CN" w:bidi="ar-SA"/>
        </w:rPr>
        <w:t>最低投资</w:t>
      </w:r>
      <w:bookmarkEnd w:id="307"/>
      <w:bookmarkEnd w:id="308"/>
      <w:bookmarkEnd w:id="309"/>
      <w:bookmarkEnd w:id="310"/>
      <w:bookmarkEnd w:id="311"/>
      <w:bookmarkEnd w:id="312"/>
      <w:bookmarkEnd w:id="313"/>
      <w:bookmarkEnd w:id="314"/>
    </w:p>
    <w:p w14:paraId="7502415B">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乙方投资动力游乐设备总投资额为不低于人民币2</w:t>
      </w:r>
      <w:r>
        <w:rPr>
          <w:rFonts w:hint="eastAsia" w:ascii="Times New Roman" w:hAnsi="Times New Roman" w:eastAsia="仿宋" w:cs="Times New Roman"/>
          <w:sz w:val="28"/>
          <w:szCs w:val="28"/>
          <w:lang w:val="en-US" w:eastAsia="zh-CN"/>
        </w:rPr>
        <w:t>42.05</w:t>
      </w:r>
      <w:r>
        <w:rPr>
          <w:rFonts w:hint="eastAsia" w:ascii="Times New Roman" w:hAnsi="Times New Roman" w:eastAsia="仿宋" w:cs="Times New Roman"/>
          <w:sz w:val="28"/>
          <w:szCs w:val="28"/>
        </w:rPr>
        <w:t>万元（以甲方确认的第三方造价咨询报告为准）。机动游戏设施相关投资可用于设备基础、设备采购及安装、配套运行系统、主题包装、</w:t>
      </w:r>
      <w:r>
        <w:rPr>
          <w:rFonts w:hint="eastAsia" w:ascii="Times New Roman" w:hAnsi="Times New Roman" w:eastAsia="仿宋" w:cs="Times New Roman"/>
          <w:sz w:val="28"/>
          <w:szCs w:val="28"/>
          <w:lang w:val="en-US" w:eastAsia="zh-CN"/>
        </w:rPr>
        <w:t>及</w:t>
      </w:r>
      <w:r>
        <w:rPr>
          <w:rFonts w:hint="eastAsia" w:ascii="仿宋_GB2312" w:hAnsi="仿宋_GB2312" w:eastAsia="仿宋_GB2312" w:cs="仿宋_GB2312"/>
          <w:b w:val="0"/>
          <w:bCs w:val="0"/>
          <w:kern w:val="0"/>
          <w:sz w:val="28"/>
          <w:szCs w:val="28"/>
          <w:highlight w:val="none"/>
          <w:lang w:val="en-US" w:eastAsia="zh-CN" w:bidi="zh-CN"/>
        </w:rPr>
        <w:t>周边环境的配套改造工作</w:t>
      </w:r>
      <w:r>
        <w:rPr>
          <w:rFonts w:hint="eastAsia" w:ascii="Times New Roman" w:hAnsi="Times New Roman" w:eastAsia="仿宋" w:cs="Times New Roman"/>
          <w:sz w:val="28"/>
          <w:szCs w:val="28"/>
        </w:rPr>
        <w:t>等。</w:t>
      </w:r>
    </w:p>
    <w:p w14:paraId="1AC26BF3">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甲方可委托第三方造价咨询单位，主要参照下述标准审核乙方总投资额：</w:t>
      </w:r>
    </w:p>
    <w:p w14:paraId="1A179F7E">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计价标准：《建设工程工程量清单计价标准》（GB/T50500 - 2024）、《房屋建筑与装饰工程工程量计算标准》（GB/T50854 - 2024）、《深圳市建设工程计价规程（2019）》、《深圳市建筑工程消耗量标准》（SJG 171 - 2024）、《深圳市安装工程消耗量定额》（SJG74 - 2020）、《深圳市装饰工程消耗量标准》（SJG 75 - 2025）、《深圳市建设工程施工机械台班消耗量标准》（SJG 174 - 2024）及工程所在地工程造价管理部门相关规定，标准如有更新，按照政府发布的最新标准执行。</w:t>
      </w:r>
    </w:p>
    <w:p w14:paraId="0ABB867B">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（2）计价费率：按照《深圳市建设工程计价费率标准》中的推荐费率。</w:t>
      </w:r>
    </w:p>
    <w:p w14:paraId="343B3D64">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（3）人工、材料、机械台班价格：使用项目开工时最新一期的《深圳建设工程价格信息》。部分工料机价格信息缺乏时，通过市场询价确定。</w:t>
      </w:r>
    </w:p>
    <w:p w14:paraId="3C5A76C2">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（4）设备价格：基于相关采购合同及交易凭证（如发票、支付流水等），通过市场询价确定。</w:t>
      </w:r>
    </w:p>
    <w:p w14:paraId="46DF88E7">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若审核确定的总投资低于人民币2</w:t>
      </w:r>
      <w:r>
        <w:rPr>
          <w:rFonts w:hint="eastAsia" w:ascii="Times New Roman" w:hAnsi="Times New Roman" w:eastAsia="仿宋" w:cs="Times New Roman"/>
          <w:sz w:val="28"/>
          <w:szCs w:val="28"/>
          <w:lang w:val="en-US" w:eastAsia="zh-CN"/>
        </w:rPr>
        <w:t>42.05</w:t>
      </w:r>
      <w:r>
        <w:rPr>
          <w:rFonts w:hint="eastAsia" w:ascii="Times New Roman" w:hAnsi="Times New Roman" w:eastAsia="仿宋" w:cs="Times New Roman"/>
          <w:sz w:val="28"/>
          <w:szCs w:val="28"/>
        </w:rPr>
        <w:t>万元的，乙方应在甲方通知之日起6个月内追加投资，确保达到</w:t>
      </w:r>
      <w:r>
        <w:rPr>
          <w:rFonts w:hint="eastAsia" w:ascii="Times New Roman" w:hAnsi="Times New Roman" w:eastAsia="仿宋" w:cs="Times New Roman"/>
          <w:sz w:val="28"/>
          <w:szCs w:val="28"/>
          <w:lang w:val="en-US" w:eastAsia="zh-CN"/>
        </w:rPr>
        <w:t>242.05</w:t>
      </w:r>
      <w:r>
        <w:rPr>
          <w:rFonts w:hint="eastAsia" w:ascii="Times New Roman" w:hAnsi="Times New Roman" w:eastAsia="仿宋" w:cs="Times New Roman"/>
          <w:sz w:val="28"/>
          <w:szCs w:val="28"/>
        </w:rPr>
        <w:t>万元。</w:t>
      </w:r>
      <w:bookmarkEnd w:id="164"/>
      <w:bookmarkEnd w:id="165"/>
      <w:bookmarkEnd w:id="166"/>
      <w:bookmarkEnd w:id="167"/>
      <w:bookmarkEnd w:id="168"/>
      <w:bookmarkEnd w:id="169"/>
      <w:bookmarkEnd w:id="170"/>
      <w:bookmarkEnd w:id="171"/>
      <w:bookmarkStart w:id="315" w:name="_Toc495357415"/>
      <w:bookmarkEnd w:id="315"/>
      <w:bookmarkStart w:id="316" w:name="_Toc495357435"/>
      <w:bookmarkEnd w:id="316"/>
      <w:bookmarkStart w:id="317" w:name="_Toc495356873"/>
      <w:bookmarkEnd w:id="317"/>
      <w:bookmarkStart w:id="318" w:name="_Toc495356606"/>
      <w:bookmarkEnd w:id="318"/>
      <w:bookmarkStart w:id="319" w:name="_Toc503047804"/>
      <w:bookmarkEnd w:id="319"/>
      <w:bookmarkStart w:id="320" w:name="_Toc503047547"/>
      <w:bookmarkEnd w:id="320"/>
      <w:bookmarkStart w:id="321" w:name="_Toc503047537"/>
      <w:bookmarkEnd w:id="321"/>
      <w:bookmarkStart w:id="322" w:name="_Toc503048207"/>
      <w:bookmarkEnd w:id="322"/>
      <w:bookmarkStart w:id="323" w:name="_Toc503048215"/>
      <w:bookmarkEnd w:id="323"/>
      <w:bookmarkStart w:id="324" w:name="_Toc503048077"/>
      <w:bookmarkEnd w:id="324"/>
      <w:bookmarkStart w:id="325" w:name="_Toc503047948"/>
      <w:bookmarkEnd w:id="325"/>
      <w:bookmarkStart w:id="326" w:name="_Toc495356622"/>
      <w:bookmarkEnd w:id="326"/>
      <w:bookmarkStart w:id="327" w:name="_Toc495356645"/>
      <w:bookmarkEnd w:id="327"/>
      <w:bookmarkStart w:id="328" w:name="_Toc495356881"/>
      <w:bookmarkEnd w:id="328"/>
      <w:bookmarkStart w:id="329" w:name="_Toc503047680"/>
      <w:bookmarkEnd w:id="329"/>
      <w:bookmarkStart w:id="330" w:name="_Toc503047678"/>
      <w:bookmarkEnd w:id="330"/>
      <w:bookmarkStart w:id="331" w:name="_Toc495356880"/>
      <w:bookmarkEnd w:id="331"/>
      <w:bookmarkStart w:id="332" w:name="_Toc503047947"/>
      <w:bookmarkEnd w:id="332"/>
      <w:bookmarkStart w:id="333" w:name="_Toc503047800"/>
      <w:bookmarkEnd w:id="333"/>
      <w:bookmarkStart w:id="334" w:name="_Toc495357188"/>
      <w:bookmarkEnd w:id="334"/>
      <w:bookmarkStart w:id="335" w:name="_Toc503047535"/>
      <w:bookmarkEnd w:id="335"/>
      <w:bookmarkStart w:id="336" w:name="_Toc495357177"/>
      <w:bookmarkEnd w:id="336"/>
      <w:bookmarkStart w:id="337" w:name="_Toc503047676"/>
      <w:bookmarkEnd w:id="337"/>
      <w:bookmarkStart w:id="338" w:name="_Toc503048066"/>
      <w:bookmarkEnd w:id="338"/>
      <w:bookmarkStart w:id="339" w:name="_Toc503047540"/>
      <w:bookmarkEnd w:id="339"/>
      <w:bookmarkStart w:id="340" w:name="_Toc495356891"/>
      <w:bookmarkEnd w:id="340"/>
      <w:bookmarkStart w:id="341" w:name="_Toc503047945"/>
      <w:bookmarkEnd w:id="341"/>
      <w:bookmarkStart w:id="342" w:name="_Toc503048071"/>
      <w:bookmarkEnd w:id="342"/>
      <w:bookmarkStart w:id="343" w:name="_Toc495357430"/>
      <w:bookmarkEnd w:id="343"/>
      <w:bookmarkStart w:id="344" w:name="_Toc503048072"/>
      <w:bookmarkEnd w:id="344"/>
      <w:bookmarkStart w:id="345" w:name="_Toc503048213"/>
      <w:bookmarkEnd w:id="345"/>
      <w:bookmarkStart w:id="346" w:name="_Toc495356630"/>
      <w:bookmarkEnd w:id="346"/>
      <w:bookmarkStart w:id="347" w:name="_Toc495356897"/>
      <w:bookmarkEnd w:id="347"/>
      <w:bookmarkStart w:id="348" w:name="_Toc495356632"/>
      <w:bookmarkEnd w:id="348"/>
      <w:bookmarkStart w:id="349" w:name="_Toc495356607"/>
      <w:bookmarkEnd w:id="349"/>
      <w:bookmarkStart w:id="350" w:name="_Toc495357172"/>
      <w:bookmarkEnd w:id="350"/>
      <w:bookmarkStart w:id="351" w:name="_Toc495357434"/>
      <w:bookmarkEnd w:id="351"/>
      <w:bookmarkStart w:id="352" w:name="_Toc495356638"/>
      <w:bookmarkEnd w:id="352"/>
      <w:bookmarkStart w:id="353" w:name="_Toc495357439"/>
      <w:bookmarkEnd w:id="353"/>
      <w:bookmarkStart w:id="354" w:name="_Toc503047541"/>
      <w:bookmarkEnd w:id="354"/>
      <w:bookmarkStart w:id="355" w:name="_Toc503047534"/>
      <w:bookmarkEnd w:id="355"/>
      <w:bookmarkStart w:id="356" w:name="_Toc495357155"/>
      <w:bookmarkEnd w:id="356"/>
      <w:bookmarkStart w:id="357" w:name="_Toc495356893"/>
      <w:bookmarkEnd w:id="357"/>
      <w:bookmarkStart w:id="358" w:name="_Toc503047934"/>
      <w:bookmarkEnd w:id="358"/>
      <w:bookmarkStart w:id="359" w:name="_Toc503047936"/>
      <w:bookmarkEnd w:id="359"/>
      <w:bookmarkStart w:id="360" w:name="_Toc495356861"/>
      <w:bookmarkEnd w:id="360"/>
      <w:bookmarkStart w:id="361" w:name="_Toc495357170"/>
      <w:bookmarkEnd w:id="361"/>
      <w:bookmarkStart w:id="362" w:name="_Toc495356626"/>
      <w:bookmarkEnd w:id="362"/>
      <w:bookmarkStart w:id="363" w:name="_Toc495356899"/>
      <w:bookmarkEnd w:id="363"/>
      <w:bookmarkStart w:id="364" w:name="_Toc503047808"/>
      <w:bookmarkEnd w:id="364"/>
      <w:bookmarkStart w:id="365" w:name="_Toc503047543"/>
      <w:bookmarkEnd w:id="365"/>
      <w:bookmarkStart w:id="366" w:name="_Toc503047802"/>
      <w:bookmarkEnd w:id="366"/>
      <w:bookmarkStart w:id="367" w:name="_Toc495357411"/>
      <w:bookmarkEnd w:id="367"/>
      <w:bookmarkStart w:id="368" w:name="_Toc503048206"/>
      <w:bookmarkEnd w:id="368"/>
      <w:bookmarkStart w:id="369" w:name="_Toc503164946"/>
      <w:bookmarkEnd w:id="369"/>
      <w:bookmarkStart w:id="370" w:name="_Toc503048075"/>
      <w:bookmarkEnd w:id="370"/>
      <w:bookmarkStart w:id="371" w:name="_Toc495357413"/>
      <w:bookmarkEnd w:id="371"/>
      <w:bookmarkStart w:id="372" w:name="_Toc495357423"/>
      <w:bookmarkEnd w:id="372"/>
      <w:bookmarkStart w:id="373" w:name="_Toc495357432"/>
      <w:bookmarkEnd w:id="373"/>
      <w:bookmarkStart w:id="374" w:name="_Toc495356631"/>
      <w:bookmarkEnd w:id="374"/>
      <w:bookmarkStart w:id="375" w:name="_Toc503047669"/>
      <w:bookmarkEnd w:id="375"/>
      <w:bookmarkStart w:id="376" w:name="_Toc495357150"/>
      <w:bookmarkEnd w:id="376"/>
      <w:bookmarkStart w:id="377" w:name="_Toc495351494"/>
      <w:bookmarkEnd w:id="377"/>
      <w:bookmarkStart w:id="378" w:name="_Toc495356882"/>
      <w:bookmarkEnd w:id="378"/>
      <w:bookmarkStart w:id="379" w:name="_Toc495356639"/>
      <w:bookmarkEnd w:id="379"/>
      <w:bookmarkStart w:id="380" w:name="_Toc503047666"/>
      <w:bookmarkEnd w:id="380"/>
      <w:bookmarkStart w:id="381" w:name="_Toc503047932"/>
      <w:bookmarkEnd w:id="381"/>
      <w:bookmarkStart w:id="382" w:name="_Toc495357178"/>
      <w:bookmarkEnd w:id="382"/>
      <w:bookmarkStart w:id="383" w:name="_Toc503048205"/>
      <w:bookmarkEnd w:id="383"/>
      <w:bookmarkStart w:id="384" w:name="_Toc495357149"/>
      <w:bookmarkEnd w:id="384"/>
      <w:bookmarkStart w:id="385" w:name="_Toc495356885"/>
      <w:bookmarkEnd w:id="385"/>
      <w:bookmarkStart w:id="386" w:name="_Toc503047813"/>
      <w:bookmarkEnd w:id="386"/>
      <w:bookmarkStart w:id="387" w:name="_Toc495357416"/>
      <w:bookmarkEnd w:id="387"/>
      <w:bookmarkStart w:id="388" w:name="_Toc495356857"/>
      <w:bookmarkEnd w:id="388"/>
      <w:bookmarkStart w:id="389" w:name="_Toc495356898"/>
      <w:bookmarkEnd w:id="389"/>
      <w:bookmarkStart w:id="390" w:name="_Toc503048069"/>
      <w:bookmarkEnd w:id="390"/>
      <w:bookmarkStart w:id="391" w:name="_Toc503048079"/>
      <w:bookmarkEnd w:id="391"/>
      <w:bookmarkStart w:id="392" w:name="_Toc495357427"/>
      <w:bookmarkEnd w:id="392"/>
      <w:bookmarkStart w:id="393" w:name="_Toc503048067"/>
      <w:bookmarkEnd w:id="393"/>
      <w:bookmarkStart w:id="394" w:name="_Toc503047679"/>
      <w:bookmarkEnd w:id="394"/>
      <w:bookmarkStart w:id="395" w:name="_Toc495357180"/>
      <w:bookmarkEnd w:id="395"/>
      <w:bookmarkStart w:id="396" w:name="_Toc495351489"/>
      <w:bookmarkEnd w:id="396"/>
      <w:bookmarkStart w:id="397" w:name="_Toc503048068"/>
      <w:bookmarkEnd w:id="397"/>
      <w:bookmarkStart w:id="398" w:name="_Toc495356635"/>
      <w:bookmarkEnd w:id="398"/>
      <w:bookmarkStart w:id="399" w:name="_Toc495357422"/>
      <w:bookmarkEnd w:id="399"/>
      <w:bookmarkStart w:id="400" w:name="_Toc495357189"/>
      <w:bookmarkEnd w:id="400"/>
      <w:bookmarkStart w:id="401" w:name="_Toc495356894"/>
      <w:bookmarkEnd w:id="401"/>
      <w:bookmarkStart w:id="402" w:name="_Toc503047946"/>
      <w:bookmarkEnd w:id="402"/>
      <w:bookmarkStart w:id="403" w:name="_Toc503047670"/>
      <w:bookmarkEnd w:id="403"/>
      <w:bookmarkStart w:id="404" w:name="_Toc495357406"/>
      <w:bookmarkEnd w:id="404"/>
      <w:bookmarkStart w:id="405" w:name="_Toc495357168"/>
      <w:bookmarkEnd w:id="405"/>
      <w:bookmarkStart w:id="406" w:name="_Toc495356624"/>
      <w:bookmarkEnd w:id="406"/>
      <w:bookmarkStart w:id="407" w:name="_Toc503047941"/>
      <w:bookmarkEnd w:id="407"/>
      <w:bookmarkStart w:id="408" w:name="_Toc495357158"/>
      <w:bookmarkEnd w:id="408"/>
      <w:bookmarkStart w:id="409" w:name="_Toc495357443"/>
      <w:bookmarkEnd w:id="409"/>
      <w:bookmarkStart w:id="410" w:name="_Toc503047667"/>
      <w:bookmarkEnd w:id="410"/>
      <w:bookmarkStart w:id="411" w:name="_Toc495357412"/>
      <w:bookmarkEnd w:id="411"/>
      <w:bookmarkStart w:id="412" w:name="_Toc495351484"/>
      <w:bookmarkEnd w:id="412"/>
      <w:bookmarkStart w:id="413" w:name="_Toc495351487"/>
      <w:bookmarkEnd w:id="413"/>
      <w:bookmarkStart w:id="414" w:name="_Toc503047546"/>
      <w:bookmarkEnd w:id="414"/>
      <w:bookmarkStart w:id="415" w:name="_Toc495357436"/>
      <w:bookmarkEnd w:id="415"/>
      <w:bookmarkStart w:id="416" w:name="_Toc495356887"/>
      <w:bookmarkEnd w:id="416"/>
      <w:bookmarkStart w:id="417" w:name="_Toc495357402"/>
      <w:bookmarkEnd w:id="417"/>
      <w:bookmarkStart w:id="418" w:name="_Toc503048080"/>
      <w:bookmarkEnd w:id="418"/>
      <w:bookmarkStart w:id="419" w:name="_Toc495356895"/>
      <w:bookmarkEnd w:id="419"/>
      <w:bookmarkStart w:id="420" w:name="_Toc495351483"/>
      <w:bookmarkEnd w:id="420"/>
      <w:bookmarkStart w:id="421" w:name="_Toc495356900"/>
      <w:bookmarkEnd w:id="421"/>
      <w:bookmarkStart w:id="422" w:name="_Toc495356627"/>
      <w:bookmarkEnd w:id="422"/>
      <w:bookmarkStart w:id="423" w:name="_Toc503048214"/>
      <w:bookmarkEnd w:id="423"/>
      <w:bookmarkStart w:id="424" w:name="_Toc495356862"/>
      <w:bookmarkEnd w:id="424"/>
      <w:bookmarkStart w:id="425" w:name="_Toc503048199"/>
      <w:bookmarkEnd w:id="425"/>
      <w:bookmarkStart w:id="426" w:name="_Toc495356610"/>
      <w:bookmarkEnd w:id="426"/>
      <w:bookmarkStart w:id="427" w:name="_Toc495357174"/>
      <w:bookmarkEnd w:id="427"/>
      <w:bookmarkStart w:id="428" w:name="_Toc495351497"/>
      <w:bookmarkEnd w:id="428"/>
      <w:bookmarkStart w:id="429" w:name="_Toc495356889"/>
      <w:bookmarkEnd w:id="429"/>
      <w:bookmarkStart w:id="430" w:name="_Toc495356888"/>
      <w:bookmarkEnd w:id="430"/>
      <w:bookmarkStart w:id="431" w:name="_Toc495357184"/>
      <w:bookmarkEnd w:id="431"/>
      <w:bookmarkStart w:id="432" w:name="_Toc495357182"/>
      <w:bookmarkEnd w:id="432"/>
      <w:bookmarkStart w:id="433" w:name="_Toc495357410"/>
      <w:bookmarkEnd w:id="433"/>
      <w:bookmarkStart w:id="434" w:name="_Toc503048073"/>
      <w:bookmarkEnd w:id="434"/>
      <w:bookmarkStart w:id="435" w:name="_Toc18599766"/>
      <w:bookmarkEnd w:id="435"/>
      <w:bookmarkStart w:id="436" w:name="_Toc503047681"/>
      <w:bookmarkEnd w:id="436"/>
      <w:bookmarkStart w:id="437" w:name="_Toc503047672"/>
      <w:bookmarkEnd w:id="437"/>
      <w:bookmarkStart w:id="438" w:name="_Toc495357186"/>
      <w:bookmarkEnd w:id="438"/>
      <w:bookmarkStart w:id="439" w:name="_Toc503047671"/>
      <w:bookmarkEnd w:id="439"/>
      <w:bookmarkStart w:id="440" w:name="_Toc495351495"/>
      <w:bookmarkEnd w:id="440"/>
      <w:bookmarkStart w:id="441" w:name="_Toc503047549"/>
      <w:bookmarkEnd w:id="441"/>
      <w:bookmarkStart w:id="442" w:name="_Toc495356629"/>
      <w:bookmarkEnd w:id="442"/>
      <w:bookmarkStart w:id="443" w:name="_Toc495351479"/>
      <w:bookmarkEnd w:id="443"/>
      <w:bookmarkStart w:id="444" w:name="_Toc495357431"/>
      <w:bookmarkEnd w:id="444"/>
      <w:bookmarkStart w:id="445" w:name="_Toc495357185"/>
      <w:bookmarkEnd w:id="445"/>
      <w:bookmarkStart w:id="446" w:name="_Toc495357173"/>
      <w:bookmarkEnd w:id="446"/>
      <w:bookmarkStart w:id="447" w:name="_Toc495351496"/>
      <w:bookmarkEnd w:id="447"/>
      <w:bookmarkStart w:id="448" w:name="_Toc495357160"/>
      <w:bookmarkEnd w:id="448"/>
      <w:bookmarkStart w:id="449" w:name="_Toc495356878"/>
      <w:bookmarkEnd w:id="449"/>
      <w:bookmarkStart w:id="450" w:name="_Toc495357409"/>
      <w:bookmarkEnd w:id="450"/>
      <w:bookmarkStart w:id="451" w:name="_Toc495356892"/>
      <w:bookmarkEnd w:id="451"/>
      <w:bookmarkStart w:id="452" w:name="_Toc503047933"/>
      <w:bookmarkEnd w:id="452"/>
      <w:bookmarkStart w:id="453" w:name="_Toc495356618"/>
      <w:bookmarkEnd w:id="453"/>
      <w:bookmarkStart w:id="454" w:name="_Toc503047935"/>
      <w:bookmarkEnd w:id="454"/>
      <w:bookmarkStart w:id="455" w:name="_Toc495356868"/>
      <w:bookmarkEnd w:id="455"/>
      <w:bookmarkStart w:id="456" w:name="_Toc503047674"/>
      <w:bookmarkEnd w:id="456"/>
      <w:bookmarkStart w:id="457" w:name="_Toc495357440"/>
      <w:bookmarkEnd w:id="457"/>
      <w:bookmarkStart w:id="458" w:name="_Toc495356617"/>
      <w:bookmarkEnd w:id="458"/>
      <w:bookmarkStart w:id="459" w:name="_Toc495356604"/>
      <w:bookmarkEnd w:id="459"/>
      <w:bookmarkStart w:id="460" w:name="_Toc495356625"/>
      <w:bookmarkEnd w:id="460"/>
      <w:bookmarkStart w:id="461" w:name="_Toc495357420"/>
      <w:bookmarkEnd w:id="461"/>
      <w:bookmarkStart w:id="462" w:name="_Toc495356877"/>
      <w:bookmarkEnd w:id="462"/>
      <w:bookmarkStart w:id="463" w:name="_Toc495357429"/>
      <w:bookmarkEnd w:id="463"/>
      <w:bookmarkStart w:id="464" w:name="_Toc495357154"/>
      <w:bookmarkEnd w:id="464"/>
      <w:bookmarkStart w:id="465" w:name="_Toc495357407"/>
      <w:bookmarkEnd w:id="465"/>
      <w:bookmarkStart w:id="466" w:name="_Toc503047682"/>
      <w:bookmarkEnd w:id="466"/>
      <w:bookmarkStart w:id="467" w:name="_Toc503047544"/>
      <w:bookmarkEnd w:id="467"/>
      <w:bookmarkStart w:id="468" w:name="_Toc495356865"/>
      <w:bookmarkEnd w:id="468"/>
      <w:bookmarkStart w:id="469" w:name="_Toc503048070"/>
      <w:bookmarkEnd w:id="469"/>
      <w:bookmarkStart w:id="470" w:name="_Toc495356636"/>
      <w:bookmarkEnd w:id="470"/>
      <w:bookmarkStart w:id="471" w:name="_Toc495356863"/>
      <w:bookmarkEnd w:id="471"/>
      <w:bookmarkStart w:id="472" w:name="_Toc503048074"/>
      <w:bookmarkEnd w:id="472"/>
      <w:bookmarkStart w:id="473" w:name="_Toc495351486"/>
      <w:bookmarkEnd w:id="473"/>
      <w:bookmarkStart w:id="474" w:name="_Toc495357183"/>
      <w:bookmarkEnd w:id="474"/>
      <w:bookmarkStart w:id="475" w:name="_Toc495357418"/>
      <w:bookmarkEnd w:id="475"/>
      <w:bookmarkStart w:id="476" w:name="_Toc495356872"/>
      <w:bookmarkEnd w:id="476"/>
      <w:bookmarkStart w:id="477" w:name="_Toc495357425"/>
      <w:bookmarkEnd w:id="477"/>
      <w:bookmarkStart w:id="478" w:name="_Toc495356644"/>
      <w:bookmarkEnd w:id="478"/>
      <w:bookmarkStart w:id="479" w:name="_Toc495356637"/>
      <w:bookmarkEnd w:id="479"/>
      <w:bookmarkStart w:id="480" w:name="_Toc18600500"/>
      <w:bookmarkEnd w:id="480"/>
      <w:bookmarkStart w:id="481" w:name="_Toc495356647"/>
      <w:bookmarkEnd w:id="481"/>
      <w:bookmarkStart w:id="482" w:name="_Toc495356616"/>
      <w:bookmarkEnd w:id="482"/>
      <w:bookmarkStart w:id="483" w:name="_Toc495357187"/>
      <w:bookmarkEnd w:id="483"/>
      <w:bookmarkStart w:id="484" w:name="_Toc495356867"/>
      <w:bookmarkEnd w:id="484"/>
      <w:bookmarkStart w:id="485" w:name="_Toc495357442"/>
      <w:bookmarkEnd w:id="485"/>
      <w:bookmarkStart w:id="486" w:name="_Toc503048204"/>
      <w:bookmarkEnd w:id="486"/>
      <w:bookmarkStart w:id="487" w:name="_Toc495357167"/>
      <w:bookmarkEnd w:id="487"/>
      <w:bookmarkStart w:id="488" w:name="_Toc503048076"/>
      <w:bookmarkEnd w:id="488"/>
      <w:bookmarkStart w:id="489" w:name="_Toc503047539"/>
      <w:bookmarkEnd w:id="489"/>
      <w:bookmarkStart w:id="490" w:name="_Toc503047805"/>
      <w:bookmarkEnd w:id="490"/>
      <w:bookmarkStart w:id="491" w:name="_Toc495356879"/>
      <w:bookmarkEnd w:id="491"/>
      <w:bookmarkStart w:id="492" w:name="_Toc503047807"/>
      <w:bookmarkEnd w:id="492"/>
      <w:bookmarkStart w:id="493" w:name="_Toc495351485"/>
      <w:bookmarkEnd w:id="493"/>
      <w:bookmarkStart w:id="494" w:name="_Toc503047944"/>
      <w:bookmarkEnd w:id="494"/>
      <w:bookmarkStart w:id="495" w:name="_Toc503048200"/>
      <w:bookmarkEnd w:id="495"/>
      <w:bookmarkStart w:id="496" w:name="_Toc503047811"/>
      <w:bookmarkEnd w:id="496"/>
      <w:bookmarkStart w:id="497" w:name="_Toc495357179"/>
      <w:bookmarkEnd w:id="497"/>
      <w:bookmarkStart w:id="498" w:name="_Toc495356860"/>
      <w:bookmarkEnd w:id="498"/>
      <w:bookmarkStart w:id="499" w:name="_Toc503047668"/>
      <w:bookmarkEnd w:id="499"/>
      <w:bookmarkStart w:id="500" w:name="_Toc503047538"/>
      <w:bookmarkEnd w:id="500"/>
      <w:bookmarkStart w:id="501" w:name="_Toc495356874"/>
      <w:bookmarkEnd w:id="501"/>
      <w:bookmarkStart w:id="502" w:name="_Toc495357414"/>
      <w:bookmarkEnd w:id="502"/>
      <w:bookmarkStart w:id="503" w:name="_Toc495356876"/>
      <w:bookmarkEnd w:id="503"/>
      <w:bookmarkStart w:id="504" w:name="_Toc503047536"/>
      <w:bookmarkEnd w:id="504"/>
      <w:bookmarkStart w:id="505" w:name="_Toc503047815"/>
      <w:bookmarkEnd w:id="505"/>
      <w:bookmarkStart w:id="506" w:name="_Toc503047938"/>
      <w:bookmarkEnd w:id="506"/>
      <w:bookmarkStart w:id="507" w:name="_Toc503048209"/>
      <w:bookmarkEnd w:id="507"/>
      <w:bookmarkStart w:id="508" w:name="_Toc503048078"/>
      <w:bookmarkEnd w:id="508"/>
      <w:bookmarkStart w:id="509" w:name="_Toc495356896"/>
      <w:bookmarkEnd w:id="509"/>
      <w:bookmarkStart w:id="510" w:name="_Toc495356869"/>
      <w:bookmarkEnd w:id="510"/>
      <w:bookmarkStart w:id="511" w:name="_Toc503047814"/>
      <w:bookmarkEnd w:id="511"/>
      <w:bookmarkStart w:id="512" w:name="_Toc503047803"/>
      <w:bookmarkEnd w:id="512"/>
      <w:bookmarkStart w:id="513" w:name="_Toc495356641"/>
      <w:bookmarkEnd w:id="513"/>
      <w:bookmarkStart w:id="514" w:name="_Toc495357433"/>
      <w:bookmarkEnd w:id="514"/>
      <w:bookmarkStart w:id="515" w:name="_Toc495357403"/>
      <w:bookmarkEnd w:id="515"/>
      <w:bookmarkStart w:id="516" w:name="_Toc495357163"/>
      <w:bookmarkEnd w:id="516"/>
      <w:bookmarkStart w:id="517" w:name="_Toc495356611"/>
      <w:bookmarkEnd w:id="517"/>
      <w:bookmarkStart w:id="518" w:name="_Toc495351491"/>
      <w:bookmarkEnd w:id="518"/>
      <w:bookmarkStart w:id="519" w:name="_Toc495351492"/>
      <w:bookmarkEnd w:id="519"/>
      <w:bookmarkStart w:id="520" w:name="_Toc503047943"/>
      <w:bookmarkEnd w:id="520"/>
      <w:bookmarkStart w:id="521" w:name="_Toc495356890"/>
      <w:bookmarkEnd w:id="521"/>
      <w:bookmarkStart w:id="522" w:name="_Toc495357148"/>
      <w:bookmarkEnd w:id="522"/>
      <w:bookmarkStart w:id="523" w:name="_Toc495351498"/>
      <w:bookmarkEnd w:id="523"/>
      <w:bookmarkStart w:id="524" w:name="_Toc503047937"/>
      <w:bookmarkEnd w:id="524"/>
      <w:bookmarkStart w:id="525" w:name="_Toc495356642"/>
      <w:bookmarkEnd w:id="525"/>
      <w:bookmarkStart w:id="526" w:name="_Toc495351482"/>
      <w:bookmarkEnd w:id="526"/>
      <w:bookmarkStart w:id="527" w:name="_Toc503048081"/>
      <w:bookmarkEnd w:id="527"/>
      <w:bookmarkStart w:id="528" w:name="_Toc495351488"/>
      <w:bookmarkEnd w:id="528"/>
      <w:bookmarkStart w:id="529" w:name="_Toc495357152"/>
      <w:bookmarkEnd w:id="529"/>
      <w:bookmarkStart w:id="530" w:name="_Toc503048201"/>
      <w:bookmarkEnd w:id="530"/>
      <w:bookmarkStart w:id="531" w:name="_Toc495356628"/>
      <w:bookmarkEnd w:id="531"/>
      <w:bookmarkStart w:id="532" w:name="_Toc503047806"/>
      <w:bookmarkEnd w:id="532"/>
      <w:bookmarkStart w:id="533" w:name="_Toc503047677"/>
      <w:bookmarkEnd w:id="533"/>
      <w:bookmarkStart w:id="534" w:name="_Toc495356612"/>
      <w:bookmarkEnd w:id="534"/>
      <w:bookmarkStart w:id="535" w:name="_Toc495356866"/>
      <w:bookmarkEnd w:id="535"/>
      <w:bookmarkStart w:id="536" w:name="_Toc503047940"/>
      <w:bookmarkEnd w:id="536"/>
      <w:bookmarkStart w:id="537" w:name="_Toc495356871"/>
      <w:bookmarkEnd w:id="537"/>
      <w:bookmarkStart w:id="538" w:name="_Toc495356883"/>
      <w:bookmarkEnd w:id="538"/>
      <w:bookmarkStart w:id="539" w:name="_Toc495351490"/>
      <w:bookmarkEnd w:id="539"/>
      <w:bookmarkStart w:id="540" w:name="_Toc503047799"/>
      <w:bookmarkEnd w:id="540"/>
      <w:bookmarkStart w:id="541" w:name="_Toc495357165"/>
      <w:bookmarkEnd w:id="541"/>
      <w:bookmarkStart w:id="542" w:name="_Toc495357426"/>
      <w:bookmarkEnd w:id="542"/>
      <w:bookmarkStart w:id="543" w:name="_Toc495357419"/>
      <w:bookmarkEnd w:id="543"/>
      <w:bookmarkStart w:id="544" w:name="_Toc495351477"/>
      <w:bookmarkEnd w:id="544"/>
      <w:bookmarkStart w:id="545" w:name="_Toc503048211"/>
      <w:bookmarkEnd w:id="545"/>
      <w:bookmarkStart w:id="546" w:name="_Toc495357404"/>
      <w:bookmarkEnd w:id="546"/>
      <w:bookmarkStart w:id="547" w:name="_Toc495357162"/>
      <w:bookmarkEnd w:id="547"/>
      <w:bookmarkStart w:id="548" w:name="_Toc495356609"/>
      <w:bookmarkEnd w:id="548"/>
      <w:bookmarkStart w:id="549" w:name="_Toc495351480"/>
      <w:bookmarkEnd w:id="549"/>
      <w:bookmarkStart w:id="550" w:name="_Toc495357159"/>
      <w:bookmarkEnd w:id="550"/>
      <w:bookmarkStart w:id="551" w:name="_Toc495356608"/>
      <w:bookmarkEnd w:id="551"/>
      <w:bookmarkStart w:id="552" w:name="_Toc495357175"/>
      <w:bookmarkEnd w:id="552"/>
      <w:bookmarkStart w:id="553" w:name="_Toc495357437"/>
      <w:bookmarkEnd w:id="553"/>
      <w:bookmarkStart w:id="554" w:name="_Toc495357441"/>
      <w:bookmarkEnd w:id="554"/>
      <w:bookmarkStart w:id="555" w:name="_Toc503048203"/>
      <w:bookmarkEnd w:id="555"/>
      <w:bookmarkStart w:id="556" w:name="_Toc495357408"/>
      <w:bookmarkEnd w:id="556"/>
      <w:bookmarkStart w:id="557" w:name="_Toc18605147"/>
      <w:bookmarkEnd w:id="557"/>
      <w:bookmarkStart w:id="558" w:name="_Toc503047810"/>
      <w:bookmarkEnd w:id="558"/>
      <w:bookmarkStart w:id="559" w:name="_Toc503048210"/>
      <w:bookmarkEnd w:id="559"/>
      <w:bookmarkStart w:id="560" w:name="_Toc495357438"/>
      <w:bookmarkEnd w:id="560"/>
      <w:bookmarkStart w:id="561" w:name="_Toc503048082"/>
      <w:bookmarkEnd w:id="561"/>
      <w:bookmarkStart w:id="562" w:name="_Toc503048208"/>
      <w:bookmarkEnd w:id="562"/>
      <w:bookmarkStart w:id="563" w:name="_Toc503047942"/>
      <w:bookmarkEnd w:id="563"/>
      <w:bookmarkStart w:id="564" w:name="_Toc495357166"/>
      <w:bookmarkEnd w:id="564"/>
      <w:bookmarkStart w:id="565" w:name="_Toc495357151"/>
      <w:bookmarkEnd w:id="565"/>
      <w:bookmarkStart w:id="566" w:name="_Toc495357169"/>
      <w:bookmarkEnd w:id="566"/>
      <w:bookmarkStart w:id="567" w:name="_Toc503047548"/>
      <w:bookmarkEnd w:id="567"/>
      <w:bookmarkStart w:id="568" w:name="_Toc503047533"/>
      <w:bookmarkEnd w:id="568"/>
      <w:bookmarkStart w:id="569" w:name="_Toc495356634"/>
      <w:bookmarkEnd w:id="569"/>
      <w:bookmarkStart w:id="570" w:name="_Toc495357417"/>
      <w:bookmarkEnd w:id="570"/>
      <w:bookmarkStart w:id="571" w:name="_Toc503047545"/>
      <w:bookmarkEnd w:id="571"/>
      <w:bookmarkStart w:id="572" w:name="_Toc495357421"/>
      <w:bookmarkEnd w:id="572"/>
      <w:bookmarkStart w:id="573" w:name="_Toc503048212"/>
      <w:bookmarkEnd w:id="573"/>
      <w:bookmarkStart w:id="574" w:name="_Toc495356633"/>
      <w:bookmarkEnd w:id="574"/>
      <w:bookmarkStart w:id="575" w:name="_Toc495357424"/>
      <w:bookmarkEnd w:id="575"/>
      <w:bookmarkStart w:id="576" w:name="_Toc503047939"/>
      <w:bookmarkEnd w:id="576"/>
      <w:bookmarkStart w:id="577" w:name="_Toc495356640"/>
      <w:bookmarkEnd w:id="577"/>
      <w:bookmarkStart w:id="578" w:name="_Toc495356615"/>
      <w:bookmarkEnd w:id="578"/>
      <w:bookmarkStart w:id="579" w:name="_Toc495356875"/>
      <w:bookmarkEnd w:id="579"/>
      <w:bookmarkStart w:id="580" w:name="_Toc495356646"/>
      <w:bookmarkEnd w:id="580"/>
      <w:bookmarkStart w:id="581" w:name="_Toc503047673"/>
      <w:bookmarkEnd w:id="581"/>
      <w:bookmarkStart w:id="582" w:name="_Toc495356643"/>
      <w:bookmarkEnd w:id="582"/>
      <w:bookmarkStart w:id="583" w:name="_Toc495351493"/>
      <w:bookmarkEnd w:id="583"/>
      <w:bookmarkStart w:id="584" w:name="_Toc495356623"/>
      <w:bookmarkEnd w:id="584"/>
      <w:bookmarkStart w:id="585" w:name="_Toc503047801"/>
      <w:bookmarkEnd w:id="585"/>
      <w:bookmarkStart w:id="586" w:name="_Toc495357153"/>
      <w:bookmarkEnd w:id="586"/>
      <w:bookmarkStart w:id="587" w:name="_Toc495356621"/>
      <w:bookmarkEnd w:id="587"/>
      <w:bookmarkStart w:id="588" w:name="_Toc18606103"/>
      <w:bookmarkEnd w:id="588"/>
      <w:bookmarkStart w:id="589" w:name="_Toc503048202"/>
      <w:bookmarkEnd w:id="589"/>
      <w:bookmarkStart w:id="590" w:name="_Toc503047675"/>
      <w:bookmarkEnd w:id="590"/>
      <w:bookmarkStart w:id="591" w:name="_Toc495357146"/>
      <w:bookmarkEnd w:id="591"/>
      <w:bookmarkStart w:id="592" w:name="_Toc495356884"/>
      <w:bookmarkEnd w:id="592"/>
      <w:bookmarkStart w:id="593" w:name="_Toc495357171"/>
      <w:bookmarkEnd w:id="593"/>
      <w:bookmarkStart w:id="594" w:name="_Toc495356859"/>
      <w:bookmarkEnd w:id="594"/>
      <w:bookmarkStart w:id="595" w:name="_Toc495357400"/>
      <w:bookmarkEnd w:id="595"/>
      <w:bookmarkStart w:id="596" w:name="_Toc495356619"/>
      <w:bookmarkEnd w:id="596"/>
      <w:bookmarkStart w:id="597" w:name="_Toc495357157"/>
      <w:bookmarkEnd w:id="597"/>
      <w:bookmarkStart w:id="598" w:name="_Toc503047809"/>
      <w:bookmarkEnd w:id="598"/>
      <w:bookmarkStart w:id="599" w:name="_Toc503164952"/>
      <w:bookmarkEnd w:id="599"/>
      <w:bookmarkStart w:id="600" w:name="_Toc503047542"/>
      <w:bookmarkEnd w:id="600"/>
      <w:bookmarkStart w:id="601" w:name="_Toc495357161"/>
      <w:bookmarkEnd w:id="601"/>
      <w:bookmarkStart w:id="602" w:name="_Toc495357176"/>
      <w:bookmarkEnd w:id="602"/>
      <w:bookmarkStart w:id="603" w:name="_Toc495356614"/>
      <w:bookmarkEnd w:id="603"/>
      <w:bookmarkStart w:id="604" w:name="_Toc495357164"/>
      <w:bookmarkEnd w:id="604"/>
      <w:bookmarkStart w:id="605" w:name="_Toc495357156"/>
      <w:bookmarkEnd w:id="605"/>
      <w:bookmarkStart w:id="606" w:name="_Toc495357181"/>
      <w:bookmarkEnd w:id="606"/>
      <w:bookmarkStart w:id="607" w:name="_Toc495356864"/>
      <w:bookmarkEnd w:id="607"/>
      <w:bookmarkStart w:id="608" w:name="_Toc495356886"/>
      <w:bookmarkEnd w:id="608"/>
      <w:bookmarkStart w:id="609" w:name="_Toc495357405"/>
      <w:bookmarkEnd w:id="609"/>
      <w:bookmarkStart w:id="610" w:name="_Toc503047812"/>
      <w:bookmarkEnd w:id="610"/>
      <w:bookmarkStart w:id="611" w:name="_Toc495356620"/>
      <w:bookmarkEnd w:id="611"/>
      <w:bookmarkStart w:id="612" w:name="_Toc495357428"/>
      <w:bookmarkEnd w:id="612"/>
      <w:bookmarkStart w:id="613" w:name="_Toc495356613"/>
      <w:bookmarkEnd w:id="613"/>
      <w:bookmarkStart w:id="614" w:name="_Toc495356870"/>
      <w:bookmarkEnd w:id="614"/>
    </w:p>
    <w:p w14:paraId="7D484EE2">
      <w:pPr>
        <w:snapToGrid w:val="0"/>
        <w:spacing w:before="190" w:beforeLines="50" w:after="190" w:afterLines="50" w:line="360" w:lineRule="auto"/>
        <w:ind w:firstLine="560" w:firstLineChars="200"/>
        <w:outlineLvl w:val="9"/>
        <w:rPr>
          <w:rFonts w:ascii="Times New Roman" w:hAnsi="Times New Roman" w:eastAsia="仿宋" w:cs="Times New Roman"/>
          <w:sz w:val="28"/>
          <w:szCs w:val="28"/>
        </w:rPr>
      </w:pPr>
      <w:bookmarkStart w:id="615" w:name="_Toc45811809"/>
      <w:bookmarkStart w:id="616" w:name="_Toc6078"/>
      <w:bookmarkStart w:id="617" w:name="_Toc29306"/>
    </w:p>
    <w:p w14:paraId="40A91445">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618" w:name="_Toc4927"/>
      <w:bookmarkStart w:id="619" w:name="_Toc24371"/>
      <w:bookmarkStart w:id="620" w:name="_Toc4906"/>
      <w:bookmarkStart w:id="621" w:name="_Toc21244"/>
      <w:bookmarkStart w:id="622" w:name="_Toc27587"/>
      <w:r>
        <w:rPr>
          <w:rFonts w:hint="eastAsia" w:ascii="黑体" w:hAnsi="黑体" w:eastAsia="黑体" w:cs="Times New Roman"/>
          <w:kern w:val="2"/>
          <w:sz w:val="32"/>
          <w:szCs w:val="32"/>
          <w:lang w:val="en-US" w:eastAsia="zh-CN" w:bidi="ar-SA"/>
        </w:rPr>
        <w:t>对外开放</w:t>
      </w:r>
      <w:bookmarkEnd w:id="615"/>
      <w:bookmarkEnd w:id="616"/>
      <w:bookmarkEnd w:id="617"/>
      <w:bookmarkEnd w:id="618"/>
      <w:bookmarkEnd w:id="619"/>
      <w:bookmarkEnd w:id="620"/>
      <w:bookmarkEnd w:id="621"/>
      <w:bookmarkEnd w:id="622"/>
    </w:p>
    <w:p w14:paraId="230F29F2">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623" w:name="_Toc1816"/>
      <w:bookmarkStart w:id="624" w:name="_Toc24740"/>
      <w:bookmarkStart w:id="625" w:name="_Toc14318"/>
      <w:bookmarkStart w:id="626" w:name="_Toc22735"/>
      <w:bookmarkStart w:id="627" w:name="_Toc22994"/>
      <w:bookmarkStart w:id="628" w:name="_Toc18002"/>
      <w:bookmarkStart w:id="629" w:name="_Toc45811811"/>
      <w:bookmarkStart w:id="630" w:name="_Toc15964"/>
      <w:r>
        <w:rPr>
          <w:rFonts w:hint="eastAsia" w:ascii="仿宋" w:hAnsi="仿宋" w:eastAsia="仿宋" w:cs="Times New Roman"/>
          <w:b/>
          <w:kern w:val="2"/>
          <w:sz w:val="30"/>
          <w:szCs w:val="30"/>
          <w:lang w:val="en-US" w:eastAsia="zh-CN" w:bidi="ar-SA"/>
        </w:rPr>
        <w:t>对外开放</w:t>
      </w:r>
      <w:bookmarkEnd w:id="623"/>
      <w:bookmarkEnd w:id="624"/>
      <w:bookmarkEnd w:id="625"/>
      <w:bookmarkEnd w:id="626"/>
      <w:bookmarkEnd w:id="627"/>
      <w:bookmarkEnd w:id="628"/>
      <w:bookmarkEnd w:id="629"/>
      <w:bookmarkEnd w:id="630"/>
    </w:p>
    <w:p w14:paraId="636C8380">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631" w:name="_Toc17942"/>
      <w:r>
        <w:rPr>
          <w:rFonts w:hint="eastAsia" w:ascii="仿宋" w:hAnsi="仿宋" w:eastAsia="仿宋" w:cs="Times New Roman"/>
          <w:b/>
          <w:kern w:val="2"/>
          <w:sz w:val="30"/>
          <w:szCs w:val="30"/>
          <w:lang w:val="en-US" w:eastAsia="zh-CN" w:bidi="ar-SA"/>
        </w:rPr>
        <w:t>开放要求</w:t>
      </w:r>
      <w:bookmarkEnd w:id="631"/>
    </w:p>
    <w:p w14:paraId="4DE9EDA9">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乙方应当在开始运营日前，根据下表要求参考同类项目确定具体开放的时间段，报甲方审核同意后在动力游戏区现场醒目位置公示，并通过网络向公众推送：</w:t>
      </w:r>
    </w:p>
    <w:tbl>
      <w:tblPr>
        <w:tblStyle w:val="23"/>
        <w:tblW w:w="4999"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248"/>
        <w:gridCol w:w="1454"/>
        <w:gridCol w:w="6586"/>
      </w:tblGrid>
      <w:tr w14:paraId="757E99B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4" w:hRule="atLeast"/>
          <w:jc w:val="center"/>
        </w:trPr>
        <w:tc>
          <w:tcPr>
            <w:tcW w:w="1718" w:type="pct"/>
            <w:gridSpan w:val="2"/>
            <w:noWrap/>
            <w:vAlign w:val="center"/>
          </w:tcPr>
          <w:p w14:paraId="47AA906C">
            <w:pPr>
              <w:widowControl/>
              <w:snapToGrid/>
              <w:spacing w:before="0" w:beforeLines="0" w:after="0" w:afterLines="0" w:line="360" w:lineRule="auto"/>
              <w:ind w:firstLine="0" w:firstLineChars="0"/>
              <w:jc w:val="left"/>
              <w:outlineLvl w:val="9"/>
              <w:rPr>
                <w:rFonts w:ascii="仿宋" w:hAnsi="仿宋" w:eastAsia="仿宋" w:cs="仿宋"/>
                <w:b/>
                <w:sz w:val="24"/>
                <w:szCs w:val="24"/>
              </w:rPr>
            </w:pPr>
            <w:r>
              <w:rPr>
                <w:rFonts w:hint="eastAsia" w:ascii="仿宋" w:hAnsi="仿宋" w:eastAsia="仿宋" w:cs="仿宋"/>
                <w:b/>
                <w:kern w:val="0"/>
                <w:sz w:val="24"/>
                <w:szCs w:val="24"/>
              </w:rPr>
              <w:t>功能分区</w:t>
            </w:r>
          </w:p>
        </w:tc>
        <w:tc>
          <w:tcPr>
            <w:tcW w:w="3281" w:type="pct"/>
            <w:noWrap/>
            <w:vAlign w:val="center"/>
          </w:tcPr>
          <w:p w14:paraId="3A53B0E2">
            <w:pPr>
              <w:widowControl/>
              <w:snapToGrid/>
              <w:spacing w:before="0" w:beforeLines="0" w:after="0" w:afterLines="0" w:line="240" w:lineRule="auto"/>
              <w:ind w:firstLine="0" w:firstLineChars="0"/>
              <w:jc w:val="left"/>
              <w:outlineLvl w:val="9"/>
              <w:rPr>
                <w:rFonts w:ascii="仿宋" w:hAnsi="仿宋" w:eastAsia="仿宋" w:cs="仿宋"/>
                <w:sz w:val="24"/>
                <w:szCs w:val="24"/>
              </w:rPr>
            </w:pPr>
            <w:r>
              <w:rPr>
                <w:rFonts w:hint="eastAsia" w:ascii="仿宋" w:hAnsi="仿宋" w:eastAsia="仿宋" w:cs="仿宋"/>
                <w:b/>
                <w:kern w:val="0"/>
                <w:sz w:val="24"/>
                <w:szCs w:val="24"/>
              </w:rPr>
              <w:t>开放要求</w:t>
            </w:r>
          </w:p>
        </w:tc>
      </w:tr>
      <w:tr w14:paraId="4F938FC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4" w:hRule="atLeast"/>
          <w:jc w:val="center"/>
        </w:trPr>
        <w:tc>
          <w:tcPr>
            <w:tcW w:w="468" w:type="pct"/>
            <w:noWrap/>
            <w:vAlign w:val="center"/>
          </w:tcPr>
          <w:p w14:paraId="26ACC894">
            <w:pPr>
              <w:widowControl/>
              <w:snapToGrid/>
              <w:spacing w:before="0" w:beforeLines="0" w:after="0" w:afterLines="0" w:line="360" w:lineRule="auto"/>
              <w:ind w:firstLine="0" w:firstLineChars="0"/>
              <w:jc w:val="left"/>
              <w:outlineLvl w:val="9"/>
              <w:rPr>
                <w:rFonts w:ascii="仿宋" w:hAnsi="仿宋" w:eastAsia="仿宋" w:cs="仿宋"/>
                <w:b/>
                <w:kern w:val="0"/>
                <w:sz w:val="24"/>
                <w:szCs w:val="24"/>
              </w:rPr>
            </w:pPr>
            <w:r>
              <w:rPr>
                <w:rFonts w:hint="eastAsia" w:ascii="仿宋" w:hAnsi="仿宋" w:eastAsia="仿宋" w:cs="仿宋"/>
                <w:b/>
                <w:kern w:val="0"/>
                <w:sz w:val="24"/>
                <w:szCs w:val="24"/>
              </w:rPr>
              <w:t>动力游戏区</w:t>
            </w:r>
          </w:p>
        </w:tc>
        <w:tc>
          <w:tcPr>
            <w:tcW w:w="1249" w:type="pct"/>
            <w:noWrap/>
            <w:vAlign w:val="center"/>
          </w:tcPr>
          <w:p w14:paraId="1539140A">
            <w:pPr>
              <w:widowControl/>
              <w:snapToGrid/>
              <w:spacing w:before="0" w:beforeLines="0" w:after="0" w:afterLines="0" w:line="360" w:lineRule="auto"/>
              <w:ind w:firstLine="0" w:firstLineChars="0"/>
              <w:jc w:val="left"/>
              <w:outlineLvl w:val="9"/>
              <w:rPr>
                <w:rFonts w:ascii="仿宋" w:hAnsi="仿宋" w:eastAsia="仿宋" w:cs="仿宋"/>
                <w:b/>
                <w:kern w:val="0"/>
                <w:sz w:val="24"/>
                <w:szCs w:val="24"/>
              </w:rPr>
            </w:pPr>
            <w:r>
              <w:rPr>
                <w:rFonts w:hint="eastAsia" w:ascii="仿宋" w:hAnsi="仿宋" w:eastAsia="仿宋" w:cs="仿宋"/>
                <w:b/>
                <w:sz w:val="24"/>
                <w:szCs w:val="24"/>
              </w:rPr>
              <w:t>机动游戏设施</w:t>
            </w:r>
          </w:p>
        </w:tc>
        <w:tc>
          <w:tcPr>
            <w:tcW w:w="3281" w:type="pct"/>
            <w:noWrap/>
            <w:vAlign w:val="center"/>
          </w:tcPr>
          <w:p w14:paraId="55B08295">
            <w:pPr>
              <w:widowControl/>
              <w:numPr>
                <w:ilvl w:val="0"/>
                <w:numId w:val="0"/>
              </w:numPr>
              <w:snapToGrid/>
              <w:spacing w:before="0" w:beforeLines="0" w:after="0" w:afterLines="0" w:line="240" w:lineRule="auto"/>
              <w:ind w:left="420" w:leftChars="0" w:hanging="420" w:firstLineChars="0"/>
              <w:jc w:val="left"/>
              <w:outlineLvl w:val="9"/>
              <w:rPr>
                <w:rFonts w:ascii="仿宋" w:hAnsi="仿宋" w:eastAsia="仿宋" w:cs="仿宋"/>
                <w:snapToGrid w:val="0"/>
                <w:kern w:val="2"/>
                <w:sz w:val="24"/>
                <w:szCs w:val="24"/>
                <w:lang w:val="en-US" w:eastAsia="zh-CN" w:bidi="ar-SA"/>
              </w:rPr>
            </w:pPr>
            <w:r>
              <w:rPr>
                <w:rFonts w:hint="default" w:ascii="Wingdings" w:hAnsi="Wingdings" w:eastAsia="仿宋" w:cs="仿宋"/>
                <w:snapToGrid w:val="0"/>
                <w:kern w:val="2"/>
                <w:sz w:val="24"/>
                <w:szCs w:val="24"/>
                <w:lang w:val="en-US" w:eastAsia="zh-CN" w:bidi="ar-SA"/>
              </w:rPr>
              <w:t></w:t>
            </w:r>
            <w:r>
              <w:rPr>
                <w:rFonts w:hint="eastAsia" w:ascii="仿宋" w:hAnsi="仿宋" w:eastAsia="仿宋" w:cs="仿宋"/>
                <w:snapToGrid w:val="0"/>
                <w:kern w:val="2"/>
                <w:sz w:val="24"/>
                <w:szCs w:val="24"/>
                <w:lang w:val="en-US" w:eastAsia="zh-CN" w:bidi="ar-SA"/>
              </w:rPr>
              <w:t>每年开放不少于300日（法定节假日、周末、寒暑假期间必须开放）</w:t>
            </w:r>
          </w:p>
          <w:p w14:paraId="24BCAF5B">
            <w:pPr>
              <w:widowControl/>
              <w:numPr>
                <w:ilvl w:val="0"/>
                <w:numId w:val="0"/>
              </w:numPr>
              <w:snapToGrid/>
              <w:spacing w:before="0" w:beforeLines="0" w:after="0" w:afterLines="0" w:line="240" w:lineRule="auto"/>
              <w:ind w:left="420" w:leftChars="0" w:hanging="420" w:firstLineChars="0"/>
              <w:jc w:val="left"/>
              <w:outlineLvl w:val="9"/>
              <w:rPr>
                <w:rFonts w:ascii="仿宋" w:hAnsi="仿宋" w:eastAsia="仿宋" w:cs="仿宋"/>
                <w:kern w:val="2"/>
                <w:sz w:val="24"/>
                <w:szCs w:val="24"/>
                <w:lang w:val="en-US" w:eastAsia="zh-CN" w:bidi="ar-SA"/>
              </w:rPr>
            </w:pPr>
            <w:r>
              <w:rPr>
                <w:rFonts w:hint="default" w:ascii="Wingdings" w:hAnsi="Wingdings" w:eastAsia="仿宋" w:cs="仿宋"/>
                <w:kern w:val="2"/>
                <w:sz w:val="24"/>
                <w:szCs w:val="24"/>
                <w:lang w:val="en-US" w:eastAsia="zh-CN" w:bidi="ar-SA"/>
              </w:rPr>
              <w:t></w:t>
            </w:r>
            <w:r>
              <w:rPr>
                <w:rFonts w:hint="eastAsia" w:ascii="仿宋" w:hAnsi="仿宋" w:eastAsia="仿宋" w:cs="仿宋"/>
                <w:snapToGrid w:val="0"/>
                <w:kern w:val="2"/>
                <w:sz w:val="24"/>
                <w:szCs w:val="24"/>
                <w:lang w:val="en-US" w:eastAsia="zh-CN" w:bidi="ar-SA"/>
              </w:rPr>
              <w:t>每个开放日的</w:t>
            </w:r>
            <w:r>
              <w:rPr>
                <w:rFonts w:hint="eastAsia" w:ascii="仿宋" w:hAnsi="仿宋" w:eastAsia="仿宋" w:cs="仿宋"/>
                <w:kern w:val="2"/>
                <w:sz w:val="24"/>
                <w:szCs w:val="24"/>
                <w:lang w:val="en-US" w:eastAsia="zh-CN" w:bidi="ar-SA"/>
              </w:rPr>
              <w:t>开放时间不少于12小时</w:t>
            </w:r>
          </w:p>
          <w:p w14:paraId="746444DE">
            <w:pPr>
              <w:widowControl/>
              <w:numPr>
                <w:ilvl w:val="0"/>
                <w:numId w:val="0"/>
              </w:numPr>
              <w:snapToGrid/>
              <w:spacing w:before="0" w:beforeLines="0" w:after="0" w:afterLines="0" w:line="240" w:lineRule="auto"/>
              <w:ind w:left="420" w:leftChars="0" w:hanging="420" w:firstLineChars="0"/>
              <w:jc w:val="left"/>
              <w:outlineLvl w:val="9"/>
              <w:rPr>
                <w:rFonts w:ascii="仿宋" w:hAnsi="仿宋" w:eastAsia="仿宋" w:cs="仿宋"/>
                <w:kern w:val="2"/>
                <w:sz w:val="24"/>
                <w:szCs w:val="24"/>
                <w:lang w:val="en-US" w:eastAsia="zh-CN" w:bidi="ar-SA"/>
              </w:rPr>
            </w:pPr>
            <w:r>
              <w:rPr>
                <w:rFonts w:hint="default" w:ascii="Wingdings" w:hAnsi="Wingdings" w:eastAsia="仿宋" w:cs="仿宋"/>
                <w:kern w:val="2"/>
                <w:sz w:val="24"/>
                <w:szCs w:val="24"/>
                <w:lang w:val="en-US" w:eastAsia="zh-CN" w:bidi="ar-SA"/>
              </w:rPr>
              <w:t></w:t>
            </w:r>
            <w:r>
              <w:rPr>
                <w:rFonts w:hint="eastAsia" w:ascii="仿宋" w:hAnsi="仿宋" w:eastAsia="仿宋" w:cs="仿宋"/>
                <w:kern w:val="2"/>
                <w:sz w:val="24"/>
                <w:szCs w:val="24"/>
                <w:lang w:val="en-US" w:eastAsia="zh-CN" w:bidi="ar-SA"/>
              </w:rPr>
              <w:t>父亲节免费向带儿童的父亲开放</w:t>
            </w:r>
          </w:p>
          <w:p w14:paraId="57BF5A77">
            <w:pPr>
              <w:widowControl/>
              <w:numPr>
                <w:ilvl w:val="0"/>
                <w:numId w:val="0"/>
              </w:numPr>
              <w:snapToGrid/>
              <w:spacing w:before="0" w:beforeLines="0" w:after="0" w:afterLines="0" w:line="240" w:lineRule="auto"/>
              <w:ind w:left="420" w:leftChars="0" w:hanging="420" w:firstLineChars="0"/>
              <w:jc w:val="left"/>
              <w:outlineLvl w:val="9"/>
              <w:rPr>
                <w:rFonts w:ascii="仿宋" w:hAnsi="仿宋" w:eastAsia="仿宋" w:cs="仿宋"/>
                <w:kern w:val="0"/>
                <w:sz w:val="24"/>
                <w:szCs w:val="24"/>
                <w:lang w:val="en-US" w:eastAsia="zh-CN" w:bidi="ar-SA"/>
              </w:rPr>
            </w:pPr>
            <w:r>
              <w:rPr>
                <w:rFonts w:hint="default" w:ascii="Wingdings" w:hAnsi="Wingdings" w:eastAsia="仿宋" w:cs="仿宋"/>
                <w:kern w:val="0"/>
                <w:sz w:val="24"/>
                <w:szCs w:val="24"/>
                <w:lang w:val="en-US" w:eastAsia="zh-CN" w:bidi="ar-SA"/>
              </w:rPr>
              <w:t></w:t>
            </w:r>
            <w:r>
              <w:rPr>
                <w:rFonts w:hint="eastAsia" w:ascii="仿宋" w:hAnsi="仿宋" w:eastAsia="仿宋" w:cs="仿宋"/>
                <w:kern w:val="2"/>
                <w:sz w:val="24"/>
                <w:szCs w:val="24"/>
                <w:lang w:val="en-US" w:eastAsia="zh-CN" w:bidi="ar-SA"/>
              </w:rPr>
              <w:t>母亲节免费向带儿童的母亲开放</w:t>
            </w:r>
          </w:p>
          <w:p w14:paraId="3D5C13A8">
            <w:pPr>
              <w:widowControl/>
              <w:numPr>
                <w:ilvl w:val="0"/>
                <w:numId w:val="0"/>
              </w:numPr>
              <w:snapToGrid/>
              <w:spacing w:before="0" w:beforeLines="0" w:after="0" w:afterLines="0" w:line="240" w:lineRule="auto"/>
              <w:ind w:left="420" w:leftChars="0" w:hanging="420" w:firstLineChars="0"/>
              <w:jc w:val="left"/>
              <w:outlineLvl w:val="9"/>
              <w:rPr>
                <w:rFonts w:ascii="仿宋" w:hAnsi="仿宋" w:eastAsia="仿宋" w:cs="仿宋"/>
                <w:kern w:val="0"/>
                <w:sz w:val="24"/>
                <w:szCs w:val="24"/>
                <w:lang w:val="en-US" w:eastAsia="zh-CN" w:bidi="ar-SA"/>
              </w:rPr>
            </w:pPr>
            <w:r>
              <w:rPr>
                <w:rFonts w:hint="default" w:ascii="Wingdings" w:hAnsi="Wingdings" w:eastAsia="仿宋" w:cs="仿宋"/>
                <w:kern w:val="0"/>
                <w:sz w:val="24"/>
                <w:szCs w:val="24"/>
                <w:lang w:val="en-US" w:eastAsia="zh-CN" w:bidi="ar-SA"/>
              </w:rPr>
              <w:t></w:t>
            </w:r>
            <w:r>
              <w:rPr>
                <w:rFonts w:ascii="仿宋" w:hAnsi="仿宋" w:eastAsia="仿宋" w:cs="仿宋"/>
                <w:kern w:val="0"/>
                <w:sz w:val="24"/>
                <w:szCs w:val="24"/>
                <w:lang w:val="en-US" w:eastAsia="zh-CN" w:bidi="ar-SA"/>
              </w:rPr>
              <w:t>儿童节对特定对象</w:t>
            </w:r>
            <w:r>
              <w:rPr>
                <w:rFonts w:hint="eastAsia" w:ascii="仿宋" w:hAnsi="仿宋" w:eastAsia="仿宋" w:cs="仿宋"/>
                <w:kern w:val="0"/>
                <w:sz w:val="24"/>
                <w:szCs w:val="24"/>
                <w:lang w:val="en-US" w:eastAsia="zh-CN" w:bidi="ar-SA"/>
              </w:rPr>
              <w:t>发放有限数量免费票</w:t>
            </w:r>
          </w:p>
        </w:tc>
      </w:tr>
    </w:tbl>
    <w:p w14:paraId="729391C7">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632" w:name="_Toc23337"/>
      <w:r>
        <w:rPr>
          <w:rFonts w:hint="eastAsia" w:ascii="仿宋" w:hAnsi="仿宋" w:eastAsia="仿宋" w:cs="Times New Roman"/>
          <w:b/>
          <w:kern w:val="2"/>
          <w:sz w:val="30"/>
          <w:szCs w:val="30"/>
          <w:lang w:val="en-US" w:eastAsia="zh-CN" w:bidi="ar-SA"/>
        </w:rPr>
        <w:t>其他安排</w:t>
      </w:r>
      <w:bookmarkEnd w:id="632"/>
    </w:p>
    <w:p w14:paraId="44D0E91E">
      <w:pPr>
        <w:snapToGrid w:val="0"/>
        <w:spacing w:before="190" w:beforeLines="50" w:after="190" w:afterLines="50" w:line="560" w:lineRule="exact"/>
        <w:ind w:firstLine="560" w:firstLineChars="200"/>
        <w:outlineLvl w:val="9"/>
        <w:rPr>
          <w:rFonts w:ascii="黑体" w:hAnsi="黑体" w:eastAsia="黑体" w:cs="Times New Roman"/>
          <w:sz w:val="32"/>
          <w:szCs w:val="32"/>
        </w:rPr>
      </w:pPr>
      <w:r>
        <w:rPr>
          <w:rFonts w:hint="eastAsia" w:ascii="Times New Roman" w:hAnsi="Times New Roman" w:eastAsia="仿宋" w:cs="Times New Roman"/>
          <w:sz w:val="28"/>
          <w:szCs w:val="28"/>
        </w:rPr>
        <w:t>因大修重置（更换）机动游戏设施，需要关闭活动区部分或全部区域的，由双方根据大修重置（更换）需要另行协商关闭时长及相关安排，并提前1</w:t>
      </w:r>
      <w:r>
        <w:rPr>
          <w:rFonts w:ascii="Times New Roman" w:hAnsi="Times New Roman" w:eastAsia="仿宋" w:cs="Times New Roman"/>
          <w:sz w:val="28"/>
          <w:szCs w:val="28"/>
        </w:rPr>
        <w:t>5</w:t>
      </w:r>
      <w:r>
        <w:rPr>
          <w:rFonts w:hint="eastAsia" w:ascii="Times New Roman" w:hAnsi="Times New Roman" w:eastAsia="仿宋" w:cs="Times New Roman"/>
          <w:sz w:val="28"/>
          <w:szCs w:val="28"/>
        </w:rPr>
        <w:t>日向公众公示。</w:t>
      </w:r>
    </w:p>
    <w:p w14:paraId="056079CC">
      <w:pPr>
        <w:snapToGrid w:val="0"/>
        <w:spacing w:before="190" w:beforeLines="50" w:after="190" w:afterLines="50" w:line="360" w:lineRule="auto"/>
        <w:ind w:firstLine="560" w:firstLineChars="200"/>
        <w:outlineLvl w:val="9"/>
        <w:rPr>
          <w:rFonts w:ascii="Times New Roman" w:hAnsi="Times New Roman" w:eastAsia="仿宋" w:cs="Times New Roman"/>
          <w:sz w:val="28"/>
          <w:szCs w:val="28"/>
        </w:rPr>
      </w:pPr>
      <w:bookmarkStart w:id="633" w:name="_Toc10265"/>
      <w:bookmarkStart w:id="634" w:name="_Toc45811812"/>
      <w:bookmarkStart w:id="635" w:name="_Toc608"/>
    </w:p>
    <w:p w14:paraId="4280A726">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636" w:name="_Toc29069"/>
      <w:bookmarkStart w:id="637" w:name="_Toc12201"/>
      <w:bookmarkStart w:id="638" w:name="_Toc22208"/>
      <w:bookmarkStart w:id="639" w:name="_Toc28600"/>
      <w:bookmarkStart w:id="640" w:name="_Toc31649"/>
      <w:r>
        <w:rPr>
          <w:rFonts w:hint="eastAsia" w:ascii="黑体" w:hAnsi="黑体" w:eastAsia="黑体" w:cs="Times New Roman"/>
          <w:kern w:val="2"/>
          <w:sz w:val="32"/>
          <w:szCs w:val="32"/>
          <w:lang w:val="en-US" w:eastAsia="zh-CN" w:bidi="ar-SA"/>
        </w:rPr>
        <w:t>运营管理</w:t>
      </w:r>
      <w:bookmarkEnd w:id="633"/>
      <w:bookmarkEnd w:id="634"/>
      <w:bookmarkEnd w:id="635"/>
      <w:bookmarkEnd w:id="636"/>
      <w:bookmarkEnd w:id="637"/>
      <w:bookmarkEnd w:id="638"/>
      <w:bookmarkEnd w:id="639"/>
      <w:bookmarkEnd w:id="640"/>
    </w:p>
    <w:p w14:paraId="6C245989">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641" w:name="_Toc22155"/>
      <w:bookmarkStart w:id="642" w:name="_Toc21575"/>
      <w:bookmarkStart w:id="643" w:name="_Toc30925"/>
      <w:bookmarkStart w:id="644" w:name="_Toc139"/>
      <w:bookmarkStart w:id="645" w:name="_Toc28434"/>
      <w:bookmarkStart w:id="646" w:name="_Toc14256"/>
      <w:bookmarkStart w:id="647" w:name="_Toc45811813"/>
      <w:bookmarkStart w:id="648" w:name="_Toc23493"/>
      <w:r>
        <w:rPr>
          <w:rFonts w:hint="eastAsia" w:ascii="仿宋" w:hAnsi="仿宋" w:eastAsia="仿宋" w:cs="Times New Roman"/>
          <w:b/>
          <w:kern w:val="2"/>
          <w:sz w:val="30"/>
          <w:szCs w:val="30"/>
          <w:lang w:val="en-US" w:eastAsia="zh-CN" w:bidi="ar-SA"/>
        </w:rPr>
        <w:t>运营管理工作责任</w:t>
      </w:r>
      <w:bookmarkEnd w:id="641"/>
      <w:bookmarkEnd w:id="642"/>
      <w:bookmarkEnd w:id="643"/>
      <w:bookmarkEnd w:id="644"/>
      <w:bookmarkEnd w:id="645"/>
      <w:bookmarkEnd w:id="646"/>
      <w:bookmarkEnd w:id="647"/>
      <w:bookmarkEnd w:id="648"/>
    </w:p>
    <w:p w14:paraId="729E6116">
      <w:pPr>
        <w:snapToGrid w:val="0"/>
        <w:spacing w:before="190" w:beforeLines="50" w:after="190" w:afterLines="50" w:line="560" w:lineRule="exact"/>
        <w:ind w:firstLine="560" w:firstLineChars="200"/>
        <w:outlineLvl w:val="9"/>
        <w:rPr>
          <w:rFonts w:ascii="仿宋" w:hAnsi="仿宋" w:eastAsia="仿宋" w:cs="仿宋"/>
          <w:color w:val="auto"/>
          <w:sz w:val="28"/>
          <w:szCs w:val="28"/>
        </w:rPr>
      </w:pPr>
      <w:r>
        <w:rPr>
          <w:rFonts w:hint="eastAsia" w:ascii="仿宋" w:hAnsi="仿宋" w:eastAsia="仿宋" w:cs="仿宋"/>
          <w:sz w:val="28"/>
          <w:szCs w:val="28"/>
        </w:rPr>
        <w:t>动力游戏区内各项运营管</w:t>
      </w:r>
      <w:r>
        <w:rPr>
          <w:rFonts w:hint="eastAsia" w:ascii="仿宋" w:hAnsi="仿宋" w:eastAsia="仿宋" w:cs="仿宋"/>
          <w:color w:val="auto"/>
          <w:sz w:val="28"/>
          <w:szCs w:val="28"/>
        </w:rPr>
        <w:t>理工作责任由乙方承担，包括但不限于：</w:t>
      </w:r>
    </w:p>
    <w:p w14:paraId="70D3D8CE">
      <w:pPr>
        <w:widowControl w:val="0"/>
        <w:numPr>
          <w:ilvl w:val="4"/>
          <w:numId w:val="5"/>
        </w:numPr>
        <w:kinsoku w:val="0"/>
        <w:overflowPunct w:val="0"/>
        <w:snapToGrid w:val="0"/>
        <w:spacing w:before="190" w:beforeLines="50" w:after="190" w:afterLines="50" w:line="560" w:lineRule="exact"/>
        <w:ind w:left="0" w:firstLine="560" w:firstLineChars="200"/>
        <w:jc w:val="left"/>
        <w:outlineLvl w:val="9"/>
        <w:rPr>
          <w:rFonts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按照</w:t>
      </w:r>
      <w:r>
        <w:rPr>
          <w:rFonts w:hint="eastAsia" w:ascii="等线 Light" w:hAnsi="等线 Light" w:eastAsia="仿宋" w:cs="Times New Roman"/>
          <w:b w:val="0"/>
          <w:bCs/>
          <w:color w:val="auto"/>
          <w:kern w:val="2"/>
          <w:sz w:val="28"/>
          <w:szCs w:val="28"/>
          <w:lang w:val="en-US" w:eastAsia="zh-CN" w:bidi="ar-SA"/>
        </w:rPr>
        <w:t>现行法律法规的规范要求</w:t>
      </w:r>
      <w:r>
        <w:rPr>
          <w:rFonts w:ascii="仿宋" w:hAnsi="仿宋" w:eastAsia="仿宋" w:cs="仿宋"/>
          <w:b w:val="0"/>
          <w:bCs/>
          <w:color w:val="auto"/>
          <w:kern w:val="2"/>
          <w:sz w:val="28"/>
          <w:szCs w:val="28"/>
          <w:lang w:val="en-US" w:eastAsia="zh-CN" w:bidi="ar-SA"/>
        </w:rPr>
        <w:t>，运营管理机动游戏设施。</w:t>
      </w:r>
    </w:p>
    <w:p w14:paraId="129A3A67">
      <w:pPr>
        <w:widowControl w:val="0"/>
        <w:numPr>
          <w:ilvl w:val="4"/>
          <w:numId w:val="5"/>
        </w:numPr>
        <w:kinsoku w:val="0"/>
        <w:overflowPunct w:val="0"/>
        <w:snapToGrid w:val="0"/>
        <w:spacing w:before="190" w:beforeLines="50" w:after="190" w:afterLines="50" w:line="560" w:lineRule="exact"/>
        <w:ind w:left="0" w:firstLine="560" w:firstLineChars="200"/>
        <w:jc w:val="left"/>
        <w:outlineLvl w:val="9"/>
        <w:rPr>
          <w:rFonts w:ascii="仿宋" w:hAnsi="仿宋" w:eastAsia="仿宋" w:cs="仿宋"/>
          <w:b w:val="0"/>
          <w:bCs/>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按照《综合公园管养维护要求</w:t>
      </w:r>
      <w:r>
        <w:rPr>
          <w:rFonts w:hint="eastAsia" w:ascii="仿宋" w:hAnsi="仿宋" w:eastAsia="仿宋" w:cs="仿宋"/>
          <w:b w:val="0"/>
          <w:bCs/>
          <w:kern w:val="2"/>
          <w:sz w:val="28"/>
          <w:szCs w:val="28"/>
          <w:lang w:val="en-US" w:eastAsia="zh-CN" w:bidi="ar-SA"/>
        </w:rPr>
        <w:t>》（SZDB/Z 81—2013）、《公园园容绿化管理规范》（SZDB/Z 205—2016）等相关规范要求，履行动力游戏区内的园容卫生、设施维护、安全管理等。</w:t>
      </w:r>
    </w:p>
    <w:p w14:paraId="56EE3A83">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组织落实本合同有关对外开放的约定。</w:t>
      </w:r>
    </w:p>
    <w:p w14:paraId="36769B86">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仿宋" w:hAnsi="仿宋" w:eastAsia="仿宋" w:cs="仿宋"/>
          <w:b w:val="0"/>
          <w:bCs/>
          <w:kern w:val="2"/>
          <w:sz w:val="28"/>
          <w:szCs w:val="28"/>
          <w:lang w:val="en-US" w:eastAsia="zh-CN" w:bidi="ar-SA"/>
        </w:rPr>
        <w:t>本合同约定或适用法律规定的其他工作</w:t>
      </w:r>
      <w:r>
        <w:rPr>
          <w:rFonts w:hint="eastAsia" w:ascii="等线 Light" w:hAnsi="等线 Light" w:eastAsia="仿宋" w:cs="Times New Roman"/>
          <w:b w:val="0"/>
          <w:bCs/>
          <w:kern w:val="2"/>
          <w:sz w:val="28"/>
          <w:szCs w:val="28"/>
          <w:lang w:val="en-US" w:eastAsia="zh-CN" w:bidi="ar-SA"/>
        </w:rPr>
        <w:t>。</w:t>
      </w:r>
    </w:p>
    <w:p w14:paraId="58EB0793">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649" w:name="_Toc10052"/>
      <w:bookmarkStart w:id="650" w:name="_Toc3537"/>
      <w:bookmarkStart w:id="651" w:name="_Toc8185"/>
      <w:bookmarkStart w:id="652" w:name="_Toc13862"/>
      <w:bookmarkStart w:id="653" w:name="_Toc3318"/>
      <w:bookmarkStart w:id="654" w:name="_Toc45811814"/>
      <w:bookmarkStart w:id="655" w:name="_Toc29298"/>
      <w:bookmarkStart w:id="656" w:name="_Toc1365"/>
      <w:r>
        <w:rPr>
          <w:rFonts w:hint="eastAsia" w:ascii="仿宋" w:hAnsi="仿宋" w:eastAsia="仿宋" w:cs="Times New Roman"/>
          <w:b/>
          <w:kern w:val="2"/>
          <w:sz w:val="30"/>
          <w:szCs w:val="30"/>
          <w:lang w:val="en-US" w:eastAsia="zh-CN" w:bidi="ar-SA"/>
        </w:rPr>
        <w:t>费用承担</w:t>
      </w:r>
      <w:bookmarkEnd w:id="649"/>
      <w:bookmarkEnd w:id="650"/>
      <w:bookmarkEnd w:id="651"/>
      <w:bookmarkEnd w:id="652"/>
      <w:bookmarkEnd w:id="653"/>
      <w:bookmarkEnd w:id="654"/>
      <w:bookmarkEnd w:id="655"/>
      <w:bookmarkEnd w:id="656"/>
    </w:p>
    <w:p w14:paraId="28502EAB">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动力游戏区内产生的各项运营管理费用均由乙方承担，包括但不限于保洁费用、安全管理费用、水电能耗费用、设施设备运营维护及大修重置（更换）费用等。</w:t>
      </w:r>
    </w:p>
    <w:p w14:paraId="33C818BD">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657" w:name="_Toc21272"/>
      <w:bookmarkStart w:id="658" w:name="_Toc16179"/>
      <w:bookmarkStart w:id="659" w:name="_Toc45811815"/>
      <w:bookmarkStart w:id="660" w:name="_Toc20332"/>
      <w:bookmarkStart w:id="661" w:name="_Toc12937"/>
      <w:bookmarkStart w:id="662" w:name="_Toc2880"/>
      <w:bookmarkStart w:id="663" w:name="_Toc6327"/>
      <w:bookmarkStart w:id="664" w:name="_Toc15263"/>
      <w:bookmarkStart w:id="665" w:name="_Hlk43198886"/>
      <w:r>
        <w:rPr>
          <w:rFonts w:hint="eastAsia" w:ascii="仿宋" w:hAnsi="仿宋" w:eastAsia="仿宋" w:cs="Times New Roman"/>
          <w:b/>
          <w:kern w:val="2"/>
          <w:sz w:val="30"/>
          <w:szCs w:val="30"/>
          <w:lang w:val="en-US" w:eastAsia="zh-CN" w:bidi="ar-SA"/>
        </w:rPr>
        <w:t>收入归属</w:t>
      </w:r>
      <w:bookmarkEnd w:id="657"/>
      <w:bookmarkEnd w:id="658"/>
      <w:bookmarkEnd w:id="659"/>
      <w:bookmarkEnd w:id="660"/>
      <w:bookmarkEnd w:id="661"/>
      <w:bookmarkEnd w:id="662"/>
      <w:bookmarkEnd w:id="663"/>
      <w:bookmarkEnd w:id="664"/>
    </w:p>
    <w:p w14:paraId="6D58E300">
      <w:pPr>
        <w:widowControl w:val="0"/>
        <w:numPr>
          <w:ilvl w:val="3"/>
          <w:numId w:val="0"/>
        </w:numPr>
        <w:kinsoku w:val="0"/>
        <w:overflowPunct w:val="0"/>
        <w:snapToGrid w:val="0"/>
        <w:spacing w:before="190" w:beforeLines="50" w:after="190" w:afterLines="50" w:line="560" w:lineRule="exact"/>
        <w:ind w:left="0" w:firstLine="560" w:firstLineChars="200"/>
        <w:jc w:val="both"/>
        <w:outlineLvl w:val="9"/>
        <w:rPr>
          <w:rFonts w:hint="eastAsia" w:ascii="Times New Roman" w:hAnsi="Times New Roman" w:eastAsia="仿宋" w:cs="Times New Roman"/>
          <w:bCs w:val="0"/>
          <w:kern w:val="2"/>
          <w:sz w:val="28"/>
          <w:szCs w:val="28"/>
          <w:lang w:val="en-US" w:eastAsia="zh-CN" w:bidi="ar-SA"/>
        </w:rPr>
      </w:pPr>
      <w:r>
        <w:rPr>
          <w:rFonts w:hint="eastAsia" w:ascii="Times New Roman" w:hAnsi="Times New Roman" w:eastAsia="仿宋" w:cs="Times New Roman"/>
          <w:bCs w:val="0"/>
          <w:kern w:val="2"/>
          <w:sz w:val="28"/>
          <w:szCs w:val="28"/>
          <w:lang w:val="en-US" w:eastAsia="zh-CN" w:bidi="ar-SA"/>
        </w:rPr>
        <w:t>乙方在保持项目公益属性不变的前提下自主经营，乙方投资的游乐设备的经营收入，除甲方分成</w:t>
      </w:r>
      <w:r>
        <w:rPr>
          <w:rFonts w:hint="eastAsia" w:ascii="仿宋" w:hAnsi="仿宋" w:eastAsia="仿宋" w:cs="仿宋"/>
          <w:bCs/>
          <w:spacing w:val="-1"/>
          <w:kern w:val="2"/>
          <w:sz w:val="28"/>
          <w:szCs w:val="28"/>
          <w:highlight w:val="yellow"/>
          <w:lang w:val="en-US" w:eastAsia="zh-CN" w:bidi="ar-SA"/>
        </w:rPr>
        <w:t>5</w:t>
      </w:r>
      <w:r>
        <w:rPr>
          <w:rFonts w:ascii="仿宋" w:hAnsi="仿宋" w:eastAsia="仿宋" w:cs="仿宋"/>
          <w:bCs/>
          <w:spacing w:val="-1"/>
          <w:kern w:val="2"/>
          <w:sz w:val="28"/>
          <w:szCs w:val="28"/>
          <w:highlight w:val="yellow"/>
          <w:lang w:val="en-US" w:eastAsia="zh-CN" w:bidi="ar-SA"/>
        </w:rPr>
        <w:t>%</w:t>
      </w:r>
      <w:r>
        <w:rPr>
          <w:rFonts w:hint="eastAsia" w:ascii="仿宋" w:hAnsi="仿宋" w:eastAsia="仿宋" w:cs="仿宋"/>
          <w:bCs/>
          <w:spacing w:val="-1"/>
          <w:kern w:val="2"/>
          <w:sz w:val="28"/>
          <w:szCs w:val="28"/>
          <w:highlight w:val="yellow"/>
          <w:lang w:val="en-US" w:eastAsia="zh-CN" w:bidi="ar-SA"/>
        </w:rPr>
        <w:t>（最终分成比例以供应商中标报价的比例为准）</w:t>
      </w:r>
      <w:r>
        <w:rPr>
          <w:rFonts w:hint="eastAsia" w:ascii="Times New Roman" w:hAnsi="Times New Roman" w:eastAsia="仿宋" w:cs="Times New Roman"/>
          <w:bCs w:val="0"/>
          <w:kern w:val="2"/>
          <w:sz w:val="28"/>
          <w:szCs w:val="28"/>
          <w:lang w:val="en-US" w:eastAsia="zh-CN" w:bidi="ar-SA"/>
        </w:rPr>
        <w:t>以外，全部归乙方所有。</w:t>
      </w:r>
    </w:p>
    <w:p w14:paraId="5B9C5E28">
      <w:pPr>
        <w:widowControl w:val="0"/>
        <w:numPr>
          <w:ilvl w:val="3"/>
          <w:numId w:val="0"/>
        </w:numPr>
        <w:kinsoku w:val="0"/>
        <w:overflowPunct w:val="0"/>
        <w:snapToGrid w:val="0"/>
        <w:spacing w:before="190" w:beforeLines="50" w:after="190" w:afterLines="50" w:line="560" w:lineRule="exact"/>
        <w:ind w:left="0" w:firstLine="560" w:firstLineChars="200"/>
        <w:jc w:val="both"/>
        <w:outlineLvl w:val="9"/>
        <w:rPr>
          <w:rFonts w:ascii="Times New Roman" w:hAnsi="Times New Roman" w:eastAsia="仿宋" w:cs="Times New Roman"/>
          <w:bCs w:val="0"/>
          <w:kern w:val="2"/>
          <w:sz w:val="28"/>
          <w:szCs w:val="28"/>
          <w:lang w:val="en-US" w:eastAsia="zh-CN" w:bidi="ar-SA"/>
        </w:rPr>
      </w:pPr>
      <w:r>
        <w:rPr>
          <w:rFonts w:hint="eastAsia" w:ascii="Times New Roman" w:hAnsi="Times New Roman" w:eastAsia="仿宋" w:cs="Times New Roman"/>
          <w:bCs w:val="0"/>
          <w:kern w:val="2"/>
          <w:sz w:val="28"/>
          <w:szCs w:val="28"/>
          <w:lang w:val="en-US" w:eastAsia="zh-CN" w:bidi="ar-SA"/>
        </w:rPr>
        <w:t>乙方应无条件配合甲方对营业收入监管的相关管理措施，提供真实有效的报告及数据，若存在虚假报送或瞒报、漏报，甲方有权立即终止项目，且向乙方追偿相应损失。</w:t>
      </w:r>
    </w:p>
    <w:p w14:paraId="0A0748A4">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666" w:name="_Toc893"/>
      <w:bookmarkStart w:id="667" w:name="_Toc4742"/>
      <w:bookmarkStart w:id="668" w:name="_Toc23279"/>
      <w:bookmarkStart w:id="669" w:name="_Toc8448"/>
      <w:bookmarkStart w:id="670" w:name="_Toc17860"/>
      <w:bookmarkStart w:id="671" w:name="_Toc9879"/>
      <w:bookmarkStart w:id="672" w:name="_Toc45811816"/>
      <w:bookmarkStart w:id="673" w:name="_Toc30784"/>
      <w:r>
        <w:rPr>
          <w:rFonts w:hint="eastAsia" w:ascii="仿宋" w:hAnsi="仿宋" w:eastAsia="仿宋" w:cs="Times New Roman"/>
          <w:b/>
          <w:kern w:val="2"/>
          <w:sz w:val="30"/>
          <w:szCs w:val="30"/>
          <w:lang w:val="en-US" w:eastAsia="zh-CN" w:bidi="ar-SA"/>
        </w:rPr>
        <w:t>动力游戏区维护要求</w:t>
      </w:r>
      <w:bookmarkEnd w:id="666"/>
      <w:bookmarkEnd w:id="667"/>
      <w:bookmarkEnd w:id="668"/>
      <w:bookmarkEnd w:id="669"/>
      <w:bookmarkEnd w:id="670"/>
      <w:bookmarkEnd w:id="671"/>
      <w:bookmarkEnd w:id="672"/>
      <w:bookmarkEnd w:id="673"/>
    </w:p>
    <w:bookmarkEnd w:id="665"/>
    <w:p w14:paraId="5856276D">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动力游戏区的维护执行相关适用法律法规及深圳市地方性标准化指导性技术文件的规定，具体包括但不限于：</w:t>
      </w:r>
    </w:p>
    <w:p w14:paraId="1FC7D96A">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674" w:name="_Toc14632"/>
      <w:r>
        <w:rPr>
          <w:rFonts w:hint="eastAsia" w:ascii="仿宋" w:hAnsi="仿宋" w:eastAsia="仿宋" w:cs="Times New Roman"/>
          <w:b/>
          <w:kern w:val="2"/>
          <w:sz w:val="30"/>
          <w:szCs w:val="30"/>
          <w:lang w:val="en-US" w:eastAsia="zh-CN" w:bidi="ar-SA"/>
        </w:rPr>
        <w:t>保洁</w:t>
      </w:r>
      <w:bookmarkEnd w:id="674"/>
    </w:p>
    <w:p w14:paraId="4E578110">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仿宋" w:hAnsi="仿宋" w:eastAsia="仿宋" w:cs="仿宋"/>
          <w:sz w:val="28"/>
          <w:szCs w:val="28"/>
        </w:rPr>
        <w:t>乙方应当按照</w:t>
      </w:r>
      <w:r>
        <w:rPr>
          <w:rFonts w:hint="eastAsia" w:ascii="Times New Roman" w:hAnsi="Times New Roman" w:eastAsia="仿宋" w:cs="Times New Roman"/>
          <w:sz w:val="28"/>
          <w:szCs w:val="28"/>
        </w:rPr>
        <w:t>现行法律法规的规范要求</w:t>
      </w:r>
      <w:r>
        <w:rPr>
          <w:rFonts w:hint="eastAsia" w:ascii="仿宋" w:hAnsi="仿宋" w:eastAsia="仿宋" w:cs="仿宋"/>
          <w:sz w:val="28"/>
          <w:szCs w:val="28"/>
        </w:rPr>
        <w:t>执行动力游戏区相关的保洁工作。</w:t>
      </w:r>
    </w:p>
    <w:p w14:paraId="0133760E">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675" w:name="_Toc5618"/>
      <w:r>
        <w:rPr>
          <w:rFonts w:hint="eastAsia" w:ascii="仿宋" w:hAnsi="仿宋" w:eastAsia="仿宋" w:cs="Times New Roman"/>
          <w:b/>
          <w:kern w:val="2"/>
          <w:sz w:val="30"/>
          <w:szCs w:val="30"/>
          <w:lang w:val="en-US" w:eastAsia="zh-CN" w:bidi="ar-SA"/>
        </w:rPr>
        <w:t>安全管理</w:t>
      </w:r>
      <w:bookmarkEnd w:id="675"/>
    </w:p>
    <w:p w14:paraId="49398A22">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安全管理责任</w:t>
      </w:r>
    </w:p>
    <w:p w14:paraId="253CDF17">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乙方承担动力游戏区全部的安全管理责任，包括游人安全、作业安全、防灾避险等。</w:t>
      </w:r>
    </w:p>
    <w:p w14:paraId="0F981DE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_GB2312" w:hAnsi="仿宋_GB2312" w:eastAsia="仿宋_GB2312" w:cs="仿宋_GB2312"/>
          <w:b w:val="0"/>
          <w:bCs w:val="0"/>
          <w:sz w:val="28"/>
          <w:szCs w:val="36"/>
          <w:highlight w:val="none"/>
          <w:lang w:val="en-US" w:eastAsia="zh-CN"/>
        </w:rPr>
      </w:pPr>
      <w:r>
        <w:rPr>
          <w:rFonts w:hint="eastAsia" w:ascii="仿宋_GB2312" w:hAnsi="仿宋_GB2312" w:eastAsia="仿宋_GB2312" w:cs="仿宋_GB2312"/>
          <w:b w:val="0"/>
          <w:bCs w:val="0"/>
          <w:sz w:val="28"/>
          <w:szCs w:val="36"/>
          <w:highlight w:val="none"/>
          <w:lang w:val="en-US" w:eastAsia="zh-CN"/>
        </w:rPr>
        <w:t>乙方未落实安全责任制度导致安全事故发生，应承担如下违约责任：</w:t>
      </w:r>
    </w:p>
    <w:p w14:paraId="77346D1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_GB2312" w:hAnsi="仿宋_GB2312" w:eastAsia="仿宋_GB2312" w:cs="仿宋_GB2312"/>
          <w:b w:val="0"/>
          <w:bCs w:val="0"/>
          <w:sz w:val="28"/>
          <w:szCs w:val="36"/>
          <w:highlight w:val="none"/>
          <w:lang w:val="en-US" w:eastAsia="zh-CN"/>
        </w:rPr>
      </w:pPr>
      <w:r>
        <w:rPr>
          <w:rFonts w:hint="eastAsia" w:ascii="仿宋_GB2312" w:hAnsi="仿宋_GB2312" w:eastAsia="仿宋_GB2312" w:cs="仿宋_GB2312"/>
          <w:b w:val="0"/>
          <w:bCs w:val="0"/>
          <w:sz w:val="28"/>
          <w:szCs w:val="36"/>
          <w:highlight w:val="none"/>
          <w:lang w:val="en-US" w:eastAsia="zh-CN"/>
        </w:rPr>
        <w:t>（1）事故后果较轻的（指造成轻伤一至二人，或者直接经济损失二十万元以下，及其他后果较轻的情形），运营商应承担全部责任与费用以及因此而造成的所有损失，并按项目投资额的2%向招标方支付违约金。</w:t>
      </w:r>
    </w:p>
    <w:p w14:paraId="16719AE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_GB2312" w:hAnsi="仿宋_GB2312" w:eastAsia="仿宋_GB2312" w:cs="仿宋_GB2312"/>
          <w:b w:val="0"/>
          <w:bCs w:val="0"/>
          <w:sz w:val="28"/>
          <w:szCs w:val="36"/>
          <w:highlight w:val="none"/>
          <w:lang w:val="en-US" w:eastAsia="zh-CN"/>
        </w:rPr>
      </w:pPr>
      <w:r>
        <w:rPr>
          <w:rFonts w:hint="eastAsia" w:ascii="仿宋_GB2312" w:hAnsi="仿宋_GB2312" w:eastAsia="仿宋_GB2312" w:cs="仿宋_GB2312"/>
          <w:b w:val="0"/>
          <w:bCs w:val="0"/>
          <w:sz w:val="28"/>
          <w:szCs w:val="36"/>
          <w:highlight w:val="none"/>
          <w:lang w:val="en-US" w:eastAsia="zh-CN"/>
        </w:rPr>
        <w:t>（2）事故后果较重的（指造成重伤一至二人或轻伤三人以上（含三人）五人以下，或者直接经济损失二十万元以上五十万元以下，及其他后果较重的情形），运营商应承担全部责任与费用以及因此而造成的所有损失，并按项目投资额的5%向招标方支付违约金。</w:t>
      </w:r>
    </w:p>
    <w:p w14:paraId="4EE8B59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_GB2312" w:hAnsi="仿宋_GB2312" w:eastAsia="仿宋_GB2312" w:cs="仿宋_GB2312"/>
          <w:b w:val="0"/>
          <w:bCs w:val="0"/>
          <w:sz w:val="28"/>
          <w:szCs w:val="36"/>
          <w:highlight w:val="none"/>
          <w:lang w:val="en-US" w:eastAsia="zh-CN"/>
        </w:rPr>
      </w:pPr>
      <w:r>
        <w:rPr>
          <w:rFonts w:hint="eastAsia" w:ascii="仿宋_GB2312" w:hAnsi="仿宋_GB2312" w:eastAsia="仿宋_GB2312" w:cs="仿宋_GB2312"/>
          <w:b w:val="0"/>
          <w:bCs w:val="0"/>
          <w:sz w:val="28"/>
          <w:szCs w:val="36"/>
          <w:highlight w:val="none"/>
          <w:lang w:val="en-US" w:eastAsia="zh-CN"/>
        </w:rPr>
        <w:t>（3）事故后果严重的（指造成死亡一至二人或者重伤三人以上（含三人）五人以下或者轻伤五人以上（含五人）十人以下，或者直接经济损失五十万元以上（含五十万）三百万元以下，及其他严重后果的情形），运营商应承担全部责任与费用以及因此而造成的所有损失，并按项目投资额的10%向招标方支付违约金，同时招标方有权单方解除合同且不承担任何责任和费用。</w:t>
      </w:r>
    </w:p>
    <w:p w14:paraId="2134D45D">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仿宋_GB2312" w:hAnsi="仿宋_GB2312" w:eastAsia="仿宋_GB2312" w:cs="仿宋_GB2312"/>
          <w:b w:val="0"/>
          <w:bCs w:val="0"/>
          <w:sz w:val="28"/>
          <w:szCs w:val="36"/>
          <w:highlight w:val="none"/>
          <w:lang w:val="en-US" w:eastAsia="zh-CN"/>
        </w:rPr>
        <w:t>（4）事故后果特别严重的（指造成死亡三人以上或者重伤五人以上（含五人）或轻伤十人以上（含十人），或者造成直接经济损失三百万元以上，及其他后果特别严重的情形），运营商应承担全部责任与费用以及因此而造成的所有损失，并按项目投资额的20%向招标方支付违约金，同时招标方有权单方解除合同而不承担任何责任和费用。</w:t>
      </w:r>
    </w:p>
    <w:p w14:paraId="604F45B6">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安全管理方案</w:t>
      </w:r>
    </w:p>
    <w:p w14:paraId="59FFB7AE">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乙方应当在开始运营日前根据安全运营的需要制定完善的运营制度、安全管理方案、足额配置管理人员等报甲方备案。</w:t>
      </w:r>
    </w:p>
    <w:p w14:paraId="45590F2B">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676" w:name="_Toc15200"/>
      <w:r>
        <w:rPr>
          <w:rFonts w:hint="eastAsia" w:ascii="仿宋" w:hAnsi="仿宋" w:eastAsia="仿宋" w:cs="Times New Roman"/>
          <w:b/>
          <w:kern w:val="2"/>
          <w:sz w:val="30"/>
          <w:szCs w:val="30"/>
          <w:lang w:val="en-US" w:eastAsia="zh-CN" w:bidi="ar-SA"/>
        </w:rPr>
        <w:t>设施维护</w:t>
      </w:r>
      <w:bookmarkEnd w:id="676"/>
    </w:p>
    <w:p w14:paraId="49388C20">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仿宋" w:hAnsi="仿宋" w:eastAsia="仿宋" w:cs="仿宋"/>
          <w:sz w:val="28"/>
          <w:szCs w:val="28"/>
        </w:rPr>
        <w:t>乙方应当根据《综合公园管养维护要求》（SZDB/Z 81—2013）《公园体育游乐设施维护管理规范》（DB4403/T 316—2023）、《游乐设施安全使用管理》（GB/T 30220—2013）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《消防设施通用规范》（GB55036-2022）、《建筑设计防火规范》 GB50016-2014（2018年版）</w:t>
      </w:r>
      <w:r>
        <w:rPr>
          <w:rFonts w:hint="eastAsia" w:ascii="仿宋" w:hAnsi="仿宋" w:eastAsia="仿宋" w:cs="仿宋"/>
          <w:sz w:val="28"/>
          <w:szCs w:val="28"/>
        </w:rPr>
        <w:t>等相关规范的要求，制定设施运营维护计划、编制设施运营维护手册，定期检查、保养、维护动力游戏区内各项设施，包括但不限于动力游戏区内的配套照明设施、机动游戏设施等。合同有效期内，如相关规范、标准更新，或出台更高要求的规范、标准，按届时相关规范、标准执行。</w:t>
      </w:r>
    </w:p>
    <w:p w14:paraId="7787D1E0">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677" w:name="_Toc19445"/>
      <w:bookmarkStart w:id="678" w:name="_Toc45811817"/>
      <w:bookmarkStart w:id="679" w:name="_Toc17340"/>
      <w:bookmarkStart w:id="680" w:name="_Toc14367"/>
      <w:bookmarkStart w:id="681" w:name="_Toc32456"/>
      <w:bookmarkStart w:id="682" w:name="_Toc17929"/>
      <w:bookmarkStart w:id="683" w:name="_Toc20642"/>
      <w:bookmarkStart w:id="684" w:name="_Toc7414"/>
      <w:r>
        <w:rPr>
          <w:rFonts w:hint="eastAsia" w:ascii="仿宋" w:hAnsi="仿宋" w:eastAsia="仿宋" w:cs="Times New Roman"/>
          <w:b/>
          <w:kern w:val="2"/>
          <w:sz w:val="30"/>
          <w:szCs w:val="30"/>
          <w:lang w:val="en-US" w:eastAsia="zh-CN" w:bidi="ar-SA"/>
        </w:rPr>
        <w:t>收费限制</w:t>
      </w:r>
      <w:bookmarkEnd w:id="677"/>
      <w:bookmarkEnd w:id="678"/>
      <w:bookmarkEnd w:id="679"/>
      <w:bookmarkEnd w:id="680"/>
      <w:bookmarkEnd w:id="681"/>
      <w:bookmarkEnd w:id="682"/>
      <w:bookmarkEnd w:id="683"/>
      <w:bookmarkEnd w:id="684"/>
    </w:p>
    <w:p w14:paraId="4CF3FADB">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乙方在动力游戏区内开展经营性活动、向公众收费的，其收费标准应遵守适用法律</w:t>
      </w:r>
      <w:r>
        <w:rPr>
          <w:rFonts w:hint="eastAsia" w:ascii="仿宋_GB2312" w:hAnsi="仿宋_GB2312" w:eastAsia="仿宋_GB2312" w:cs="仿宋_GB2312"/>
          <w:b w:val="0"/>
          <w:bCs w:val="0"/>
          <w:kern w:val="0"/>
          <w:sz w:val="28"/>
          <w:szCs w:val="28"/>
          <w:highlight w:val="none"/>
          <w:lang w:val="en-US" w:eastAsia="zh-CN" w:bidi="zh-CN"/>
        </w:rPr>
        <w:t>（暂定为10元-20元之间），</w:t>
      </w:r>
      <w:r>
        <w:rPr>
          <w:rFonts w:hint="eastAsia" w:ascii="Times New Roman" w:hAnsi="Times New Roman" w:eastAsia="仿宋" w:cs="Times New Roman"/>
          <w:sz w:val="28"/>
          <w:szCs w:val="28"/>
        </w:rPr>
        <w:t>并按照《广东省景区门票及景区内交通运输服务价格管理办法》（粤发改规〔2024〕6号）、《深圳经济特区公园条例》等相关规定执行。适用法律无规定时，由乙方按照“适度盈利、保持公益”的原则确定，并将定价及项目运营情况报甲方备案。乙方必须持续向甲方保持财务透明，甲方有权对项目运作开展财务审计，乙方应予以配合。如甲方认为乙方定价不合理，或乙方定价过高遭到市民投诉，甲方有权要求乙方重新评估定价，甲方有权要求乙方向特定群体给与公益性优惠价格。</w:t>
      </w:r>
    </w:p>
    <w:p w14:paraId="0964693F">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乙方的收费标准需符合公益导向，并应在园区内显著位置公示，针对特定群体的公益性优惠价格标准应一并予以公示。</w:t>
      </w:r>
    </w:p>
    <w:p w14:paraId="55088068">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685" w:name="_Toc29216"/>
      <w:bookmarkStart w:id="686" w:name="_Toc20235"/>
      <w:bookmarkStart w:id="687" w:name="_Toc26420"/>
      <w:bookmarkStart w:id="688" w:name="_Toc1566"/>
      <w:bookmarkStart w:id="689" w:name="_Toc22908"/>
      <w:bookmarkStart w:id="690" w:name="_Toc26015"/>
      <w:bookmarkStart w:id="691" w:name="_Toc5198"/>
      <w:bookmarkStart w:id="692" w:name="_Toc45811819"/>
      <w:r>
        <w:rPr>
          <w:rFonts w:hint="eastAsia" w:ascii="仿宋" w:hAnsi="仿宋" w:eastAsia="仿宋" w:cs="Times New Roman"/>
          <w:b/>
          <w:kern w:val="2"/>
          <w:sz w:val="30"/>
          <w:szCs w:val="30"/>
          <w:lang w:val="en-US" w:eastAsia="zh-CN" w:bidi="ar-SA"/>
        </w:rPr>
        <w:t>服务质量和社会环境影响要求</w:t>
      </w:r>
      <w:bookmarkEnd w:id="685"/>
      <w:bookmarkEnd w:id="686"/>
      <w:bookmarkEnd w:id="687"/>
      <w:bookmarkEnd w:id="688"/>
      <w:bookmarkEnd w:id="689"/>
      <w:bookmarkEnd w:id="690"/>
      <w:bookmarkEnd w:id="691"/>
    </w:p>
    <w:p w14:paraId="029D37D1">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仿宋"/>
          <w:b/>
          <w:kern w:val="2"/>
          <w:sz w:val="27"/>
          <w:szCs w:val="27"/>
          <w:lang w:val="en-US" w:eastAsia="zh-CN" w:bidi="ar-SA"/>
        </w:rPr>
      </w:pPr>
      <w:bookmarkStart w:id="693" w:name="_Toc21131"/>
      <w:r>
        <w:rPr>
          <w:rFonts w:hint="eastAsia" w:ascii="仿宋" w:hAnsi="仿宋" w:eastAsia="仿宋" w:cs="仿宋"/>
          <w:b/>
          <w:bCs/>
          <w:spacing w:val="11"/>
          <w:kern w:val="2"/>
          <w:sz w:val="27"/>
          <w:szCs w:val="27"/>
          <w:lang w:val="en-US" w:eastAsia="zh-CN" w:bidi="ar-SA"/>
        </w:rPr>
        <w:t>服务质量</w:t>
      </w:r>
      <w:bookmarkEnd w:id="693"/>
    </w:p>
    <w:p w14:paraId="1F90C9C0">
      <w:pPr>
        <w:snapToGrid w:val="0"/>
        <w:spacing w:before="190" w:beforeLines="50" w:after="190" w:afterLines="50" w:line="560" w:lineRule="exact"/>
        <w:ind w:firstLine="560" w:firstLineChars="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乙方应当保障动力游戏区的服务质量和安全运营，尽量避免负面舆情事件和安全事故的发生。</w:t>
      </w:r>
    </w:p>
    <w:p w14:paraId="673C0486">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仿宋"/>
          <w:b/>
          <w:bCs/>
          <w:spacing w:val="11"/>
          <w:kern w:val="2"/>
          <w:sz w:val="27"/>
          <w:szCs w:val="27"/>
          <w:lang w:val="en-US" w:eastAsia="zh-CN" w:bidi="ar-SA"/>
        </w:rPr>
      </w:pPr>
      <w:bookmarkStart w:id="694" w:name="_Toc9242"/>
      <w:r>
        <w:rPr>
          <w:rFonts w:hint="eastAsia" w:ascii="仿宋" w:hAnsi="仿宋" w:eastAsia="仿宋" w:cs="仿宋"/>
          <w:b/>
          <w:bCs/>
          <w:spacing w:val="11"/>
          <w:kern w:val="2"/>
          <w:sz w:val="27"/>
          <w:szCs w:val="27"/>
          <w:lang w:val="en-US" w:eastAsia="zh-CN" w:bidi="ar-SA"/>
        </w:rPr>
        <w:t>社会环境影响评估</w:t>
      </w:r>
      <w:bookmarkEnd w:id="694"/>
    </w:p>
    <w:p w14:paraId="000C7D36">
      <w:pPr>
        <w:snapToGrid w:val="0"/>
        <w:spacing w:before="190" w:beforeLines="50" w:after="190" w:afterLines="50" w:line="560" w:lineRule="exact"/>
        <w:ind w:left="123" w:right="246" w:firstLine="556" w:firstLineChars="200"/>
        <w:outlineLvl w:val="9"/>
        <w:rPr>
          <w:rFonts w:ascii="仿宋" w:hAnsi="仿宋" w:eastAsia="仿宋" w:cs="仿宋"/>
          <w:spacing w:val="-1"/>
          <w:sz w:val="28"/>
          <w:szCs w:val="28"/>
        </w:rPr>
      </w:pPr>
      <w:r>
        <w:rPr>
          <w:rFonts w:hint="eastAsia" w:ascii="仿宋" w:hAnsi="仿宋" w:eastAsia="仿宋" w:cs="仿宋"/>
          <w:spacing w:val="-1"/>
          <w:sz w:val="28"/>
          <w:szCs w:val="28"/>
        </w:rPr>
        <w:t>甲</w:t>
      </w:r>
      <w:r>
        <w:rPr>
          <w:rFonts w:ascii="仿宋" w:hAnsi="仿宋" w:eastAsia="仿宋" w:cs="仿宋"/>
          <w:spacing w:val="-1"/>
          <w:sz w:val="28"/>
          <w:szCs w:val="28"/>
        </w:rPr>
        <w:t>方可以定期向乙方或相关第三方了解乙方运营、投诉和安全情况，也可以通过在园区设立投诉信箱等渠道直接取得相关信息。对于公众不满意的问题或投诉，甲方有权要求乙方限期整改。</w:t>
      </w:r>
    </w:p>
    <w:p w14:paraId="1C824DA7">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仿宋"/>
          <w:b/>
          <w:bCs/>
          <w:spacing w:val="11"/>
          <w:kern w:val="2"/>
          <w:sz w:val="27"/>
          <w:szCs w:val="27"/>
          <w:lang w:val="en-US" w:eastAsia="zh-CN" w:bidi="ar-SA"/>
        </w:rPr>
      </w:pPr>
      <w:bookmarkStart w:id="695" w:name="_Toc15534"/>
      <w:r>
        <w:rPr>
          <w:rFonts w:hint="eastAsia" w:ascii="仿宋" w:hAnsi="仿宋" w:eastAsia="仿宋" w:cs="仿宋"/>
          <w:b/>
          <w:bCs/>
          <w:spacing w:val="11"/>
          <w:kern w:val="2"/>
          <w:sz w:val="27"/>
          <w:szCs w:val="27"/>
          <w:lang w:val="en-US" w:eastAsia="zh-CN" w:bidi="ar-SA"/>
        </w:rPr>
        <w:t>服务质量和社会环境影响问题的处理</w:t>
      </w:r>
      <w:bookmarkEnd w:id="695"/>
    </w:p>
    <w:p w14:paraId="063D17AD">
      <w:pPr>
        <w:snapToGrid w:val="0"/>
        <w:spacing w:before="190" w:beforeLines="50" w:after="190" w:afterLines="50" w:line="560" w:lineRule="exact"/>
        <w:ind w:left="123" w:right="246" w:firstLine="556" w:firstLineChars="200"/>
        <w:jc w:val="left"/>
        <w:outlineLvl w:val="9"/>
        <w:rPr>
          <w:rFonts w:ascii="仿宋" w:hAnsi="仿宋" w:eastAsia="仿宋" w:cs="仿宋"/>
          <w:spacing w:val="-1"/>
          <w:sz w:val="28"/>
          <w:szCs w:val="28"/>
        </w:rPr>
      </w:pPr>
      <w:r>
        <w:rPr>
          <w:rFonts w:ascii="仿宋" w:hAnsi="仿宋" w:eastAsia="仿宋" w:cs="仿宋"/>
          <w:spacing w:val="-1"/>
          <w:sz w:val="28"/>
          <w:szCs w:val="28"/>
        </w:rPr>
        <w:t>服务质量、运营</w:t>
      </w:r>
      <w:r>
        <w:rPr>
          <w:rFonts w:hint="eastAsia" w:ascii="仿宋" w:hAnsi="仿宋" w:eastAsia="仿宋" w:cs="仿宋"/>
          <w:spacing w:val="-1"/>
          <w:sz w:val="28"/>
          <w:szCs w:val="28"/>
        </w:rPr>
        <w:t>管理</w:t>
      </w:r>
      <w:r>
        <w:rPr>
          <w:rFonts w:ascii="仿宋" w:hAnsi="仿宋" w:eastAsia="仿宋" w:cs="仿宋"/>
          <w:spacing w:val="-1"/>
          <w:sz w:val="28"/>
          <w:szCs w:val="28"/>
        </w:rPr>
        <w:t>内容中任意一项</w:t>
      </w:r>
      <w:r>
        <w:rPr>
          <w:rFonts w:hint="eastAsia" w:ascii="仿宋" w:hAnsi="仿宋" w:eastAsia="仿宋" w:cs="仿宋"/>
          <w:spacing w:val="-1"/>
          <w:sz w:val="28"/>
          <w:szCs w:val="28"/>
        </w:rPr>
        <w:t>未得到妥善处理和整改的</w:t>
      </w:r>
      <w:r>
        <w:rPr>
          <w:rFonts w:ascii="仿宋" w:hAnsi="仿宋" w:eastAsia="仿宋" w:cs="仿宋"/>
          <w:spacing w:val="-1"/>
          <w:sz w:val="28"/>
          <w:szCs w:val="28"/>
        </w:rPr>
        <w:t>，甲方有权要求乙方在合理的指定日前整改，未能在指定日期前完成整改验收的，按人民币</w:t>
      </w:r>
      <w:r>
        <w:rPr>
          <w:rFonts w:hint="eastAsia" w:ascii="仿宋" w:hAnsi="仿宋" w:eastAsia="仿宋" w:cs="仿宋"/>
          <w:spacing w:val="-1"/>
          <w:sz w:val="28"/>
          <w:szCs w:val="28"/>
          <w:lang w:val="en-US" w:eastAsia="zh-CN"/>
        </w:rPr>
        <w:t>500</w:t>
      </w:r>
      <w:r>
        <w:rPr>
          <w:rFonts w:ascii="仿宋" w:hAnsi="仿宋" w:eastAsia="仿宋" w:cs="仿宋"/>
          <w:spacing w:val="-1"/>
          <w:sz w:val="28"/>
          <w:szCs w:val="28"/>
        </w:rPr>
        <w:t>元/日的标准向甲方支付违约金至完成整改之日止。</w:t>
      </w:r>
    </w:p>
    <w:bookmarkEnd w:id="692"/>
    <w:p w14:paraId="2528CAB1">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仿宋"/>
          <w:b/>
          <w:kern w:val="2"/>
          <w:sz w:val="28"/>
          <w:szCs w:val="28"/>
          <w:lang w:val="en-US" w:eastAsia="zh-CN" w:bidi="ar-SA"/>
        </w:rPr>
      </w:pPr>
      <w:bookmarkStart w:id="696" w:name="_Toc9691"/>
      <w:bookmarkStart w:id="697" w:name="_Toc10624"/>
      <w:bookmarkStart w:id="698" w:name="_Toc28786"/>
      <w:bookmarkStart w:id="699" w:name="_Toc19623"/>
      <w:bookmarkStart w:id="700" w:name="_Toc8776"/>
      <w:bookmarkStart w:id="701" w:name="_Toc32752"/>
      <w:bookmarkStart w:id="702" w:name="_Toc20918"/>
      <w:bookmarkStart w:id="703" w:name="_Toc45811820"/>
      <w:r>
        <w:rPr>
          <w:rFonts w:hint="eastAsia" w:ascii="仿宋" w:hAnsi="仿宋" w:eastAsia="仿宋" w:cs="仿宋"/>
          <w:b/>
          <w:kern w:val="2"/>
          <w:sz w:val="28"/>
          <w:szCs w:val="28"/>
          <w:lang w:val="en-US" w:eastAsia="zh-CN" w:bidi="ar-SA"/>
        </w:rPr>
        <w:t>公众满意度要求</w:t>
      </w:r>
      <w:bookmarkEnd w:id="696"/>
      <w:bookmarkEnd w:id="697"/>
      <w:bookmarkEnd w:id="698"/>
      <w:bookmarkEnd w:id="699"/>
      <w:bookmarkEnd w:id="700"/>
      <w:bookmarkEnd w:id="701"/>
      <w:bookmarkEnd w:id="702"/>
    </w:p>
    <w:p w14:paraId="6F199798">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仿宋"/>
          <w:b/>
          <w:kern w:val="2"/>
          <w:sz w:val="28"/>
          <w:szCs w:val="28"/>
          <w:lang w:val="en-US" w:eastAsia="zh-CN" w:bidi="ar-SA"/>
        </w:rPr>
      </w:pPr>
      <w:bookmarkStart w:id="704" w:name="_Toc13112"/>
      <w:r>
        <w:rPr>
          <w:rFonts w:hint="eastAsia" w:ascii="仿宋" w:hAnsi="仿宋" w:eastAsia="仿宋" w:cs="仿宋"/>
          <w:b/>
          <w:kern w:val="2"/>
          <w:sz w:val="28"/>
          <w:szCs w:val="28"/>
          <w:lang w:val="en-US" w:eastAsia="zh-CN" w:bidi="ar-SA"/>
        </w:rPr>
        <w:t>公众满意度要求</w:t>
      </w:r>
      <w:bookmarkEnd w:id="704"/>
    </w:p>
    <w:p w14:paraId="0FE08578">
      <w:pPr>
        <w:snapToGrid w:val="0"/>
        <w:spacing w:before="190" w:beforeLines="50" w:after="190" w:afterLines="50" w:line="560" w:lineRule="exact"/>
        <w:ind w:firstLine="560" w:firstLineChars="200"/>
        <w:outlineLvl w:val="9"/>
        <w:rPr>
          <w:rFonts w:ascii="仿宋" w:hAnsi="仿宋" w:eastAsia="仿宋" w:cs="仿宋"/>
          <w:sz w:val="28"/>
          <w:szCs w:val="28"/>
        </w:rPr>
      </w:pPr>
      <w:r>
        <w:rPr>
          <w:rFonts w:hint="eastAsia" w:ascii="仿宋" w:hAnsi="仿宋" w:eastAsia="仿宋" w:cs="仿宋"/>
          <w:sz w:val="28"/>
          <w:szCs w:val="28"/>
        </w:rPr>
        <w:t>乙方应当保障动力游戏区的公众满意度不低于90%。公众满意度未能达到前述要求时，甲方有权要求乙方限期整改。</w:t>
      </w:r>
    </w:p>
    <w:p w14:paraId="26E08C4F">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仿宋"/>
          <w:b/>
          <w:kern w:val="2"/>
          <w:sz w:val="28"/>
          <w:szCs w:val="28"/>
          <w:lang w:val="en-US" w:eastAsia="zh-CN" w:bidi="ar-SA"/>
        </w:rPr>
      </w:pPr>
      <w:bookmarkStart w:id="705" w:name="_Toc8598"/>
      <w:r>
        <w:rPr>
          <w:rFonts w:hint="eastAsia" w:ascii="仿宋" w:hAnsi="仿宋" w:eastAsia="仿宋" w:cs="仿宋"/>
          <w:b/>
          <w:kern w:val="2"/>
          <w:sz w:val="28"/>
          <w:szCs w:val="28"/>
          <w:lang w:val="en-US" w:eastAsia="zh-CN" w:bidi="ar-SA"/>
        </w:rPr>
        <w:t>公众满意度评估</w:t>
      </w:r>
      <w:bookmarkEnd w:id="705"/>
    </w:p>
    <w:p w14:paraId="5B730A0E">
      <w:pPr>
        <w:snapToGrid w:val="0"/>
        <w:spacing w:before="190" w:beforeLines="50" w:after="190" w:afterLines="50" w:line="560" w:lineRule="exact"/>
        <w:ind w:firstLine="560" w:firstLineChars="200"/>
        <w:outlineLvl w:val="9"/>
        <w:rPr>
          <w:rFonts w:ascii="仿宋" w:hAnsi="仿宋" w:eastAsia="仿宋" w:cs="仿宋"/>
          <w:sz w:val="28"/>
          <w:szCs w:val="28"/>
        </w:rPr>
      </w:pPr>
      <w:r>
        <w:rPr>
          <w:rFonts w:hint="eastAsia" w:ascii="仿宋" w:hAnsi="仿宋" w:eastAsia="仿宋" w:cs="仿宋"/>
          <w:sz w:val="28"/>
          <w:szCs w:val="28"/>
        </w:rPr>
        <w:t>甲乙双方可组织公众满意度调查，自行或委托第三方单位制定调查问卷，并随机抽取一定数量的游客进行调研，从服务质量、运营内容等方面评估动力游戏区的公众满意度。</w:t>
      </w:r>
    </w:p>
    <w:p w14:paraId="628670F0">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仿宋"/>
          <w:b/>
          <w:kern w:val="2"/>
          <w:sz w:val="28"/>
          <w:szCs w:val="28"/>
          <w:lang w:val="en-US" w:eastAsia="zh-CN" w:bidi="ar-SA"/>
        </w:rPr>
      </w:pPr>
      <w:bookmarkStart w:id="706" w:name="_Toc28822"/>
      <w:r>
        <w:rPr>
          <w:rFonts w:hint="eastAsia" w:ascii="仿宋" w:hAnsi="仿宋" w:eastAsia="仿宋" w:cs="仿宋"/>
          <w:b/>
          <w:kern w:val="2"/>
          <w:sz w:val="28"/>
          <w:szCs w:val="28"/>
          <w:lang w:val="en-US" w:eastAsia="zh-CN" w:bidi="ar-SA"/>
        </w:rPr>
        <w:t>公众满意度不足的处理</w:t>
      </w:r>
      <w:bookmarkEnd w:id="706"/>
    </w:p>
    <w:p w14:paraId="100937E0">
      <w:pPr>
        <w:snapToGrid w:val="0"/>
        <w:spacing w:before="190" w:beforeLines="50" w:after="190" w:afterLines="50" w:line="560" w:lineRule="exact"/>
        <w:ind w:firstLine="560" w:firstLineChars="200"/>
        <w:outlineLvl w:val="9"/>
        <w:rPr>
          <w:rFonts w:ascii="仿宋" w:hAnsi="仿宋" w:eastAsia="仿宋" w:cs="仿宋"/>
          <w:sz w:val="28"/>
          <w:szCs w:val="28"/>
        </w:rPr>
      </w:pPr>
      <w:r>
        <w:rPr>
          <w:rFonts w:hint="eastAsia" w:ascii="仿宋" w:hAnsi="仿宋" w:eastAsia="仿宋" w:cs="仿宋"/>
          <w:sz w:val="28"/>
          <w:szCs w:val="28"/>
        </w:rPr>
        <w:t>服务质量、运营内容中任意一项的满意度低于90%的，甲方有权要求乙方整改，并自甲方要求整改之日起按人民币</w:t>
      </w:r>
      <w:r>
        <w:rPr>
          <w:rFonts w:hint="eastAsia" w:ascii="仿宋" w:hAnsi="仿宋" w:eastAsia="仿宋" w:cs="仿宋"/>
          <w:sz w:val="28"/>
          <w:szCs w:val="28"/>
          <w:lang w:val="en-US" w:eastAsia="zh-CN"/>
        </w:rPr>
        <w:t>500</w:t>
      </w:r>
      <w:r>
        <w:rPr>
          <w:rFonts w:hint="eastAsia" w:ascii="仿宋" w:hAnsi="仿宋" w:eastAsia="仿宋" w:cs="仿宋"/>
          <w:sz w:val="28"/>
          <w:szCs w:val="28"/>
        </w:rPr>
        <w:t>元/日的标准要求乙方向甲方支付违约金至完成整改之日止。</w:t>
      </w:r>
    </w:p>
    <w:bookmarkEnd w:id="703"/>
    <w:p w14:paraId="35CE4C4D">
      <w:pPr>
        <w:snapToGrid w:val="0"/>
        <w:spacing w:before="190" w:beforeLines="50" w:after="190" w:afterLines="50" w:line="360" w:lineRule="auto"/>
        <w:ind w:firstLine="560" w:firstLineChars="200"/>
        <w:outlineLvl w:val="9"/>
        <w:rPr>
          <w:rFonts w:ascii="Times New Roman" w:hAnsi="Times New Roman" w:eastAsia="仿宋" w:cs="Times New Roman"/>
          <w:sz w:val="28"/>
          <w:szCs w:val="28"/>
        </w:rPr>
      </w:pPr>
      <w:bookmarkStart w:id="707" w:name="_Toc31449"/>
      <w:bookmarkStart w:id="708" w:name="_Toc16278"/>
    </w:p>
    <w:p w14:paraId="28E018E7">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709" w:name="_Toc16185"/>
      <w:bookmarkStart w:id="710" w:name="_Toc16892"/>
      <w:bookmarkStart w:id="711" w:name="_Toc8747"/>
      <w:bookmarkStart w:id="712" w:name="_Toc10693"/>
      <w:bookmarkStart w:id="713" w:name="_Toc17102"/>
      <w:r>
        <w:rPr>
          <w:rFonts w:hint="eastAsia" w:ascii="黑体" w:hAnsi="黑体" w:eastAsia="黑体" w:cs="Times New Roman"/>
          <w:kern w:val="2"/>
          <w:sz w:val="32"/>
          <w:szCs w:val="32"/>
          <w:lang w:val="en-US" w:eastAsia="zh-CN" w:bidi="ar-SA"/>
        </w:rPr>
        <w:t>机动游戏设施运营管理要求</w:t>
      </w:r>
      <w:bookmarkEnd w:id="707"/>
      <w:bookmarkEnd w:id="708"/>
      <w:bookmarkEnd w:id="709"/>
      <w:bookmarkEnd w:id="710"/>
      <w:bookmarkEnd w:id="711"/>
      <w:bookmarkEnd w:id="712"/>
      <w:bookmarkEnd w:id="713"/>
    </w:p>
    <w:p w14:paraId="08F3BC19">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14" w:name="_Toc53"/>
      <w:bookmarkStart w:id="715" w:name="_Toc17426"/>
      <w:bookmarkStart w:id="716" w:name="_Toc5752"/>
      <w:bookmarkStart w:id="717" w:name="_Toc26803"/>
      <w:bookmarkStart w:id="718" w:name="_Toc22084"/>
      <w:bookmarkStart w:id="719" w:name="_Toc20260"/>
      <w:bookmarkStart w:id="720" w:name="_Toc29882"/>
      <w:r>
        <w:rPr>
          <w:rFonts w:hint="eastAsia" w:ascii="仿宋" w:hAnsi="仿宋" w:eastAsia="仿宋" w:cs="Times New Roman"/>
          <w:b/>
          <w:kern w:val="2"/>
          <w:sz w:val="30"/>
          <w:szCs w:val="30"/>
          <w:lang w:val="en-US" w:eastAsia="zh-CN" w:bidi="ar-SA"/>
        </w:rPr>
        <w:t>制度体系建设</w:t>
      </w:r>
      <w:bookmarkEnd w:id="714"/>
      <w:bookmarkEnd w:id="715"/>
      <w:bookmarkEnd w:id="716"/>
      <w:bookmarkEnd w:id="717"/>
      <w:bookmarkEnd w:id="718"/>
      <w:bookmarkEnd w:id="719"/>
      <w:bookmarkEnd w:id="720"/>
    </w:p>
    <w:p w14:paraId="3A0B5A44">
      <w:pPr>
        <w:snapToGrid w:val="0"/>
        <w:spacing w:before="190" w:beforeLines="50" w:after="190" w:afterLines="50" w:line="560" w:lineRule="exact"/>
        <w:ind w:firstLine="560" w:firstLineChars="200"/>
        <w:outlineLvl w:val="9"/>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乙方应根据谨慎运营惯例，</w:t>
      </w:r>
      <w:r>
        <w:rPr>
          <w:rFonts w:hint="eastAsia" w:ascii="Times New Roman" w:hAnsi="Times New Roman" w:eastAsia="仿宋" w:cs="Times New Roman"/>
          <w:color w:val="auto"/>
          <w:sz w:val="28"/>
          <w:szCs w:val="28"/>
          <w:lang w:val="en-US" w:eastAsia="zh-CN"/>
        </w:rPr>
        <w:t>按照</w:t>
      </w:r>
      <w:r>
        <w:rPr>
          <w:rFonts w:hint="eastAsia" w:ascii="Times New Roman" w:hAnsi="Times New Roman" w:eastAsia="仿宋" w:cs="Times New Roman"/>
          <w:color w:val="auto"/>
          <w:sz w:val="28"/>
          <w:szCs w:val="28"/>
        </w:rPr>
        <w:t>现行法律法规的规范要求，建立健全机动游戏设施运营管理制度体系，并严格执行制度体系要求。制度体系应至少包括以下内容：</w:t>
      </w:r>
    </w:p>
    <w:p w14:paraId="706AA257">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color w:val="auto"/>
          <w:kern w:val="2"/>
          <w:sz w:val="28"/>
          <w:szCs w:val="28"/>
          <w:lang w:val="en-US" w:eastAsia="zh-CN" w:bidi="ar-SA"/>
        </w:rPr>
      </w:pPr>
      <w:r>
        <w:rPr>
          <w:rFonts w:hint="eastAsia" w:ascii="等线 Light" w:hAnsi="等线 Light" w:eastAsia="仿宋" w:cs="Times New Roman"/>
          <w:b w:val="0"/>
          <w:bCs/>
          <w:color w:val="auto"/>
          <w:kern w:val="2"/>
          <w:sz w:val="28"/>
          <w:szCs w:val="28"/>
          <w:lang w:val="en-US" w:eastAsia="zh-CN" w:bidi="ar-SA"/>
        </w:rPr>
        <w:t>技术档案管理制度。</w:t>
      </w:r>
    </w:p>
    <w:p w14:paraId="597197E5">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color w:val="auto"/>
          <w:kern w:val="2"/>
          <w:sz w:val="28"/>
          <w:szCs w:val="28"/>
          <w:lang w:val="en-US" w:eastAsia="zh-CN" w:bidi="ar-SA"/>
        </w:rPr>
      </w:pPr>
      <w:r>
        <w:rPr>
          <w:rFonts w:hint="eastAsia" w:ascii="等线 Light" w:hAnsi="等线 Light" w:eastAsia="仿宋" w:cs="Times New Roman"/>
          <w:b w:val="0"/>
          <w:bCs/>
          <w:color w:val="auto"/>
          <w:kern w:val="2"/>
          <w:sz w:val="28"/>
          <w:szCs w:val="28"/>
          <w:lang w:val="en-US" w:eastAsia="zh-CN" w:bidi="ar-SA"/>
        </w:rPr>
        <w:t>设备管理制度。</w:t>
      </w:r>
    </w:p>
    <w:p w14:paraId="5EB9C94B">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color w:val="auto"/>
          <w:kern w:val="2"/>
          <w:sz w:val="28"/>
          <w:szCs w:val="28"/>
          <w:lang w:val="en-US" w:eastAsia="zh-CN" w:bidi="ar-SA"/>
        </w:rPr>
      </w:pPr>
      <w:r>
        <w:rPr>
          <w:rFonts w:hint="eastAsia" w:ascii="等线 Light" w:hAnsi="等线 Light" w:eastAsia="仿宋" w:cs="Times New Roman"/>
          <w:b w:val="0"/>
          <w:bCs/>
          <w:color w:val="auto"/>
          <w:kern w:val="2"/>
          <w:sz w:val="28"/>
          <w:szCs w:val="28"/>
          <w:lang w:val="en-US" w:eastAsia="zh-CN" w:bidi="ar-SA"/>
        </w:rPr>
        <w:t>安全操作规程。</w:t>
      </w:r>
    </w:p>
    <w:p w14:paraId="62D5EA3B">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color w:val="auto"/>
          <w:kern w:val="2"/>
          <w:sz w:val="28"/>
          <w:szCs w:val="28"/>
          <w:lang w:val="en-US" w:eastAsia="zh-CN" w:bidi="ar-SA"/>
        </w:rPr>
      </w:pPr>
      <w:r>
        <w:rPr>
          <w:rFonts w:hint="eastAsia" w:ascii="等线 Light" w:hAnsi="等线 Light" w:eastAsia="仿宋" w:cs="Times New Roman"/>
          <w:b w:val="0"/>
          <w:bCs/>
          <w:color w:val="auto"/>
          <w:kern w:val="2"/>
          <w:sz w:val="28"/>
          <w:szCs w:val="28"/>
          <w:lang w:val="en-US" w:eastAsia="zh-CN" w:bidi="ar-SA"/>
        </w:rPr>
        <w:t>日常安全检查制度。</w:t>
      </w:r>
    </w:p>
    <w:p w14:paraId="0DCE2434">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color w:val="auto"/>
          <w:kern w:val="2"/>
          <w:sz w:val="28"/>
          <w:szCs w:val="28"/>
          <w:lang w:val="en-US" w:eastAsia="zh-CN" w:bidi="ar-SA"/>
        </w:rPr>
      </w:pPr>
      <w:r>
        <w:rPr>
          <w:rFonts w:hint="eastAsia" w:ascii="等线 Light" w:hAnsi="等线 Light" w:eastAsia="仿宋" w:cs="Times New Roman"/>
          <w:b w:val="0"/>
          <w:bCs/>
          <w:color w:val="auto"/>
          <w:kern w:val="2"/>
          <w:sz w:val="28"/>
          <w:szCs w:val="28"/>
          <w:lang w:val="en-US" w:eastAsia="zh-CN" w:bidi="ar-SA"/>
        </w:rPr>
        <w:t>维护保养制度。</w:t>
      </w:r>
    </w:p>
    <w:p w14:paraId="1E035964">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color w:val="auto"/>
          <w:kern w:val="2"/>
          <w:sz w:val="28"/>
          <w:szCs w:val="28"/>
          <w:lang w:val="en-US" w:eastAsia="zh-CN" w:bidi="ar-SA"/>
        </w:rPr>
      </w:pPr>
      <w:r>
        <w:rPr>
          <w:rFonts w:hint="eastAsia" w:ascii="等线 Light" w:hAnsi="等线 Light" w:eastAsia="仿宋" w:cs="Times New Roman"/>
          <w:b w:val="0"/>
          <w:bCs/>
          <w:color w:val="auto"/>
          <w:kern w:val="2"/>
          <w:sz w:val="28"/>
          <w:szCs w:val="28"/>
          <w:lang w:val="en-US" w:eastAsia="zh-CN" w:bidi="ar-SA"/>
        </w:rPr>
        <w:t>定期报检制度。</w:t>
      </w:r>
    </w:p>
    <w:p w14:paraId="16DEADD9">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color w:val="auto"/>
          <w:kern w:val="2"/>
          <w:sz w:val="28"/>
          <w:szCs w:val="28"/>
          <w:lang w:val="en-US" w:eastAsia="zh-CN" w:bidi="ar-SA"/>
        </w:rPr>
        <w:t>作业和服务人员守则。</w:t>
      </w:r>
    </w:p>
    <w:p w14:paraId="06580289">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作业人员及相关运营服务人员安全培训考核制度。</w:t>
      </w:r>
    </w:p>
    <w:p w14:paraId="112EAAC3">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应急救援演练制度。</w:t>
      </w:r>
    </w:p>
    <w:p w14:paraId="59A0991A">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意外事件和事故处理制度等。</w:t>
      </w:r>
    </w:p>
    <w:p w14:paraId="780AC657">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21" w:name="_Toc32398"/>
      <w:bookmarkStart w:id="722" w:name="_Toc3874"/>
      <w:bookmarkStart w:id="723" w:name="_Toc20618"/>
      <w:bookmarkStart w:id="724" w:name="_Toc1245"/>
      <w:bookmarkStart w:id="725" w:name="_Toc15536"/>
      <w:bookmarkStart w:id="726" w:name="_Toc2122"/>
      <w:bookmarkStart w:id="727" w:name="_Toc19289"/>
      <w:r>
        <w:rPr>
          <w:rFonts w:hint="eastAsia" w:ascii="仿宋" w:hAnsi="仿宋" w:eastAsia="仿宋" w:cs="Times New Roman"/>
          <w:b/>
          <w:kern w:val="2"/>
          <w:sz w:val="30"/>
          <w:szCs w:val="30"/>
          <w:lang w:val="en-US" w:eastAsia="zh-CN" w:bidi="ar-SA"/>
        </w:rPr>
        <w:t>人员配备与培训</w:t>
      </w:r>
      <w:bookmarkEnd w:id="721"/>
      <w:bookmarkEnd w:id="722"/>
      <w:bookmarkEnd w:id="723"/>
      <w:bookmarkEnd w:id="724"/>
      <w:bookmarkEnd w:id="725"/>
      <w:bookmarkEnd w:id="726"/>
      <w:bookmarkEnd w:id="727"/>
    </w:p>
    <w:p w14:paraId="00DC1E80">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28" w:name="_Toc7525"/>
      <w:r>
        <w:rPr>
          <w:rFonts w:hint="eastAsia" w:ascii="仿宋" w:hAnsi="仿宋" w:eastAsia="仿宋" w:cs="Times New Roman"/>
          <w:b/>
          <w:kern w:val="2"/>
          <w:sz w:val="30"/>
          <w:szCs w:val="30"/>
          <w:lang w:val="en-US" w:eastAsia="zh-CN" w:bidi="ar-SA"/>
        </w:rPr>
        <w:t>人员配备</w:t>
      </w:r>
      <w:bookmarkEnd w:id="728"/>
    </w:p>
    <w:p w14:paraId="154001A5">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乙方应当足额配备安全管理、操作、维护等相关人员，保证人员按岗位要求</w:t>
      </w:r>
      <w:r>
        <w:rPr>
          <w:rFonts w:hint="eastAsia" w:ascii="Times New Roman" w:hAnsi="Times New Roman" w:eastAsia="仿宋" w:cs="Times New Roman"/>
          <w:sz w:val="28"/>
          <w:szCs w:val="28"/>
          <w:lang w:val="en-US" w:eastAsia="zh-CN"/>
        </w:rPr>
        <w:t>具备相应经验</w:t>
      </w:r>
      <w:r>
        <w:rPr>
          <w:rFonts w:hint="eastAsia" w:ascii="Times New Roman" w:hAnsi="Times New Roman" w:eastAsia="仿宋" w:cs="Times New Roman"/>
          <w:sz w:val="28"/>
          <w:szCs w:val="28"/>
        </w:rPr>
        <w:t>。</w:t>
      </w:r>
    </w:p>
    <w:p w14:paraId="73956D6C">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机动游戏设施操作员的配备应当符合下述要求：</w:t>
      </w:r>
    </w:p>
    <w:p w14:paraId="1F618FDE">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每处机动游戏设施至少配备</w:t>
      </w:r>
      <w:r>
        <w:rPr>
          <w:rFonts w:ascii="等线 Light" w:hAnsi="等线 Light" w:eastAsia="仿宋" w:cs="Times New Roman"/>
          <w:b w:val="0"/>
          <w:bCs/>
          <w:kern w:val="2"/>
          <w:sz w:val="28"/>
          <w:szCs w:val="28"/>
          <w:lang w:val="en-US" w:eastAsia="zh-CN" w:bidi="ar-SA"/>
        </w:rPr>
        <w:t>1</w:t>
      </w:r>
      <w:r>
        <w:rPr>
          <w:rFonts w:hint="eastAsia" w:ascii="等线 Light" w:hAnsi="等线 Light" w:eastAsia="仿宋" w:cs="Times New Roman"/>
          <w:b w:val="0"/>
          <w:bCs/>
          <w:kern w:val="2"/>
          <w:sz w:val="28"/>
          <w:szCs w:val="28"/>
          <w:lang w:val="en-US" w:eastAsia="zh-CN" w:bidi="ar-SA"/>
        </w:rPr>
        <w:t>名操作员，法定节假日、周末、寒暑假期间须在前述基础上根据运营需要增加操作员（至少增加1名）。</w:t>
      </w:r>
    </w:p>
    <w:p w14:paraId="72C2FC68">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29" w:name="_Toc12604"/>
      <w:r>
        <w:rPr>
          <w:rFonts w:hint="eastAsia" w:ascii="仿宋" w:hAnsi="仿宋" w:eastAsia="仿宋" w:cs="Times New Roman"/>
          <w:b/>
          <w:kern w:val="2"/>
          <w:sz w:val="30"/>
          <w:szCs w:val="30"/>
          <w:lang w:val="en-US" w:eastAsia="zh-CN" w:bidi="ar-SA"/>
        </w:rPr>
        <w:t>人员培训</w:t>
      </w:r>
      <w:bookmarkEnd w:id="729"/>
    </w:p>
    <w:p w14:paraId="3B6BEE4B">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乙方应当定期组织安全操作、维修技能和法律法规知识、服务流程培训，不断提高人员的工作技能和法律意识。</w:t>
      </w:r>
    </w:p>
    <w:p w14:paraId="7270AA8B">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30" w:name="_Toc15056"/>
      <w:bookmarkStart w:id="731" w:name="_Toc21232"/>
      <w:bookmarkStart w:id="732" w:name="_Toc24463"/>
      <w:bookmarkStart w:id="733" w:name="_Toc17907"/>
      <w:bookmarkStart w:id="734" w:name="_Toc29661"/>
      <w:bookmarkStart w:id="735" w:name="_Toc29191"/>
      <w:bookmarkStart w:id="736" w:name="_Toc25805"/>
      <w:r>
        <w:rPr>
          <w:rFonts w:hint="eastAsia" w:ascii="仿宋" w:hAnsi="仿宋" w:eastAsia="仿宋" w:cs="Times New Roman"/>
          <w:b/>
          <w:kern w:val="2"/>
          <w:sz w:val="30"/>
          <w:szCs w:val="30"/>
          <w:lang w:val="en-US" w:eastAsia="zh-CN" w:bidi="ar-SA"/>
        </w:rPr>
        <w:t>暂停运行</w:t>
      </w:r>
      <w:bookmarkEnd w:id="730"/>
      <w:bookmarkEnd w:id="731"/>
      <w:bookmarkEnd w:id="732"/>
      <w:bookmarkEnd w:id="733"/>
      <w:bookmarkEnd w:id="734"/>
      <w:bookmarkEnd w:id="735"/>
      <w:bookmarkEnd w:id="736"/>
    </w:p>
    <w:p w14:paraId="34188296">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当天气恶劣、设备发生故障及停电等紧急情况或有可能发生上述情况时，乙方必须采取应急措施和暂停运行。</w:t>
      </w:r>
    </w:p>
    <w:p w14:paraId="16A78E18">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37" w:name="_Toc4648"/>
      <w:bookmarkStart w:id="738" w:name="_Toc29232"/>
      <w:bookmarkStart w:id="739" w:name="_Toc12510"/>
      <w:bookmarkStart w:id="740" w:name="_Toc2777"/>
      <w:bookmarkStart w:id="741" w:name="_Toc22630"/>
      <w:bookmarkStart w:id="742" w:name="_Toc18129"/>
      <w:bookmarkStart w:id="743" w:name="_Toc11080"/>
      <w:r>
        <w:rPr>
          <w:rFonts w:hint="eastAsia" w:ascii="仿宋" w:hAnsi="仿宋" w:eastAsia="仿宋" w:cs="Times New Roman"/>
          <w:b/>
          <w:kern w:val="2"/>
          <w:sz w:val="30"/>
          <w:szCs w:val="30"/>
          <w:lang w:val="en-US" w:eastAsia="zh-CN" w:bidi="ar-SA"/>
        </w:rPr>
        <w:t>设施维护</w:t>
      </w:r>
      <w:bookmarkEnd w:id="737"/>
      <w:bookmarkEnd w:id="738"/>
      <w:bookmarkEnd w:id="739"/>
      <w:bookmarkEnd w:id="740"/>
      <w:bookmarkEnd w:id="741"/>
      <w:bookmarkEnd w:id="742"/>
      <w:bookmarkEnd w:id="743"/>
    </w:p>
    <w:p w14:paraId="47BCFB9D">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44" w:name="_Toc32227"/>
      <w:r>
        <w:rPr>
          <w:rFonts w:hint="eastAsia" w:ascii="仿宋" w:hAnsi="仿宋" w:eastAsia="仿宋" w:cs="Times New Roman"/>
          <w:b/>
          <w:kern w:val="2"/>
          <w:sz w:val="30"/>
          <w:szCs w:val="30"/>
          <w:lang w:val="en-US" w:eastAsia="zh-CN" w:bidi="ar-SA"/>
        </w:rPr>
        <w:t>设施维护保养单位</w:t>
      </w:r>
      <w:bookmarkEnd w:id="744"/>
    </w:p>
    <w:p w14:paraId="35862BDF">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乙方应自行或委托具有相应资质的机动游戏设施维护保养单位（制造厂）进行设施维护保养工作。</w:t>
      </w:r>
    </w:p>
    <w:p w14:paraId="43CF6B4D">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乙方不具备相应维护保养能力的，必须委托有资格的单位进行维护保养。</w:t>
      </w:r>
    </w:p>
    <w:p w14:paraId="63C3C705">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45" w:name="_Toc4762"/>
      <w:r>
        <w:rPr>
          <w:rFonts w:hint="eastAsia" w:ascii="仿宋" w:hAnsi="仿宋" w:eastAsia="仿宋" w:cs="Times New Roman"/>
          <w:b/>
          <w:kern w:val="2"/>
          <w:sz w:val="30"/>
          <w:szCs w:val="30"/>
          <w:lang w:val="en-US" w:eastAsia="zh-CN" w:bidi="ar-SA"/>
        </w:rPr>
        <w:t>维护频次与内容</w:t>
      </w:r>
      <w:bookmarkEnd w:id="745"/>
    </w:p>
    <w:p w14:paraId="6DFABC90">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乙方应根据谨慎运营惯例、适用法律规定制定机动游戏设施专项维护方案，按日、</w:t>
      </w:r>
      <w:r>
        <w:rPr>
          <w:rFonts w:hint="eastAsia" w:ascii="Times New Roman" w:hAnsi="Times New Roman" w:eastAsia="仿宋" w:cs="Times New Roman"/>
          <w:sz w:val="28"/>
          <w:szCs w:val="28"/>
          <w:lang w:val="en-US" w:eastAsia="zh-CN"/>
        </w:rPr>
        <w:t>周、</w:t>
      </w:r>
      <w:r>
        <w:rPr>
          <w:rFonts w:hint="eastAsia" w:ascii="Times New Roman" w:hAnsi="Times New Roman" w:eastAsia="仿宋" w:cs="Times New Roman"/>
          <w:sz w:val="28"/>
          <w:szCs w:val="28"/>
        </w:rPr>
        <w:t>月、年的频次对游乐设施进行维护保养，具体维护保养要求如下：</w:t>
      </w:r>
    </w:p>
    <w:p w14:paraId="0FDD77CC">
      <w:pPr>
        <w:widowControl w:val="0"/>
        <w:numPr>
          <w:ilvl w:val="3"/>
          <w:numId w:val="5"/>
        </w:numPr>
        <w:kinsoku w:val="0"/>
        <w:overflowPunct w:val="0"/>
        <w:snapToGrid w:val="0"/>
        <w:spacing w:before="190" w:beforeLines="50" w:after="190" w:afterLines="50" w:line="560" w:lineRule="exact"/>
        <w:ind w:left="0" w:firstLine="562" w:firstLineChars="200"/>
        <w:jc w:val="both"/>
        <w:outlineLvl w:val="9"/>
        <w:rPr>
          <w:rFonts w:ascii="等线 Light" w:hAnsi="等线 Light" w:eastAsia="仿宋" w:cs="Times New Roman"/>
          <w:b/>
          <w:bCs w:val="0"/>
          <w:kern w:val="2"/>
          <w:sz w:val="28"/>
          <w:szCs w:val="28"/>
          <w:lang w:val="en-US" w:eastAsia="zh-CN" w:bidi="ar-SA"/>
        </w:rPr>
      </w:pPr>
      <w:r>
        <w:rPr>
          <w:rFonts w:hint="eastAsia" w:ascii="等线 Light" w:hAnsi="等线 Light" w:eastAsia="仿宋" w:cs="Times New Roman"/>
          <w:b/>
          <w:bCs w:val="0"/>
          <w:kern w:val="2"/>
          <w:sz w:val="28"/>
          <w:szCs w:val="28"/>
          <w:lang w:val="en-US" w:eastAsia="zh-CN" w:bidi="ar-SA"/>
        </w:rPr>
        <w:t>日检项目</w:t>
      </w:r>
    </w:p>
    <w:p w14:paraId="3862B93D">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日检项目应至少包含以下内容：</w:t>
      </w:r>
    </w:p>
    <w:p w14:paraId="4009334A">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控制装置、限速装置、制动装置和其他安全装置是否有效及可靠。</w:t>
      </w:r>
    </w:p>
    <w:p w14:paraId="2CA6B2F8">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运行是否正常，有无异常的振动或者噪声。</w:t>
      </w:r>
    </w:p>
    <w:p w14:paraId="628A9EC6">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各易磨损件和连接件是否安全可靠。</w:t>
      </w:r>
    </w:p>
    <w:p w14:paraId="18DC8C27">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门联锁开关及安全带等是否完好。</w:t>
      </w:r>
    </w:p>
    <w:p w14:paraId="5C2E784F">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润滑点的检查和加添润滑油。</w:t>
      </w:r>
    </w:p>
    <w:p w14:paraId="307A3FF7">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重要部位（轨道、车轮等）是否正常。</w:t>
      </w:r>
    </w:p>
    <w:p w14:paraId="2EF9F35E">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液压系统和气动系统有无漏油、漏气，液压站油箱油位是否正常。</w:t>
      </w:r>
    </w:p>
    <w:p w14:paraId="3031287F">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ascii="等线 Light" w:hAnsi="等线 Light" w:eastAsia="仿宋" w:cs="Times New Roman"/>
          <w:b w:val="0"/>
          <w:bCs/>
          <w:kern w:val="2"/>
          <w:sz w:val="28"/>
          <w:szCs w:val="28"/>
          <w:lang w:val="en-US" w:eastAsia="zh-CN" w:bidi="ar-SA"/>
        </w:rPr>
        <w:t>乙方安全管理人员需每日对动力游戏区进行</w:t>
      </w:r>
      <w:r>
        <w:rPr>
          <w:rFonts w:hint="default" w:ascii="等线 Light" w:hAnsi="等线 Light" w:eastAsia="仿宋" w:cs="Times New Roman"/>
          <w:b w:val="0"/>
          <w:bCs/>
          <w:kern w:val="2"/>
          <w:sz w:val="28"/>
          <w:szCs w:val="28"/>
          <w:lang w:val="en-US" w:eastAsia="zh-CN" w:bidi="ar-SA"/>
        </w:rPr>
        <w:t>不少于</w:t>
      </w:r>
      <w:r>
        <w:rPr>
          <w:rFonts w:hint="eastAsia" w:ascii="等线 Light" w:hAnsi="等线 Light" w:eastAsia="仿宋" w:cs="Times New Roman"/>
          <w:b w:val="0"/>
          <w:bCs/>
          <w:kern w:val="2"/>
          <w:sz w:val="28"/>
          <w:szCs w:val="28"/>
          <w:lang w:val="en-US" w:eastAsia="zh-CN" w:bidi="ar-SA"/>
        </w:rPr>
        <w:t>2</w:t>
      </w:r>
      <w:r>
        <w:rPr>
          <w:rFonts w:hint="default" w:ascii="等线 Light" w:hAnsi="等线 Light" w:eastAsia="仿宋" w:cs="Times New Roman"/>
          <w:b w:val="0"/>
          <w:bCs/>
          <w:kern w:val="2"/>
          <w:sz w:val="28"/>
          <w:szCs w:val="28"/>
          <w:lang w:val="en-US" w:eastAsia="zh-CN" w:bidi="ar-SA"/>
        </w:rPr>
        <w:t>次全覆盖巡检，重点关注：</w:t>
      </w:r>
    </w:p>
    <w:p w14:paraId="10F6B272">
      <w:pPr>
        <w:widowControl w:val="0"/>
        <w:numPr>
          <w:ilvl w:val="0"/>
          <w:numId w:val="0"/>
        </w:numPr>
        <w:kinsoku w:val="0"/>
        <w:overflowPunct w:val="0"/>
        <w:snapToGrid w:val="0"/>
        <w:spacing w:before="190" w:beforeLines="50" w:after="190" w:afterLines="50" w:line="560" w:lineRule="exact"/>
        <w:ind w:left="420" w:leftChars="200" w:firstLine="0" w:firstLineChars="0"/>
        <w:jc w:val="both"/>
        <w:outlineLvl w:val="9"/>
        <w:rPr>
          <w:rFonts w:hint="default"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 乘客行为规范（如是否有翻越护栏、擅自操作设备等危险行为）；</w:t>
      </w:r>
    </w:p>
    <w:p w14:paraId="33F47FF9">
      <w:pPr>
        <w:widowControl w:val="0"/>
        <w:numPr>
          <w:ilvl w:val="0"/>
          <w:numId w:val="0"/>
        </w:numPr>
        <w:kinsoku w:val="0"/>
        <w:overflowPunct w:val="0"/>
        <w:snapToGrid w:val="0"/>
        <w:spacing w:before="190" w:beforeLines="50" w:after="190" w:afterLines="50" w:line="560" w:lineRule="exact"/>
        <w:ind w:left="420" w:leftChars="200" w:firstLine="0" w:firstLineChars="0"/>
        <w:jc w:val="both"/>
        <w:outlineLvl w:val="9"/>
        <w:rPr>
          <w:rFonts w:hint="default"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 设施运行时的异常声响、振动或异味；</w:t>
      </w:r>
    </w:p>
    <w:p w14:paraId="0FBCACE0">
      <w:pPr>
        <w:widowControl w:val="0"/>
        <w:numPr>
          <w:ilvl w:val="0"/>
          <w:numId w:val="0"/>
        </w:numPr>
        <w:kinsoku w:val="0"/>
        <w:overflowPunct w:val="0"/>
        <w:snapToGrid w:val="0"/>
        <w:spacing w:before="190" w:beforeLines="50" w:after="190" w:afterLines="50" w:line="560" w:lineRule="exact"/>
        <w:ind w:left="420" w:leftChars="200" w:firstLine="0" w:firstLineChars="0"/>
        <w:jc w:val="both"/>
        <w:outlineLvl w:val="9"/>
        <w:rPr>
          <w:rFonts w:hint="default"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 消防设施（灭火器压力值、消火栓可用性）情况；</w:t>
      </w:r>
    </w:p>
    <w:p w14:paraId="6BFD77C4">
      <w:pPr>
        <w:widowControl w:val="0"/>
        <w:numPr>
          <w:ilvl w:val="0"/>
          <w:numId w:val="0"/>
        </w:numPr>
        <w:kinsoku w:val="0"/>
        <w:overflowPunct w:val="0"/>
        <w:snapToGrid w:val="0"/>
        <w:spacing w:before="190" w:beforeLines="50" w:after="190" w:afterLines="50" w:line="560" w:lineRule="exact"/>
        <w:ind w:left="420" w:leftChars="200" w:firstLine="0" w:firstLineChars="0"/>
        <w:jc w:val="both"/>
        <w:outlineLvl w:val="9"/>
        <w:rPr>
          <w:rFonts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 天气预警期间（如台风蓝色预警）的设施加固措施落实情况。</w:t>
      </w:r>
    </w:p>
    <w:p w14:paraId="625E9217">
      <w:pPr>
        <w:widowControl w:val="0"/>
        <w:numPr>
          <w:ilvl w:val="3"/>
          <w:numId w:val="5"/>
        </w:numPr>
        <w:kinsoku w:val="0"/>
        <w:overflowPunct w:val="0"/>
        <w:snapToGrid w:val="0"/>
        <w:spacing w:before="190" w:beforeLines="50" w:after="190" w:afterLines="50" w:line="560" w:lineRule="exact"/>
        <w:ind w:left="0" w:firstLine="562" w:firstLineChars="200"/>
        <w:jc w:val="both"/>
        <w:outlineLvl w:val="9"/>
        <w:rPr>
          <w:rFonts w:ascii="等线 Light" w:hAnsi="等线 Light" w:eastAsia="仿宋" w:cs="Times New Roman"/>
          <w:b/>
          <w:bCs w:val="0"/>
          <w:kern w:val="2"/>
          <w:sz w:val="28"/>
          <w:szCs w:val="28"/>
          <w:lang w:val="en-US" w:eastAsia="zh-CN" w:bidi="ar-SA"/>
        </w:rPr>
      </w:pPr>
      <w:r>
        <w:rPr>
          <w:rFonts w:hint="eastAsia" w:ascii="等线 Light" w:hAnsi="等线 Light" w:eastAsia="仿宋" w:cs="Times New Roman"/>
          <w:b/>
          <w:bCs w:val="0"/>
          <w:kern w:val="2"/>
          <w:sz w:val="28"/>
          <w:szCs w:val="28"/>
          <w:lang w:val="en-US" w:eastAsia="zh-CN" w:bidi="ar-SA"/>
        </w:rPr>
        <w:t>周检项目</w:t>
      </w:r>
    </w:p>
    <w:p w14:paraId="02A76DB5">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除应覆盖</w:t>
      </w:r>
      <w:r>
        <w:rPr>
          <w:rFonts w:hint="eastAsia" w:ascii="Times New Roman" w:hAnsi="Times New Roman" w:eastAsia="仿宋" w:cs="Times New Roman"/>
          <w:sz w:val="28"/>
          <w:szCs w:val="28"/>
          <w:lang w:val="en-US" w:eastAsia="zh-CN"/>
        </w:rPr>
        <w:t>日</w:t>
      </w:r>
      <w:r>
        <w:rPr>
          <w:rFonts w:hint="eastAsia" w:ascii="Times New Roman" w:hAnsi="Times New Roman" w:eastAsia="仿宋" w:cs="Times New Roman"/>
          <w:sz w:val="28"/>
          <w:szCs w:val="28"/>
        </w:rPr>
        <w:t>检的所有项目，还应包含以下内容：</w:t>
      </w:r>
    </w:p>
    <w:p w14:paraId="585E505B">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各种安全装置或部件是否有效。</w:t>
      </w:r>
    </w:p>
    <w:p w14:paraId="2D0E2E74">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动力装置、传动和制动系统是否正常。</w:t>
      </w:r>
    </w:p>
    <w:p w14:paraId="5CBAAED7">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润滑油量是否足够，冷却系统是否正常。</w:t>
      </w:r>
    </w:p>
    <w:p w14:paraId="706B03E9">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绳索、链条和乘坐物及辅具等是否有无超过标准规定的损伤。</w:t>
      </w:r>
    </w:p>
    <w:p w14:paraId="638A9006">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控制电路与电气元件是否正常。</w:t>
      </w:r>
    </w:p>
    <w:p w14:paraId="51FCFFF9">
      <w:pPr>
        <w:widowControl w:val="0"/>
        <w:numPr>
          <w:ilvl w:val="4"/>
          <w:numId w:val="5"/>
        </w:numPr>
        <w:kinsoku w:val="0"/>
        <w:overflowPunct w:val="0"/>
        <w:snapToGrid w:val="0"/>
        <w:spacing w:before="190" w:beforeLines="50" w:after="190" w:afterLines="50" w:line="560" w:lineRule="exact"/>
        <w:ind w:left="0" w:leftChars="0" w:firstLine="560" w:firstLineChars="200"/>
        <w:jc w:val="both"/>
        <w:outlineLvl w:val="9"/>
        <w:rPr>
          <w:rFonts w:ascii="等线 Light" w:hAnsi="等线 Light" w:eastAsia="仿宋" w:cs="Times New Roman"/>
          <w:b/>
          <w:bCs w:val="0"/>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备用电源是否正常。</w:t>
      </w:r>
    </w:p>
    <w:p w14:paraId="7480F4FA">
      <w:pPr>
        <w:widowControl w:val="0"/>
        <w:numPr>
          <w:ilvl w:val="3"/>
          <w:numId w:val="5"/>
        </w:numPr>
        <w:kinsoku w:val="0"/>
        <w:overflowPunct w:val="0"/>
        <w:snapToGrid w:val="0"/>
        <w:spacing w:before="190" w:beforeLines="50" w:after="190" w:afterLines="50" w:line="560" w:lineRule="exact"/>
        <w:ind w:left="0" w:firstLine="562" w:firstLineChars="200"/>
        <w:jc w:val="both"/>
        <w:outlineLvl w:val="9"/>
        <w:rPr>
          <w:rFonts w:ascii="等线 Light" w:hAnsi="等线 Light" w:eastAsia="仿宋" w:cs="Times New Roman"/>
          <w:b/>
          <w:bCs w:val="0"/>
          <w:kern w:val="2"/>
          <w:sz w:val="28"/>
          <w:szCs w:val="28"/>
          <w:lang w:val="en-US" w:eastAsia="zh-CN" w:bidi="ar-SA"/>
        </w:rPr>
      </w:pPr>
      <w:r>
        <w:rPr>
          <w:rFonts w:hint="eastAsia" w:ascii="等线 Light" w:hAnsi="等线 Light" w:eastAsia="仿宋" w:cs="Times New Roman"/>
          <w:b/>
          <w:bCs w:val="0"/>
          <w:kern w:val="2"/>
          <w:sz w:val="28"/>
          <w:szCs w:val="28"/>
          <w:lang w:val="en-US" w:eastAsia="zh-CN" w:bidi="ar-SA"/>
        </w:rPr>
        <w:t>月检项目</w:t>
      </w:r>
    </w:p>
    <w:p w14:paraId="128AD3EB">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除应覆盖</w:t>
      </w:r>
      <w:r>
        <w:rPr>
          <w:rFonts w:hint="eastAsia" w:ascii="Times New Roman" w:hAnsi="Times New Roman" w:eastAsia="仿宋" w:cs="Times New Roman"/>
          <w:sz w:val="28"/>
          <w:szCs w:val="28"/>
          <w:lang w:val="en-US" w:eastAsia="zh-CN"/>
        </w:rPr>
        <w:t>周</w:t>
      </w:r>
      <w:r>
        <w:rPr>
          <w:rFonts w:hint="eastAsia" w:ascii="Times New Roman" w:hAnsi="Times New Roman" w:eastAsia="仿宋" w:cs="Times New Roman"/>
          <w:sz w:val="28"/>
          <w:szCs w:val="28"/>
        </w:rPr>
        <w:t>检的所有项目，还应包含以下内容：</w:t>
      </w:r>
    </w:p>
    <w:p w14:paraId="068C43AF">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传动装置的检查。</w:t>
      </w:r>
    </w:p>
    <w:p w14:paraId="327ECC77">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重要连接部位、重要受力部位结构部件是否牢固，减速器、耦合器、轴承座等固定是否牢固，温升、润滑是否良好。</w:t>
      </w:r>
    </w:p>
    <w:p w14:paraId="4E896A78">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轨道、轨枕和立柱是否有异常晃动、严重锈蚀、变形及裂纹等现象。</w:t>
      </w:r>
    </w:p>
    <w:p w14:paraId="20CB3B80">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设备座舱是否正常。</w:t>
      </w:r>
    </w:p>
    <w:p w14:paraId="1A353A0D">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电气系统是否正常。</w:t>
      </w:r>
    </w:p>
    <w:p w14:paraId="3D98B2A0">
      <w:pPr>
        <w:widowControl w:val="0"/>
        <w:numPr>
          <w:ilvl w:val="3"/>
          <w:numId w:val="5"/>
        </w:numPr>
        <w:kinsoku w:val="0"/>
        <w:overflowPunct w:val="0"/>
        <w:snapToGrid w:val="0"/>
        <w:spacing w:before="190" w:beforeLines="50" w:after="190" w:afterLines="50" w:line="560" w:lineRule="exact"/>
        <w:ind w:left="0" w:firstLine="562" w:firstLineChars="200"/>
        <w:jc w:val="both"/>
        <w:outlineLvl w:val="9"/>
        <w:rPr>
          <w:rFonts w:ascii="等线 Light" w:hAnsi="等线 Light" w:eastAsia="仿宋" w:cs="Times New Roman"/>
          <w:b/>
          <w:bCs w:val="0"/>
          <w:kern w:val="2"/>
          <w:sz w:val="28"/>
          <w:szCs w:val="28"/>
          <w:lang w:val="en-US" w:eastAsia="zh-CN" w:bidi="ar-SA"/>
        </w:rPr>
      </w:pPr>
      <w:r>
        <w:rPr>
          <w:rFonts w:hint="eastAsia" w:ascii="等线 Light" w:hAnsi="等线 Light" w:eastAsia="仿宋" w:cs="Times New Roman"/>
          <w:b/>
          <w:bCs w:val="0"/>
          <w:kern w:val="2"/>
          <w:sz w:val="28"/>
          <w:szCs w:val="28"/>
          <w:lang w:val="en-US" w:eastAsia="zh-CN" w:bidi="ar-SA"/>
        </w:rPr>
        <w:t>年度及重大节假日、重大活动前检查</w:t>
      </w:r>
    </w:p>
    <w:p w14:paraId="485273E0">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除应覆盖月检的所有项目，还应包含以下内容：</w:t>
      </w:r>
    </w:p>
    <w:p w14:paraId="5765D13F">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机动游戏设施的入口处等显著位置张贴的登记标志、乘客须知、安全注意事项、禁忌事宜等安全标志是否完整、齐全；</w:t>
      </w:r>
    </w:p>
    <w:p w14:paraId="58A85998">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检查应急装备、应急物资是否完好、可靠，值班人员、应急救援人员是否到位。</w:t>
      </w:r>
    </w:p>
    <w:p w14:paraId="10798D0D">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周围防护措施和栏杆应安全可靠。</w:t>
      </w:r>
    </w:p>
    <w:p w14:paraId="4864489D">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必要时须进行载荷试验，并按额定速度进行起升、运行、回转、变速等机构的安全技术性能检查。</w:t>
      </w:r>
    </w:p>
    <w:p w14:paraId="5B3463A0">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r>
        <w:rPr>
          <w:rFonts w:hint="eastAsia" w:ascii="仿宋" w:hAnsi="仿宋" w:eastAsia="仿宋" w:cs="Times New Roman"/>
          <w:b/>
          <w:kern w:val="2"/>
          <w:sz w:val="30"/>
          <w:szCs w:val="30"/>
          <w:lang w:val="en-US" w:eastAsia="zh-CN" w:bidi="ar-SA"/>
        </w:rPr>
        <w:t>设备更新大修</w:t>
      </w:r>
    </w:p>
    <w:p w14:paraId="685BCC45">
      <w:pPr>
        <w:widowControl w:val="0"/>
        <w:numPr>
          <w:ilvl w:val="0"/>
          <w:numId w:val="0"/>
        </w:numPr>
        <w:kinsoku w:val="0"/>
        <w:overflowPunct w:val="0"/>
        <w:snapToGrid w:val="0"/>
        <w:spacing w:before="190" w:beforeLines="50" w:after="190" w:afterLines="50" w:line="560" w:lineRule="exact"/>
        <w:ind w:leftChars="200" w:firstLine="560" w:firstLineChars="200"/>
        <w:jc w:val="left"/>
        <w:outlineLvl w:val="9"/>
        <w:rPr>
          <w:rFonts w:ascii="等线 Light" w:hAnsi="等线 Light" w:eastAsia="仿宋" w:cs="Times New Roman"/>
          <w:b w:val="0"/>
          <w:bCs/>
          <w:kern w:val="2"/>
          <w:sz w:val="28"/>
          <w:szCs w:val="28"/>
          <w:lang w:val="en-US" w:eastAsia="zh-CN" w:bidi="ar-SA"/>
        </w:rPr>
      </w:pPr>
      <w:r>
        <w:rPr>
          <w:rFonts w:hint="eastAsia" w:ascii="Times New Roman" w:hAnsi="Times New Roman" w:eastAsia="仿宋" w:cs="Times New Roman"/>
          <w:sz w:val="28"/>
          <w:szCs w:val="28"/>
          <w:lang w:val="en-US" w:eastAsia="zh-CN"/>
        </w:rPr>
        <w:t>乙方应根据出厂时规定的使用年限</w:t>
      </w:r>
      <w:r>
        <w:rPr>
          <w:rFonts w:hint="eastAsia" w:ascii="Times New Roman" w:hAnsi="Times New Roman" w:eastAsia="仿宋" w:cs="Times New Roman"/>
          <w:sz w:val="28"/>
          <w:szCs w:val="28"/>
        </w:rPr>
        <w:t>，按照国家相关标准、行业规范及甲方书面确认的技术方案，对全部运营设施进行全面更新大修，确保设施性能恢复至不低于初始验收标准或达到当前行业先进水平。</w:t>
      </w:r>
    </w:p>
    <w:p w14:paraId="54AC5D32">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46" w:name="_Toc4067"/>
      <w:bookmarkStart w:id="747" w:name="_Toc18765"/>
      <w:bookmarkStart w:id="748" w:name="_Toc30689"/>
      <w:bookmarkStart w:id="749" w:name="_Toc4482"/>
      <w:bookmarkStart w:id="750" w:name="_Toc4245"/>
      <w:bookmarkStart w:id="751" w:name="_Toc29102"/>
      <w:bookmarkStart w:id="752" w:name="_Toc2549"/>
      <w:r>
        <w:rPr>
          <w:rFonts w:hint="eastAsia" w:ascii="仿宋" w:hAnsi="仿宋" w:eastAsia="仿宋" w:cs="Times New Roman"/>
          <w:b/>
          <w:kern w:val="2"/>
          <w:sz w:val="30"/>
          <w:szCs w:val="30"/>
          <w:lang w:val="en-US" w:eastAsia="zh-CN" w:bidi="ar-SA"/>
        </w:rPr>
        <w:t>设施更换</w:t>
      </w:r>
      <w:bookmarkEnd w:id="746"/>
      <w:bookmarkEnd w:id="747"/>
      <w:bookmarkEnd w:id="748"/>
      <w:bookmarkEnd w:id="749"/>
      <w:bookmarkEnd w:id="750"/>
      <w:bookmarkEnd w:id="751"/>
      <w:bookmarkEnd w:id="752"/>
    </w:p>
    <w:p w14:paraId="5E550EAC">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除下述情形外，乙方不得擅自更换、拆除机动游戏设施：</w:t>
      </w:r>
    </w:p>
    <w:p w14:paraId="2985A42E">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53" w:name="_Toc5107"/>
      <w:r>
        <w:rPr>
          <w:rFonts w:hint="eastAsia" w:ascii="仿宋" w:hAnsi="仿宋" w:eastAsia="仿宋" w:cs="Times New Roman"/>
          <w:b/>
          <w:kern w:val="2"/>
          <w:sz w:val="30"/>
          <w:szCs w:val="30"/>
          <w:lang w:val="en-US" w:eastAsia="zh-CN" w:bidi="ar-SA"/>
        </w:rPr>
        <w:t>使用年限期满后的更换</w:t>
      </w:r>
      <w:bookmarkEnd w:id="753"/>
    </w:p>
    <w:p w14:paraId="6C545830">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机动游戏设施的使用年限，原则上不得超过整机设计使用年限。</w:t>
      </w:r>
    </w:p>
    <w:p w14:paraId="23BCE8C6">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应做好关键零部件设计使用年限统计记录工作，并应当在整机或重要部件使用年限届满前约请原制造单位完成安全评估。制造单位已不存在或者乙方不认可制造单位评估结论的，乙方应当约请具有相应资质的制造单位、检验机构或者承保该机动游戏设施公众责任保险的保险人组织评估。</w:t>
      </w:r>
    </w:p>
    <w:p w14:paraId="2826B69D">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经评估不具备安全运营条件的，乙方必须立即停止相应机动游戏设施的运营，并安排更换。</w:t>
      </w:r>
    </w:p>
    <w:p w14:paraId="60DF8956">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54" w:name="_Toc15582"/>
      <w:r>
        <w:rPr>
          <w:rFonts w:hint="eastAsia" w:ascii="仿宋" w:hAnsi="仿宋" w:eastAsia="仿宋" w:cs="Times New Roman"/>
          <w:b/>
          <w:kern w:val="2"/>
          <w:sz w:val="30"/>
          <w:szCs w:val="30"/>
          <w:lang w:val="en-US" w:eastAsia="zh-CN" w:bidi="ar-SA"/>
        </w:rPr>
        <w:t>公众满意度不足时的更换</w:t>
      </w:r>
      <w:bookmarkEnd w:id="754"/>
    </w:p>
    <w:p w14:paraId="297D22D5">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乙方因公众满意度不足根据本合同约定进行整改时，可以更换相应机动游戏设施。</w:t>
      </w:r>
    </w:p>
    <w:p w14:paraId="09F50195">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55" w:name="_Toc17070"/>
      <w:bookmarkStart w:id="756" w:name="_Toc26681"/>
      <w:bookmarkStart w:id="757" w:name="_Toc1987"/>
      <w:bookmarkStart w:id="758" w:name="_Toc28470"/>
      <w:bookmarkStart w:id="759" w:name="_Toc5029"/>
      <w:bookmarkStart w:id="760" w:name="_Toc20071"/>
      <w:bookmarkStart w:id="761" w:name="_Toc15150"/>
      <w:r>
        <w:rPr>
          <w:rFonts w:hint="eastAsia" w:ascii="仿宋" w:hAnsi="仿宋" w:eastAsia="仿宋" w:cs="Times New Roman"/>
          <w:b/>
          <w:kern w:val="2"/>
          <w:sz w:val="30"/>
          <w:szCs w:val="30"/>
          <w:lang w:val="en-US" w:eastAsia="zh-CN" w:bidi="ar-SA"/>
        </w:rPr>
        <w:t>机动游戏设施安全管理</w:t>
      </w:r>
      <w:bookmarkEnd w:id="755"/>
      <w:bookmarkEnd w:id="756"/>
      <w:bookmarkEnd w:id="757"/>
      <w:bookmarkEnd w:id="758"/>
      <w:bookmarkEnd w:id="759"/>
      <w:bookmarkEnd w:id="760"/>
      <w:bookmarkEnd w:id="761"/>
    </w:p>
    <w:p w14:paraId="4FF2D311">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乙方承担机动游戏设施的全部安全管理责任，并严格按照下述约定及适用法律的规定开展安全管理工作：</w:t>
      </w:r>
    </w:p>
    <w:p w14:paraId="60B1BB25">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62" w:name="_Toc30272"/>
      <w:r>
        <w:rPr>
          <w:rFonts w:hint="eastAsia" w:ascii="仿宋" w:hAnsi="仿宋" w:eastAsia="仿宋" w:cs="Times New Roman"/>
          <w:b/>
          <w:kern w:val="2"/>
          <w:sz w:val="30"/>
          <w:szCs w:val="30"/>
          <w:lang w:val="en-US" w:eastAsia="zh-CN" w:bidi="ar-SA"/>
        </w:rPr>
        <w:t>建立安全技术档案</w:t>
      </w:r>
      <w:bookmarkEnd w:id="762"/>
    </w:p>
    <w:p w14:paraId="3F2308A4">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乙方对每项机动游戏设施应建立安全技术档案，做到一台（套）一档。安全技术档案至少包括以下内容：安装技术资料、合格证</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维保台账、</w:t>
      </w:r>
      <w:r>
        <w:rPr>
          <w:rFonts w:hint="eastAsia" w:ascii="Times New Roman" w:hAnsi="Times New Roman" w:eastAsia="仿宋" w:cs="Times New Roman"/>
          <w:sz w:val="28"/>
          <w:szCs w:val="28"/>
        </w:rPr>
        <w:t>免检声明。</w:t>
      </w:r>
    </w:p>
    <w:p w14:paraId="642B1C2A">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63" w:name="_Toc21655"/>
      <w:r>
        <w:rPr>
          <w:rFonts w:hint="eastAsia" w:ascii="仿宋" w:hAnsi="仿宋" w:eastAsia="仿宋" w:cs="Times New Roman"/>
          <w:b/>
          <w:kern w:val="2"/>
          <w:sz w:val="30"/>
          <w:szCs w:val="30"/>
          <w:lang w:val="en-US" w:eastAsia="zh-CN" w:bidi="ar-SA"/>
        </w:rPr>
        <w:t>专职安全管理人员</w:t>
      </w:r>
      <w:bookmarkEnd w:id="763"/>
    </w:p>
    <w:p w14:paraId="38A2DF82">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乙方必须配备专职的安全管理人员，负责机动游戏设施的安全管理工作。安全管理人员应当掌握相关的安全技术知识，熟悉有关机动游戏设施的法规和标准、</w:t>
      </w:r>
    </w:p>
    <w:p w14:paraId="2DEBBDD4">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64" w:name="_Toc7259"/>
      <w:bookmarkStart w:id="765" w:name="_Toc15141"/>
      <w:bookmarkStart w:id="766" w:name="_Toc4591"/>
      <w:bookmarkStart w:id="767" w:name="_Toc955"/>
      <w:bookmarkStart w:id="768" w:name="_Toc26383"/>
      <w:bookmarkStart w:id="769" w:name="_Toc13885"/>
      <w:bookmarkStart w:id="770" w:name="_Toc24152"/>
      <w:r>
        <w:rPr>
          <w:rFonts w:hint="eastAsia" w:ascii="仿宋" w:hAnsi="仿宋" w:eastAsia="仿宋" w:cs="Times New Roman"/>
          <w:b/>
          <w:kern w:val="2"/>
          <w:sz w:val="30"/>
          <w:szCs w:val="30"/>
          <w:lang w:val="en-US" w:eastAsia="zh-CN" w:bidi="ar-SA"/>
        </w:rPr>
        <w:t>应急处置</w:t>
      </w:r>
      <w:bookmarkEnd w:id="764"/>
      <w:bookmarkEnd w:id="765"/>
      <w:bookmarkEnd w:id="766"/>
      <w:bookmarkEnd w:id="767"/>
      <w:bookmarkEnd w:id="768"/>
      <w:bookmarkEnd w:id="769"/>
      <w:bookmarkEnd w:id="770"/>
    </w:p>
    <w:p w14:paraId="3ADF1C05">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71" w:name="_Toc6526"/>
      <w:r>
        <w:rPr>
          <w:rFonts w:hint="eastAsia" w:ascii="仿宋" w:hAnsi="仿宋" w:eastAsia="仿宋" w:cs="Times New Roman"/>
          <w:b/>
          <w:kern w:val="2"/>
          <w:sz w:val="30"/>
          <w:szCs w:val="30"/>
          <w:lang w:val="en-US" w:eastAsia="zh-CN" w:bidi="ar-SA"/>
        </w:rPr>
        <w:t>应急处置预案</w:t>
      </w:r>
      <w:bookmarkEnd w:id="771"/>
    </w:p>
    <w:p w14:paraId="030C9779">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乙方应当根据适用法律规定制定机动游戏设施专项应急处置预案，预案内容至少包括以下几个方面：</w:t>
      </w:r>
    </w:p>
    <w:p w14:paraId="0E204219">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动力电源断电或设备发生故障，危及乘客安全时。</w:t>
      </w:r>
    </w:p>
    <w:p w14:paraId="5A4229A4">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遭遇雷电、暴雨、台风、地震、雪灾等自然灾害时。</w:t>
      </w:r>
    </w:p>
    <w:p w14:paraId="7D83F9D1">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发生爆炸、火灾时。</w:t>
      </w:r>
    </w:p>
    <w:p w14:paraId="02C7E94E">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发生人身事故时。</w:t>
      </w:r>
    </w:p>
    <w:p w14:paraId="17C3FA0F">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游客突发急病时。</w:t>
      </w:r>
    </w:p>
    <w:p w14:paraId="12F3C6A5">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ascii="等线 Light" w:hAnsi="等线 Light" w:eastAsia="仿宋" w:cs="Times New Roman"/>
          <w:b w:val="0"/>
          <w:bCs/>
          <w:kern w:val="2"/>
          <w:sz w:val="28"/>
          <w:szCs w:val="28"/>
          <w:lang w:val="en-US" w:eastAsia="zh-CN" w:bidi="ar-SA"/>
        </w:rPr>
        <w:t>应急事件记录内容</w:t>
      </w:r>
      <w:r>
        <w:rPr>
          <w:rFonts w:hint="default" w:ascii="等线 Light" w:hAnsi="等线 Light" w:eastAsia="仿宋" w:cs="Times New Roman"/>
          <w:b w:val="0"/>
          <w:bCs/>
          <w:kern w:val="2"/>
          <w:sz w:val="28"/>
          <w:szCs w:val="28"/>
          <w:lang w:val="en-US" w:eastAsia="zh-CN" w:bidi="ar-SA"/>
        </w:rPr>
        <w:t>：</w:t>
      </w:r>
    </w:p>
    <w:p w14:paraId="30E8DB2F">
      <w:pPr>
        <w:widowControl w:val="0"/>
        <w:numPr>
          <w:ilvl w:val="0"/>
          <w:numId w:val="0"/>
        </w:numPr>
        <w:kinsoku w:val="0"/>
        <w:overflowPunct w:val="0"/>
        <w:snapToGrid w:val="0"/>
        <w:spacing w:before="190" w:beforeLines="50" w:after="190" w:afterLines="50" w:line="560" w:lineRule="exact"/>
        <w:ind w:left="420" w:leftChars="200" w:firstLine="0" w:firstLineChars="0"/>
        <w:jc w:val="both"/>
        <w:outlineLvl w:val="9"/>
        <w:rPr>
          <w:rFonts w:hint="default"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每次应急处置结束后，需形成《应急事件处理报告》，内容包括：</w:t>
      </w:r>
    </w:p>
    <w:p w14:paraId="3434BADF">
      <w:pPr>
        <w:widowControl w:val="0"/>
        <w:numPr>
          <w:ilvl w:val="0"/>
          <w:numId w:val="0"/>
        </w:numPr>
        <w:kinsoku w:val="0"/>
        <w:overflowPunct w:val="0"/>
        <w:snapToGrid w:val="0"/>
        <w:spacing w:before="190" w:beforeLines="50" w:after="190" w:afterLines="50" w:line="560" w:lineRule="exact"/>
        <w:ind w:left="420" w:leftChars="200" w:firstLine="0" w:firstLineChars="0"/>
        <w:jc w:val="both"/>
        <w:outlineLvl w:val="9"/>
        <w:rPr>
          <w:rFonts w:hint="default"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 事件发生时间、地点、涉及设施及人员情况；</w:t>
      </w:r>
    </w:p>
    <w:p w14:paraId="3BAF6B60">
      <w:pPr>
        <w:widowControl w:val="0"/>
        <w:numPr>
          <w:ilvl w:val="0"/>
          <w:numId w:val="0"/>
        </w:numPr>
        <w:kinsoku w:val="0"/>
        <w:overflowPunct w:val="0"/>
        <w:snapToGrid w:val="0"/>
        <w:spacing w:before="190" w:beforeLines="50" w:after="190" w:afterLines="50" w:line="560" w:lineRule="exact"/>
        <w:ind w:left="420" w:leftChars="200" w:firstLine="0" w:firstLineChars="0"/>
        <w:jc w:val="both"/>
        <w:outlineLvl w:val="9"/>
        <w:rPr>
          <w:rFonts w:hint="default"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 应急响应启动时间、采取的救援措施及耗时；</w:t>
      </w:r>
    </w:p>
    <w:p w14:paraId="46CEE27A">
      <w:pPr>
        <w:widowControl w:val="0"/>
        <w:numPr>
          <w:ilvl w:val="0"/>
          <w:numId w:val="0"/>
        </w:numPr>
        <w:kinsoku w:val="0"/>
        <w:overflowPunct w:val="0"/>
        <w:snapToGrid w:val="0"/>
        <w:spacing w:before="190" w:beforeLines="50" w:after="190" w:afterLines="50" w:line="560" w:lineRule="exact"/>
        <w:ind w:left="420" w:leftChars="200" w:firstLine="0" w:firstLineChars="0"/>
        <w:jc w:val="both"/>
        <w:outlineLvl w:val="9"/>
        <w:rPr>
          <w:rFonts w:hint="default"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 乘客伤亡情况、医疗处置结果；</w:t>
      </w:r>
    </w:p>
    <w:p w14:paraId="4FDFCB0A">
      <w:pPr>
        <w:widowControl w:val="0"/>
        <w:numPr>
          <w:ilvl w:val="0"/>
          <w:numId w:val="0"/>
        </w:numPr>
        <w:kinsoku w:val="0"/>
        <w:overflowPunct w:val="0"/>
        <w:snapToGrid w:val="0"/>
        <w:spacing w:before="190" w:beforeLines="50" w:after="190" w:afterLines="50" w:line="560" w:lineRule="exact"/>
        <w:ind w:left="420" w:leftChars="200" w:firstLine="0" w:firstLineChars="0"/>
        <w:jc w:val="both"/>
        <w:outlineLvl w:val="9"/>
        <w:rPr>
          <w:rFonts w:hint="default"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 设施损坏程度及修复计划；</w:t>
      </w:r>
    </w:p>
    <w:p w14:paraId="00CB4F47">
      <w:pPr>
        <w:widowControl w:val="0"/>
        <w:numPr>
          <w:ilvl w:val="0"/>
          <w:numId w:val="0"/>
        </w:numPr>
        <w:kinsoku w:val="0"/>
        <w:overflowPunct w:val="0"/>
        <w:snapToGrid w:val="0"/>
        <w:spacing w:before="190" w:beforeLines="50" w:after="190" w:afterLines="50" w:line="560" w:lineRule="exact"/>
        <w:ind w:left="420" w:leftChars="200" w:firstLine="0" w:firstLineChars="0"/>
        <w:jc w:val="both"/>
        <w:outlineLvl w:val="9"/>
        <w:rPr>
          <w:rFonts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 事故原因分析及改进措施。</w:t>
      </w:r>
    </w:p>
    <w:p w14:paraId="7EF0729B">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报告程序：</w:t>
      </w:r>
    </w:p>
    <w:p w14:paraId="10010B8E">
      <w:pPr>
        <w:widowControl w:val="0"/>
        <w:numPr>
          <w:ilvl w:val="0"/>
          <w:numId w:val="0"/>
        </w:numPr>
        <w:kinsoku w:val="0"/>
        <w:overflowPunct w:val="0"/>
        <w:snapToGrid w:val="0"/>
        <w:spacing w:before="190" w:beforeLines="50" w:after="190" w:afterLines="50" w:line="560" w:lineRule="exact"/>
        <w:ind w:left="0" w:leftChars="0" w:firstLine="560" w:firstLineChars="200"/>
        <w:jc w:val="both"/>
        <w:outlineLvl w:val="9"/>
        <w:rPr>
          <w:rFonts w:hint="default"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发生轻伤事故，乙方需在24 小时内将报告提交甲方备案；</w:t>
      </w:r>
    </w:p>
    <w:p w14:paraId="0145CD50">
      <w:pPr>
        <w:widowControl w:val="0"/>
        <w:numPr>
          <w:ilvl w:val="0"/>
          <w:numId w:val="0"/>
        </w:numPr>
        <w:kinsoku w:val="0"/>
        <w:overflowPunct w:val="0"/>
        <w:snapToGrid w:val="0"/>
        <w:spacing w:before="190" w:beforeLines="50" w:after="190" w:afterLines="50" w:line="560" w:lineRule="exact"/>
        <w:ind w:left="0" w:leftChars="0" w:firstLine="560" w:firstLineChars="200"/>
        <w:jc w:val="both"/>
        <w:outlineLvl w:val="9"/>
        <w:rPr>
          <w:rFonts w:hint="default"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发生重伤及以上事故或引发社会舆情的事件，需在1小时内电话报告甲方，并在6 小时内提交书面报告；</w:t>
      </w:r>
    </w:p>
    <w:p w14:paraId="179F1C7B">
      <w:pPr>
        <w:widowControl w:val="0"/>
        <w:numPr>
          <w:ilvl w:val="0"/>
          <w:numId w:val="0"/>
        </w:numPr>
        <w:kinsoku w:val="0"/>
        <w:overflowPunct w:val="0"/>
        <w:snapToGrid w:val="0"/>
        <w:spacing w:before="190" w:beforeLines="50" w:after="190" w:afterLines="50" w:line="560" w:lineRule="exact"/>
        <w:ind w:left="0" w:leftChars="0" w:firstLine="560" w:firstLineChars="200"/>
        <w:jc w:val="both"/>
        <w:outlineLvl w:val="9"/>
        <w:rPr>
          <w:rFonts w:ascii="等线 Light" w:hAnsi="等线 Light" w:eastAsia="仿宋" w:cs="Times New Roman"/>
          <w:b w:val="0"/>
          <w:bCs/>
          <w:kern w:val="2"/>
          <w:sz w:val="28"/>
          <w:szCs w:val="28"/>
          <w:lang w:val="en-US" w:eastAsia="zh-CN" w:bidi="ar-SA"/>
        </w:rPr>
      </w:pPr>
      <w:r>
        <w:rPr>
          <w:rFonts w:hint="default" w:ascii="等线 Light" w:hAnsi="等线 Light" w:eastAsia="仿宋" w:cs="Times New Roman"/>
          <w:b w:val="0"/>
          <w:bCs/>
          <w:kern w:val="2"/>
          <w:sz w:val="28"/>
          <w:szCs w:val="28"/>
          <w:lang w:val="en-US" w:eastAsia="zh-CN" w:bidi="ar-SA"/>
        </w:rPr>
        <w:t>报告需经乙方法定代表人签字并加盖公章，不得迟报、漏报或谎报。</w:t>
      </w:r>
    </w:p>
    <w:p w14:paraId="0989F1EB">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72" w:name="_Toc7315"/>
      <w:r>
        <w:rPr>
          <w:rFonts w:hint="eastAsia" w:ascii="仿宋" w:hAnsi="仿宋" w:eastAsia="仿宋" w:cs="Times New Roman"/>
          <w:b/>
          <w:kern w:val="2"/>
          <w:sz w:val="30"/>
          <w:szCs w:val="30"/>
          <w:lang w:val="en-US" w:eastAsia="zh-CN" w:bidi="ar-SA"/>
        </w:rPr>
        <w:t>救援设施配备与维护</w:t>
      </w:r>
      <w:bookmarkEnd w:id="772"/>
    </w:p>
    <w:p w14:paraId="0F21D446">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乙方应根据需要现场配备必要的救援设施，如备用发电机、爬梯、安全走道、救援绳、急救药箱及灭火器等。乙方应当定期检查救援设施，确保其处于完好有效状态。</w:t>
      </w:r>
    </w:p>
    <w:p w14:paraId="4EA1AAFC">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73" w:name="_Toc31868"/>
      <w:r>
        <w:rPr>
          <w:rFonts w:hint="eastAsia" w:ascii="仿宋" w:hAnsi="仿宋" w:eastAsia="仿宋" w:cs="Times New Roman"/>
          <w:b/>
          <w:kern w:val="2"/>
          <w:sz w:val="30"/>
          <w:szCs w:val="30"/>
          <w:lang w:val="en-US" w:eastAsia="zh-CN" w:bidi="ar-SA"/>
        </w:rPr>
        <w:t>专项培训与演练</w:t>
      </w:r>
      <w:bookmarkEnd w:id="773"/>
    </w:p>
    <w:p w14:paraId="5B09B3E7">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ascii="Times New Roman" w:hAnsi="Times New Roman" w:eastAsia="仿宋" w:cs="Times New Roman"/>
          <w:sz w:val="28"/>
          <w:szCs w:val="28"/>
        </w:rPr>
        <w:t>乙方</w:t>
      </w:r>
      <w:r>
        <w:rPr>
          <w:rFonts w:hint="eastAsia" w:ascii="Times New Roman" w:hAnsi="Times New Roman" w:eastAsia="仿宋" w:cs="Times New Roman"/>
          <w:sz w:val="28"/>
          <w:szCs w:val="28"/>
        </w:rPr>
        <w:t>应对员工进行培训，使之掌握应急事故处理、救援知识和实际操作方法。</w:t>
      </w:r>
    </w:p>
    <w:p w14:paraId="78A466A8">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乙方每年至少组织1次应急救援演练，演练应有记录并存档，存档期限应不少于3年。</w:t>
      </w:r>
    </w:p>
    <w:p w14:paraId="00E81BCA">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74" w:name="_Toc4666"/>
      <w:r>
        <w:rPr>
          <w:rFonts w:hint="eastAsia" w:ascii="仿宋" w:hAnsi="仿宋" w:eastAsia="仿宋" w:cs="Times New Roman"/>
          <w:b/>
          <w:kern w:val="2"/>
          <w:sz w:val="30"/>
          <w:szCs w:val="30"/>
          <w:lang w:val="en-US" w:eastAsia="zh-CN" w:bidi="ar-SA"/>
        </w:rPr>
        <w:t>伤亡事故处理</w:t>
      </w:r>
      <w:bookmarkEnd w:id="774"/>
    </w:p>
    <w:p w14:paraId="29995CCE">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乙方必须对任何可能的事故立即采取应急救援措施，保护事故现场，防止事故扩大，抢救伤员，并按照国家</w:t>
      </w:r>
      <w:r>
        <w:rPr>
          <w:rFonts w:hint="eastAsia" w:ascii="Times New Roman" w:hAnsi="Times New Roman" w:eastAsia="仿宋" w:cs="Times New Roman"/>
          <w:sz w:val="28"/>
          <w:szCs w:val="28"/>
          <w:lang w:val="en-US" w:eastAsia="zh-CN"/>
        </w:rPr>
        <w:t>相关</w:t>
      </w:r>
      <w:r>
        <w:rPr>
          <w:rFonts w:hint="eastAsia" w:ascii="Times New Roman" w:hAnsi="Times New Roman" w:eastAsia="仿宋" w:cs="Times New Roman"/>
          <w:sz w:val="28"/>
          <w:szCs w:val="28"/>
        </w:rPr>
        <w:t>事故处理规定进行报告和处理。</w:t>
      </w:r>
      <w:bookmarkStart w:id="775" w:name="_Toc45811832"/>
      <w:bookmarkStart w:id="776" w:name="_Toc11260"/>
      <w:bookmarkStart w:id="777" w:name="_Toc12661"/>
      <w:bookmarkStart w:id="778" w:name="_Toc13642257"/>
    </w:p>
    <w:p w14:paraId="5EFC563A">
      <w:pPr>
        <w:snapToGrid w:val="0"/>
        <w:spacing w:before="190" w:beforeLines="50" w:after="190" w:afterLines="50" w:line="360" w:lineRule="auto"/>
        <w:ind w:firstLine="560" w:firstLineChars="200"/>
        <w:rPr>
          <w:rFonts w:ascii="Times New Roman" w:hAnsi="Times New Roman" w:eastAsia="仿宋" w:cs="Times New Roman"/>
          <w:sz w:val="28"/>
          <w:szCs w:val="28"/>
        </w:rPr>
      </w:pPr>
    </w:p>
    <w:p w14:paraId="6F5F03EE">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779" w:name="_Toc17762"/>
      <w:bookmarkStart w:id="780" w:name="_Toc5359"/>
      <w:bookmarkStart w:id="781" w:name="_Toc25971"/>
      <w:bookmarkStart w:id="782" w:name="_Toc7619"/>
      <w:bookmarkStart w:id="783" w:name="_Toc10267"/>
      <w:r>
        <w:rPr>
          <w:rFonts w:hint="eastAsia" w:ascii="黑体" w:hAnsi="黑体" w:eastAsia="黑体" w:cs="Times New Roman"/>
          <w:kern w:val="2"/>
          <w:sz w:val="32"/>
          <w:szCs w:val="32"/>
          <w:lang w:val="en-US" w:eastAsia="zh-CN" w:bidi="ar-SA"/>
        </w:rPr>
        <w:t>保险</w:t>
      </w:r>
      <w:bookmarkEnd w:id="775"/>
      <w:bookmarkEnd w:id="776"/>
      <w:bookmarkEnd w:id="777"/>
      <w:r>
        <w:rPr>
          <w:rFonts w:hint="eastAsia" w:ascii="黑体" w:hAnsi="黑体" w:eastAsia="黑体" w:cs="Times New Roman"/>
          <w:kern w:val="2"/>
          <w:sz w:val="32"/>
          <w:szCs w:val="32"/>
          <w:lang w:val="en-US" w:eastAsia="zh-CN" w:bidi="ar-SA"/>
        </w:rPr>
        <w:t>及履约担保</w:t>
      </w:r>
      <w:bookmarkEnd w:id="779"/>
      <w:bookmarkEnd w:id="780"/>
      <w:bookmarkEnd w:id="781"/>
      <w:bookmarkEnd w:id="782"/>
      <w:bookmarkEnd w:id="783"/>
    </w:p>
    <w:p w14:paraId="1AAE34C6">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84" w:name="_Toc19010"/>
      <w:bookmarkStart w:id="785" w:name="_Toc24081"/>
      <w:bookmarkStart w:id="786" w:name="_Toc24337"/>
      <w:bookmarkStart w:id="787" w:name="_Toc1653"/>
      <w:bookmarkStart w:id="788" w:name="_Toc10098"/>
      <w:bookmarkStart w:id="789" w:name="_Toc446"/>
      <w:bookmarkStart w:id="790" w:name="_Toc45811833"/>
      <w:bookmarkStart w:id="791" w:name="_Toc3407"/>
      <w:r>
        <w:rPr>
          <w:rFonts w:hint="eastAsia" w:ascii="仿宋" w:hAnsi="仿宋" w:eastAsia="仿宋" w:cs="Times New Roman"/>
          <w:b/>
          <w:kern w:val="2"/>
          <w:sz w:val="30"/>
          <w:szCs w:val="30"/>
          <w:lang w:val="en-US" w:eastAsia="zh-CN" w:bidi="ar-SA"/>
        </w:rPr>
        <w:t>保险义务</w:t>
      </w:r>
      <w:bookmarkEnd w:id="784"/>
      <w:bookmarkEnd w:id="785"/>
      <w:bookmarkEnd w:id="786"/>
      <w:bookmarkEnd w:id="787"/>
      <w:bookmarkEnd w:id="788"/>
      <w:bookmarkEnd w:id="789"/>
      <w:bookmarkEnd w:id="790"/>
      <w:bookmarkEnd w:id="791"/>
    </w:p>
    <w:p w14:paraId="73941BDB">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自项目竣工日起，乙方应结合适用法律规定、谨慎运营惯例自费取得和维持保险。乙方在购买该等规定的保险后，应将保单及保费支付证明副本提交甲方备案。</w:t>
      </w:r>
    </w:p>
    <w:p w14:paraId="23F9807E">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792" w:name="_Toc29977"/>
      <w:bookmarkStart w:id="793" w:name="_Toc11891"/>
      <w:bookmarkStart w:id="794" w:name="_Toc24296"/>
      <w:bookmarkStart w:id="795" w:name="_Toc26754"/>
      <w:bookmarkStart w:id="796" w:name="_Toc22627"/>
      <w:bookmarkStart w:id="797" w:name="_Toc28059"/>
      <w:bookmarkStart w:id="798" w:name="_Toc45811834"/>
      <w:bookmarkStart w:id="799" w:name="_Toc16344"/>
      <w:r>
        <w:rPr>
          <w:rFonts w:hint="eastAsia" w:ascii="仿宋" w:hAnsi="仿宋" w:eastAsia="仿宋" w:cs="Times New Roman"/>
          <w:b/>
          <w:kern w:val="2"/>
          <w:sz w:val="30"/>
          <w:szCs w:val="30"/>
          <w:lang w:val="en-US" w:eastAsia="zh-CN" w:bidi="ar-SA"/>
        </w:rPr>
        <w:t>保险险种</w:t>
      </w:r>
      <w:bookmarkEnd w:id="792"/>
      <w:bookmarkEnd w:id="793"/>
      <w:bookmarkEnd w:id="794"/>
      <w:bookmarkEnd w:id="795"/>
      <w:bookmarkEnd w:id="796"/>
      <w:bookmarkEnd w:id="797"/>
      <w:bookmarkEnd w:id="798"/>
      <w:bookmarkEnd w:id="799"/>
    </w:p>
    <w:p w14:paraId="1298DAD3">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公众责任险：</w:t>
      </w:r>
    </w:p>
    <w:p w14:paraId="1878766E">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受益人：包含甲方及第三方公众，甲方作为共同受益人可直接向保险公司索赔；</w:t>
      </w:r>
    </w:p>
    <w:p w14:paraId="2073CD19">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保险金额：年度累计赔偿限额不低于500万元，单次事故赔偿限额不低于200万元；</w:t>
      </w:r>
    </w:p>
    <w:p w14:paraId="084DA5AE">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保障范围：覆盖动力游戏区内因设施故障、乙方操作失误等导致的公众人身伤亡、财产损失及法律费用。</w:t>
      </w:r>
    </w:p>
    <w:p w14:paraId="104DBC0E">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游乐设施安全责任险：</w:t>
      </w:r>
    </w:p>
    <w:p w14:paraId="381939C1">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受益人：乙方（需优先用于支付事故赔偿金）；</w:t>
      </w:r>
    </w:p>
    <w:p w14:paraId="0402088C">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保险金额：每台机动游戏设施年度保额不低于100万元；</w:t>
      </w:r>
    </w:p>
    <w:p w14:paraId="46C54B08">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800" w:name="_Toc17744"/>
      <w:bookmarkStart w:id="801" w:name="_Toc8594"/>
      <w:bookmarkStart w:id="802" w:name="_Toc20445"/>
      <w:bookmarkStart w:id="803" w:name="_Toc45811835"/>
      <w:bookmarkStart w:id="804" w:name="_Toc2252"/>
      <w:bookmarkStart w:id="805" w:name="_Toc26441"/>
      <w:bookmarkStart w:id="806" w:name="_Toc3594"/>
      <w:bookmarkStart w:id="807" w:name="_Toc30728"/>
      <w:r>
        <w:rPr>
          <w:rFonts w:hint="eastAsia" w:ascii="仿宋" w:hAnsi="仿宋" w:eastAsia="仿宋" w:cs="Times New Roman"/>
          <w:b/>
          <w:kern w:val="2"/>
          <w:sz w:val="30"/>
          <w:szCs w:val="30"/>
          <w:lang w:val="en-US" w:eastAsia="zh-CN" w:bidi="ar-SA"/>
        </w:rPr>
        <w:t>未按规定投保的责任</w:t>
      </w:r>
      <w:bookmarkEnd w:id="800"/>
      <w:bookmarkEnd w:id="801"/>
      <w:bookmarkEnd w:id="802"/>
      <w:bookmarkEnd w:id="803"/>
      <w:bookmarkEnd w:id="804"/>
      <w:bookmarkEnd w:id="805"/>
      <w:bookmarkEnd w:id="806"/>
      <w:bookmarkEnd w:id="807"/>
    </w:p>
    <w:p w14:paraId="721C975E">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如因乙方未根据本合同约定办理保险、保险范围不足、保险金额过低、保险期间不足或其他可归责于乙方的因素，导致甲方或第三人未能获得足以弥补损害的保险理赔且乙方需承担损害赔偿责任的，乙方应承担所有损失及损害赔偿。</w:t>
      </w:r>
    </w:p>
    <w:p w14:paraId="253F189D">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808" w:name="_Toc8906"/>
      <w:bookmarkStart w:id="809" w:name="_Toc3241"/>
      <w:bookmarkStart w:id="810" w:name="_Toc25909"/>
      <w:bookmarkStart w:id="811" w:name="_Toc1018"/>
      <w:bookmarkStart w:id="812" w:name="_Toc12167"/>
      <w:r>
        <w:rPr>
          <w:rFonts w:hint="eastAsia" w:ascii="仿宋" w:hAnsi="仿宋" w:eastAsia="仿宋" w:cs="Times New Roman"/>
          <w:b/>
          <w:kern w:val="2"/>
          <w:sz w:val="30"/>
          <w:szCs w:val="30"/>
          <w:lang w:val="en-US" w:eastAsia="zh-CN" w:bidi="ar-SA"/>
        </w:rPr>
        <w:t>履约担保</w:t>
      </w:r>
    </w:p>
    <w:p w14:paraId="7B46AFF8">
      <w:pPr>
        <w:widowControl w:val="0"/>
        <w:numPr>
          <w:ilvl w:val="0"/>
          <w:numId w:val="0"/>
        </w:numPr>
        <w:snapToGrid/>
        <w:spacing w:before="190" w:beforeLines="50" w:after="190" w:afterLines="50" w:line="560" w:lineRule="exact"/>
        <w:ind w:left="0" w:firstLine="560" w:firstLineChars="200"/>
        <w:jc w:val="left"/>
        <w:outlineLvl w:val="9"/>
        <w:rPr>
          <w:rFonts w:ascii="仿宋" w:hAnsi="仿宋" w:eastAsia="仿宋" w:cs="Times New Roman"/>
          <w:b/>
          <w:kern w:val="2"/>
          <w:sz w:val="30"/>
          <w:szCs w:val="30"/>
          <w:lang w:val="en-US" w:eastAsia="zh-CN" w:bidi="ar-SA"/>
        </w:rPr>
      </w:pPr>
      <w:r>
        <w:rPr>
          <w:rFonts w:hint="eastAsia" w:ascii="Times New Roman" w:hAnsi="Times New Roman" w:eastAsia="仿宋" w:cs="Times New Roman"/>
          <w:sz w:val="28"/>
          <w:szCs w:val="28"/>
        </w:rPr>
        <w:t>履约担保金额为</w:t>
      </w:r>
      <w:r>
        <w:rPr>
          <w:rFonts w:hint="eastAsia" w:ascii="Times New Roman" w:hAnsi="Times New Roman" w:eastAsia="仿宋" w:cs="Times New Roman"/>
          <w:sz w:val="28"/>
          <w:szCs w:val="28"/>
          <w:lang w:val="en-US" w:eastAsia="zh-CN"/>
        </w:rPr>
        <w:t>24</w:t>
      </w:r>
      <w:r>
        <w:rPr>
          <w:rFonts w:hint="eastAsia" w:ascii="Times New Roman" w:hAnsi="Times New Roman" w:eastAsia="仿宋" w:cs="Times New Roman"/>
          <w:sz w:val="28"/>
          <w:szCs w:val="28"/>
        </w:rPr>
        <w:t>万元，乙方应在收到中标通知书30天内、</w:t>
      </w:r>
      <w:r>
        <w:rPr>
          <w:rFonts w:hint="eastAsia" w:ascii="Times New Roman" w:hAnsi="Times New Roman" w:eastAsia="仿宋" w:cs="Times New Roman"/>
          <w:sz w:val="28"/>
          <w:szCs w:val="28"/>
          <w:lang w:val="en-US" w:eastAsia="zh-CN"/>
        </w:rPr>
        <w:t>签订合同前向甲方足额缴纳履约保证金（以银行转账方式汇入招标人指定账户），联合体投标的履约担保由牵头单位运营单位缴纳。</w:t>
      </w:r>
      <w:r>
        <w:rPr>
          <w:rFonts w:hint="eastAsia" w:ascii="Times New Roman" w:hAnsi="Times New Roman" w:eastAsia="仿宋" w:cs="Times New Roman"/>
          <w:sz w:val="28"/>
          <w:szCs w:val="28"/>
        </w:rPr>
        <w:t>乙方应在履约担保文件到期前30天内办理续保，并提交续保担保文件原件。办理履约担保文件及续保的所需费用由乙方自行承担。</w:t>
      </w:r>
    </w:p>
    <w:bookmarkEnd w:id="808"/>
    <w:bookmarkEnd w:id="809"/>
    <w:bookmarkEnd w:id="810"/>
    <w:bookmarkEnd w:id="811"/>
    <w:bookmarkEnd w:id="812"/>
    <w:p w14:paraId="770F65F9">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r>
        <w:rPr>
          <w:rFonts w:hint="eastAsia" w:ascii="仿宋" w:hAnsi="仿宋" w:eastAsia="仿宋" w:cs="Times New Roman"/>
          <w:b/>
          <w:kern w:val="2"/>
          <w:sz w:val="30"/>
          <w:szCs w:val="30"/>
          <w:lang w:val="en-US" w:eastAsia="zh-CN" w:bidi="ar-SA"/>
        </w:rPr>
        <w:t>乙方员工保险</w:t>
      </w:r>
    </w:p>
    <w:p w14:paraId="5400314E">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乙方须为参与项目运营的全体员工（含操作员、安全管理人员、维护人员等）投保以下险种，确保员工权益及甲方风险隔离：</w:t>
      </w:r>
    </w:p>
    <w:p w14:paraId="354A7A4D">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工伤保险</w:t>
      </w:r>
    </w:p>
    <w:p w14:paraId="4C24E854">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按《工伤保险条例》要求足额缴纳工伤保险费，覆盖所有员工在工作期间因工负伤、患职业病等情形；</w:t>
      </w:r>
    </w:p>
    <w:p w14:paraId="705271D5">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若因乙方未缴纳工伤保险导致员工工伤待遇无法落实的，由乙方承担全部赔偿责任，甲方不承担连带责任。</w:t>
      </w:r>
    </w:p>
    <w:p w14:paraId="697486F1">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雇主责任险（推荐险种）</w:t>
      </w:r>
    </w:p>
    <w:p w14:paraId="563BFCB4">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投保人数：覆盖全体员工（含临时工、实习生），每人保额不低于</w:t>
      </w:r>
      <w:r>
        <w:rPr>
          <w:rFonts w:hint="eastAsia" w:ascii="Times New Roman" w:hAnsi="Times New Roman" w:eastAsia="仿宋" w:cs="Times New Roman"/>
          <w:sz w:val="28"/>
          <w:szCs w:val="28"/>
          <w:lang w:val="en-US" w:eastAsia="zh-CN"/>
        </w:rPr>
        <w:t>50</w:t>
      </w:r>
      <w:r>
        <w:rPr>
          <w:rFonts w:hint="eastAsia" w:ascii="Times New Roman" w:hAnsi="Times New Roman" w:eastAsia="仿宋" w:cs="Times New Roman"/>
          <w:sz w:val="28"/>
          <w:szCs w:val="28"/>
        </w:rPr>
        <w:t>万元；</w:t>
      </w:r>
    </w:p>
    <w:p w14:paraId="29D0DCDA">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保障范围：包含工伤身故 / 伤残、医疗费用、误工费用、法律费用等；</w:t>
      </w:r>
    </w:p>
    <w:p w14:paraId="486E4982">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受益人：乙方（员工伤亡赔偿优先用于履行乙方对员工的法定赔偿义务）；</w:t>
      </w:r>
    </w:p>
    <w:p w14:paraId="7B0C820B">
      <w:pPr>
        <w:snapToGrid w:val="0"/>
        <w:spacing w:before="190" w:beforeLines="50" w:after="190" w:afterLines="50" w:line="560" w:lineRule="exact"/>
        <w:ind w:firstLine="560" w:firstLineChars="200"/>
        <w:outlineLvl w:val="9"/>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保单需约定：若乙方因重大过失或故意行为导致员工伤亡，保险公司有权向乙方追偿。</w:t>
      </w:r>
    </w:p>
    <w:p w14:paraId="0EDA3799">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p>
    <w:p w14:paraId="79B86FA8">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813" w:name="_Toc29437"/>
      <w:bookmarkStart w:id="814" w:name="_Toc25183"/>
      <w:bookmarkStart w:id="815" w:name="_Toc45811836"/>
      <w:bookmarkStart w:id="816" w:name="_Toc4416"/>
      <w:bookmarkStart w:id="817" w:name="_Toc15162"/>
      <w:bookmarkStart w:id="818" w:name="_Toc2926"/>
      <w:bookmarkStart w:id="819" w:name="_Toc8733"/>
      <w:bookmarkStart w:id="820" w:name="_Toc17069"/>
      <w:r>
        <w:rPr>
          <w:rFonts w:hint="eastAsia" w:ascii="黑体" w:hAnsi="黑体" w:eastAsia="黑体" w:cs="Times New Roman"/>
          <w:kern w:val="2"/>
          <w:sz w:val="32"/>
          <w:szCs w:val="32"/>
          <w:lang w:val="en-US" w:eastAsia="zh-CN" w:bidi="ar-SA"/>
        </w:rPr>
        <w:t>不可抗力</w:t>
      </w:r>
      <w:bookmarkEnd w:id="778"/>
      <w:bookmarkEnd w:id="813"/>
      <w:bookmarkEnd w:id="814"/>
      <w:bookmarkEnd w:id="815"/>
      <w:bookmarkEnd w:id="816"/>
      <w:bookmarkEnd w:id="817"/>
      <w:bookmarkEnd w:id="818"/>
      <w:bookmarkEnd w:id="819"/>
      <w:bookmarkEnd w:id="820"/>
    </w:p>
    <w:p w14:paraId="32EFDC4D">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821" w:name="_Toc45811837"/>
      <w:bookmarkStart w:id="822" w:name="_Toc28523"/>
      <w:bookmarkStart w:id="823" w:name="_Toc31153"/>
      <w:bookmarkStart w:id="824" w:name="_Toc26253"/>
      <w:bookmarkStart w:id="825" w:name="_Toc19375"/>
      <w:bookmarkStart w:id="826" w:name="_Toc6725"/>
      <w:bookmarkStart w:id="827" w:name="_Toc3184"/>
      <w:bookmarkStart w:id="828" w:name="_Toc13642258"/>
      <w:bookmarkStart w:id="829" w:name="_Toc529224153"/>
      <w:bookmarkStart w:id="830" w:name="_Toc22937"/>
      <w:r>
        <w:rPr>
          <w:rFonts w:hint="eastAsia" w:ascii="仿宋" w:hAnsi="仿宋" w:eastAsia="仿宋" w:cs="Times New Roman"/>
          <w:b/>
          <w:kern w:val="2"/>
          <w:sz w:val="30"/>
          <w:szCs w:val="30"/>
          <w:lang w:val="en-US" w:eastAsia="zh-CN" w:bidi="ar-SA"/>
        </w:rPr>
        <w:t>情形</w:t>
      </w:r>
      <w:bookmarkEnd w:id="821"/>
      <w:bookmarkEnd w:id="822"/>
      <w:bookmarkEnd w:id="823"/>
      <w:bookmarkEnd w:id="824"/>
      <w:bookmarkEnd w:id="825"/>
      <w:bookmarkEnd w:id="826"/>
      <w:bookmarkEnd w:id="827"/>
      <w:bookmarkEnd w:id="828"/>
      <w:bookmarkEnd w:id="829"/>
      <w:bookmarkEnd w:id="830"/>
    </w:p>
    <w:p w14:paraId="66E5B2BE">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不可抗力是指不能预见、不能避免且不能克服的客观情况，包括：</w:t>
      </w:r>
    </w:p>
    <w:p w14:paraId="5AD4930B">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default" w:ascii="Times New Roman" w:hAnsi="Times New Roman" w:eastAsia="仿宋" w:cs="Times New Roman"/>
          <w:sz w:val="28"/>
          <w:szCs w:val="28"/>
        </w:rPr>
        <w:t>自然事件：地震、火山爆发、滑坡、水灾、暴雨（3 个小时内降雨量达 50mm 以上）、海啸、台风（平均风力 10 级以上且造成严重且普遍灾害的）、龙卷风或旱灾等自然灾害，需符合《民法典》第一百八十条关于不可抗力的法定要件；</w:t>
      </w:r>
    </w:p>
    <w:p w14:paraId="5C608F25">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default" w:ascii="Times New Roman" w:hAnsi="Times New Roman" w:eastAsia="仿宋" w:cs="Times New Roman"/>
          <w:sz w:val="28"/>
          <w:szCs w:val="28"/>
        </w:rPr>
        <w:t>社会事件：战争、武装冲突、罢工、骚乱、暴动、疫情等社会异常事件，以政府主管部门发布的正式公告或通报为准；</w:t>
      </w:r>
    </w:p>
    <w:p w14:paraId="3DBA76EB">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default" w:ascii="Times New Roman" w:hAnsi="Times New Roman" w:eastAsia="仿宋" w:cs="Times New Roman"/>
          <w:sz w:val="28"/>
          <w:szCs w:val="28"/>
        </w:rPr>
        <w:t>政府行为：因深圳市罗湖区人民政府及所属各部门依法履行行政管理职责导致的征收征用、行政命令、政策调整或法律变更等，该等行为需以书面文件形式作出并明确涉及本项目。</w:t>
      </w:r>
    </w:p>
    <w:p w14:paraId="442A3ACB">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831" w:name="_Toc13642259"/>
      <w:bookmarkStart w:id="832" w:name="_Toc18267"/>
      <w:bookmarkStart w:id="833" w:name="_Toc45811838"/>
      <w:bookmarkStart w:id="834" w:name="_Toc368223999"/>
      <w:bookmarkStart w:id="835" w:name="_Toc23452"/>
      <w:bookmarkStart w:id="836" w:name="_Toc339438195"/>
      <w:bookmarkStart w:id="837" w:name="_Toc496511530"/>
      <w:bookmarkStart w:id="838" w:name="_Toc22145"/>
      <w:bookmarkStart w:id="839" w:name="_Toc7291"/>
      <w:bookmarkStart w:id="840" w:name="_Toc529224154"/>
      <w:bookmarkStart w:id="841" w:name="_Toc9434"/>
      <w:bookmarkStart w:id="842" w:name="_Toc13476"/>
      <w:bookmarkStart w:id="843" w:name="_Toc11481"/>
      <w:r>
        <w:rPr>
          <w:rFonts w:hint="eastAsia" w:ascii="仿宋" w:hAnsi="仿宋" w:eastAsia="仿宋" w:cs="Times New Roman"/>
          <w:b/>
          <w:kern w:val="2"/>
          <w:sz w:val="30"/>
          <w:szCs w:val="30"/>
          <w:lang w:val="en-US" w:eastAsia="zh-CN" w:bidi="ar-SA"/>
        </w:rPr>
        <w:t>通知认定</w:t>
      </w:r>
      <w:bookmarkEnd w:id="831"/>
      <w:bookmarkEnd w:id="832"/>
      <w:bookmarkEnd w:id="833"/>
      <w:bookmarkEnd w:id="834"/>
      <w:bookmarkEnd w:id="835"/>
      <w:bookmarkEnd w:id="836"/>
      <w:bookmarkEnd w:id="837"/>
      <w:bookmarkEnd w:id="838"/>
      <w:bookmarkEnd w:id="839"/>
      <w:bookmarkEnd w:id="840"/>
      <w:bookmarkEnd w:id="841"/>
      <w:bookmarkEnd w:id="842"/>
      <w:bookmarkEnd w:id="843"/>
    </w:p>
    <w:p w14:paraId="5B86295E">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任何一方主张不可抗力发生而受重大影响时，应在事件发生且客观上能通知之日起7日内书面通知对方。</w:t>
      </w:r>
      <w:r>
        <w:rPr>
          <w:rFonts w:hint="eastAsia" w:ascii="Times New Roman" w:hAnsi="Times New Roman" w:eastAsia="仿宋" w:cs="Times New Roman"/>
          <w:sz w:val="28"/>
          <w:szCs w:val="28"/>
          <w:lang w:val="en-US" w:eastAsia="zh-CN"/>
        </w:rPr>
        <w:t>主张不可抗力的一方需同时提供以下证明材料：</w:t>
      </w:r>
      <w:r>
        <w:rPr>
          <w:rFonts w:hint="eastAsia" w:ascii="Times New Roman" w:hAnsi="Times New Roman" w:eastAsia="仿宋" w:cs="Times New Roman"/>
          <w:sz w:val="28"/>
          <w:szCs w:val="28"/>
        </w:rPr>
        <w:t>对于战争、武装冲突、罢工、骚乱、暴动等社会异常事件，需提供事发地县级以上政府或公安机关出具的《情况说明》或新闻媒体的权威报道；对于疫情等公共卫生事件，需提供深圳市卫生健康委员会发布的官方公告；相关证明材料需经公证机构公证（境外事件需附加中国驻当地使领馆认证），否则对方有权不予认可。任何一方在收到对方的通知后，甲乙双方应立即综合当时的情况加以认定。</w:t>
      </w:r>
    </w:p>
    <w:p w14:paraId="6B3467DB">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844" w:name="_Toc14257"/>
      <w:bookmarkStart w:id="845" w:name="_Toc8773"/>
      <w:bookmarkStart w:id="846" w:name="_Toc30976"/>
      <w:bookmarkStart w:id="847" w:name="_Toc6590"/>
      <w:bookmarkStart w:id="848" w:name="_Toc666"/>
      <w:bookmarkStart w:id="849" w:name="_Toc45811839"/>
      <w:bookmarkStart w:id="850" w:name="_Toc13642260"/>
      <w:bookmarkStart w:id="851" w:name="_Toc529224155"/>
      <w:bookmarkStart w:id="852" w:name="_Toc17309"/>
      <w:bookmarkStart w:id="853" w:name="_Toc2223"/>
      <w:r>
        <w:rPr>
          <w:rFonts w:hint="eastAsia" w:ascii="仿宋" w:hAnsi="仿宋" w:eastAsia="仿宋" w:cs="Times New Roman"/>
          <w:b/>
          <w:kern w:val="2"/>
          <w:sz w:val="30"/>
          <w:szCs w:val="30"/>
          <w:lang w:val="en-US" w:eastAsia="zh-CN" w:bidi="ar-SA"/>
        </w:rPr>
        <w:t>法律后果</w:t>
      </w:r>
      <w:bookmarkEnd w:id="844"/>
      <w:bookmarkEnd w:id="845"/>
      <w:bookmarkEnd w:id="846"/>
      <w:bookmarkEnd w:id="847"/>
      <w:bookmarkEnd w:id="848"/>
      <w:bookmarkEnd w:id="849"/>
      <w:bookmarkEnd w:id="850"/>
      <w:bookmarkEnd w:id="851"/>
      <w:bookmarkEnd w:id="852"/>
      <w:bookmarkEnd w:id="853"/>
    </w:p>
    <w:p w14:paraId="701D9889">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854" w:name="_Toc22040"/>
      <w:r>
        <w:rPr>
          <w:rFonts w:hint="eastAsia" w:ascii="仿宋" w:hAnsi="仿宋" w:eastAsia="仿宋" w:cs="Times New Roman"/>
          <w:b/>
          <w:kern w:val="2"/>
          <w:sz w:val="30"/>
          <w:szCs w:val="30"/>
          <w:lang w:val="en-US" w:eastAsia="zh-CN" w:bidi="ar-SA"/>
        </w:rPr>
        <w:t>中止履行</w:t>
      </w:r>
      <w:bookmarkEnd w:id="854"/>
    </w:p>
    <w:p w14:paraId="132AA95A">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任何一方由于出现不可抗力事件，无法全部或部分履行其在本合同项下的义务时，该方有权中止履行本合同项下的相应义务。</w:t>
      </w:r>
    </w:p>
    <w:p w14:paraId="7162131E">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855" w:name="_Toc496511534"/>
      <w:bookmarkStart w:id="856" w:name="_Toc28255"/>
      <w:bookmarkStart w:id="857" w:name="_Toc368224005"/>
      <w:bookmarkStart w:id="858" w:name="_Toc339438201"/>
      <w:r>
        <w:rPr>
          <w:rFonts w:hint="eastAsia" w:ascii="仿宋" w:hAnsi="仿宋" w:eastAsia="仿宋" w:cs="Times New Roman"/>
          <w:b/>
          <w:kern w:val="2"/>
          <w:sz w:val="30"/>
          <w:szCs w:val="30"/>
          <w:lang w:val="en-US" w:eastAsia="zh-CN" w:bidi="ar-SA"/>
        </w:rPr>
        <w:t>继续履行</w:t>
      </w:r>
      <w:bookmarkEnd w:id="855"/>
      <w:bookmarkEnd w:id="856"/>
      <w:bookmarkEnd w:id="857"/>
      <w:bookmarkEnd w:id="858"/>
    </w:p>
    <w:p w14:paraId="52C63560">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不可抗力事件的发生仅对本合同部分义务的履行产生严重影响的，其余义务应继续履行。但有下列情形之一，且经甲乙双方同意者，不在此限：</w:t>
      </w:r>
    </w:p>
    <w:p w14:paraId="26E9B828">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履行剩余部分义务已无法达到合同的目的。</w:t>
      </w:r>
    </w:p>
    <w:p w14:paraId="0F1685D0">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履行剩余部分义务存在重大困难或对乙方财务状况有重大不利影响。</w:t>
      </w:r>
    </w:p>
    <w:p w14:paraId="0043E895">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859" w:name="_Toc17915"/>
      <w:r>
        <w:rPr>
          <w:rFonts w:hint="eastAsia" w:ascii="仿宋" w:hAnsi="仿宋" w:eastAsia="仿宋" w:cs="Times New Roman"/>
          <w:b/>
          <w:kern w:val="2"/>
          <w:sz w:val="30"/>
          <w:szCs w:val="30"/>
          <w:lang w:val="en-US" w:eastAsia="zh-CN" w:bidi="ar-SA"/>
        </w:rPr>
        <w:t>责任免除</w:t>
      </w:r>
      <w:bookmarkEnd w:id="859"/>
    </w:p>
    <w:p w14:paraId="7501030C">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任一方因不可抗力致本合同无法如期履行时，不承担延迟责任。</w:t>
      </w:r>
      <w:r>
        <w:rPr>
          <w:rFonts w:hint="eastAsia" w:ascii="Times New Roman" w:hAnsi="Times New Roman" w:eastAsia="仿宋" w:cs="Times New Roman"/>
          <w:sz w:val="28"/>
          <w:szCs w:val="28"/>
          <w:lang w:val="en-US" w:eastAsia="zh-CN"/>
        </w:rPr>
        <w:t>若因深圳市罗湖区人民政府及所属各部门的政府行为（如征收征用、政策调整等）导致本合同部分或全部无法履行，甲方不承担违约责任，但应及时书面通知乙方。由此导致的损失由双方按照以下方式分担：</w:t>
      </w:r>
      <w:r>
        <w:rPr>
          <w:rFonts w:hint="eastAsia" w:ascii="Times New Roman" w:hAnsi="Times New Roman" w:eastAsia="仿宋" w:cs="Times New Roman"/>
          <w:sz w:val="28"/>
          <w:szCs w:val="28"/>
        </w:rPr>
        <w:t>因政府行为导致运营收益减少的，乙方不得要求甲方补足收益差额。</w:t>
      </w:r>
    </w:p>
    <w:p w14:paraId="6B99E3CC">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860" w:name="_Toc13157113"/>
      <w:bookmarkEnd w:id="860"/>
      <w:bookmarkStart w:id="861" w:name="_Toc13157112"/>
      <w:bookmarkEnd w:id="861"/>
      <w:bookmarkStart w:id="862" w:name="_Toc13642262"/>
      <w:bookmarkStart w:id="863" w:name="_Toc529224157"/>
      <w:bookmarkStart w:id="864" w:name="_Toc2667"/>
      <w:bookmarkStart w:id="865" w:name="_Toc45811841"/>
      <w:bookmarkStart w:id="866" w:name="_Toc10040"/>
      <w:bookmarkStart w:id="867" w:name="_Toc3595"/>
      <w:bookmarkStart w:id="868" w:name="_Toc7777"/>
      <w:bookmarkStart w:id="869" w:name="_Toc14340"/>
      <w:bookmarkStart w:id="870" w:name="_Toc15258"/>
      <w:bookmarkStart w:id="871" w:name="_Toc23937"/>
      <w:bookmarkStart w:id="872" w:name="_Toc496511531"/>
      <w:bookmarkStart w:id="873" w:name="_Toc339438196"/>
      <w:bookmarkStart w:id="874" w:name="_Toc368224000"/>
      <w:r>
        <w:rPr>
          <w:rFonts w:hint="eastAsia" w:ascii="仿宋" w:hAnsi="仿宋" w:eastAsia="仿宋" w:cs="Times New Roman"/>
          <w:b/>
          <w:kern w:val="2"/>
          <w:sz w:val="30"/>
          <w:szCs w:val="30"/>
          <w:lang w:val="en-US" w:eastAsia="zh-CN" w:bidi="ar-SA"/>
        </w:rPr>
        <w:t>恢复履行</w:t>
      </w:r>
      <w:bookmarkEnd w:id="862"/>
      <w:bookmarkEnd w:id="863"/>
      <w:bookmarkEnd w:id="864"/>
      <w:bookmarkEnd w:id="865"/>
      <w:bookmarkEnd w:id="866"/>
      <w:bookmarkEnd w:id="867"/>
      <w:bookmarkEnd w:id="868"/>
      <w:bookmarkEnd w:id="869"/>
      <w:bookmarkEnd w:id="870"/>
      <w:bookmarkEnd w:id="871"/>
    </w:p>
    <w:p w14:paraId="1784082C">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受到影响的一方在不可抗力情形消除之后，应尽快恢复履行本合同项下的义务。</w:t>
      </w:r>
      <w:bookmarkStart w:id="875" w:name="_Toc496562740"/>
      <w:bookmarkEnd w:id="875"/>
      <w:bookmarkStart w:id="876" w:name="_Toc496562598"/>
      <w:bookmarkEnd w:id="876"/>
      <w:bookmarkStart w:id="877" w:name="_Toc496562415"/>
      <w:bookmarkEnd w:id="877"/>
      <w:bookmarkStart w:id="878" w:name="_Toc496571104"/>
      <w:bookmarkEnd w:id="878"/>
      <w:bookmarkStart w:id="879" w:name="_Toc496571103"/>
      <w:bookmarkEnd w:id="879"/>
      <w:bookmarkStart w:id="880" w:name="_Toc496562886"/>
      <w:bookmarkEnd w:id="880"/>
      <w:bookmarkStart w:id="881" w:name="_Toc496562599"/>
      <w:bookmarkEnd w:id="881"/>
      <w:bookmarkStart w:id="882" w:name="_Toc496562414"/>
      <w:bookmarkEnd w:id="882"/>
      <w:bookmarkStart w:id="883" w:name="_Toc496562741"/>
      <w:bookmarkEnd w:id="883"/>
      <w:bookmarkStart w:id="884" w:name="_Toc496562887"/>
      <w:bookmarkEnd w:id="884"/>
    </w:p>
    <w:bookmarkEnd w:id="872"/>
    <w:bookmarkEnd w:id="873"/>
    <w:bookmarkEnd w:id="874"/>
    <w:p w14:paraId="29E03A44">
      <w:pPr>
        <w:snapToGrid w:val="0"/>
        <w:spacing w:before="190" w:beforeLines="50" w:after="190" w:afterLines="50" w:line="360" w:lineRule="auto"/>
        <w:ind w:firstLine="560" w:firstLineChars="200"/>
        <w:outlineLvl w:val="9"/>
        <w:rPr>
          <w:rFonts w:ascii="Times New Roman" w:hAnsi="Times New Roman" w:eastAsia="仿宋" w:cs="Times New Roman"/>
          <w:sz w:val="28"/>
          <w:szCs w:val="28"/>
        </w:rPr>
      </w:pPr>
      <w:bookmarkStart w:id="885" w:name="_Toc27948"/>
      <w:bookmarkStart w:id="886" w:name="_Toc45811842"/>
      <w:bookmarkStart w:id="887" w:name="_Toc4213"/>
      <w:r>
        <w:rPr>
          <w:rFonts w:hint="eastAsia" w:ascii="Times New Roman" w:hAnsi="Times New Roman" w:eastAsia="仿宋" w:cs="Times New Roman"/>
          <w:sz w:val="28"/>
          <w:szCs w:val="28"/>
        </w:rPr>
        <w:br w:type="page"/>
      </w:r>
    </w:p>
    <w:p w14:paraId="57E56E9C">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888" w:name="_Toc8551"/>
      <w:bookmarkStart w:id="889" w:name="_Toc28419"/>
      <w:bookmarkStart w:id="890" w:name="_Toc10431"/>
      <w:bookmarkStart w:id="891" w:name="_Toc22587"/>
      <w:bookmarkStart w:id="892" w:name="_Toc15082"/>
      <w:r>
        <w:rPr>
          <w:rFonts w:hint="eastAsia" w:ascii="黑体" w:hAnsi="黑体" w:eastAsia="黑体" w:cs="Times New Roman"/>
          <w:kern w:val="2"/>
          <w:sz w:val="32"/>
          <w:szCs w:val="32"/>
          <w:lang w:val="en-US" w:eastAsia="zh-CN" w:bidi="ar-SA"/>
        </w:rPr>
        <w:t>违</w:t>
      </w:r>
      <w:bookmarkStart w:id="893" w:name="_Toc468976006"/>
      <w:bookmarkEnd w:id="893"/>
      <w:bookmarkStart w:id="894" w:name="_Toc468890807"/>
      <w:bookmarkEnd w:id="894"/>
      <w:bookmarkStart w:id="895" w:name="_Toc472619805"/>
      <w:bookmarkEnd w:id="895"/>
      <w:bookmarkStart w:id="896" w:name="_Toc466991042"/>
      <w:bookmarkEnd w:id="896"/>
      <w:bookmarkStart w:id="897" w:name="_Toc468975669"/>
      <w:bookmarkEnd w:id="897"/>
      <w:bookmarkStart w:id="898" w:name="_Toc468890956"/>
      <w:bookmarkEnd w:id="898"/>
      <w:r>
        <w:rPr>
          <w:rFonts w:hint="eastAsia" w:ascii="黑体" w:hAnsi="黑体" w:eastAsia="黑体" w:cs="Times New Roman"/>
          <w:kern w:val="2"/>
          <w:sz w:val="32"/>
          <w:szCs w:val="32"/>
          <w:lang w:val="en-US" w:eastAsia="zh-CN" w:bidi="ar-SA"/>
        </w:rPr>
        <w:t>约责任</w:t>
      </w:r>
      <w:bookmarkEnd w:id="885"/>
      <w:bookmarkEnd w:id="886"/>
      <w:bookmarkEnd w:id="887"/>
      <w:bookmarkEnd w:id="888"/>
      <w:bookmarkEnd w:id="889"/>
      <w:bookmarkEnd w:id="890"/>
      <w:bookmarkEnd w:id="891"/>
      <w:bookmarkEnd w:id="892"/>
    </w:p>
    <w:p w14:paraId="2169D434">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899" w:name="_Toc11613"/>
      <w:bookmarkStart w:id="900" w:name="_Toc474"/>
      <w:bookmarkStart w:id="901" w:name="_Toc19978"/>
      <w:bookmarkStart w:id="902" w:name="_Toc20378"/>
      <w:bookmarkStart w:id="903" w:name="_Toc11706"/>
      <w:bookmarkStart w:id="904" w:name="_Toc17580"/>
      <w:bookmarkStart w:id="905" w:name="_Toc31031"/>
      <w:bookmarkStart w:id="906" w:name="_Toc45811843"/>
      <w:r>
        <w:rPr>
          <w:rFonts w:hint="eastAsia" w:ascii="仿宋" w:hAnsi="仿宋" w:eastAsia="仿宋" w:cs="Times New Roman"/>
          <w:b/>
          <w:kern w:val="2"/>
          <w:sz w:val="30"/>
          <w:szCs w:val="30"/>
          <w:lang w:val="en-US" w:eastAsia="zh-CN" w:bidi="ar-SA"/>
        </w:rPr>
        <w:t>一般违约</w:t>
      </w:r>
      <w:bookmarkEnd w:id="899"/>
      <w:bookmarkEnd w:id="900"/>
      <w:bookmarkEnd w:id="901"/>
      <w:bookmarkEnd w:id="902"/>
      <w:bookmarkEnd w:id="903"/>
      <w:bookmarkEnd w:id="904"/>
      <w:bookmarkEnd w:id="905"/>
      <w:bookmarkEnd w:id="906"/>
    </w:p>
    <w:p w14:paraId="1C0A149E">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907" w:name="_Toc22073"/>
      <w:r>
        <w:rPr>
          <w:rFonts w:hint="eastAsia" w:ascii="仿宋" w:hAnsi="仿宋" w:eastAsia="仿宋" w:cs="Times New Roman"/>
          <w:b/>
          <w:kern w:val="2"/>
          <w:sz w:val="30"/>
          <w:szCs w:val="30"/>
          <w:lang w:val="en-US" w:eastAsia="zh-CN" w:bidi="ar-SA"/>
        </w:rPr>
        <w:t>一般违约情形</w:t>
      </w:r>
      <w:bookmarkEnd w:id="907"/>
    </w:p>
    <w:p w14:paraId="3707DBB5">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因乙方原因而有下列情况之一的，构成乙方一般违约：</w:t>
      </w:r>
    </w:p>
    <w:p w14:paraId="120F3787">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（1）对甲方或甲方委托的第三方发现的一般安全隐患，乙方应在收到安全隐患督办通知书之日起按安全隐患督办通知书中规定的期限和要求进行整改，逾期未完成整改的。</w:t>
      </w:r>
    </w:p>
    <w:p w14:paraId="6C4E5E68">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（2）乙方未能按施工进度计划及时完成合同约定的工作，造成工期延误的。</w:t>
      </w:r>
    </w:p>
    <w:p w14:paraId="5B22D83F">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（3）乙方在缺陷责任期及保修期内，未能在合理期限对工程缺陷进行修复的。</w:t>
      </w:r>
    </w:p>
    <w:p w14:paraId="6103DF47">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（4）乙方未能按照合同约定履行其他义务，但并未导致合同目的不能实现的。</w:t>
      </w:r>
    </w:p>
    <w:p w14:paraId="685EBA5D">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908" w:name="_Toc16282"/>
      <w:r>
        <w:rPr>
          <w:rFonts w:hint="eastAsia" w:ascii="仿宋" w:hAnsi="仿宋" w:eastAsia="仿宋" w:cs="Times New Roman"/>
          <w:b/>
          <w:kern w:val="2"/>
          <w:sz w:val="30"/>
          <w:szCs w:val="30"/>
          <w:lang w:val="en-US" w:eastAsia="zh-CN" w:bidi="ar-SA"/>
        </w:rPr>
        <w:t>一般违约处理</w:t>
      </w:r>
      <w:bookmarkEnd w:id="908"/>
    </w:p>
    <w:p w14:paraId="4BF6FC20">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任何一方如有一般违约行为时，对方有权要求违约方限期改正，并以载明下列事项的书面改正通知送达违约方：</w:t>
      </w:r>
    </w:p>
    <w:p w14:paraId="2DB5DB90">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一般违约的具体事实。</w:t>
      </w:r>
    </w:p>
    <w:p w14:paraId="1BE53C43">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改正一般违约的合理期限。</w:t>
      </w:r>
    </w:p>
    <w:p w14:paraId="47EC4F7B">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改正后应达到的标准，该标准应不超过合同的约定。</w:t>
      </w:r>
    </w:p>
    <w:p w14:paraId="0A283122">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届时未完成改正的处理措施</w:t>
      </w:r>
      <w:r>
        <w:rPr>
          <w:rFonts w:hint="eastAsia" w:ascii="Times New Roman" w:hAnsi="Times New Roman" w:eastAsia="仿宋" w:cs="Times New Roman"/>
          <w:bCs/>
          <w:kern w:val="2"/>
          <w:sz w:val="28"/>
          <w:szCs w:val="28"/>
          <w:lang w:val="en-US" w:eastAsia="zh-CN" w:bidi="ar-SA"/>
        </w:rPr>
        <w:t>。</w:t>
      </w:r>
    </w:p>
    <w:p w14:paraId="1F15DAC3">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违约方应按照书面改正通知载明的期限改正一般违约。否则，对方有权代违约方改正或指定第三方代为改正，由此产生的全部合理费用由违约方承担。守约方不代为改正的，每逾期1日，违约方应向对方支付人民币</w:t>
      </w:r>
      <w:r>
        <w:rPr>
          <w:rFonts w:hint="eastAsia" w:ascii="Times New Roman" w:hAnsi="Times New Roman" w:eastAsia="仿宋" w:cs="Times New Roman"/>
          <w:sz w:val="28"/>
          <w:szCs w:val="28"/>
          <w:lang w:val="en-US" w:eastAsia="zh-CN"/>
        </w:rPr>
        <w:t>500</w:t>
      </w:r>
      <w:r>
        <w:rPr>
          <w:rFonts w:hint="eastAsia" w:ascii="Times New Roman" w:hAnsi="Times New Roman" w:eastAsia="仿宋" w:cs="Times New Roman"/>
          <w:sz w:val="28"/>
          <w:szCs w:val="28"/>
        </w:rPr>
        <w:t>元/日的违约金直至下述任一条件成就之日止：</w:t>
      </w:r>
    </w:p>
    <w:p w14:paraId="2CB0386A">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1、改正一般违约。</w:t>
      </w:r>
    </w:p>
    <w:p w14:paraId="1FBA4A98">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2、本合同终止。</w:t>
      </w:r>
    </w:p>
    <w:p w14:paraId="1CBA1FEF">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3、收到书面改正重大违约通知之日。</w:t>
      </w:r>
    </w:p>
    <w:p w14:paraId="5A3E5CE8">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bookmarkStart w:id="909" w:name="_Hlk500858925"/>
      <w:r>
        <w:rPr>
          <w:rFonts w:hint="eastAsia" w:ascii="Times New Roman" w:hAnsi="Times New Roman" w:eastAsia="仿宋" w:cs="Times New Roman"/>
          <w:sz w:val="28"/>
          <w:szCs w:val="28"/>
        </w:rPr>
        <w:t>违约方认为书面改正通知载明的期限不合理的，甲乙双方可就改正期限进行协商，协商不成的，按本合同约定的争议处理相关约定处理。违约方认为书面改正通知载明的违约事项不属实的，按本合同约定的争议处理相关约定处理。</w:t>
      </w:r>
    </w:p>
    <w:bookmarkEnd w:id="909"/>
    <w:p w14:paraId="3CE50679">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910" w:name="_Toc221879294"/>
      <w:bookmarkStart w:id="911" w:name="_Toc214357175"/>
      <w:bookmarkStart w:id="912" w:name="_Toc12680"/>
      <w:bookmarkStart w:id="913" w:name="_Toc456788843"/>
      <w:bookmarkStart w:id="914" w:name="_Toc443925352"/>
      <w:bookmarkStart w:id="915" w:name="_Toc16087"/>
      <w:bookmarkStart w:id="916" w:name="_Toc438477998"/>
      <w:bookmarkStart w:id="917" w:name="_Toc443925151"/>
      <w:bookmarkStart w:id="918" w:name="_Toc214341864"/>
      <w:bookmarkStart w:id="919" w:name="_Toc32587"/>
      <w:bookmarkStart w:id="920" w:name="_Toc491442128"/>
      <w:bookmarkStart w:id="921" w:name="_Toc4790"/>
      <w:bookmarkStart w:id="922" w:name="_Toc45811844"/>
      <w:bookmarkStart w:id="923" w:name="_Toc498526903"/>
      <w:bookmarkStart w:id="924" w:name="_Toc221878829"/>
      <w:bookmarkStart w:id="925" w:name="_Toc491441258"/>
      <w:bookmarkStart w:id="926" w:name="_Toc456521519"/>
      <w:bookmarkStart w:id="927" w:name="_Toc221879541"/>
      <w:bookmarkStart w:id="928" w:name="_Toc13155"/>
      <w:bookmarkStart w:id="929" w:name="_Toc456522089"/>
      <w:bookmarkStart w:id="930" w:name="_Toc485220047"/>
      <w:bookmarkStart w:id="931" w:name="_Toc485220611"/>
      <w:bookmarkStart w:id="932" w:name="_Toc16402"/>
      <w:bookmarkStart w:id="933" w:name="_Toc485218760"/>
      <w:bookmarkStart w:id="934" w:name="_Toc496693478"/>
      <w:bookmarkStart w:id="935" w:name="_Ref196765224"/>
      <w:bookmarkStart w:id="936" w:name="_Toc15636"/>
      <w:r>
        <w:rPr>
          <w:rFonts w:hint="eastAsia" w:ascii="仿宋" w:hAnsi="仿宋" w:eastAsia="仿宋" w:cs="Times New Roman"/>
          <w:b/>
          <w:kern w:val="2"/>
          <w:sz w:val="30"/>
          <w:szCs w:val="30"/>
          <w:lang w:val="en-US" w:eastAsia="zh-CN" w:bidi="ar-SA"/>
        </w:rPr>
        <w:t>重大违约</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1A4BCBDF">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937" w:name="_Toc8041"/>
      <w:r>
        <w:rPr>
          <w:rFonts w:hint="eastAsia" w:ascii="仿宋" w:hAnsi="仿宋" w:eastAsia="仿宋" w:cs="Times New Roman"/>
          <w:b/>
          <w:kern w:val="2"/>
          <w:sz w:val="30"/>
          <w:szCs w:val="30"/>
          <w:lang w:val="en-US" w:eastAsia="zh-CN" w:bidi="ar-SA"/>
        </w:rPr>
        <w:t>乙方重大违约情形</w:t>
      </w:r>
      <w:bookmarkEnd w:id="937"/>
    </w:p>
    <w:p w14:paraId="38E14041">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因乙方原因而有下列情况之一的，构成乙方重大违约：</w:t>
      </w:r>
    </w:p>
    <w:p w14:paraId="7FBE8575">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未按照本合同约定进度完成投资的。</w:t>
      </w:r>
    </w:p>
    <w:p w14:paraId="55D3B984">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服务质量、运营内容中任意一项的公众满意度低于90%且乙方整改两次后仍未达标的。</w:t>
      </w:r>
    </w:p>
    <w:p w14:paraId="1C3E30C6">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服务质量、运营内容中任意一项的公众满意度连续两年低于60%的。</w:t>
      </w:r>
    </w:p>
    <w:p w14:paraId="4D637369">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发生《生产安全事故报告和调查处理条例》规定的“较大事故”等级以上生产安全事故。</w:t>
      </w:r>
    </w:p>
    <w:p w14:paraId="52FC563A">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存在破产或其他重大财务困难的事由，致使其无法履约或履约存在严重困难的。</w:t>
      </w:r>
    </w:p>
    <w:p w14:paraId="579318D6">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存在重大安全隐患且</w:t>
      </w:r>
      <w:r>
        <w:rPr>
          <w:rFonts w:hint="eastAsia" w:ascii="Times New Roman" w:hAnsi="Times New Roman" w:eastAsia="仿宋" w:cs="Times New Roman"/>
          <w:b w:val="0"/>
          <w:bCs w:val="0"/>
          <w:kern w:val="2"/>
          <w:sz w:val="28"/>
          <w:szCs w:val="28"/>
          <w:lang w:val="en-US" w:eastAsia="zh-CN" w:bidi="ar-SA"/>
        </w:rPr>
        <w:t>拒不</w:t>
      </w:r>
      <w:r>
        <w:rPr>
          <w:rFonts w:hint="eastAsia" w:ascii="等线 Light" w:hAnsi="等线 Light" w:eastAsia="仿宋" w:cs="Times New Roman"/>
          <w:b w:val="0"/>
          <w:bCs/>
          <w:kern w:val="2"/>
          <w:sz w:val="28"/>
          <w:szCs w:val="28"/>
          <w:lang w:val="en-US" w:eastAsia="zh-CN" w:bidi="ar-SA"/>
        </w:rPr>
        <w:t>整改，危及或者可能危及公共利益、公共安全的。</w:t>
      </w:r>
    </w:p>
    <w:p w14:paraId="4973CC66">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逾期未改正一般违约或改正一般违约不符合通知标准的。</w:t>
      </w:r>
    </w:p>
    <w:p w14:paraId="356A66FF">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发生重大伤亡，乙方应通知甲方并按相关规定立即上报政府有关部门，同时按政府有关部门要求处理。甲方和乙方对事故责任有争议时，由政府有关部门认定。由于乙方原因造成的安全事故，由乙方承担一切责任及发生的费用，对直接责任人，依法追究其刑事责任。</w:t>
      </w:r>
    </w:p>
    <w:p w14:paraId="3221B927">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明确表示不再履行合同义务的。</w:t>
      </w:r>
    </w:p>
    <w:p w14:paraId="4AF8DC84">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乙方未能按照合同约定履行其他义务，导致合同目的不能实现的。</w:t>
      </w:r>
    </w:p>
    <w:p w14:paraId="26B459CB">
      <w:pPr>
        <w:widowControl w:val="0"/>
        <w:numPr>
          <w:ilvl w:val="4"/>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 w:val="0"/>
          <w:bCs/>
          <w:kern w:val="2"/>
          <w:sz w:val="28"/>
          <w:szCs w:val="28"/>
          <w:lang w:val="en-US" w:eastAsia="zh-CN" w:bidi="ar-SA"/>
        </w:rPr>
      </w:pPr>
      <w:r>
        <w:rPr>
          <w:rFonts w:hint="eastAsia" w:ascii="等线 Light" w:hAnsi="等线 Light" w:eastAsia="仿宋" w:cs="Times New Roman"/>
          <w:b w:val="0"/>
          <w:bCs/>
          <w:kern w:val="2"/>
          <w:sz w:val="28"/>
          <w:szCs w:val="28"/>
          <w:lang w:val="en-US" w:eastAsia="zh-CN" w:bidi="ar-SA"/>
        </w:rPr>
        <w:t>适用法律规定的其他情形。</w:t>
      </w:r>
    </w:p>
    <w:p w14:paraId="20B713E4">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938" w:name="_Toc26989"/>
      <w:bookmarkStart w:id="939" w:name="_Toc456521520"/>
      <w:bookmarkStart w:id="940" w:name="_Toc221879295"/>
      <w:bookmarkStart w:id="941" w:name="_Toc456522090"/>
      <w:bookmarkStart w:id="942" w:name="_Toc221878830"/>
      <w:bookmarkStart w:id="943" w:name="_Toc496693479"/>
      <w:bookmarkStart w:id="944" w:name="_Toc485220048"/>
      <w:bookmarkStart w:id="945" w:name="_Toc438477999"/>
      <w:bookmarkStart w:id="946" w:name="_Toc485218761"/>
      <w:bookmarkStart w:id="947" w:name="_Toc456788844"/>
      <w:bookmarkStart w:id="948" w:name="_Toc214357176"/>
      <w:bookmarkStart w:id="949" w:name="_Toc443925353"/>
      <w:bookmarkStart w:id="950" w:name="_Ref196812783"/>
      <w:bookmarkStart w:id="951" w:name="_Toc485220612"/>
      <w:bookmarkStart w:id="952" w:name="_Toc443925152"/>
      <w:bookmarkStart w:id="953" w:name="_Toc491441259"/>
      <w:bookmarkStart w:id="954" w:name="_Toc214341865"/>
      <w:bookmarkStart w:id="955" w:name="_Toc221879542"/>
      <w:bookmarkStart w:id="956" w:name="_Toc491442129"/>
      <w:bookmarkStart w:id="957" w:name="_Ref196815904"/>
      <w:r>
        <w:rPr>
          <w:rFonts w:hint="eastAsia" w:ascii="仿宋" w:hAnsi="仿宋" w:eastAsia="仿宋" w:cs="Times New Roman"/>
          <w:b/>
          <w:kern w:val="2"/>
          <w:sz w:val="30"/>
          <w:szCs w:val="30"/>
          <w:lang w:val="en-US" w:eastAsia="zh-CN" w:bidi="ar-SA"/>
        </w:rPr>
        <w:t>重大违约处理</w:t>
      </w:r>
      <w:bookmarkEnd w:id="938"/>
    </w:p>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14:paraId="485B2AA4">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甲方有权随时以书面方式通知乙方终止本合同，或要求乙方限期改正，并以载明下列事项的书面改正通知送达违约方：</w:t>
      </w:r>
    </w:p>
    <w:p w14:paraId="54AE3F99">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重大违约的具体事实。</w:t>
      </w:r>
    </w:p>
    <w:p w14:paraId="6285C399">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改正重大违约的期限。</w:t>
      </w:r>
    </w:p>
    <w:p w14:paraId="75CAF281">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改正后应达到的标准。</w:t>
      </w:r>
    </w:p>
    <w:p w14:paraId="3E1B6EF5">
      <w:pPr>
        <w:snapToGrid w:val="0"/>
        <w:spacing w:before="190" w:beforeLines="50" w:after="190" w:afterLines="50" w:line="560" w:lineRule="exact"/>
        <w:ind w:firstLine="560" w:firstLineChars="200"/>
        <w:outlineLvl w:val="9"/>
        <w:rPr>
          <w:rFonts w:ascii="等线 Light" w:hAnsi="等线 Light" w:eastAsia="仿宋" w:cs="Times New Roman"/>
          <w:bCs/>
          <w:sz w:val="28"/>
          <w:szCs w:val="28"/>
        </w:rPr>
      </w:pPr>
      <w:r>
        <w:rPr>
          <w:rFonts w:hint="eastAsia" w:ascii="Times New Roman" w:hAnsi="Times New Roman" w:eastAsia="仿宋" w:cs="Times New Roman"/>
          <w:sz w:val="28"/>
          <w:szCs w:val="28"/>
        </w:rPr>
        <w:t>乙方应按照书面改正通知载明的期限改正重大违约行为。否则，每逾期1日，乙方应向甲方支付人民币</w:t>
      </w:r>
      <w:r>
        <w:rPr>
          <w:rFonts w:hint="eastAsia" w:ascii="Times New Roman" w:hAnsi="Times New Roman" w:eastAsia="仿宋" w:cs="Times New Roman"/>
          <w:sz w:val="28"/>
          <w:szCs w:val="28"/>
          <w:lang w:val="en-US" w:eastAsia="zh-CN"/>
        </w:rPr>
        <w:t>5000</w:t>
      </w:r>
      <w:r>
        <w:rPr>
          <w:rFonts w:hint="eastAsia" w:ascii="Times New Roman" w:hAnsi="Times New Roman" w:eastAsia="仿宋" w:cs="Times New Roman"/>
          <w:sz w:val="28"/>
          <w:szCs w:val="28"/>
        </w:rPr>
        <w:t>元/日的违约金直至改正重大违约或本合同终止日止，违约金不足以覆盖甲方损失的，应承担损失赔偿责任。</w:t>
      </w:r>
      <w:bookmarkStart w:id="958" w:name="_Toc2341442"/>
      <w:bookmarkStart w:id="959" w:name="_Toc529224162"/>
      <w:bookmarkStart w:id="960" w:name="_Toc498526909"/>
    </w:p>
    <w:p w14:paraId="3F97BF23">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961" w:name="_Toc14177"/>
      <w:bookmarkStart w:id="962" w:name="_Toc14148"/>
      <w:bookmarkStart w:id="963" w:name="_Toc2676"/>
      <w:bookmarkStart w:id="964" w:name="_Toc45811845"/>
      <w:bookmarkStart w:id="965" w:name="_Toc12026"/>
      <w:bookmarkStart w:id="966" w:name="_Toc8045"/>
      <w:bookmarkStart w:id="967" w:name="_Toc25098"/>
      <w:bookmarkStart w:id="968" w:name="_Toc10521"/>
      <w:r>
        <w:rPr>
          <w:rFonts w:hint="eastAsia" w:ascii="黑体" w:hAnsi="黑体" w:eastAsia="黑体" w:cs="Times New Roman"/>
          <w:kern w:val="2"/>
          <w:sz w:val="32"/>
          <w:szCs w:val="32"/>
          <w:lang w:val="en-US" w:eastAsia="zh-CN" w:bidi="ar-SA"/>
        </w:rPr>
        <w:t>合同终止</w:t>
      </w:r>
      <w:bookmarkEnd w:id="958"/>
      <w:bookmarkEnd w:id="959"/>
      <w:bookmarkEnd w:id="961"/>
      <w:bookmarkEnd w:id="962"/>
      <w:bookmarkEnd w:id="963"/>
      <w:bookmarkEnd w:id="964"/>
      <w:bookmarkEnd w:id="965"/>
      <w:bookmarkEnd w:id="966"/>
      <w:bookmarkEnd w:id="967"/>
      <w:bookmarkEnd w:id="968"/>
    </w:p>
    <w:p w14:paraId="2895821D">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969" w:name="_Toc491442132"/>
      <w:bookmarkStart w:id="970" w:name="_Toc221879298"/>
      <w:bookmarkStart w:id="971" w:name="_Toc16386"/>
      <w:bookmarkStart w:id="972" w:name="_Toc443925356"/>
      <w:bookmarkStart w:id="973" w:name="_Toc2238"/>
      <w:bookmarkStart w:id="974" w:name="_Toc12871"/>
      <w:bookmarkStart w:id="975" w:name="_Toc19068"/>
      <w:bookmarkStart w:id="976" w:name="_Toc456522093"/>
      <w:bookmarkStart w:id="977" w:name="_Toc496693482"/>
      <w:bookmarkStart w:id="978" w:name="_Toc529224163"/>
      <w:bookmarkStart w:id="979" w:name="_Toc2341443"/>
      <w:bookmarkStart w:id="980" w:name="_Toc485220051"/>
      <w:bookmarkStart w:id="981" w:name="_Toc11981"/>
      <w:bookmarkStart w:id="982" w:name="_Toc221879545"/>
      <w:bookmarkStart w:id="983" w:name="_Toc221878833"/>
      <w:bookmarkStart w:id="984" w:name="_Toc438478002"/>
      <w:bookmarkStart w:id="985" w:name="_Toc456788847"/>
      <w:bookmarkStart w:id="986" w:name="_Toc485218764"/>
      <w:bookmarkStart w:id="987" w:name="_Toc214357179"/>
      <w:bookmarkStart w:id="988" w:name="_Toc491441262"/>
      <w:bookmarkStart w:id="989" w:name="_Toc45811846"/>
      <w:bookmarkStart w:id="990" w:name="_Toc456521523"/>
      <w:bookmarkStart w:id="991" w:name="_Toc214341868"/>
      <w:bookmarkStart w:id="992" w:name="_Toc485220615"/>
      <w:bookmarkStart w:id="993" w:name="_Toc20697"/>
      <w:bookmarkStart w:id="994" w:name="_Toc25582"/>
      <w:bookmarkStart w:id="995" w:name="_Toc443925155"/>
      <w:r>
        <w:rPr>
          <w:rFonts w:hint="eastAsia" w:ascii="仿宋" w:hAnsi="仿宋" w:eastAsia="仿宋" w:cs="Times New Roman"/>
          <w:b/>
          <w:kern w:val="2"/>
          <w:sz w:val="30"/>
          <w:szCs w:val="30"/>
          <w:lang w:val="en-US" w:eastAsia="zh-CN" w:bidi="ar-SA"/>
        </w:rPr>
        <w:t>终止事由</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14:paraId="40FEAE65">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本合同因下述任一事由的发生而终止：</w:t>
      </w:r>
    </w:p>
    <w:p w14:paraId="49246B3C">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运营期限届满终止。</w:t>
      </w:r>
    </w:p>
    <w:p w14:paraId="1D947571">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经甲乙双方协商一致终止。</w:t>
      </w:r>
    </w:p>
    <w:p w14:paraId="603ED55E">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因乙方重大违约终止。</w:t>
      </w:r>
    </w:p>
    <w:p w14:paraId="4F841E94">
      <w:pPr>
        <w:widowControl w:val="0"/>
        <w:numPr>
          <w:ilvl w:val="3"/>
          <w:numId w:val="5"/>
        </w:numPr>
        <w:kinsoku w:val="0"/>
        <w:overflowPunct w:val="0"/>
        <w:snapToGrid w:val="0"/>
        <w:spacing w:before="190" w:beforeLines="50" w:after="190" w:afterLines="50" w:line="560" w:lineRule="exact"/>
        <w:ind w:left="0" w:firstLine="560" w:firstLineChars="200"/>
        <w:jc w:val="both"/>
        <w:outlineLvl w:val="9"/>
        <w:rPr>
          <w:rFonts w:ascii="等线 Light" w:hAnsi="等线 Light" w:eastAsia="仿宋" w:cs="Times New Roman"/>
          <w:bCs/>
          <w:kern w:val="2"/>
          <w:sz w:val="28"/>
          <w:szCs w:val="28"/>
          <w:lang w:val="en-US" w:eastAsia="zh-CN" w:bidi="ar-SA"/>
        </w:rPr>
      </w:pPr>
      <w:r>
        <w:rPr>
          <w:rFonts w:hint="eastAsia" w:ascii="等线 Light" w:hAnsi="等线 Light" w:eastAsia="仿宋" w:cs="Times New Roman"/>
          <w:bCs/>
          <w:kern w:val="2"/>
          <w:sz w:val="28"/>
          <w:szCs w:val="28"/>
          <w:lang w:val="en-US" w:eastAsia="zh-CN" w:bidi="ar-SA"/>
        </w:rPr>
        <w:t>其他本合同或适用法律规定的情形。</w:t>
      </w:r>
    </w:p>
    <w:p w14:paraId="581B3AAA">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996" w:name="_Toc485220052"/>
      <w:bookmarkStart w:id="997" w:name="_Toc491442133"/>
      <w:bookmarkStart w:id="998" w:name="_Toc221878834"/>
      <w:bookmarkStart w:id="999" w:name="_Toc443925156"/>
      <w:bookmarkStart w:id="1000" w:name="_Toc15164"/>
      <w:bookmarkStart w:id="1001" w:name="_Toc485220616"/>
      <w:bookmarkStart w:id="1002" w:name="_Toc456521524"/>
      <w:bookmarkStart w:id="1003" w:name="_Toc2399"/>
      <w:bookmarkStart w:id="1004" w:name="_Toc3367"/>
      <w:bookmarkStart w:id="1005" w:name="_Toc485218765"/>
      <w:bookmarkStart w:id="1006" w:name="_Toc438478003"/>
      <w:bookmarkStart w:id="1007" w:name="_Toc2341444"/>
      <w:bookmarkStart w:id="1008" w:name="_Toc529224164"/>
      <w:bookmarkStart w:id="1009" w:name="_Toc456522094"/>
      <w:bookmarkStart w:id="1010" w:name="_Toc24895"/>
      <w:bookmarkStart w:id="1011" w:name="_Toc45811847"/>
      <w:bookmarkStart w:id="1012" w:name="_Toc491441263"/>
      <w:bookmarkStart w:id="1013" w:name="_Toc443925357"/>
      <w:bookmarkStart w:id="1014" w:name="_Ref198552916"/>
      <w:bookmarkStart w:id="1015" w:name="_Toc221879299"/>
      <w:bookmarkStart w:id="1016" w:name="_Toc4814"/>
      <w:bookmarkStart w:id="1017" w:name="_Ref198525963"/>
      <w:bookmarkStart w:id="1018" w:name="_Toc21091"/>
      <w:bookmarkStart w:id="1019" w:name="_Toc221879546"/>
      <w:bookmarkStart w:id="1020" w:name="_Toc214341869"/>
      <w:bookmarkStart w:id="1021" w:name="_Toc456788848"/>
      <w:bookmarkStart w:id="1022" w:name="_Toc496693483"/>
      <w:bookmarkStart w:id="1023" w:name="_Toc20531"/>
      <w:bookmarkStart w:id="1024" w:name="_Toc214357180"/>
      <w:r>
        <w:rPr>
          <w:rFonts w:hint="eastAsia" w:ascii="仿宋" w:hAnsi="仿宋" w:eastAsia="仿宋" w:cs="Times New Roman"/>
          <w:b/>
          <w:kern w:val="2"/>
          <w:sz w:val="30"/>
          <w:szCs w:val="30"/>
          <w:lang w:val="en-US" w:eastAsia="zh-CN" w:bidi="ar-SA"/>
        </w:rPr>
        <w:t>终止通知</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447A33C4">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任何一方终止本合同时，应以载明合同终止事由、终止合同的意思表示以及终止日期的书面终止通知送达对方。其中，本合同因运营期限届满而终止时，甲乙双方均无须履行终止通知义务。</w:t>
      </w:r>
    </w:p>
    <w:p w14:paraId="17DA1498">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1025" w:name="_Toc221878835"/>
      <w:bookmarkStart w:id="1026" w:name="_Toc491442134"/>
      <w:bookmarkStart w:id="1027" w:name="_Toc221879300"/>
      <w:bookmarkStart w:id="1028" w:name="_Toc456521525"/>
      <w:bookmarkStart w:id="1029" w:name="_Toc485218766"/>
      <w:bookmarkStart w:id="1030" w:name="_Toc6284"/>
      <w:bookmarkStart w:id="1031" w:name="_Toc221879547"/>
      <w:bookmarkStart w:id="1032" w:name="_Toc529224165"/>
      <w:bookmarkStart w:id="1033" w:name="_Toc456522095"/>
      <w:bookmarkStart w:id="1034" w:name="_Toc12298"/>
      <w:bookmarkStart w:id="1035" w:name="_Toc23026"/>
      <w:bookmarkStart w:id="1036" w:name="_Toc456788849"/>
      <w:bookmarkStart w:id="1037" w:name="_Toc214341870"/>
      <w:bookmarkStart w:id="1038" w:name="_Toc171"/>
      <w:bookmarkStart w:id="1039" w:name="_Toc443925157"/>
      <w:bookmarkStart w:id="1040" w:name="_Toc45811848"/>
      <w:bookmarkStart w:id="1041" w:name="_Toc485220617"/>
      <w:bookmarkStart w:id="1042" w:name="_Toc443925358"/>
      <w:bookmarkStart w:id="1043" w:name="_Toc485220053"/>
      <w:bookmarkStart w:id="1044" w:name="_Toc22292"/>
      <w:bookmarkStart w:id="1045" w:name="_Toc496693484"/>
      <w:bookmarkStart w:id="1046" w:name="_Toc11470"/>
      <w:bookmarkStart w:id="1047" w:name="_Toc438478004"/>
      <w:bookmarkStart w:id="1048" w:name="_Toc2341445"/>
      <w:bookmarkStart w:id="1049" w:name="_Toc214357181"/>
      <w:bookmarkStart w:id="1050" w:name="_Toc491441264"/>
      <w:bookmarkStart w:id="1051" w:name="_Toc8791"/>
      <w:r>
        <w:rPr>
          <w:rFonts w:hint="eastAsia" w:ascii="仿宋" w:hAnsi="仿宋" w:eastAsia="仿宋" w:cs="Times New Roman"/>
          <w:b/>
          <w:kern w:val="2"/>
          <w:sz w:val="30"/>
          <w:szCs w:val="30"/>
          <w:lang w:val="en-US" w:eastAsia="zh-CN" w:bidi="ar-SA"/>
        </w:rPr>
        <w:t>终止处理</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14:paraId="52FABF1F">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在本合同终止日，除本合同有关合同终止、反向移交、争议处理的约定外，其余所有权利义务一律终止，但终止前已发生的权利及义务不受影响。</w:t>
      </w:r>
    </w:p>
    <w:p w14:paraId="02A428D3">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本合同终止时，甲乙双方须遵守下述约定：</w:t>
      </w:r>
    </w:p>
    <w:p w14:paraId="1F379848">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1052" w:name="_Toc443925361"/>
      <w:bookmarkStart w:id="1053" w:name="_Toc491441267"/>
      <w:bookmarkStart w:id="1054" w:name="_Toc490211640"/>
      <w:bookmarkStart w:id="1055" w:name="_Toc221879550"/>
      <w:bookmarkStart w:id="1056" w:name="_Toc443925160"/>
      <w:bookmarkStart w:id="1057" w:name="_Toc456521528"/>
      <w:bookmarkStart w:id="1058" w:name="_Toc491442137"/>
      <w:bookmarkStart w:id="1059" w:name="_Toc438320668"/>
      <w:bookmarkStart w:id="1060" w:name="_Toc221879826"/>
      <w:bookmarkStart w:id="1061" w:name="_Toc456788852"/>
      <w:bookmarkStart w:id="1062" w:name="_Toc485218769"/>
      <w:bookmarkStart w:id="1063" w:name="_Toc32475"/>
      <w:bookmarkStart w:id="1064" w:name="_Toc485220056"/>
      <w:bookmarkStart w:id="1065" w:name="_Toc439114661"/>
      <w:bookmarkStart w:id="1066" w:name="_Toc439677562"/>
      <w:bookmarkStart w:id="1067" w:name="_Toc438459502"/>
      <w:bookmarkStart w:id="1068" w:name="_Toc438478007"/>
      <w:bookmarkStart w:id="1069" w:name="_Toc221878838"/>
      <w:bookmarkStart w:id="1070" w:name="_Toc456522098"/>
      <w:bookmarkStart w:id="1071" w:name="_Toc485220620"/>
      <w:bookmarkStart w:id="1072" w:name="_Toc221879303"/>
      <w:r>
        <w:rPr>
          <w:rFonts w:hint="eastAsia" w:ascii="仿宋" w:hAnsi="仿宋" w:eastAsia="仿宋" w:cs="Times New Roman"/>
          <w:b/>
          <w:kern w:val="2"/>
          <w:sz w:val="30"/>
          <w:szCs w:val="30"/>
          <w:lang w:val="en-US" w:eastAsia="zh-CN" w:bidi="ar-SA"/>
        </w:rPr>
        <w:t>人员接收</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704C0656">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运营期限届满前6个月，乙方应提交一份全部雇员名单，并说明在运营期限届满后可供接收人继续聘用的人员详细情况。</w:t>
      </w:r>
    </w:p>
    <w:p w14:paraId="1A43E77F">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本合同提前终止时，乙方应按其与员工之间的劳动合同，妥善处理双方劳动关系存续期间的各项补偿，甲方对此免责。如相关纠纷造成甲方损失的，乙方承担赔偿责任。</w:t>
      </w:r>
    </w:p>
    <w:p w14:paraId="79516EA2">
      <w:pPr>
        <w:widowControl w:val="0"/>
        <w:numPr>
          <w:ilvl w:val="2"/>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1073" w:name="_Toc456788854"/>
      <w:bookmarkStart w:id="1074" w:name="_Toc438459504"/>
      <w:bookmarkStart w:id="1075" w:name="_Toc439114663"/>
      <w:bookmarkStart w:id="1076" w:name="_Toc443925363"/>
      <w:bookmarkStart w:id="1077" w:name="_Toc485220058"/>
      <w:bookmarkStart w:id="1078" w:name="_Toc221879552"/>
      <w:bookmarkStart w:id="1079" w:name="_Toc221879828"/>
      <w:bookmarkStart w:id="1080" w:name="_Toc491442139"/>
      <w:bookmarkStart w:id="1081" w:name="_Toc456521530"/>
      <w:bookmarkStart w:id="1082" w:name="_Toc491441269"/>
      <w:bookmarkStart w:id="1083" w:name="_Toc439677564"/>
      <w:bookmarkStart w:id="1084" w:name="_Toc8108"/>
      <w:bookmarkStart w:id="1085" w:name="_Toc485220622"/>
      <w:bookmarkStart w:id="1086" w:name="_Toc221878840"/>
      <w:bookmarkStart w:id="1087" w:name="_Toc456522100"/>
      <w:bookmarkStart w:id="1088" w:name="_Toc443925162"/>
      <w:bookmarkStart w:id="1089" w:name="_Toc438320670"/>
      <w:bookmarkStart w:id="1090" w:name="_Toc438478009"/>
      <w:bookmarkStart w:id="1091" w:name="_Toc221879305"/>
      <w:bookmarkStart w:id="1092" w:name="_Toc490211642"/>
      <w:bookmarkStart w:id="1093" w:name="_Toc485218771"/>
      <w:r>
        <w:rPr>
          <w:rFonts w:hint="eastAsia" w:ascii="仿宋" w:hAnsi="仿宋" w:eastAsia="仿宋" w:cs="Times New Roman"/>
          <w:b/>
          <w:kern w:val="2"/>
          <w:sz w:val="30"/>
          <w:szCs w:val="30"/>
          <w:lang w:val="en-US" w:eastAsia="zh-CN" w:bidi="ar-SA"/>
        </w:rPr>
        <w:t>物品移走</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6367D1C3">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除另有约定外，乙方应于运营期限届满或本合同提前终止日之后</w:t>
      </w:r>
      <w:r>
        <w:rPr>
          <w:rFonts w:ascii="Times New Roman" w:hAnsi="Times New Roman" w:eastAsia="仿宋" w:cs="Times New Roman"/>
          <w:sz w:val="28"/>
          <w:szCs w:val="28"/>
        </w:rPr>
        <w:t>90</w:t>
      </w:r>
      <w:r>
        <w:rPr>
          <w:rFonts w:hint="eastAsia" w:ascii="Times New Roman" w:hAnsi="Times New Roman" w:eastAsia="仿宋" w:cs="Times New Roman"/>
          <w:sz w:val="28"/>
          <w:szCs w:val="28"/>
        </w:rPr>
        <w:t>日内，自行从动力游戏区内移走全部属于其所有的物品</w:t>
      </w:r>
      <w:r>
        <w:rPr>
          <w:rFonts w:hint="eastAsia" w:ascii="Times New Roman" w:hAnsi="Times New Roman" w:eastAsia="仿宋" w:cs="Times New Roman"/>
          <w:sz w:val="28"/>
          <w:szCs w:val="28"/>
          <w:lang w:val="en-US" w:eastAsia="zh-CN"/>
        </w:rPr>
        <w:t>并恢复场地原状</w:t>
      </w:r>
      <w:r>
        <w:rPr>
          <w:rFonts w:hint="eastAsia" w:ascii="Times New Roman" w:hAnsi="Times New Roman" w:eastAsia="仿宋" w:cs="Times New Roman"/>
          <w:sz w:val="28"/>
          <w:szCs w:val="28"/>
        </w:rPr>
        <w:t>。</w:t>
      </w:r>
    </w:p>
    <w:p w14:paraId="5D4785E0">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如果乙方在上述时间内未能移走该等物品，甲方可在提前3日通知乙方之后，移走该等物品或将其转运至适当的地点以便安全保管，乙方应承担因搬移、运输和保管该等物品所发生的实际费用和风险。</w:t>
      </w:r>
    </w:p>
    <w:p w14:paraId="48BA1F3C">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若乙方在运营期限届满或本合同提前终止</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日后仍未能移走该等物品时，甲方可以对该等物品进行处置以补偿其保管费用。由此导致乙方的损失，由其自行承担；由此导致第三人索赔的，由乙方承担全部相关费用（包括损失赔偿、诉讼费、律师费等）。该等物品进行处置后的金额不足以补偿其保管费用的，不足部分从履约保证金中予以扣除。</w:t>
      </w:r>
    </w:p>
    <w:p w14:paraId="6FA09F3E">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1094" w:name="_Toc13642267"/>
      <w:bookmarkStart w:id="1095" w:name="_Toc45811849"/>
      <w:bookmarkStart w:id="1096" w:name="_Toc29581"/>
      <w:bookmarkStart w:id="1097" w:name="_Toc12207"/>
      <w:bookmarkStart w:id="1098" w:name="_Toc24770"/>
      <w:bookmarkStart w:id="1099" w:name="_Toc11905"/>
      <w:bookmarkStart w:id="1100" w:name="_Toc26129"/>
      <w:bookmarkStart w:id="1101" w:name="_Toc9538"/>
      <w:bookmarkStart w:id="1102" w:name="_Toc17369"/>
      <w:r>
        <w:rPr>
          <w:rFonts w:hint="eastAsia" w:ascii="仿宋" w:hAnsi="仿宋" w:eastAsia="仿宋" w:cs="Times New Roman"/>
          <w:b/>
          <w:kern w:val="2"/>
          <w:sz w:val="30"/>
          <w:szCs w:val="30"/>
          <w:lang w:val="en-US" w:eastAsia="zh-CN" w:bidi="ar-SA"/>
        </w:rPr>
        <w:t>提前终止</w:t>
      </w:r>
      <w:bookmarkEnd w:id="1094"/>
      <w:r>
        <w:rPr>
          <w:rFonts w:hint="eastAsia" w:ascii="仿宋" w:hAnsi="仿宋" w:eastAsia="仿宋" w:cs="Times New Roman"/>
          <w:b/>
          <w:kern w:val="2"/>
          <w:sz w:val="30"/>
          <w:szCs w:val="30"/>
          <w:lang w:val="en-US" w:eastAsia="zh-CN" w:bidi="ar-SA"/>
        </w:rPr>
        <w:t>违约金及赔偿</w:t>
      </w:r>
      <w:bookmarkEnd w:id="1095"/>
      <w:bookmarkEnd w:id="1096"/>
      <w:bookmarkEnd w:id="1097"/>
      <w:bookmarkEnd w:id="1098"/>
      <w:bookmarkEnd w:id="1099"/>
      <w:bookmarkEnd w:id="1100"/>
      <w:bookmarkEnd w:id="1101"/>
      <w:bookmarkEnd w:id="1102"/>
    </w:p>
    <w:p w14:paraId="05F69329">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因乙方违约，甲方提前终止本合同的，甲方无须向乙方支付任何补偿，并有权要求乙方支付提前终止违约金、赔偿甲方受到的损失，包括但不限于直接损失、间接损失、诉讼费、律师费等。</w:t>
      </w:r>
    </w:p>
    <w:bookmarkEnd w:id="960"/>
    <w:p w14:paraId="7791C5D6">
      <w:pPr>
        <w:widowControl w:val="0"/>
        <w:numPr>
          <w:ilvl w:val="0"/>
          <w:numId w:val="5"/>
        </w:numPr>
        <w:snapToGrid/>
        <w:spacing w:before="190" w:beforeLines="50" w:after="190" w:afterLines="50" w:line="560" w:lineRule="exact"/>
        <w:ind w:left="0" w:firstLine="560" w:firstLineChars="0"/>
        <w:jc w:val="center"/>
        <w:outlineLvl w:val="9"/>
        <w:rPr>
          <w:rFonts w:ascii="黑体" w:hAnsi="黑体" w:eastAsia="黑体" w:cs="Times New Roman"/>
          <w:kern w:val="2"/>
          <w:sz w:val="32"/>
          <w:szCs w:val="32"/>
          <w:lang w:val="en-US" w:eastAsia="zh-CN" w:bidi="ar-SA"/>
        </w:rPr>
      </w:pPr>
      <w:bookmarkStart w:id="1103" w:name="_Toc503165123"/>
      <w:bookmarkEnd w:id="1103"/>
      <w:bookmarkStart w:id="1104" w:name="_Toc503165122"/>
      <w:bookmarkEnd w:id="1104"/>
      <w:bookmarkStart w:id="1105" w:name="_Toc7706"/>
      <w:bookmarkStart w:id="1106" w:name="_Toc13642268"/>
      <w:bookmarkStart w:id="1107" w:name="_Toc19352"/>
      <w:bookmarkStart w:id="1108" w:name="_Toc5643"/>
      <w:bookmarkStart w:id="1109" w:name="_Toc5167"/>
      <w:bookmarkStart w:id="1110" w:name="_Toc1289"/>
      <w:bookmarkStart w:id="1111" w:name="_Toc15058"/>
      <w:bookmarkStart w:id="1112" w:name="_Toc32024"/>
      <w:bookmarkStart w:id="1113" w:name="_Toc45811854"/>
      <w:bookmarkStart w:id="1114" w:name="_Toc20771"/>
      <w:bookmarkStart w:id="1115" w:name="_Toc6050"/>
      <w:bookmarkStart w:id="1116" w:name="_Toc419709739"/>
      <w:bookmarkStart w:id="1117" w:name="_Toc26005"/>
      <w:bookmarkStart w:id="1118" w:name="_Toc9316"/>
      <w:bookmarkStart w:id="1119" w:name="_Toc31438"/>
      <w:bookmarkStart w:id="1120" w:name="_Toc2462"/>
      <w:bookmarkStart w:id="1121" w:name="_Toc10607"/>
      <w:bookmarkStart w:id="1122" w:name="_Toc1354"/>
      <w:bookmarkStart w:id="1123" w:name="_Toc2247"/>
      <w:bookmarkStart w:id="1124" w:name="_Toc10839"/>
      <w:bookmarkStart w:id="1125" w:name="_Toc15928"/>
      <w:bookmarkStart w:id="1126" w:name="_Toc28339"/>
      <w:bookmarkStart w:id="1127" w:name="_Toc4885"/>
      <w:bookmarkStart w:id="1128" w:name="_Toc32008"/>
      <w:r>
        <w:rPr>
          <w:rFonts w:ascii="黑体" w:hAnsi="黑体" w:eastAsia="黑体" w:cs="Times New Roman"/>
          <w:kern w:val="2"/>
          <w:sz w:val="32"/>
          <w:szCs w:val="32"/>
          <w:lang w:val="en-US" w:eastAsia="zh-CN" w:bidi="ar-SA"/>
        </w:rPr>
        <w:t>其它</w:t>
      </w:r>
      <w:r>
        <w:rPr>
          <w:rFonts w:hint="eastAsia" w:ascii="黑体" w:hAnsi="黑体" w:eastAsia="黑体" w:cs="Times New Roman"/>
          <w:kern w:val="2"/>
          <w:sz w:val="32"/>
          <w:szCs w:val="32"/>
          <w:lang w:val="en-US" w:eastAsia="zh-CN" w:bidi="ar-SA"/>
        </w:rPr>
        <w:t>事项</w:t>
      </w:r>
      <w:bookmarkEnd w:id="1105"/>
      <w:bookmarkEnd w:id="1106"/>
      <w:bookmarkEnd w:id="1107"/>
      <w:bookmarkEnd w:id="1108"/>
      <w:bookmarkEnd w:id="1109"/>
      <w:bookmarkEnd w:id="1110"/>
      <w:bookmarkEnd w:id="1111"/>
      <w:bookmarkEnd w:id="1112"/>
      <w:bookmarkEnd w:id="1113"/>
    </w:p>
    <w:p w14:paraId="07F1DA06">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1129" w:name="_Toc529224172"/>
      <w:bookmarkStart w:id="1130" w:name="_Toc13642271"/>
      <w:bookmarkStart w:id="1131" w:name="_Toc16214"/>
      <w:bookmarkStart w:id="1132" w:name="_Toc32577"/>
      <w:bookmarkStart w:id="1133" w:name="_Toc45811855"/>
      <w:bookmarkStart w:id="1134" w:name="_Toc11019"/>
      <w:bookmarkStart w:id="1135" w:name="_Toc12869"/>
      <w:bookmarkStart w:id="1136" w:name="_Toc32443"/>
      <w:bookmarkStart w:id="1137" w:name="_Toc1951"/>
      <w:bookmarkStart w:id="1138" w:name="_Toc7066"/>
      <w:bookmarkStart w:id="1139" w:name="_Toc229481339"/>
      <w:bookmarkStart w:id="1140" w:name="_Toc246673036"/>
      <w:bookmarkStart w:id="1141" w:name="_Toc201208086"/>
      <w:bookmarkStart w:id="1142" w:name="_Toc198837256"/>
      <w:bookmarkStart w:id="1143" w:name="_Toc198837260"/>
      <w:bookmarkStart w:id="1144" w:name="_Toc201208081"/>
      <w:bookmarkStart w:id="1145" w:name="_Toc419709741"/>
      <w:bookmarkStart w:id="1146" w:name="_Toc419709738"/>
      <w:bookmarkStart w:id="1147" w:name="_Toc246673032"/>
      <w:bookmarkStart w:id="1148" w:name="_Toc229481335"/>
      <w:r>
        <w:rPr>
          <w:rFonts w:hint="eastAsia" w:ascii="仿宋" w:hAnsi="仿宋" w:eastAsia="仿宋" w:cs="Times New Roman"/>
          <w:b/>
          <w:kern w:val="2"/>
          <w:sz w:val="30"/>
          <w:szCs w:val="30"/>
          <w:lang w:val="en-US" w:eastAsia="zh-CN" w:bidi="ar-SA"/>
        </w:rPr>
        <w:t>争议解决</w:t>
      </w:r>
      <w:bookmarkEnd w:id="1129"/>
      <w:bookmarkEnd w:id="1130"/>
      <w:r>
        <w:rPr>
          <w:rFonts w:hint="eastAsia" w:ascii="仿宋" w:hAnsi="仿宋" w:eastAsia="仿宋" w:cs="Times New Roman"/>
          <w:b/>
          <w:kern w:val="2"/>
          <w:sz w:val="30"/>
          <w:szCs w:val="30"/>
          <w:lang w:val="en-US" w:eastAsia="zh-CN" w:bidi="ar-SA"/>
        </w:rPr>
        <w:t>方式</w:t>
      </w:r>
      <w:bookmarkEnd w:id="1131"/>
      <w:bookmarkEnd w:id="1132"/>
      <w:bookmarkEnd w:id="1133"/>
      <w:bookmarkEnd w:id="1134"/>
      <w:bookmarkEnd w:id="1135"/>
      <w:bookmarkEnd w:id="1136"/>
      <w:bookmarkEnd w:id="1137"/>
      <w:bookmarkEnd w:id="1138"/>
    </w:p>
    <w:p w14:paraId="3B57F92E">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甲乙双方就本合同有关的事项发生争议时，甲乙双方应本着诚信原则，先以协商方式解决。</w:t>
      </w:r>
      <w:bookmarkStart w:id="1149" w:name="_Toc343017222"/>
      <w:bookmarkEnd w:id="1149"/>
      <w:bookmarkStart w:id="1150" w:name="_Toc343017539"/>
      <w:bookmarkEnd w:id="1150"/>
      <w:bookmarkStart w:id="1151" w:name="_Toc343016905"/>
      <w:bookmarkEnd w:id="1151"/>
      <w:bookmarkStart w:id="1152" w:name="_Toc343016271"/>
      <w:bookmarkEnd w:id="1152"/>
      <w:bookmarkStart w:id="1153" w:name="_Toc343016589"/>
      <w:bookmarkEnd w:id="1153"/>
      <w:r>
        <w:rPr>
          <w:rFonts w:hint="eastAsia" w:ascii="Times New Roman" w:hAnsi="Times New Roman" w:eastAsia="仿宋" w:cs="Times New Roman"/>
          <w:sz w:val="28"/>
          <w:szCs w:val="28"/>
        </w:rPr>
        <w:t>如无法以协商方式解决的，</w:t>
      </w:r>
      <w:r>
        <w:rPr>
          <w:rFonts w:ascii="Times New Roman" w:hAnsi="Times New Roman" w:eastAsia="仿宋" w:cs="Times New Roman"/>
          <w:sz w:val="28"/>
          <w:szCs w:val="28"/>
        </w:rPr>
        <w:t>任何一方均可向</w:t>
      </w:r>
      <w:r>
        <w:rPr>
          <w:rFonts w:hint="eastAsia" w:ascii="Times New Roman" w:hAnsi="Times New Roman" w:eastAsia="仿宋" w:cs="Times New Roman"/>
          <w:sz w:val="28"/>
          <w:szCs w:val="28"/>
        </w:rPr>
        <w:t>项目所在地</w:t>
      </w:r>
      <w:r>
        <w:rPr>
          <w:rFonts w:ascii="Times New Roman" w:hAnsi="Times New Roman" w:eastAsia="仿宋" w:cs="Times New Roman"/>
          <w:sz w:val="28"/>
          <w:szCs w:val="28"/>
        </w:rPr>
        <w:t>有管辖权的人民法院提起诉讼。</w:t>
      </w:r>
      <w:bookmarkEnd w:id="1139"/>
      <w:bookmarkEnd w:id="1140"/>
      <w:bookmarkEnd w:id="1141"/>
      <w:bookmarkEnd w:id="1142"/>
      <w:bookmarkEnd w:id="1143"/>
      <w:bookmarkEnd w:id="1144"/>
      <w:bookmarkEnd w:id="1145"/>
      <w:bookmarkEnd w:id="1146"/>
      <w:bookmarkEnd w:id="1147"/>
      <w:bookmarkEnd w:id="1148"/>
    </w:p>
    <w:p w14:paraId="21144B15">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1154" w:name="_Toc13642274"/>
      <w:bookmarkStart w:id="1155" w:name="_Toc16392"/>
      <w:bookmarkStart w:id="1156" w:name="_Toc246673039"/>
      <w:bookmarkStart w:id="1157" w:name="_Toc12064"/>
      <w:bookmarkStart w:id="1158" w:name="_Toc419709745"/>
      <w:bookmarkStart w:id="1159" w:name="_Toc229481342"/>
      <w:bookmarkStart w:id="1160" w:name="_Toc198837263"/>
      <w:bookmarkStart w:id="1161" w:name="_Toc18013"/>
      <w:bookmarkStart w:id="1162" w:name="_Toc45811858"/>
      <w:bookmarkStart w:id="1163" w:name="_Toc201208089"/>
      <w:bookmarkStart w:id="1164" w:name="_Toc19563"/>
      <w:bookmarkStart w:id="1165" w:name="_Toc529224175"/>
      <w:bookmarkStart w:id="1166" w:name="_Toc24560"/>
      <w:bookmarkStart w:id="1167" w:name="_Toc28170"/>
      <w:bookmarkStart w:id="1168" w:name="_Toc13360"/>
      <w:r>
        <w:rPr>
          <w:rFonts w:ascii="仿宋" w:hAnsi="仿宋" w:eastAsia="仿宋" w:cs="Times New Roman"/>
          <w:b/>
          <w:kern w:val="2"/>
          <w:sz w:val="30"/>
          <w:szCs w:val="30"/>
          <w:lang w:val="en-US" w:eastAsia="zh-CN" w:bidi="ar-SA"/>
        </w:rPr>
        <w:t>合同生效</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7D33FB05">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本合同正本壹式</w:t>
      </w:r>
      <w:r>
        <w:rPr>
          <w:rFonts w:hint="eastAsia" w:ascii="Times New Roman" w:hAnsi="Times New Roman" w:eastAsia="仿宋" w:cs="Times New Roman"/>
          <w:sz w:val="28"/>
          <w:szCs w:val="28"/>
          <w:lang w:eastAsia="zh-CN"/>
        </w:rPr>
        <w:t>陆</w:t>
      </w:r>
      <w:r>
        <w:rPr>
          <w:rFonts w:hint="eastAsia" w:ascii="Times New Roman" w:hAnsi="Times New Roman" w:eastAsia="仿宋" w:cs="Times New Roman"/>
          <w:sz w:val="28"/>
          <w:szCs w:val="28"/>
        </w:rPr>
        <w:t>份，甲乙双方各持</w:t>
      </w:r>
      <w:r>
        <w:rPr>
          <w:rFonts w:hint="eastAsia" w:ascii="Times New Roman" w:hAnsi="Times New Roman" w:eastAsia="仿宋" w:cs="Times New Roman"/>
          <w:sz w:val="28"/>
          <w:szCs w:val="28"/>
          <w:lang w:eastAsia="zh-CN"/>
        </w:rPr>
        <w:t>叁</w:t>
      </w:r>
      <w:r>
        <w:rPr>
          <w:rFonts w:hint="eastAsia" w:ascii="Times New Roman" w:hAnsi="Times New Roman" w:eastAsia="仿宋" w:cs="Times New Roman"/>
          <w:sz w:val="28"/>
          <w:szCs w:val="28"/>
        </w:rPr>
        <w:t>份，具有同等法律效力，经各方法定代表人/授权代表签字且加盖公章之日起生效。</w:t>
      </w:r>
    </w:p>
    <w:p w14:paraId="305924EF">
      <w:pPr>
        <w:widowControl w:val="0"/>
        <w:numPr>
          <w:ilvl w:val="1"/>
          <w:numId w:val="5"/>
        </w:numPr>
        <w:snapToGrid/>
        <w:spacing w:before="190" w:beforeLines="50" w:after="190" w:afterLines="50" w:line="560" w:lineRule="exact"/>
        <w:ind w:left="0" w:firstLine="560" w:firstLineChars="0"/>
        <w:jc w:val="left"/>
        <w:outlineLvl w:val="9"/>
        <w:rPr>
          <w:rFonts w:ascii="仿宋" w:hAnsi="仿宋" w:eastAsia="仿宋" w:cs="Times New Roman"/>
          <w:b/>
          <w:kern w:val="2"/>
          <w:sz w:val="30"/>
          <w:szCs w:val="30"/>
          <w:lang w:val="en-US" w:eastAsia="zh-CN" w:bidi="ar-SA"/>
        </w:rPr>
      </w:pPr>
      <w:bookmarkStart w:id="1169" w:name="_Toc246673040"/>
      <w:bookmarkStart w:id="1170" w:name="_Toc45811859"/>
      <w:bookmarkStart w:id="1171" w:name="_Toc13866"/>
      <w:bookmarkStart w:id="1172" w:name="_Toc30628"/>
      <w:bookmarkStart w:id="1173" w:name="_Toc529224176"/>
      <w:bookmarkStart w:id="1174" w:name="_Toc198837264"/>
      <w:bookmarkStart w:id="1175" w:name="_Toc13642275"/>
      <w:bookmarkStart w:id="1176" w:name="_Toc28254"/>
      <w:bookmarkStart w:id="1177" w:name="_Toc29509"/>
      <w:bookmarkStart w:id="1178" w:name="_Toc1438"/>
      <w:bookmarkStart w:id="1179" w:name="_Toc229481343"/>
      <w:bookmarkStart w:id="1180" w:name="_Toc201208090"/>
      <w:bookmarkStart w:id="1181" w:name="_Toc20903"/>
      <w:bookmarkStart w:id="1182" w:name="_Toc419709746"/>
      <w:bookmarkStart w:id="1183" w:name="_Toc13288"/>
      <w:r>
        <w:rPr>
          <w:rFonts w:ascii="仿宋" w:hAnsi="仿宋" w:eastAsia="仿宋" w:cs="Times New Roman"/>
          <w:b/>
          <w:kern w:val="2"/>
          <w:sz w:val="30"/>
          <w:szCs w:val="30"/>
          <w:lang w:val="en-US" w:eastAsia="zh-CN" w:bidi="ar-SA"/>
        </w:rPr>
        <w:t>合同补充</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14:paraId="0F706DA8">
      <w:pPr>
        <w:snapToGrid w:val="0"/>
        <w:spacing w:before="190" w:beforeLines="50" w:after="190" w:afterLines="50" w:line="560" w:lineRule="exact"/>
        <w:ind w:firstLine="560" w:firstLineChars="200"/>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未尽事宜，双方协商。</w:t>
      </w:r>
    </w:p>
    <w:p w14:paraId="7D3B6924">
      <w:pPr>
        <w:snapToGrid w:val="0"/>
        <w:spacing w:before="190" w:beforeLines="50" w:after="190" w:afterLines="50" w:line="360" w:lineRule="auto"/>
        <w:ind w:firstLine="0" w:firstLineChars="0"/>
        <w:rPr>
          <w:rFonts w:ascii="Times New Roman" w:hAnsi="Times New Roman" w:eastAsia="仿宋" w:cs="Times New Roman"/>
          <w:sz w:val="28"/>
          <w:szCs w:val="28"/>
        </w:rPr>
      </w:pPr>
    </w:p>
    <w:p w14:paraId="66B62735">
      <w:pPr>
        <w:snapToGrid w:val="0"/>
        <w:spacing w:before="190" w:beforeLines="50" w:after="190" w:afterLines="50" w:line="560" w:lineRule="exact"/>
        <w:ind w:firstLine="560" w:firstLineChars="200"/>
        <w:jc w:val="center"/>
        <w:rPr>
          <w:rFonts w:ascii="仿宋" w:hAnsi="仿宋" w:eastAsia="仿宋" w:cs="仿宋"/>
          <w:sz w:val="28"/>
          <w:szCs w:val="28"/>
        </w:rPr>
      </w:pPr>
      <w:r>
        <w:rPr>
          <w:rFonts w:ascii="Times New Roman" w:hAnsi="Times New Roman" w:eastAsia="仿宋" w:cs="Times New Roman"/>
          <w:sz w:val="28"/>
          <w:szCs w:val="28"/>
        </w:rPr>
        <w:br w:type="page"/>
      </w:r>
      <w:r>
        <w:rPr>
          <w:rFonts w:hint="eastAsia" w:ascii="仿宋" w:hAnsi="仿宋" w:eastAsia="仿宋" w:cs="仿宋"/>
          <w:sz w:val="28"/>
          <w:szCs w:val="28"/>
        </w:rPr>
        <w:t>（签署页）</w:t>
      </w:r>
    </w:p>
    <w:p w14:paraId="7595ACB6">
      <w:pPr>
        <w:snapToGrid w:val="0"/>
        <w:spacing w:before="190" w:beforeLines="50" w:after="190" w:after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本合同由以下各方于【】年【】月【】日在深圳市罗湖区签署：</w:t>
      </w:r>
    </w:p>
    <w:p w14:paraId="13082C01">
      <w:pPr>
        <w:snapToGrid w:val="0"/>
        <w:spacing w:before="190" w:beforeLines="50" w:after="190" w:after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w:t>
      </w:r>
      <w:r>
        <w:rPr>
          <w:rFonts w:hint="eastAsia" w:ascii="仿宋_GB2312" w:hAnsi="仿宋_GB2312" w:eastAsia="仿宋_GB2312" w:cs="仿宋_GB2312"/>
          <w:color w:val="auto"/>
          <w:sz w:val="28"/>
          <w:szCs w:val="28"/>
          <w:highlight w:val="none"/>
          <w:lang w:val="en-US" w:eastAsia="zh-CN"/>
        </w:rPr>
        <w:t>深圳市罗湖区市政园林管理所</w:t>
      </w:r>
    </w:p>
    <w:p w14:paraId="15C15951">
      <w:pPr>
        <w:snapToGrid w:val="0"/>
        <w:spacing w:before="190" w:beforeLines="50" w:after="190" w:afterLines="50" w:line="560" w:lineRule="exact"/>
        <w:ind w:firstLine="560" w:firstLineChars="200"/>
        <w:rPr>
          <w:rFonts w:ascii="仿宋" w:hAnsi="仿宋" w:eastAsia="仿宋" w:cs="仿宋"/>
          <w:sz w:val="28"/>
          <w:szCs w:val="28"/>
        </w:rPr>
      </w:pPr>
    </w:p>
    <w:p w14:paraId="3329765D">
      <w:pPr>
        <w:snapToGrid w:val="0"/>
        <w:spacing w:before="190" w:beforeLines="50" w:after="190" w:after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法定代表人/授权代表：</w:t>
      </w:r>
    </w:p>
    <w:p w14:paraId="5A835007">
      <w:pPr>
        <w:snapToGrid w:val="0"/>
        <w:spacing w:before="190" w:beforeLines="50" w:after="190" w:afterLines="50" w:line="560" w:lineRule="exact"/>
        <w:ind w:firstLine="560" w:firstLineChars="200"/>
        <w:rPr>
          <w:rFonts w:ascii="仿宋" w:hAnsi="仿宋" w:eastAsia="仿宋" w:cs="仿宋"/>
          <w:sz w:val="28"/>
          <w:szCs w:val="28"/>
        </w:rPr>
      </w:pPr>
    </w:p>
    <w:p w14:paraId="7811EFFB">
      <w:pPr>
        <w:snapToGrid w:val="0"/>
        <w:spacing w:before="190" w:beforeLines="50" w:after="190" w:afterLines="50" w:line="560" w:lineRule="exact"/>
        <w:ind w:firstLine="560" w:firstLineChars="200"/>
        <w:rPr>
          <w:rFonts w:ascii="仿宋" w:hAnsi="仿宋" w:eastAsia="仿宋" w:cs="仿宋"/>
          <w:sz w:val="28"/>
          <w:szCs w:val="28"/>
        </w:rPr>
      </w:pPr>
    </w:p>
    <w:p w14:paraId="7800168A">
      <w:pPr>
        <w:snapToGrid w:val="0"/>
        <w:spacing w:before="190" w:beforeLines="50" w:after="190" w:after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w:t>
      </w:r>
    </w:p>
    <w:p w14:paraId="60F7A078">
      <w:pPr>
        <w:snapToGrid w:val="0"/>
        <w:spacing w:before="190" w:beforeLines="50" w:after="190" w:after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法定代表人/授权代表：</w:t>
      </w:r>
      <w:bookmarkStart w:id="1184" w:name="anx7"/>
      <w:bookmarkEnd w:id="1184"/>
      <w:bookmarkStart w:id="1185" w:name="anx4"/>
      <w:bookmarkEnd w:id="1185"/>
      <w:bookmarkStart w:id="1186" w:name="anx3"/>
      <w:bookmarkEnd w:id="1186"/>
    </w:p>
    <w:p w14:paraId="4F9B2A23">
      <w:pPr>
        <w:snapToGrid w:val="0"/>
        <w:spacing w:before="190" w:beforeLines="50" w:after="190" w:afterLines="50" w:line="560" w:lineRule="exact"/>
        <w:ind w:firstLine="560" w:firstLineChars="200"/>
        <w:rPr>
          <w:rFonts w:ascii="仿宋" w:hAnsi="仿宋" w:eastAsia="仿宋" w:cs="仿宋"/>
          <w:sz w:val="28"/>
          <w:szCs w:val="28"/>
        </w:rPr>
      </w:pPr>
    </w:p>
    <w:p w14:paraId="534EB765">
      <w:pPr>
        <w:snapToGrid w:val="0"/>
        <w:spacing w:before="190" w:beforeLines="50" w:after="190" w:afterLines="50" w:line="560" w:lineRule="exact"/>
        <w:ind w:firstLine="560" w:firstLineChars="200"/>
        <w:rPr>
          <w:rFonts w:ascii="仿宋" w:hAnsi="仿宋" w:eastAsia="仿宋" w:cs="仿宋"/>
          <w:sz w:val="28"/>
          <w:szCs w:val="28"/>
        </w:rPr>
      </w:pPr>
    </w:p>
    <w:p w14:paraId="3C6B0BDB">
      <w:pPr>
        <w:snapToGrid w:val="0"/>
        <w:spacing w:before="190" w:beforeLines="50" w:after="190" w:afterLines="50" w:line="560" w:lineRule="exact"/>
        <w:ind w:firstLine="0" w:firstLineChars="0"/>
        <w:rPr>
          <w:rFonts w:ascii="仿宋" w:hAnsi="仿宋" w:eastAsia="仿宋" w:cs="仿宋"/>
          <w:sz w:val="28"/>
          <w:szCs w:val="28"/>
        </w:rPr>
      </w:pPr>
      <w:r>
        <w:rPr>
          <w:rFonts w:hint="eastAsia" w:ascii="仿宋" w:hAnsi="仿宋" w:eastAsia="仿宋" w:cs="仿宋"/>
          <w:sz w:val="28"/>
          <w:szCs w:val="28"/>
        </w:rPr>
        <w:br w:type="page"/>
      </w:r>
    </w:p>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14:paraId="7B7DE991">
      <w:pPr>
        <w:widowControl w:val="0"/>
        <w:numPr>
          <w:ilvl w:val="0"/>
          <w:numId w:val="0"/>
        </w:numPr>
        <w:snapToGrid/>
        <w:spacing w:before="190" w:beforeLines="50" w:after="190" w:afterLines="50" w:line="560" w:lineRule="exact"/>
        <w:ind w:left="0" w:firstLine="560" w:firstLineChars="0"/>
        <w:jc w:val="both"/>
        <w:outlineLvl w:val="9"/>
        <w:rPr>
          <w:rFonts w:ascii="黑体" w:hAnsi="黑体" w:eastAsia="黑体" w:cs="Times New Roman"/>
          <w:kern w:val="2"/>
          <w:sz w:val="32"/>
          <w:szCs w:val="32"/>
          <w:lang w:val="en-US" w:eastAsia="zh-CN" w:bidi="ar-SA"/>
        </w:rPr>
      </w:pPr>
      <w:bookmarkStart w:id="1187" w:name="_Toc30084"/>
      <w:bookmarkStart w:id="1188" w:name="_Toc16015"/>
      <w:bookmarkStart w:id="1189" w:name="_Toc26027"/>
      <w:bookmarkStart w:id="1190" w:name="_Toc19511"/>
      <w:bookmarkStart w:id="1191" w:name="_Toc18665"/>
      <w:bookmarkStart w:id="1192" w:name="_Toc29045"/>
      <w:bookmarkStart w:id="1193" w:name="_Toc21973"/>
      <w:r>
        <w:rPr>
          <w:rFonts w:hint="eastAsia" w:ascii="黑体" w:hAnsi="黑体" w:eastAsia="黑体" w:cs="Times New Roman"/>
          <w:kern w:val="2"/>
          <w:sz w:val="32"/>
          <w:szCs w:val="32"/>
          <w:lang w:val="en-US" w:eastAsia="zh-CN" w:bidi="ar-SA"/>
        </w:rPr>
        <w:t>附件一：机动游戏设施清单（暂定，以最终设计为准）</w:t>
      </w:r>
      <w:bookmarkEnd w:id="1187"/>
      <w:bookmarkEnd w:id="1188"/>
      <w:bookmarkEnd w:id="1189"/>
      <w:bookmarkEnd w:id="1190"/>
      <w:bookmarkEnd w:id="1191"/>
      <w:bookmarkEnd w:id="1192"/>
      <w:bookmarkEnd w:id="1193"/>
    </w:p>
    <w:tbl>
      <w:tblPr>
        <w:tblStyle w:val="23"/>
        <w:tblW w:w="7230" w:type="dxa"/>
        <w:jc w:val="center"/>
        <w:tblLayout w:type="fixed"/>
        <w:tblCellMar>
          <w:top w:w="0" w:type="dxa"/>
          <w:left w:w="108" w:type="dxa"/>
          <w:bottom w:w="0" w:type="dxa"/>
          <w:right w:w="108" w:type="dxa"/>
        </w:tblCellMar>
      </w:tblPr>
      <w:tblGrid>
        <w:gridCol w:w="1216"/>
        <w:gridCol w:w="2564"/>
        <w:gridCol w:w="1080"/>
        <w:gridCol w:w="1185"/>
        <w:gridCol w:w="1185"/>
      </w:tblGrid>
      <w:tr w14:paraId="6F80C7B2">
        <w:tblPrEx>
          <w:tblCellMar>
            <w:top w:w="0" w:type="dxa"/>
            <w:left w:w="108" w:type="dxa"/>
            <w:bottom w:w="0" w:type="dxa"/>
            <w:right w:w="108" w:type="dxa"/>
          </w:tblCellMar>
        </w:tblPrEx>
        <w:trPr>
          <w:trHeight w:val="806" w:hRule="atLeast"/>
          <w:tblHeader/>
          <w:jc w:val="center"/>
        </w:trPr>
        <w:tc>
          <w:tcPr>
            <w:tcW w:w="1216" w:type="dxa"/>
            <w:tcBorders>
              <w:top w:val="single" w:color="auto" w:sz="4" w:space="0"/>
              <w:left w:val="single" w:color="auto" w:sz="4" w:space="0"/>
              <w:bottom w:val="single" w:color="auto" w:sz="4" w:space="0"/>
              <w:right w:val="single" w:color="auto" w:sz="4" w:space="0"/>
            </w:tcBorders>
            <w:noWrap/>
            <w:vAlign w:val="center"/>
          </w:tcPr>
          <w:p w14:paraId="44ECC56E">
            <w:pPr>
              <w:adjustRightInd w:val="0"/>
              <w:snapToGrid w:val="0"/>
              <w:spacing w:before="0" w:beforeLines="0" w:after="0" w:afterLines="0" w:line="240" w:lineRule="auto"/>
              <w:ind w:firstLine="0" w:firstLineChars="0"/>
              <w:jc w:val="center"/>
              <w:outlineLvl w:val="9"/>
              <w:rPr>
                <w:rFonts w:ascii="仿宋" w:hAnsi="仿宋" w:eastAsia="仿宋" w:cs="仿宋"/>
                <w:b/>
                <w:bCs/>
                <w:kern w:val="0"/>
                <w:sz w:val="28"/>
                <w:szCs w:val="28"/>
              </w:rPr>
            </w:pPr>
            <w:r>
              <w:rPr>
                <w:rFonts w:hint="eastAsia" w:ascii="仿宋" w:hAnsi="仿宋" w:eastAsia="仿宋" w:cs="仿宋"/>
                <w:b/>
                <w:bCs/>
                <w:kern w:val="0"/>
                <w:sz w:val="28"/>
                <w:szCs w:val="28"/>
              </w:rPr>
              <w:t>序号</w:t>
            </w:r>
          </w:p>
        </w:tc>
        <w:tc>
          <w:tcPr>
            <w:tcW w:w="2564" w:type="dxa"/>
            <w:tcBorders>
              <w:top w:val="single" w:color="auto" w:sz="4" w:space="0"/>
              <w:left w:val="single" w:color="auto" w:sz="4" w:space="0"/>
              <w:bottom w:val="single" w:color="000000" w:sz="4" w:space="0"/>
              <w:right w:val="single" w:color="auto" w:sz="4" w:space="0"/>
            </w:tcBorders>
            <w:noWrap/>
            <w:vAlign w:val="center"/>
          </w:tcPr>
          <w:p w14:paraId="276052AF">
            <w:pPr>
              <w:adjustRightInd w:val="0"/>
              <w:snapToGrid w:val="0"/>
              <w:spacing w:before="0" w:beforeLines="0" w:after="0" w:afterLines="0" w:line="240" w:lineRule="auto"/>
              <w:ind w:firstLine="0" w:firstLineChars="0"/>
              <w:jc w:val="center"/>
              <w:outlineLvl w:val="9"/>
              <w:rPr>
                <w:rFonts w:ascii="仿宋" w:hAnsi="仿宋" w:eastAsia="仿宋" w:cs="仿宋"/>
                <w:b/>
                <w:bCs/>
                <w:kern w:val="0"/>
                <w:sz w:val="28"/>
                <w:szCs w:val="28"/>
              </w:rPr>
            </w:pPr>
            <w:r>
              <w:rPr>
                <w:rFonts w:hint="eastAsia" w:ascii="仿宋" w:hAnsi="仿宋" w:eastAsia="仿宋" w:cs="仿宋"/>
                <w:b/>
                <w:bCs/>
                <w:kern w:val="0"/>
                <w:sz w:val="28"/>
                <w:szCs w:val="28"/>
              </w:rPr>
              <w:t>设备名称</w:t>
            </w:r>
          </w:p>
        </w:tc>
        <w:tc>
          <w:tcPr>
            <w:tcW w:w="1080" w:type="dxa"/>
            <w:tcBorders>
              <w:top w:val="single" w:color="auto" w:sz="4" w:space="0"/>
              <w:left w:val="single" w:color="auto" w:sz="4" w:space="0"/>
              <w:bottom w:val="single" w:color="000000" w:sz="4" w:space="0"/>
              <w:right w:val="single" w:color="auto" w:sz="4" w:space="0"/>
            </w:tcBorders>
            <w:noWrap/>
            <w:vAlign w:val="center"/>
          </w:tcPr>
          <w:p w14:paraId="48CA6EC5">
            <w:pPr>
              <w:adjustRightInd w:val="0"/>
              <w:snapToGrid w:val="0"/>
              <w:spacing w:before="0" w:beforeLines="0" w:after="0" w:afterLines="0" w:line="240" w:lineRule="auto"/>
              <w:ind w:firstLine="0" w:firstLineChars="0"/>
              <w:jc w:val="center"/>
              <w:outlineLvl w:val="9"/>
              <w:rPr>
                <w:rFonts w:ascii="仿宋" w:hAnsi="仿宋" w:eastAsia="仿宋" w:cs="仿宋"/>
                <w:b/>
                <w:bCs/>
                <w:kern w:val="0"/>
                <w:sz w:val="28"/>
                <w:szCs w:val="28"/>
              </w:rPr>
            </w:pPr>
            <w:r>
              <w:rPr>
                <w:rFonts w:hint="eastAsia" w:ascii="仿宋" w:hAnsi="仿宋" w:eastAsia="仿宋" w:cs="仿宋"/>
                <w:b/>
                <w:bCs/>
                <w:kern w:val="0"/>
                <w:sz w:val="28"/>
                <w:szCs w:val="28"/>
              </w:rPr>
              <w:t>单位</w:t>
            </w:r>
          </w:p>
        </w:tc>
        <w:tc>
          <w:tcPr>
            <w:tcW w:w="1185" w:type="dxa"/>
            <w:tcBorders>
              <w:top w:val="single" w:color="auto" w:sz="4" w:space="0"/>
              <w:left w:val="single" w:color="auto" w:sz="4" w:space="0"/>
              <w:bottom w:val="single" w:color="000000" w:sz="4" w:space="0"/>
              <w:right w:val="single" w:color="auto" w:sz="4" w:space="0"/>
            </w:tcBorders>
            <w:noWrap/>
            <w:vAlign w:val="center"/>
          </w:tcPr>
          <w:p w14:paraId="2BB67838">
            <w:pPr>
              <w:adjustRightInd w:val="0"/>
              <w:snapToGrid w:val="0"/>
              <w:spacing w:before="0" w:beforeLines="0" w:after="0" w:afterLines="0" w:line="240" w:lineRule="auto"/>
              <w:ind w:firstLine="0" w:firstLineChars="0"/>
              <w:jc w:val="center"/>
              <w:outlineLvl w:val="9"/>
              <w:rPr>
                <w:rFonts w:ascii="仿宋" w:hAnsi="仿宋" w:eastAsia="仿宋" w:cs="仿宋"/>
                <w:b/>
                <w:bCs/>
                <w:kern w:val="0"/>
                <w:sz w:val="28"/>
                <w:szCs w:val="28"/>
              </w:rPr>
            </w:pPr>
            <w:r>
              <w:rPr>
                <w:rFonts w:hint="eastAsia" w:ascii="仿宋" w:hAnsi="仿宋" w:eastAsia="仿宋" w:cs="仿宋"/>
                <w:b/>
                <w:bCs/>
                <w:kern w:val="0"/>
                <w:sz w:val="28"/>
                <w:szCs w:val="28"/>
              </w:rPr>
              <w:t>数量</w:t>
            </w:r>
          </w:p>
        </w:tc>
        <w:tc>
          <w:tcPr>
            <w:tcW w:w="1185" w:type="dxa"/>
            <w:tcBorders>
              <w:top w:val="single" w:color="auto" w:sz="4" w:space="0"/>
              <w:left w:val="single" w:color="auto" w:sz="4" w:space="0"/>
              <w:bottom w:val="single" w:color="000000" w:sz="4" w:space="0"/>
              <w:right w:val="single" w:color="auto" w:sz="4" w:space="0"/>
            </w:tcBorders>
            <w:noWrap/>
            <w:vAlign w:val="center"/>
          </w:tcPr>
          <w:p w14:paraId="3E5041B8">
            <w:pPr>
              <w:adjustRightInd w:val="0"/>
              <w:snapToGrid w:val="0"/>
              <w:spacing w:before="0" w:beforeLines="0" w:after="0" w:afterLines="0" w:line="240" w:lineRule="auto"/>
              <w:ind w:firstLine="0" w:firstLineChars="0"/>
              <w:jc w:val="center"/>
              <w:outlineLvl w:val="9"/>
              <w:rPr>
                <w:rFonts w:ascii="仿宋" w:hAnsi="仿宋" w:eastAsia="仿宋" w:cs="仿宋"/>
                <w:b/>
                <w:bCs/>
                <w:kern w:val="0"/>
                <w:sz w:val="28"/>
                <w:szCs w:val="28"/>
              </w:rPr>
            </w:pPr>
            <w:r>
              <w:rPr>
                <w:rFonts w:hint="eastAsia" w:ascii="仿宋" w:hAnsi="仿宋" w:eastAsia="仿宋" w:cs="仿宋"/>
                <w:b/>
                <w:bCs/>
                <w:kern w:val="0"/>
                <w:sz w:val="28"/>
                <w:szCs w:val="28"/>
              </w:rPr>
              <w:t>备注</w:t>
            </w:r>
          </w:p>
        </w:tc>
      </w:tr>
      <w:tr w14:paraId="6A2353D1">
        <w:tblPrEx>
          <w:tblCellMar>
            <w:top w:w="0" w:type="dxa"/>
            <w:left w:w="108" w:type="dxa"/>
            <w:bottom w:w="0" w:type="dxa"/>
            <w:right w:w="108" w:type="dxa"/>
          </w:tblCellMar>
        </w:tblPrEx>
        <w:trPr>
          <w:trHeight w:val="402" w:hRule="atLeast"/>
          <w:jc w:val="center"/>
        </w:trPr>
        <w:tc>
          <w:tcPr>
            <w:tcW w:w="1216" w:type="dxa"/>
            <w:tcBorders>
              <w:top w:val="nil"/>
              <w:left w:val="single" w:color="auto" w:sz="4" w:space="0"/>
              <w:bottom w:val="single" w:color="auto" w:sz="4" w:space="0"/>
              <w:right w:val="single" w:color="auto" w:sz="4" w:space="0"/>
            </w:tcBorders>
            <w:noWrap/>
            <w:vAlign w:val="center"/>
          </w:tcPr>
          <w:p w14:paraId="5FCA764D">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2564" w:type="dxa"/>
            <w:tcBorders>
              <w:top w:val="nil"/>
              <w:left w:val="nil"/>
              <w:bottom w:val="single" w:color="auto" w:sz="4" w:space="0"/>
              <w:right w:val="single" w:color="auto" w:sz="4" w:space="0"/>
            </w:tcBorders>
            <w:noWrap/>
            <w:vAlign w:val="center"/>
          </w:tcPr>
          <w:p w14:paraId="23FE9E78">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080" w:type="dxa"/>
            <w:tcBorders>
              <w:top w:val="nil"/>
              <w:left w:val="nil"/>
              <w:bottom w:val="single" w:color="auto" w:sz="4" w:space="0"/>
              <w:right w:val="single" w:color="auto" w:sz="4" w:space="0"/>
            </w:tcBorders>
            <w:noWrap/>
            <w:vAlign w:val="center"/>
          </w:tcPr>
          <w:p w14:paraId="1C80CDD7">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185" w:type="dxa"/>
            <w:tcBorders>
              <w:top w:val="nil"/>
              <w:left w:val="nil"/>
              <w:bottom w:val="single" w:color="auto" w:sz="4" w:space="0"/>
              <w:right w:val="single" w:color="auto" w:sz="4" w:space="0"/>
            </w:tcBorders>
            <w:noWrap/>
            <w:vAlign w:val="center"/>
          </w:tcPr>
          <w:p w14:paraId="6AAE1221">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185" w:type="dxa"/>
            <w:tcBorders>
              <w:top w:val="nil"/>
              <w:left w:val="nil"/>
              <w:bottom w:val="single" w:color="auto" w:sz="4" w:space="0"/>
              <w:right w:val="single" w:color="auto" w:sz="4" w:space="0"/>
            </w:tcBorders>
            <w:noWrap/>
            <w:vAlign w:val="center"/>
          </w:tcPr>
          <w:p w14:paraId="0B43FCEC">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r>
      <w:tr w14:paraId="146DC574">
        <w:tblPrEx>
          <w:tblCellMar>
            <w:top w:w="0" w:type="dxa"/>
            <w:left w:w="108" w:type="dxa"/>
            <w:bottom w:w="0" w:type="dxa"/>
            <w:right w:w="108" w:type="dxa"/>
          </w:tblCellMar>
        </w:tblPrEx>
        <w:trPr>
          <w:trHeight w:val="402" w:hRule="atLeast"/>
          <w:jc w:val="center"/>
        </w:trPr>
        <w:tc>
          <w:tcPr>
            <w:tcW w:w="1216" w:type="dxa"/>
            <w:tcBorders>
              <w:top w:val="nil"/>
              <w:left w:val="single" w:color="auto" w:sz="4" w:space="0"/>
              <w:bottom w:val="single" w:color="auto" w:sz="4" w:space="0"/>
              <w:right w:val="single" w:color="auto" w:sz="4" w:space="0"/>
            </w:tcBorders>
            <w:noWrap/>
            <w:vAlign w:val="center"/>
          </w:tcPr>
          <w:p w14:paraId="41E5DB4C">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2564" w:type="dxa"/>
            <w:tcBorders>
              <w:top w:val="nil"/>
              <w:left w:val="nil"/>
              <w:bottom w:val="single" w:color="auto" w:sz="4" w:space="0"/>
              <w:right w:val="single" w:color="auto" w:sz="4" w:space="0"/>
            </w:tcBorders>
            <w:noWrap/>
            <w:vAlign w:val="center"/>
          </w:tcPr>
          <w:p w14:paraId="1EF3BE37">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080" w:type="dxa"/>
            <w:tcBorders>
              <w:top w:val="nil"/>
              <w:left w:val="nil"/>
              <w:bottom w:val="single" w:color="auto" w:sz="4" w:space="0"/>
              <w:right w:val="single" w:color="auto" w:sz="4" w:space="0"/>
            </w:tcBorders>
            <w:noWrap/>
            <w:vAlign w:val="center"/>
          </w:tcPr>
          <w:p w14:paraId="469EF453">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185" w:type="dxa"/>
            <w:tcBorders>
              <w:top w:val="nil"/>
              <w:left w:val="nil"/>
              <w:bottom w:val="single" w:color="auto" w:sz="4" w:space="0"/>
              <w:right w:val="single" w:color="auto" w:sz="4" w:space="0"/>
            </w:tcBorders>
            <w:noWrap/>
            <w:vAlign w:val="center"/>
          </w:tcPr>
          <w:p w14:paraId="0D165C03">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185" w:type="dxa"/>
            <w:tcBorders>
              <w:top w:val="nil"/>
              <w:left w:val="nil"/>
              <w:bottom w:val="single" w:color="auto" w:sz="4" w:space="0"/>
              <w:right w:val="single" w:color="auto" w:sz="4" w:space="0"/>
            </w:tcBorders>
            <w:noWrap/>
            <w:vAlign w:val="center"/>
          </w:tcPr>
          <w:p w14:paraId="2A26BA0B">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r>
      <w:tr w14:paraId="583543CD">
        <w:tblPrEx>
          <w:tblCellMar>
            <w:top w:w="0" w:type="dxa"/>
            <w:left w:w="108" w:type="dxa"/>
            <w:bottom w:w="0" w:type="dxa"/>
            <w:right w:w="108" w:type="dxa"/>
          </w:tblCellMar>
        </w:tblPrEx>
        <w:trPr>
          <w:trHeight w:val="402" w:hRule="atLeast"/>
          <w:jc w:val="center"/>
        </w:trPr>
        <w:tc>
          <w:tcPr>
            <w:tcW w:w="1216" w:type="dxa"/>
            <w:tcBorders>
              <w:top w:val="nil"/>
              <w:left w:val="single" w:color="auto" w:sz="4" w:space="0"/>
              <w:bottom w:val="single" w:color="auto" w:sz="4" w:space="0"/>
              <w:right w:val="single" w:color="auto" w:sz="4" w:space="0"/>
            </w:tcBorders>
            <w:noWrap/>
            <w:vAlign w:val="center"/>
          </w:tcPr>
          <w:p w14:paraId="6BA9B874">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2564" w:type="dxa"/>
            <w:tcBorders>
              <w:top w:val="nil"/>
              <w:left w:val="nil"/>
              <w:bottom w:val="single" w:color="auto" w:sz="4" w:space="0"/>
              <w:right w:val="single" w:color="auto" w:sz="4" w:space="0"/>
            </w:tcBorders>
            <w:noWrap/>
            <w:vAlign w:val="center"/>
          </w:tcPr>
          <w:p w14:paraId="2C23516C">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080" w:type="dxa"/>
            <w:tcBorders>
              <w:top w:val="nil"/>
              <w:left w:val="nil"/>
              <w:bottom w:val="single" w:color="auto" w:sz="4" w:space="0"/>
              <w:right w:val="single" w:color="auto" w:sz="4" w:space="0"/>
            </w:tcBorders>
            <w:noWrap/>
            <w:vAlign w:val="center"/>
          </w:tcPr>
          <w:p w14:paraId="6C8F8B00">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185" w:type="dxa"/>
            <w:tcBorders>
              <w:top w:val="nil"/>
              <w:left w:val="nil"/>
              <w:bottom w:val="single" w:color="auto" w:sz="4" w:space="0"/>
              <w:right w:val="single" w:color="auto" w:sz="4" w:space="0"/>
            </w:tcBorders>
            <w:noWrap/>
            <w:vAlign w:val="center"/>
          </w:tcPr>
          <w:p w14:paraId="25BA30F7">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185" w:type="dxa"/>
            <w:tcBorders>
              <w:top w:val="nil"/>
              <w:left w:val="nil"/>
              <w:bottom w:val="single" w:color="auto" w:sz="4" w:space="0"/>
              <w:right w:val="single" w:color="auto" w:sz="4" w:space="0"/>
            </w:tcBorders>
            <w:noWrap/>
            <w:vAlign w:val="center"/>
          </w:tcPr>
          <w:p w14:paraId="72C03704">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r>
      <w:tr w14:paraId="09217B56">
        <w:tblPrEx>
          <w:tblCellMar>
            <w:top w:w="0" w:type="dxa"/>
            <w:left w:w="108" w:type="dxa"/>
            <w:bottom w:w="0" w:type="dxa"/>
            <w:right w:w="108" w:type="dxa"/>
          </w:tblCellMar>
        </w:tblPrEx>
        <w:trPr>
          <w:trHeight w:val="402" w:hRule="atLeast"/>
          <w:jc w:val="center"/>
        </w:trPr>
        <w:tc>
          <w:tcPr>
            <w:tcW w:w="1216" w:type="dxa"/>
            <w:tcBorders>
              <w:top w:val="nil"/>
              <w:left w:val="single" w:color="auto" w:sz="4" w:space="0"/>
              <w:bottom w:val="single" w:color="auto" w:sz="4" w:space="0"/>
              <w:right w:val="single" w:color="auto" w:sz="4" w:space="0"/>
            </w:tcBorders>
            <w:noWrap/>
            <w:vAlign w:val="center"/>
          </w:tcPr>
          <w:p w14:paraId="64BD2093">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2564" w:type="dxa"/>
            <w:tcBorders>
              <w:top w:val="nil"/>
              <w:left w:val="nil"/>
              <w:bottom w:val="single" w:color="auto" w:sz="4" w:space="0"/>
              <w:right w:val="single" w:color="auto" w:sz="4" w:space="0"/>
            </w:tcBorders>
            <w:noWrap/>
            <w:vAlign w:val="center"/>
          </w:tcPr>
          <w:p w14:paraId="753D9340">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080" w:type="dxa"/>
            <w:tcBorders>
              <w:top w:val="nil"/>
              <w:left w:val="nil"/>
              <w:bottom w:val="single" w:color="auto" w:sz="4" w:space="0"/>
              <w:right w:val="single" w:color="auto" w:sz="4" w:space="0"/>
            </w:tcBorders>
            <w:noWrap/>
            <w:vAlign w:val="center"/>
          </w:tcPr>
          <w:p w14:paraId="24D87663">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185" w:type="dxa"/>
            <w:tcBorders>
              <w:top w:val="nil"/>
              <w:left w:val="nil"/>
              <w:bottom w:val="single" w:color="auto" w:sz="4" w:space="0"/>
              <w:right w:val="single" w:color="auto" w:sz="4" w:space="0"/>
            </w:tcBorders>
            <w:noWrap/>
            <w:vAlign w:val="center"/>
          </w:tcPr>
          <w:p w14:paraId="41CA96F2">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185" w:type="dxa"/>
            <w:tcBorders>
              <w:top w:val="nil"/>
              <w:left w:val="nil"/>
              <w:bottom w:val="single" w:color="auto" w:sz="4" w:space="0"/>
              <w:right w:val="single" w:color="auto" w:sz="4" w:space="0"/>
            </w:tcBorders>
            <w:noWrap/>
            <w:vAlign w:val="center"/>
          </w:tcPr>
          <w:p w14:paraId="50D0A323">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r>
      <w:tr w14:paraId="164D4F12">
        <w:tblPrEx>
          <w:tblCellMar>
            <w:top w:w="0" w:type="dxa"/>
            <w:left w:w="108" w:type="dxa"/>
            <w:bottom w:w="0" w:type="dxa"/>
            <w:right w:w="108" w:type="dxa"/>
          </w:tblCellMar>
        </w:tblPrEx>
        <w:trPr>
          <w:trHeight w:val="402" w:hRule="atLeast"/>
          <w:jc w:val="center"/>
        </w:trPr>
        <w:tc>
          <w:tcPr>
            <w:tcW w:w="1216" w:type="dxa"/>
            <w:tcBorders>
              <w:top w:val="nil"/>
              <w:left w:val="single" w:color="auto" w:sz="4" w:space="0"/>
              <w:bottom w:val="single" w:color="auto" w:sz="4" w:space="0"/>
              <w:right w:val="single" w:color="auto" w:sz="4" w:space="0"/>
            </w:tcBorders>
            <w:noWrap/>
            <w:vAlign w:val="center"/>
          </w:tcPr>
          <w:p w14:paraId="76C50024">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2564" w:type="dxa"/>
            <w:tcBorders>
              <w:top w:val="nil"/>
              <w:left w:val="nil"/>
              <w:bottom w:val="single" w:color="auto" w:sz="4" w:space="0"/>
              <w:right w:val="single" w:color="auto" w:sz="4" w:space="0"/>
            </w:tcBorders>
            <w:noWrap/>
            <w:vAlign w:val="center"/>
          </w:tcPr>
          <w:p w14:paraId="1A441C45">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080" w:type="dxa"/>
            <w:tcBorders>
              <w:top w:val="nil"/>
              <w:left w:val="nil"/>
              <w:bottom w:val="single" w:color="auto" w:sz="4" w:space="0"/>
              <w:right w:val="single" w:color="auto" w:sz="4" w:space="0"/>
            </w:tcBorders>
            <w:noWrap/>
            <w:vAlign w:val="center"/>
          </w:tcPr>
          <w:p w14:paraId="35AFD4F0">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185" w:type="dxa"/>
            <w:tcBorders>
              <w:top w:val="nil"/>
              <w:left w:val="nil"/>
              <w:bottom w:val="single" w:color="auto" w:sz="4" w:space="0"/>
              <w:right w:val="single" w:color="auto" w:sz="4" w:space="0"/>
            </w:tcBorders>
            <w:noWrap/>
            <w:vAlign w:val="center"/>
          </w:tcPr>
          <w:p w14:paraId="2A73C358">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c>
          <w:tcPr>
            <w:tcW w:w="1185" w:type="dxa"/>
            <w:tcBorders>
              <w:top w:val="nil"/>
              <w:left w:val="nil"/>
              <w:bottom w:val="single" w:color="auto" w:sz="4" w:space="0"/>
              <w:right w:val="single" w:color="auto" w:sz="4" w:space="0"/>
            </w:tcBorders>
            <w:noWrap/>
            <w:vAlign w:val="center"/>
          </w:tcPr>
          <w:p w14:paraId="2A0EBA6D">
            <w:pPr>
              <w:adjustRightInd w:val="0"/>
              <w:snapToGrid w:val="0"/>
              <w:spacing w:before="0" w:beforeLines="0" w:after="0" w:afterLines="0" w:line="240" w:lineRule="auto"/>
              <w:ind w:firstLine="0" w:firstLineChars="0"/>
              <w:jc w:val="center"/>
              <w:outlineLvl w:val="9"/>
              <w:rPr>
                <w:rFonts w:ascii="仿宋" w:hAnsi="仿宋" w:eastAsia="仿宋" w:cs="仿宋"/>
                <w:kern w:val="0"/>
                <w:sz w:val="28"/>
                <w:szCs w:val="28"/>
              </w:rPr>
            </w:pPr>
          </w:p>
        </w:tc>
      </w:tr>
    </w:tbl>
    <w:p w14:paraId="6A148DEA">
      <w:pPr>
        <w:widowControl/>
        <w:snapToGrid/>
        <w:spacing w:before="190" w:beforeLines="50" w:after="190" w:afterLines="50" w:line="560" w:lineRule="exact"/>
        <w:ind w:firstLine="560" w:firstLineChars="200"/>
        <w:jc w:val="left"/>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游戏设施清单为暂定，甲乙双方协商后，以最终设计为准。</w:t>
      </w:r>
    </w:p>
    <w:p w14:paraId="53FBAB54">
      <w:pPr>
        <w:snapToGrid w:val="0"/>
        <w:spacing w:before="190" w:beforeLines="50" w:after="190" w:afterLines="50" w:line="360" w:lineRule="auto"/>
        <w:ind w:firstLine="560" w:firstLineChars="200"/>
        <w:outlineLvl w:val="9"/>
        <w:rPr>
          <w:rFonts w:ascii="Times New Roman" w:hAnsi="Times New Roman" w:eastAsia="仿宋" w:cs="Times New Roman"/>
          <w:sz w:val="28"/>
          <w:szCs w:val="28"/>
        </w:rPr>
      </w:pPr>
      <w:bookmarkStart w:id="1194" w:name="_Toc45811861"/>
      <w:bookmarkStart w:id="1195" w:name="_Toc45298968"/>
    </w:p>
    <w:p w14:paraId="5D256480">
      <w:pPr>
        <w:widowControl w:val="0"/>
        <w:numPr>
          <w:ilvl w:val="0"/>
          <w:numId w:val="0"/>
        </w:numPr>
        <w:snapToGrid/>
        <w:spacing w:before="190" w:beforeLines="50" w:after="190" w:afterLines="50" w:line="560" w:lineRule="exact"/>
        <w:ind w:left="0" w:firstLine="560" w:firstLineChars="0"/>
        <w:jc w:val="both"/>
        <w:outlineLvl w:val="9"/>
        <w:rPr>
          <w:rFonts w:ascii="黑体" w:hAnsi="黑体" w:eastAsia="黑体" w:cs="Times New Roman"/>
          <w:kern w:val="2"/>
          <w:sz w:val="32"/>
          <w:szCs w:val="32"/>
          <w:lang w:val="en-US" w:eastAsia="zh-CN" w:bidi="ar-SA"/>
        </w:rPr>
      </w:pPr>
      <w:bookmarkStart w:id="1196" w:name="_Toc31964"/>
      <w:bookmarkStart w:id="1197" w:name="_Toc3180"/>
      <w:bookmarkStart w:id="1198" w:name="_Toc28655"/>
      <w:bookmarkStart w:id="1199" w:name="_Toc2075"/>
      <w:bookmarkStart w:id="1200" w:name="_Toc31433"/>
      <w:bookmarkStart w:id="1201" w:name="_Toc13287"/>
      <w:bookmarkStart w:id="1202" w:name="_Toc30548"/>
      <w:r>
        <w:rPr>
          <w:rFonts w:hint="eastAsia" w:ascii="黑体" w:hAnsi="黑体" w:eastAsia="黑体" w:cs="Times New Roman"/>
          <w:kern w:val="2"/>
          <w:sz w:val="32"/>
          <w:szCs w:val="32"/>
          <w:lang w:val="en-US" w:eastAsia="zh-CN" w:bidi="ar-SA"/>
        </w:rPr>
        <w:t>附件</w:t>
      </w:r>
      <w:r>
        <w:rPr>
          <w:rFonts w:hint="default" w:ascii="黑体" w:hAnsi="黑体" w:eastAsia="黑体" w:cs="Times New Roman"/>
          <w:kern w:val="2"/>
          <w:sz w:val="32"/>
          <w:szCs w:val="32"/>
          <w:lang w:val="en-US" w:eastAsia="zh-CN" w:bidi="ar-SA"/>
        </w:rPr>
        <w:t>二</w:t>
      </w:r>
      <w:r>
        <w:rPr>
          <w:rFonts w:hint="eastAsia" w:ascii="黑体" w:hAnsi="黑体" w:eastAsia="黑体" w:cs="Times New Roman"/>
          <w:kern w:val="2"/>
          <w:sz w:val="32"/>
          <w:szCs w:val="32"/>
          <w:lang w:val="en-US" w:eastAsia="zh-CN" w:bidi="ar-SA"/>
        </w:rPr>
        <w:t>：动力游戏区占地示意图</w:t>
      </w:r>
      <w:bookmarkEnd w:id="1194"/>
      <w:bookmarkEnd w:id="1195"/>
      <w:r>
        <w:rPr>
          <w:rFonts w:hint="eastAsia" w:ascii="黑体" w:hAnsi="黑体" w:eastAsia="黑体" w:cs="Times New Roman"/>
          <w:kern w:val="2"/>
          <w:sz w:val="32"/>
          <w:szCs w:val="32"/>
          <w:lang w:val="en-US" w:eastAsia="zh-CN" w:bidi="ar-SA"/>
        </w:rPr>
        <w:t>（暂定，以最终设计为准）</w:t>
      </w:r>
      <w:bookmarkEnd w:id="1196"/>
      <w:bookmarkEnd w:id="1197"/>
      <w:bookmarkEnd w:id="1198"/>
      <w:bookmarkEnd w:id="1199"/>
      <w:bookmarkEnd w:id="1200"/>
      <w:bookmarkEnd w:id="1201"/>
      <w:bookmarkEnd w:id="1202"/>
    </w:p>
    <w:p w14:paraId="705FEFB6">
      <w:pPr>
        <w:snapToGrid w:val="0"/>
        <w:spacing w:before="190" w:beforeLines="50" w:after="190" w:afterLines="50" w:line="360" w:lineRule="auto"/>
        <w:ind w:firstLine="0" w:firstLineChars="0"/>
        <w:outlineLvl w:val="9"/>
        <w:rPr>
          <w:rFonts w:ascii="Times New Roman" w:hAnsi="Times New Roman" w:eastAsia="仿宋" w:cs="Times New Roman"/>
          <w:sz w:val="28"/>
          <w:szCs w:val="28"/>
        </w:rPr>
      </w:pPr>
      <w:r>
        <w:rPr>
          <w:rFonts w:ascii="Times New Roman" w:hAnsi="Times New Roman" w:eastAsia="仿宋" w:cs="Times New Roman"/>
          <w:sz w:val="28"/>
          <w:szCs w:val="28"/>
        </w:rPr>
        <w:drawing>
          <wp:inline distT="0" distB="0" distL="114300" distR="114300">
            <wp:extent cx="5509895" cy="3285490"/>
            <wp:effectExtent l="0" t="0" r="698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3"/>
                    <a:stretch>
                      <a:fillRect/>
                    </a:stretch>
                  </pic:blipFill>
                  <pic:spPr>
                    <a:xfrm>
                      <a:off x="0" y="0"/>
                      <a:ext cx="5509895" cy="3285490"/>
                    </a:xfrm>
                    <a:prstGeom prst="rect">
                      <a:avLst/>
                    </a:prstGeom>
                    <a:noFill/>
                    <a:ln>
                      <a:noFill/>
                    </a:ln>
                  </pic:spPr>
                </pic:pic>
              </a:graphicData>
            </a:graphic>
          </wp:inline>
        </w:drawing>
      </w:r>
    </w:p>
    <w:p w14:paraId="492A14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14:paraId="2A62E3AD">
      <w:pPr>
        <w:rPr>
          <w:rFonts w:hint="eastAsia" w:ascii="宋体" w:hAnsi="宋体" w:eastAsia="宋体" w:cs="宋体"/>
          <w:b/>
          <w:bCs/>
          <w:kern w:val="44"/>
          <w:sz w:val="24"/>
          <w:szCs w:val="24"/>
          <w:highlight w:val="none"/>
        </w:rPr>
      </w:pPr>
    </w:p>
    <w:p w14:paraId="628F15DC">
      <w:pPr>
        <w:rPr>
          <w:rFonts w:hint="eastAsia" w:ascii="宋体" w:hAnsi="宋体" w:eastAsia="宋体" w:cs="宋体"/>
          <w:b/>
          <w:bCs/>
          <w:kern w:val="44"/>
          <w:sz w:val="24"/>
          <w:szCs w:val="24"/>
          <w:highlight w:val="none"/>
        </w:rPr>
      </w:pPr>
    </w:p>
    <w:p w14:paraId="3DC8A320">
      <w:pPr>
        <w:rPr>
          <w:rFonts w:hint="eastAsia" w:ascii="宋体" w:hAnsi="宋体" w:eastAsia="宋体" w:cs="宋体"/>
          <w:b/>
          <w:bCs/>
          <w:kern w:val="44"/>
          <w:sz w:val="24"/>
          <w:szCs w:val="24"/>
          <w:highlight w:val="none"/>
        </w:rPr>
      </w:pPr>
    </w:p>
    <w:p w14:paraId="7900A339">
      <w:pPr>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br w:type="page"/>
      </w:r>
    </w:p>
    <w:p w14:paraId="58A53C76">
      <w:pPr>
        <w:keepNext/>
        <w:keepLines/>
        <w:pageBreakBefore w:val="0"/>
        <w:kinsoku/>
        <w:overflowPunct/>
        <w:topLinePunct w:val="0"/>
        <w:bidi w:val="0"/>
        <w:spacing w:before="340" w:afterLines="25" w:line="240" w:lineRule="auto"/>
        <w:jc w:val="center"/>
        <w:outlineLvl w:val="0"/>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第二册  通用条款（公开招标）</w:t>
      </w:r>
    </w:p>
    <w:p w14:paraId="25894ABD">
      <w:pPr>
        <w:pStyle w:val="37"/>
        <w:keepNext/>
        <w:keepLines/>
        <w:pageBreakBefore w:val="0"/>
        <w:numPr>
          <w:ilvl w:val="0"/>
          <w:numId w:val="0"/>
        </w:numPr>
        <w:tabs>
          <w:tab w:val="left" w:pos="720"/>
        </w:tabs>
        <w:kinsoku/>
        <w:overflowPunct/>
        <w:topLinePunct w:val="0"/>
        <w:bidi w:val="0"/>
        <w:adjustRightInd w:val="0"/>
        <w:spacing w:beforeLines="50" w:afterLines="50" w:line="240" w:lineRule="auto"/>
        <w:ind w:left="1080" w:leftChars="0" w:hanging="1080" w:firstLineChars="0"/>
        <w:jc w:val="center"/>
        <w:textAlignment w:val="baseline"/>
        <w:outlineLvl w:val="1"/>
        <w:rPr>
          <w:rFonts w:hint="eastAsia" w:ascii="宋体" w:hAnsi="宋体" w:eastAsia="宋体" w:cs="宋体"/>
          <w:b/>
          <w:bCs/>
          <w:sz w:val="24"/>
          <w:szCs w:val="24"/>
          <w:highlight w:val="none"/>
        </w:rPr>
      </w:pPr>
      <w:bookmarkStart w:id="1203" w:name="_Hlk72399513"/>
      <w:r>
        <w:rPr>
          <w:rFonts w:hint="default" w:ascii="宋体" w:hAnsi="宋体" w:eastAsia="宋体" w:cs="宋体"/>
          <w:b/>
          <w:bCs/>
          <w:kern w:val="2"/>
          <w:sz w:val="24"/>
          <w:szCs w:val="24"/>
          <w:lang w:val="en-US" w:eastAsia="zh-CN" w:bidi="ar-SA"/>
        </w:rPr>
        <w:t>第一章</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b/>
          <w:bCs/>
          <w:sz w:val="24"/>
          <w:szCs w:val="24"/>
          <w:highlight w:val="none"/>
        </w:rPr>
        <w:t>总则</w:t>
      </w:r>
    </w:p>
    <w:bookmarkEnd w:id="1203"/>
    <w:p w14:paraId="7FE9CB0F">
      <w:pPr>
        <w:pageBreakBefore w:val="0"/>
        <w:kinsoku/>
        <w:overflowPunct/>
        <w:topLinePunct w:val="0"/>
        <w:bidi w:val="0"/>
        <w:spacing w:line="240" w:lineRule="auto"/>
        <w:rPr>
          <w:rFonts w:hint="eastAsia" w:ascii="宋体" w:hAnsi="宋体" w:eastAsia="宋体" w:cs="宋体"/>
          <w:sz w:val="24"/>
          <w:szCs w:val="24"/>
          <w:highlight w:val="none"/>
        </w:rPr>
      </w:pPr>
      <w:bookmarkStart w:id="1204" w:name="_Hlk72439706"/>
      <w:r>
        <w:rPr>
          <w:rFonts w:hint="eastAsia" w:ascii="宋体" w:hAnsi="宋体" w:eastAsia="宋体" w:cs="宋体"/>
          <w:sz w:val="24"/>
          <w:szCs w:val="24"/>
          <w:highlight w:val="none"/>
        </w:rPr>
        <w:t>1. 通用条款说明</w:t>
      </w:r>
    </w:p>
    <w:p w14:paraId="5734C9BD">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1.1</w:t>
      </w:r>
      <w:bookmarkStart w:id="1205" w:name="OLE_LINK2"/>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发出招标文件</w:t>
      </w:r>
      <w:bookmarkEnd w:id="1205"/>
      <w:r>
        <w:rPr>
          <w:rFonts w:hint="eastAsia" w:ascii="宋体" w:hAnsi="宋体" w:eastAsia="宋体" w:cs="宋体"/>
          <w:sz w:val="24"/>
          <w:szCs w:val="24"/>
          <w:highlight w:val="none"/>
        </w:rPr>
        <w:t>通用条款版本，列出</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项目进行招标所适用的通用条款内容。</w:t>
      </w:r>
      <w:bookmarkStart w:id="1206" w:name="_Hlk72399729"/>
      <w:r>
        <w:rPr>
          <w:rFonts w:hint="eastAsia" w:ascii="宋体" w:hAnsi="宋体" w:eastAsia="宋体" w:cs="宋体"/>
          <w:sz w:val="24"/>
          <w:szCs w:val="24"/>
          <w:highlight w:val="none"/>
        </w:rPr>
        <w:t>如有需要，</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可以对通用条款的内容进行补充。</w:t>
      </w:r>
      <w:bookmarkEnd w:id="1206"/>
    </w:p>
    <w:p w14:paraId="39B2DE2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1.2招标文件分为第一册“专用条款”和第二册“通用条款”。</w:t>
      </w:r>
    </w:p>
    <w:p w14:paraId="72842703">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1.3“专用条款”是对本次招标项目的具体要求，包含招标公告、对通用条款的补充内容及其他关键信息、用户需求书、投标文件格式及附件、</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条款及格式等内容。</w:t>
      </w:r>
    </w:p>
    <w:p w14:paraId="25808A9B">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1.4“通用条款”是适用于公开招标项目的基础性条款，具有普遍性和通用性。</w:t>
      </w:r>
    </w:p>
    <w:p w14:paraId="3D141026">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1.5 “专用条款”和“通用条款”表述不一致或有冲突时，以“专用条款”为准。</w:t>
      </w:r>
    </w:p>
    <w:p w14:paraId="0D59CD4C">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2．招标说明</w:t>
      </w:r>
    </w:p>
    <w:p w14:paraId="3C40FBDD">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本项目为运营权项目，</w:t>
      </w: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rPr>
        <w:t>《中华人民共和国政府采购法》《中华人民共和国招标投标法》《</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"http://www.baidu.com/link?url=6TUmbbSdkQxdcJaeHRzTO4mBxp9fQtiBr4U3woWl_azESqs3mBGaEop_LCuC-SJkD_IjzhVv5T3W1ed0YfeWVnmlKtx2JOuwBjACvXaaFhK" \t "https://www.baidu.com/_blank"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中华人民共和国民法典</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》，并参照有关法规、政策、规章、规定通过公开招标择优选定</w:t>
      </w:r>
      <w:r>
        <w:rPr>
          <w:rFonts w:hint="eastAsia" w:ascii="宋体" w:hAnsi="宋体" w:eastAsia="宋体" w:cs="宋体"/>
          <w:sz w:val="24"/>
          <w:szCs w:val="24"/>
          <w:highlight w:val="none"/>
          <w:lang w:val="en-US" w:eastAsia="zh-CN"/>
        </w:rPr>
        <w:t>运营方</w:t>
      </w:r>
      <w:r>
        <w:rPr>
          <w:rFonts w:hint="eastAsia" w:ascii="宋体" w:hAnsi="宋体" w:eastAsia="宋体" w:cs="宋体"/>
          <w:sz w:val="24"/>
          <w:szCs w:val="24"/>
          <w:highlight w:val="none"/>
        </w:rPr>
        <w:t>。</w:t>
      </w:r>
    </w:p>
    <w:p w14:paraId="7BBF05B6">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3．定义</w:t>
      </w:r>
    </w:p>
    <w:p w14:paraId="6BEF3801">
      <w:pPr>
        <w:pageBreakBefore w:val="0"/>
        <w:kinsoku/>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招标文件中下列术语应解释为：</w:t>
      </w:r>
    </w:p>
    <w:p w14:paraId="1D849E92">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3.1“</w:t>
      </w:r>
      <w:bookmarkStart w:id="1207" w:name="OLE_LINK7"/>
      <w:r>
        <w:rPr>
          <w:rFonts w:hint="eastAsia" w:ascii="宋体" w:hAnsi="宋体" w:eastAsia="宋体" w:cs="宋体"/>
          <w:sz w:val="24"/>
          <w:szCs w:val="24"/>
          <w:highlight w:val="none"/>
          <w:lang w:val="en-US" w:eastAsia="zh-CN"/>
        </w:rPr>
        <w:t>招标人</w:t>
      </w:r>
      <w:bookmarkEnd w:id="1207"/>
      <w:r>
        <w:rPr>
          <w:rFonts w:hint="eastAsia" w:ascii="宋体" w:hAnsi="宋体" w:eastAsia="宋体" w:cs="宋体"/>
          <w:sz w:val="24"/>
          <w:szCs w:val="24"/>
          <w:highlight w:val="none"/>
        </w:rPr>
        <w:t>”：指</w:t>
      </w:r>
      <w:r>
        <w:rPr>
          <w:rFonts w:hint="eastAsia" w:ascii="宋体" w:hAnsi="宋体" w:eastAsia="宋体" w:cs="宋体"/>
          <w:sz w:val="24"/>
          <w:szCs w:val="24"/>
          <w:highlight w:val="none"/>
          <w:lang w:val="en-US" w:eastAsia="zh-CN"/>
        </w:rPr>
        <w:t>对项目</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的国家机关、事业单位、团体组织；</w:t>
      </w:r>
    </w:p>
    <w:p w14:paraId="3680DEFF">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 “</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w:t>
      </w:r>
      <w:r>
        <w:rPr>
          <w:rFonts w:hint="eastAsia" w:ascii="宋体" w:hAnsi="宋体" w:eastAsia="宋体" w:cs="宋体"/>
          <w:sz w:val="24"/>
          <w:szCs w:val="24"/>
          <w:highlight w:val="none"/>
          <w:shd w:val="clear" w:color="auto" w:fill="FFFFFF"/>
          <w:lang w:eastAsia="zh-CN"/>
        </w:rPr>
        <w:t>：</w:t>
      </w:r>
      <w:r>
        <w:rPr>
          <w:rFonts w:hint="eastAsia" w:ascii="宋体" w:hAnsi="宋体" w:eastAsia="宋体" w:cs="宋体"/>
          <w:sz w:val="24"/>
          <w:szCs w:val="24"/>
          <w:highlight w:val="none"/>
        </w:rPr>
        <w:t>本文件所述的“</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”指</w:t>
      </w:r>
      <w:r>
        <w:rPr>
          <w:rFonts w:hint="eastAsia" w:ascii="宋体" w:hAnsi="宋体" w:eastAsia="宋体" w:cs="宋体"/>
          <w:sz w:val="24"/>
          <w:szCs w:val="24"/>
        </w:rPr>
        <w:t>深圳交易集团有限公司罗湖分公司</w:t>
      </w:r>
      <w:r>
        <w:rPr>
          <w:rFonts w:hint="eastAsia" w:ascii="宋体" w:hAnsi="宋体" w:eastAsia="宋体" w:cs="宋体"/>
          <w:sz w:val="24"/>
          <w:szCs w:val="24"/>
          <w:highlight w:val="none"/>
        </w:rPr>
        <w:t>；</w:t>
      </w:r>
    </w:p>
    <w:p w14:paraId="10F338D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3.3“投标人”，即供应商，指参加投标竞争并愿意按照招标文件要求向</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提供货物、工程或者服务的依法成立的法人、其他组织或者自然人；</w:t>
      </w:r>
    </w:p>
    <w:p w14:paraId="49D42FC4">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3.4“评审委员会”是</w:t>
      </w:r>
      <w:r>
        <w:rPr>
          <w:rFonts w:hint="eastAsia" w:ascii="宋体" w:hAnsi="宋体" w:eastAsia="宋体" w:cs="宋体"/>
          <w:sz w:val="24"/>
          <w:szCs w:val="24"/>
        </w:rPr>
        <w:t>专门负责本次招标其评审工作的临时性机构</w:t>
      </w:r>
      <w:r>
        <w:rPr>
          <w:rFonts w:hint="eastAsia" w:ascii="宋体" w:hAnsi="宋体" w:eastAsia="宋体" w:cs="宋体"/>
          <w:sz w:val="24"/>
          <w:szCs w:val="24"/>
          <w:highlight w:val="none"/>
        </w:rPr>
        <w:t>；</w:t>
      </w:r>
    </w:p>
    <w:p w14:paraId="7EDE6626">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3.5“日期”指公历日；</w:t>
      </w:r>
    </w:p>
    <w:p w14:paraId="4545AB25">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3.6“</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”指由本次招标所产生的</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或合约文件；</w:t>
      </w:r>
    </w:p>
    <w:p w14:paraId="20ED14A8">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3.7“电子投标文件”指利用</w:t>
      </w:r>
      <w:r>
        <w:rPr>
          <w:rFonts w:hint="eastAsia" w:ascii="宋体" w:hAnsi="宋体" w:eastAsia="宋体" w:cs="宋体"/>
          <w:b/>
          <w:bCs/>
          <w:color w:val="auto"/>
          <w:sz w:val="24"/>
          <w:szCs w:val="24"/>
          <w:highlight w:val="none"/>
        </w:rPr>
        <w:t>深圳公共资源交易中心（</w:t>
      </w:r>
      <w:r>
        <w:rPr>
          <w:rFonts w:hint="eastAsia" w:ascii="宋体" w:hAnsi="宋体" w:eastAsia="宋体" w:cs="宋体"/>
          <w:b/>
          <w:bCs/>
          <w:color w:val="auto"/>
          <w:sz w:val="24"/>
          <w:szCs w:val="24"/>
          <w:highlight w:val="none"/>
          <w:lang w:eastAsia="zh-CN"/>
        </w:rPr>
        <w:t>深圳交易集团有限公司</w:t>
      </w:r>
      <w:r>
        <w:rPr>
          <w:rFonts w:hint="eastAsia" w:ascii="宋体" w:hAnsi="宋体" w:eastAsia="宋体" w:cs="宋体"/>
          <w:b/>
          <w:bCs/>
          <w:color w:val="auto"/>
          <w:sz w:val="24"/>
          <w:szCs w:val="24"/>
          <w:highlight w:val="none"/>
          <w:lang w:val="en-US" w:eastAsia="zh-CN"/>
        </w:rPr>
        <w:t>罗湖</w:t>
      </w:r>
      <w:r>
        <w:rPr>
          <w:rFonts w:hint="eastAsia" w:ascii="宋体" w:hAnsi="宋体" w:eastAsia="宋体" w:cs="宋体"/>
          <w:b/>
          <w:bCs/>
          <w:color w:val="auto"/>
          <w:sz w:val="24"/>
          <w:szCs w:val="24"/>
          <w:highlight w:val="none"/>
          <w:lang w:eastAsia="zh-CN"/>
        </w:rPr>
        <w:t>分公司</w:t>
      </w:r>
      <w:r>
        <w:rPr>
          <w:rFonts w:hint="eastAsia" w:ascii="宋体" w:hAnsi="宋体" w:eastAsia="宋体" w:cs="宋体"/>
          <w:b/>
          <w:bCs/>
          <w:color w:val="auto"/>
          <w:sz w:val="24"/>
          <w:szCs w:val="24"/>
          <w:highlight w:val="none"/>
        </w:rPr>
        <w:t>）</w:t>
      </w:r>
      <w:r>
        <w:rPr>
          <w:rFonts w:hint="eastAsia" w:ascii="宋体" w:hAnsi="宋体" w:eastAsia="宋体" w:cs="宋体"/>
          <w:sz w:val="24"/>
          <w:szCs w:val="24"/>
          <w:highlight w:val="none"/>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449FA4A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3.8“网上投标”指通过</w:t>
      </w:r>
      <w:r>
        <w:rPr>
          <w:rFonts w:hint="eastAsia" w:ascii="宋体" w:hAnsi="宋体" w:eastAsia="宋体" w:cs="宋体"/>
          <w:b/>
          <w:bCs/>
          <w:color w:val="auto"/>
          <w:sz w:val="24"/>
          <w:szCs w:val="24"/>
          <w:highlight w:val="none"/>
        </w:rPr>
        <w:t>深圳公共资源交易中心（</w:t>
      </w:r>
      <w:r>
        <w:rPr>
          <w:rFonts w:hint="eastAsia" w:ascii="宋体" w:hAnsi="宋体" w:eastAsia="宋体" w:cs="宋体"/>
          <w:b/>
          <w:bCs/>
          <w:color w:val="auto"/>
          <w:sz w:val="24"/>
          <w:szCs w:val="24"/>
          <w:highlight w:val="none"/>
          <w:lang w:eastAsia="zh-CN"/>
        </w:rPr>
        <w:t>深圳交易集团有限公司</w:t>
      </w:r>
      <w:r>
        <w:rPr>
          <w:rFonts w:hint="eastAsia" w:ascii="宋体" w:hAnsi="宋体" w:eastAsia="宋体" w:cs="宋体"/>
          <w:b/>
          <w:bCs/>
          <w:color w:val="auto"/>
          <w:sz w:val="24"/>
          <w:szCs w:val="24"/>
          <w:highlight w:val="none"/>
          <w:lang w:val="en-US" w:eastAsia="zh-CN"/>
        </w:rPr>
        <w:t>罗湖</w:t>
      </w:r>
      <w:r>
        <w:rPr>
          <w:rFonts w:hint="eastAsia" w:ascii="宋体" w:hAnsi="宋体" w:eastAsia="宋体" w:cs="宋体"/>
          <w:b/>
          <w:bCs/>
          <w:color w:val="auto"/>
          <w:sz w:val="24"/>
          <w:szCs w:val="24"/>
          <w:highlight w:val="none"/>
          <w:lang w:eastAsia="zh-CN"/>
        </w:rPr>
        <w:t>分公司</w:t>
      </w:r>
      <w:r>
        <w:rPr>
          <w:rFonts w:hint="eastAsia" w:ascii="宋体" w:hAnsi="宋体" w:eastAsia="宋体" w:cs="宋体"/>
          <w:b/>
          <w:bCs/>
          <w:color w:val="auto"/>
          <w:sz w:val="24"/>
          <w:szCs w:val="24"/>
          <w:highlight w:val="none"/>
        </w:rPr>
        <w:t>）</w:t>
      </w:r>
      <w:r>
        <w:rPr>
          <w:rFonts w:hint="eastAsia" w:ascii="宋体" w:hAnsi="宋体" w:eastAsia="宋体" w:cs="宋体"/>
          <w:sz w:val="24"/>
          <w:szCs w:val="24"/>
          <w:highlight w:val="none"/>
        </w:rPr>
        <w:t>网站上传电子投标文件；</w:t>
      </w:r>
    </w:p>
    <w:p w14:paraId="72B2A909">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3.9招标文件中的标题或题名仅起引导作用，而不应视为对招标文件内容的理解和解释。</w:t>
      </w:r>
    </w:p>
    <w:p w14:paraId="4B2BA533">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 </w:t>
      </w:r>
      <w:bookmarkStart w:id="1208" w:name="_Hlk72398643"/>
      <w:r>
        <w:rPr>
          <w:rFonts w:hint="eastAsia" w:ascii="宋体" w:hAnsi="宋体" w:eastAsia="宋体" w:cs="宋体"/>
          <w:sz w:val="24"/>
          <w:szCs w:val="24"/>
          <w:highlight w:val="none"/>
        </w:rPr>
        <w:t>投标人责任</w:t>
      </w:r>
    </w:p>
    <w:p w14:paraId="634FF698">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4.1投标人应当遵循公平竞争的原则，不得恶意串通，不得妨碍其他投标人的竞争行为，不得损害</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或者其他投标人的合法权益。如违反上述要求，经核实后，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的投标无效。</w:t>
      </w:r>
    </w:p>
    <w:p w14:paraId="54AC1896">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5．投标人参加</w:t>
      </w:r>
      <w:r>
        <w:rPr>
          <w:rFonts w:hint="eastAsia" w:ascii="宋体" w:hAnsi="宋体" w:eastAsia="宋体" w:cs="宋体"/>
          <w:sz w:val="24"/>
          <w:szCs w:val="24"/>
          <w:highlight w:val="none"/>
          <w:lang w:eastAsia="zh-CN"/>
        </w:rPr>
        <w:t>交易活动</w:t>
      </w:r>
      <w:r>
        <w:rPr>
          <w:rFonts w:hint="eastAsia" w:ascii="宋体" w:hAnsi="宋体" w:eastAsia="宋体" w:cs="宋体"/>
          <w:sz w:val="24"/>
          <w:szCs w:val="24"/>
          <w:highlight w:val="none"/>
        </w:rPr>
        <w:t>的条件</w:t>
      </w:r>
    </w:p>
    <w:p w14:paraId="60610DEC">
      <w:pPr>
        <w:pageBreakBefore w:val="0"/>
        <w:kinsoku/>
        <w:overflowPunct/>
        <w:topLinePunct w:val="0"/>
        <w:bidi w:val="0"/>
        <w:spacing w:line="240" w:lineRule="auto"/>
        <w:ind w:firstLine="470" w:firstLineChars="19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5.1投标人应在投标前到</w:t>
      </w:r>
      <w:r>
        <w:rPr>
          <w:rFonts w:hint="eastAsia" w:ascii="宋体" w:hAnsi="宋体" w:eastAsia="宋体" w:cs="宋体"/>
          <w:b/>
          <w:bCs/>
          <w:sz w:val="24"/>
          <w:szCs w:val="24"/>
          <w:highlight w:val="none"/>
        </w:rPr>
        <w:t>深圳公共资源交易中心（具体在深圳交易集团有限公司政府采购业务分公司进行办理）</w:t>
      </w:r>
      <w:r>
        <w:rPr>
          <w:rFonts w:hint="eastAsia" w:ascii="宋体" w:hAnsi="宋体" w:eastAsia="宋体" w:cs="宋体"/>
          <w:sz w:val="24"/>
          <w:szCs w:val="24"/>
          <w:highlight w:val="none"/>
        </w:rPr>
        <w:t>进行注册并办理电子密钥。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电子密钥</w:t>
      </w:r>
      <w:r>
        <w:rPr>
          <w:rFonts w:hint="eastAsia" w:ascii="宋体" w:hAnsi="宋体" w:eastAsia="宋体" w:cs="宋体"/>
          <w:sz w:val="24"/>
          <w:szCs w:val="24"/>
          <w:highlight w:val="none"/>
          <w:lang w:val="en-US" w:eastAsia="zh-CN"/>
        </w:rPr>
        <w:t>办理咨询电话（0755-83948165、0755-83938966、4008301330）。</w:t>
      </w:r>
    </w:p>
    <w:p w14:paraId="774CCEFB">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5.2投标人资格要求</w:t>
      </w:r>
    </w:p>
    <w:p w14:paraId="1D51CACE">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参加本项目的投标人应具备的资格条件详见本项目招标公告中 “投标人资格要求”（即申请人的资格要求）的内容。</w:t>
      </w:r>
    </w:p>
    <w:p w14:paraId="2FB56A0D">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5.3联合体投标</w:t>
      </w:r>
    </w:p>
    <w:p w14:paraId="3D448B45">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5.3.1　以下有关联合体投标的条款仅适用于允许投标人组成联合体投标的项目。</w:t>
      </w:r>
    </w:p>
    <w:p w14:paraId="4B78E593">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5.3.2  由两个或两个以上的自然人、法人或者其他组织可以组成一个联合体，以一个</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的身份共同投标时，应符合以下原则：</w:t>
      </w:r>
    </w:p>
    <w:p w14:paraId="0D462DC5">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（1）投标联合体各方参加</w:t>
      </w:r>
      <w:r>
        <w:rPr>
          <w:rFonts w:hint="eastAsia" w:ascii="宋体" w:hAnsi="宋体" w:eastAsia="宋体" w:cs="宋体"/>
          <w:sz w:val="24"/>
          <w:szCs w:val="24"/>
          <w:highlight w:val="none"/>
          <w:lang w:eastAsia="zh-CN"/>
        </w:rPr>
        <w:t>交易</w:t>
      </w:r>
      <w:r>
        <w:rPr>
          <w:rFonts w:hint="eastAsia" w:ascii="宋体" w:hAnsi="宋体" w:eastAsia="宋体" w:cs="宋体"/>
          <w:sz w:val="24"/>
          <w:szCs w:val="24"/>
          <w:highlight w:val="none"/>
        </w:rPr>
        <w:t xml:space="preserve">活动应当具备下列条件： </w:t>
      </w:r>
    </w:p>
    <w:p w14:paraId="207A37D0">
      <w:pPr>
        <w:pageBreakBefore w:val="0"/>
        <w:kinsoku/>
        <w:overflowPunct/>
        <w:topLinePunct w:val="0"/>
        <w:bidi w:val="0"/>
        <w:spacing w:line="240" w:lineRule="auto"/>
        <w:ind w:left="420" w:leftChars="2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1、具有独立承担民事责任的能力； </w:t>
      </w:r>
    </w:p>
    <w:p w14:paraId="2A557BFC">
      <w:pPr>
        <w:pageBreakBefore w:val="0"/>
        <w:kinsoku/>
        <w:overflowPunct/>
        <w:topLinePunct w:val="0"/>
        <w:bidi w:val="0"/>
        <w:spacing w:line="240" w:lineRule="auto"/>
        <w:ind w:left="42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2、有良好的商业信誉和健全的财务会计制度； </w:t>
      </w:r>
    </w:p>
    <w:p w14:paraId="0CF28DD6">
      <w:pPr>
        <w:pageBreakBefore w:val="0"/>
        <w:kinsoku/>
        <w:overflowPunct/>
        <w:topLinePunct w:val="0"/>
        <w:bidi w:val="0"/>
        <w:spacing w:line="240" w:lineRule="auto"/>
        <w:ind w:left="420" w:leftChars="2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 xml:space="preserve">所必需的设备和专业技术能力； </w:t>
      </w:r>
    </w:p>
    <w:p w14:paraId="09F73774">
      <w:pPr>
        <w:pageBreakBefore w:val="0"/>
        <w:kinsoku/>
        <w:overflowPunct/>
        <w:topLinePunct w:val="0"/>
        <w:bidi w:val="0"/>
        <w:spacing w:line="240" w:lineRule="auto"/>
        <w:ind w:left="420" w:leftChars="2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4、有依法缴纳税收和社会保障资金的良好记录； </w:t>
      </w:r>
    </w:p>
    <w:p w14:paraId="02C418F1">
      <w:pPr>
        <w:pageBreakBefore w:val="0"/>
        <w:kinsoku/>
        <w:overflowPunct/>
        <w:topLinePunct w:val="0"/>
        <w:bidi w:val="0"/>
        <w:spacing w:line="240" w:lineRule="auto"/>
        <w:ind w:left="420" w:leftChars="2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5、参加</w:t>
      </w:r>
      <w:r>
        <w:rPr>
          <w:rFonts w:hint="eastAsia" w:ascii="宋体" w:hAnsi="宋体" w:eastAsia="宋体" w:cs="宋体"/>
          <w:sz w:val="24"/>
          <w:szCs w:val="24"/>
          <w:highlight w:val="none"/>
          <w:lang w:eastAsia="zh-CN"/>
        </w:rPr>
        <w:t>交易</w:t>
      </w:r>
      <w:r>
        <w:rPr>
          <w:rFonts w:hint="eastAsia" w:ascii="宋体" w:hAnsi="宋体" w:eastAsia="宋体" w:cs="宋体"/>
          <w:sz w:val="24"/>
          <w:szCs w:val="24"/>
          <w:highlight w:val="none"/>
        </w:rPr>
        <w:t xml:space="preserve">活动前三年内，在经营活动中没有重大违法记录； </w:t>
      </w:r>
    </w:p>
    <w:p w14:paraId="7AFA6B92">
      <w:pPr>
        <w:pageBreakBefore w:val="0"/>
        <w:kinsoku/>
        <w:overflowPunct/>
        <w:topLinePunct w:val="0"/>
        <w:bidi w:val="0"/>
        <w:spacing w:line="240" w:lineRule="auto"/>
        <w:ind w:left="420" w:leftChars="2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6、法律、行政法规规定的其他条件。 </w:t>
      </w:r>
    </w:p>
    <w:p w14:paraId="1F376F78">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（2）在投标截止前，投标联合体各方均应注册成</w:t>
      </w:r>
      <w:r>
        <w:rPr>
          <w:rFonts w:hint="eastAsia" w:ascii="宋体" w:hAnsi="宋体" w:eastAsia="宋体" w:cs="宋体"/>
          <w:sz w:val="24"/>
          <w:szCs w:val="24"/>
        </w:rPr>
        <w:t>政府集中采购机构</w:t>
      </w:r>
      <w:r>
        <w:rPr>
          <w:rFonts w:hint="eastAsia" w:ascii="宋体" w:hAnsi="宋体" w:eastAsia="宋体" w:cs="宋体"/>
          <w:sz w:val="24"/>
          <w:szCs w:val="24"/>
          <w:highlight w:val="none"/>
        </w:rPr>
        <w:t>供应商；</w:t>
      </w:r>
    </w:p>
    <w:p w14:paraId="3FD19A28">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（3）联合体中有同类资质的供应商按照联合体分工承担相同工作的，应当按照资质等级较低的供应商确定资质等级；</w:t>
      </w:r>
    </w:p>
    <w:p w14:paraId="3972989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（4）是否允许联合体参加投标，应当由</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根据项目的实际情况和潜在供应商的数量自主决定，如果决定接受联合体投标则应当在招标公告中明示；</w:t>
      </w:r>
    </w:p>
    <w:p w14:paraId="48CCD66F">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（5）投标人的投标文件及中标后签署的</w:t>
      </w:r>
      <w:r>
        <w:rPr>
          <w:rFonts w:hint="eastAsia" w:ascii="宋体" w:hAnsi="宋体" w:eastAsia="宋体" w:cs="宋体"/>
          <w:sz w:val="24"/>
          <w:szCs w:val="24"/>
          <w:highlight w:val="none"/>
          <w:lang w:eastAsia="zh-CN"/>
        </w:rPr>
        <w:t>协议协议</w:t>
      </w:r>
      <w:r>
        <w:rPr>
          <w:rFonts w:hint="eastAsia" w:ascii="宋体" w:hAnsi="宋体" w:eastAsia="宋体" w:cs="宋体"/>
          <w:sz w:val="24"/>
          <w:szCs w:val="24"/>
          <w:highlight w:val="none"/>
        </w:rPr>
        <w:t>对联合体各方均具法律约束力；</w:t>
      </w:r>
    </w:p>
    <w:p w14:paraId="73A6377D">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（6）联合体各方应当签订联合体投标</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，明确约定各方拟承担的工作和责任，并将该</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随投标文件一并递交给</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w:t>
      </w:r>
    </w:p>
    <w:p w14:paraId="5CBF6DD6">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（7）联合体中标后，联合体各方应当共同与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签订</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，就中标项目向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承担连带责任；</w:t>
      </w:r>
    </w:p>
    <w:p w14:paraId="74F95773">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（8）以联合体形式参加</w:t>
      </w:r>
      <w:bookmarkStart w:id="1209" w:name="OLE_LINK8"/>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活动</w:t>
      </w:r>
      <w:bookmarkEnd w:id="1209"/>
      <w:r>
        <w:rPr>
          <w:rFonts w:hint="eastAsia" w:ascii="宋体" w:hAnsi="宋体" w:eastAsia="宋体" w:cs="宋体"/>
          <w:sz w:val="24"/>
          <w:szCs w:val="24"/>
          <w:highlight w:val="none"/>
        </w:rPr>
        <w:t>的，联合体各方不得再单独参加或者与其他供应商另外组成联合体参加同一</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项下的</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活动，出现上述情况者，其投标和与此有关联合体、总包单位的投标将被拒绝；</w:t>
      </w:r>
    </w:p>
    <w:p w14:paraId="5606881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（9）本通用条款中“投标人”一词亦指联合体各方，专用条款另有规定或说明的除外。</w:t>
      </w:r>
    </w:p>
    <w:p w14:paraId="0A9C06CC">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6．政策导向</w:t>
      </w:r>
    </w:p>
    <w:p w14:paraId="05F0ACEB">
      <w:pPr>
        <w:pageBreakBefore w:val="0"/>
        <w:kinsoku/>
        <w:overflowPunct/>
        <w:topLinePunct w:val="0"/>
        <w:bidi w:val="0"/>
        <w:spacing w:line="240" w:lineRule="auto"/>
        <w:ind w:firstLine="4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6.1 </w:t>
      </w:r>
      <w:r>
        <w:rPr>
          <w:rFonts w:hint="eastAsia" w:ascii="宋体" w:hAnsi="宋体" w:eastAsia="宋体" w:cs="宋体"/>
          <w:sz w:val="24"/>
          <w:szCs w:val="24"/>
          <w:highlight w:val="none"/>
          <w:lang w:val="en-US" w:eastAsia="zh-CN"/>
        </w:rPr>
        <w:t>本项目支持投标人性别平等的相关政策。</w:t>
      </w:r>
    </w:p>
    <w:p w14:paraId="01C47F72">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 本项目若涉及采购货物，则合格的货物及相应服务应满足以下要求：</w:t>
      </w:r>
    </w:p>
    <w:p w14:paraId="45D216D3">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7.1  必须是全新、未使用过的原装合格正品（包括零部件），如安装或配置了软件的，须为正版软件。</w:t>
      </w:r>
    </w:p>
    <w:p w14:paraId="3446184F">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7.2  国产的货物及其有关服务必须符合中华人民共和国的设计、制造生产标准及行业标准。招标公告有其他要求的，亦应符合其要求。</w:t>
      </w:r>
    </w:p>
    <w:p w14:paraId="07E7B7DB">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5BD6FA4">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7.4  投标人</w:t>
      </w:r>
      <w:bookmarkStart w:id="1210" w:name="_Hlk72152753"/>
      <w:r>
        <w:rPr>
          <w:rFonts w:hint="eastAsia" w:ascii="宋体" w:hAnsi="宋体" w:eastAsia="宋体" w:cs="宋体"/>
          <w:sz w:val="24"/>
          <w:szCs w:val="24"/>
          <w:highlight w:val="none"/>
        </w:rPr>
        <w:t>应保证，其所提供的货物通过合法正规渠道供货，在提供给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前具有完全的所有权，</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210"/>
    </w:p>
    <w:p w14:paraId="32F1941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规定完成设备的安装，并达到验收标准。</w:t>
      </w:r>
    </w:p>
    <w:p w14:paraId="648EB43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7.6  工期要求：投标人在投标时对其所投项目应提交交货进度、交货计划等，在</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规定的时间内完成项目实施工作。</w:t>
      </w:r>
    </w:p>
    <w:p w14:paraId="6DE1D3CE">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7.7  投标人必须承担的设备运输、安装调试、验收检测和提供设备操作说明书、图纸等其他相关及类似的义务。</w:t>
      </w:r>
    </w:p>
    <w:p w14:paraId="0D471FEF">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8．投标费用</w:t>
      </w:r>
    </w:p>
    <w:p w14:paraId="199591AB">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不论投标结果如何，投标人应承担其编制投标文件与递交投标文件所涉及的一切费用。</w:t>
      </w:r>
    </w:p>
    <w:p w14:paraId="0AA67B4E">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9．踏勘现场</w:t>
      </w:r>
    </w:p>
    <w:p w14:paraId="5F42C17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9.1如有需要（详见专用条款），</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将组织投标人对项目现场及周围环境进行踏勘，以便投标人获取有关编制投标文件和签署</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所需的资料。踏勘现场所发生的费用由投标人自行承担。投标人应按招标文件所约定的时间、地点踏勘现场。</w:t>
      </w:r>
    </w:p>
    <w:p w14:paraId="0683E93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9.2投标人及其人员经过</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的允许，可以进入</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的项目现场踏勘。若招标文件要求投标人于统一时间地点踏勘现场的，投标人应当按时前往。</w:t>
      </w:r>
    </w:p>
    <w:p w14:paraId="557A98BE">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9.3</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应当通过</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向投标人提供有关现场的书面资料和数据。</w:t>
      </w:r>
    </w:p>
    <w:p w14:paraId="43954AC0">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9.4任何人或任何组织在踏勘现场时向投标人提供的任何书面资料或口头承诺，未经</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在网上发布或书面通知，均作无效处理。</w:t>
      </w:r>
    </w:p>
    <w:p w14:paraId="152813C4">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9.5未参与踏勘现场不作为否定投标人资格的理由。</w:t>
      </w:r>
    </w:p>
    <w:p w14:paraId="3017CF1E">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10．标前会议</w:t>
      </w:r>
    </w:p>
    <w:p w14:paraId="78909A93">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10.1如</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认为有必要组织标前会议，投标人应按照招标文件规定的时间或</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另行书面通知（包括</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网站发布方式，如更正公告等）的时间和地点，参与标前会议。</w:t>
      </w:r>
    </w:p>
    <w:p w14:paraId="47D1D37D">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10.2任何人或任何组织在标前会议时向投标人提供的任何书面资料或口头承诺，未经</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在网上发布或书面通知，均作无效处理。</w:t>
      </w:r>
    </w:p>
    <w:p w14:paraId="3CF2C250">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10.3未参与标前会议不作为否定投标人资格的理由。</w:t>
      </w:r>
    </w:p>
    <w:bookmarkEnd w:id="1208"/>
    <w:p w14:paraId="19C451B8">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p>
    <w:p w14:paraId="4007C2CE">
      <w:pPr>
        <w:pStyle w:val="3"/>
        <w:pageBreakBefore w:val="0"/>
        <w:numPr>
          <w:ilvl w:val="0"/>
          <w:numId w:val="0"/>
        </w:numPr>
        <w:kinsoku/>
        <w:overflowPunct/>
        <w:topLinePunct w:val="0"/>
        <w:bidi w:val="0"/>
        <w:spacing w:before="120" w:beforeLines="50" w:after="120" w:afterLines="50" w:line="240" w:lineRule="auto"/>
        <w:ind w:left="562" w:leftChars="0" w:hanging="562" w:firstLineChars="0"/>
        <w:jc w:val="center"/>
        <w:rPr>
          <w:rFonts w:hint="eastAsia" w:ascii="宋体" w:hAnsi="宋体" w:eastAsia="宋体" w:cs="宋体"/>
          <w:sz w:val="24"/>
          <w:szCs w:val="24"/>
          <w:highlight w:val="none"/>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二</w:t>
      </w:r>
      <w:r>
        <w:rPr>
          <w:rFonts w:hint="default" w:ascii="宋体" w:hAnsi="宋体" w:eastAsia="宋体" w:cs="宋体"/>
          <w:b/>
          <w:bCs/>
          <w:kern w:val="2"/>
          <w:sz w:val="24"/>
          <w:szCs w:val="24"/>
          <w:lang w:val="en-US" w:eastAsia="zh-CN" w:bidi="ar-SA"/>
        </w:rPr>
        <w:t>章</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sz w:val="24"/>
          <w:szCs w:val="24"/>
          <w:highlight w:val="none"/>
        </w:rPr>
        <w:t>招标文件</w:t>
      </w:r>
    </w:p>
    <w:p w14:paraId="19C8A7E7">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bookmarkStart w:id="1211" w:name="_Hlk72399819"/>
      <w:r>
        <w:rPr>
          <w:rFonts w:hint="eastAsia" w:ascii="宋体" w:hAnsi="宋体" w:eastAsia="宋体" w:cs="宋体"/>
          <w:sz w:val="24"/>
          <w:szCs w:val="24"/>
          <w:highlight w:val="none"/>
        </w:rPr>
        <w:t>招标文件的编制与组成</w:t>
      </w:r>
    </w:p>
    <w:p w14:paraId="1FE823B5">
      <w:pPr>
        <w:pageBreakBefore w:val="0"/>
        <w:kinsoku/>
        <w:overflowPunct/>
        <w:topLinePunct w:val="0"/>
        <w:bidi w:val="0"/>
        <w:snapToGrid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11.1招标文件除以下内容外，</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在招标期间发出的澄清或修改等相关公告或通知内容，均是招标文件的组成部分，对投标人起约束作用；</w:t>
      </w:r>
    </w:p>
    <w:p w14:paraId="72F0AF28">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招标文件包括下列内容：</w:t>
      </w:r>
    </w:p>
    <w:p w14:paraId="706F088A">
      <w:pPr>
        <w:pageBreakBefore w:val="0"/>
        <w:kinsoku/>
        <w:overflowPunct/>
        <w:topLinePunct w:val="0"/>
        <w:bidi w:val="0"/>
        <w:spacing w:line="240" w:lineRule="auto"/>
        <w:ind w:left="420" w:leftChars="200"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第一册  专用条款</w:t>
      </w:r>
    </w:p>
    <w:p w14:paraId="11DB0CF4">
      <w:pPr>
        <w:pageBreakBefore w:val="0"/>
        <w:kinsoku/>
        <w:overflowPunct/>
        <w:topLinePunct w:val="0"/>
        <w:bidi w:val="0"/>
        <w:spacing w:line="240" w:lineRule="auto"/>
        <w:ind w:left="1079" w:leftChars="514"/>
        <w:rPr>
          <w:rFonts w:hint="eastAsia" w:ascii="宋体" w:hAnsi="宋体" w:eastAsia="宋体" w:cs="宋体"/>
          <w:b/>
          <w:sz w:val="24"/>
          <w:szCs w:val="24"/>
          <w:highlight w:val="none"/>
        </w:rPr>
      </w:pPr>
      <w:r>
        <w:rPr>
          <w:rFonts w:hint="eastAsia" w:ascii="宋体" w:hAnsi="宋体" w:eastAsia="宋体" w:cs="宋体"/>
          <w:b/>
          <w:sz w:val="24"/>
          <w:szCs w:val="24"/>
          <w:highlight w:val="none"/>
        </w:rPr>
        <w:t>关键信息</w:t>
      </w:r>
    </w:p>
    <w:p w14:paraId="3E733009">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第一章  招标公告</w:t>
      </w:r>
    </w:p>
    <w:p w14:paraId="13763BB0">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第二章  对通用条款的补充内容及其他关键信息</w:t>
      </w:r>
    </w:p>
    <w:p w14:paraId="018CC850">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第三章  用户需求书</w:t>
      </w:r>
    </w:p>
    <w:p w14:paraId="47341872">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第四章  投标文件格式及附件</w:t>
      </w:r>
    </w:p>
    <w:p w14:paraId="6D3D7FE4">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第五章  </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条款及格式</w:t>
      </w:r>
    </w:p>
    <w:p w14:paraId="6EFACE9E">
      <w:pPr>
        <w:pageBreakBefore w:val="0"/>
        <w:kinsoku/>
        <w:overflowPunct/>
        <w:topLinePunct w:val="0"/>
        <w:bidi w:val="0"/>
        <w:spacing w:line="240" w:lineRule="auto"/>
        <w:ind w:left="420" w:leftChars="200"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第二册  通用条款</w:t>
      </w:r>
    </w:p>
    <w:p w14:paraId="7564C9BA">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第一章  总则</w:t>
      </w:r>
    </w:p>
    <w:p w14:paraId="24556F8A">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第二章  招标文件</w:t>
      </w:r>
    </w:p>
    <w:p w14:paraId="6EA7EBDB">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第三章  投标文件的编制</w:t>
      </w:r>
    </w:p>
    <w:p w14:paraId="0DB392F5">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第四章  投标文件的递交</w:t>
      </w:r>
    </w:p>
    <w:p w14:paraId="15D6DDC7">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第五章  开标</w:t>
      </w:r>
    </w:p>
    <w:p w14:paraId="67B676F9">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第六章  评审要求</w:t>
      </w:r>
    </w:p>
    <w:p w14:paraId="1CA02EE3">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第七章  评审程序及评审方法</w:t>
      </w:r>
    </w:p>
    <w:p w14:paraId="3FCE4DD7">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第八章  定标及公示</w:t>
      </w:r>
    </w:p>
    <w:p w14:paraId="1CCF7872">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第九章  公开招标失败的后续处理</w:t>
      </w:r>
    </w:p>
    <w:p w14:paraId="32476623">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第十章  </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的授予与备案</w:t>
      </w:r>
    </w:p>
    <w:p w14:paraId="6A359442">
      <w:pPr>
        <w:pageBreakBefore w:val="0"/>
        <w:kinsoku/>
        <w:overflowPunct/>
        <w:topLinePunct w:val="0"/>
        <w:bidi w:val="0"/>
        <w:spacing w:line="240" w:lineRule="auto"/>
        <w:ind w:left="630" w:leftChars="300"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第十一章  质疑处理</w:t>
      </w:r>
    </w:p>
    <w:p w14:paraId="7B9B30A5">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11.2 投标人下载招标文件后，应仔细检查招标文件的所有内容，如有疑问应在答疑截止时间之前向</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40E58B8">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11.3任何人或任何组织向投标人提交的任何书面或口头资料，未经</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在网上发布或书面通知，均作无效处理，不得作为招标文件的组成部分。</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对投标人由此而做出的推论、理解和结论概不负责。</w:t>
      </w:r>
    </w:p>
    <w:p w14:paraId="56195762">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12．招标文件的澄清</w:t>
      </w:r>
    </w:p>
    <w:p w14:paraId="34773EE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12.1招标文件澄清的目的是澄清、解答投标人在查阅招标文件后或现场踏勘中可能提出的与投标有关的疑问或询问。</w:t>
      </w:r>
    </w:p>
    <w:p w14:paraId="4CC83DB9">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12.2投标人如对招标文件内容有疑问，应当在招标公告规定的澄清（提问）截止时间前以网上提问的形式通过</w:t>
      </w:r>
      <w:r>
        <w:rPr>
          <w:rFonts w:hint="eastAsia" w:ascii="宋体" w:hAnsi="宋体" w:eastAsia="宋体" w:cs="宋体"/>
          <w:sz w:val="24"/>
          <w:szCs w:val="24"/>
          <w:highlight w:val="none"/>
          <w:lang w:val="en-US" w:eastAsia="zh-CN"/>
        </w:rPr>
        <w:t>自行</w:t>
      </w:r>
      <w:r>
        <w:rPr>
          <w:rFonts w:hint="eastAsia" w:ascii="宋体" w:hAnsi="宋体" w:eastAsia="宋体" w:cs="宋体"/>
          <w:sz w:val="24"/>
          <w:szCs w:val="24"/>
          <w:highlight w:val="none"/>
        </w:rPr>
        <w:t>采购系统提交</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w:t>
      </w:r>
    </w:p>
    <w:p w14:paraId="3DD33D8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12.3不论是</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根据需要主动对招标文件进行必要的澄清或是根据投标人的要求对招标文件做出澄清，</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都将在投标截止日期前以书面形式（包括</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网站发布方式）答复或发送给所有投标人。答复内容是招标文件的组成部分，对投标人起约束作用，其有效性按照本通用条款第13.3、13.4款规定执行。</w:t>
      </w:r>
    </w:p>
    <w:p w14:paraId="0633C158">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13．招标文件的修改</w:t>
      </w:r>
    </w:p>
    <w:p w14:paraId="709EB7D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13.1招标文件发出后，在投标截止日期前任何时候，确需要变更招标文件内容的，</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可主动或在解答投标人提出的澄清问题时对招标文件进行修改。</w:t>
      </w:r>
    </w:p>
    <w:p w14:paraId="00F5BE3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13.2招标文件的修改以书面形式（包括</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网站发布方式，如更正公告等）发送给所有投标人，招标文件的修改内容作为招标文件的组成部分，并具有约束力。</w:t>
      </w:r>
    </w:p>
    <w:p w14:paraId="308F1A7E">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13.3招标文件、招标文件澄清答复内容、招标文件修改补充内容均以书面形式（包括</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网站公开发布方式，如更正公告等）明确的内容为准。当招标文件、修改补充通知、招标文件澄清答复内容相互矛盾时，以最后发出的内容为准。</w:t>
      </w:r>
    </w:p>
    <w:p w14:paraId="24B4A59E">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13.4</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保证招标文件澄清答复内容和招标文件修改补充内容在投标截止时间前以书面形式（包括</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网站发布方式，如更正公告等）发送给所有投标人。为使投标人在编制投标文件时有充分时间对招标文件的修改部分进行研究，</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可以酌情延长递交投标文件的截止日期。</w:t>
      </w:r>
      <w:bookmarkEnd w:id="1211"/>
    </w:p>
    <w:p w14:paraId="2EE58473">
      <w:pPr>
        <w:pageBreakBefore w:val="0"/>
        <w:kinsoku/>
        <w:overflowPunct/>
        <w:topLinePunct w:val="0"/>
        <w:bidi w:val="0"/>
        <w:spacing w:line="240" w:lineRule="auto"/>
        <w:rPr>
          <w:rFonts w:hint="eastAsia" w:ascii="宋体" w:hAnsi="宋体" w:eastAsia="宋体" w:cs="宋体"/>
          <w:sz w:val="24"/>
          <w:szCs w:val="24"/>
          <w:highlight w:val="none"/>
        </w:rPr>
      </w:pPr>
    </w:p>
    <w:p w14:paraId="42D62DD2">
      <w:pPr>
        <w:pStyle w:val="3"/>
        <w:pageBreakBefore w:val="0"/>
        <w:numPr>
          <w:ilvl w:val="0"/>
          <w:numId w:val="0"/>
        </w:numPr>
        <w:kinsoku/>
        <w:overflowPunct/>
        <w:topLinePunct w:val="0"/>
        <w:bidi w:val="0"/>
        <w:spacing w:before="120" w:beforeLines="50" w:after="120" w:afterLines="50" w:line="240" w:lineRule="auto"/>
        <w:ind w:left="562" w:leftChars="0" w:hanging="562" w:firstLineChars="0"/>
        <w:jc w:val="center"/>
        <w:rPr>
          <w:rFonts w:hint="eastAsia" w:ascii="宋体" w:hAnsi="宋体" w:eastAsia="宋体" w:cs="宋体"/>
          <w:sz w:val="24"/>
          <w:szCs w:val="24"/>
          <w:highlight w:val="none"/>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三</w:t>
      </w:r>
      <w:r>
        <w:rPr>
          <w:rFonts w:hint="default" w:ascii="宋体" w:hAnsi="宋体" w:eastAsia="宋体" w:cs="宋体"/>
          <w:b/>
          <w:bCs/>
          <w:kern w:val="2"/>
          <w:sz w:val="24"/>
          <w:szCs w:val="24"/>
          <w:lang w:val="en-US" w:eastAsia="zh-CN" w:bidi="ar-SA"/>
        </w:rPr>
        <w:t>章</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sz w:val="24"/>
          <w:szCs w:val="24"/>
          <w:highlight w:val="none"/>
        </w:rPr>
        <w:t>投标文件的编制</w:t>
      </w:r>
    </w:p>
    <w:p w14:paraId="0B9621B3">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bookmarkStart w:id="1212" w:name="_Hlk72400236"/>
      <w:r>
        <w:rPr>
          <w:rFonts w:hint="eastAsia" w:ascii="宋体" w:hAnsi="宋体" w:eastAsia="宋体" w:cs="宋体"/>
          <w:sz w:val="24"/>
          <w:szCs w:val="24"/>
          <w:highlight w:val="none"/>
        </w:rPr>
        <w:t>投标文件的语言及度量单位</w:t>
      </w:r>
    </w:p>
    <w:p w14:paraId="705CCB0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14.1 投标人与</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D378FA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14.2 除技术规范另有规定外，投标文件使用的度量单位，均采用中华人民共和国法定计量单位。</w:t>
      </w:r>
    </w:p>
    <w:bookmarkEnd w:id="1212"/>
    <w:p w14:paraId="48068526">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w:t>
      </w:r>
      <w:bookmarkStart w:id="1213" w:name="_Hlk72401567"/>
      <w:r>
        <w:rPr>
          <w:rFonts w:hint="eastAsia" w:ascii="宋体" w:hAnsi="宋体" w:eastAsia="宋体" w:cs="宋体"/>
          <w:sz w:val="24"/>
          <w:szCs w:val="24"/>
          <w:highlight w:val="none"/>
        </w:rPr>
        <w:t>投标文件的组成</w:t>
      </w:r>
    </w:p>
    <w:p w14:paraId="131BB72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具体内容在招标文件专用条款中进行规定。</w:t>
      </w:r>
    </w:p>
    <w:p w14:paraId="717E760A">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16．投标文件格式</w:t>
      </w:r>
    </w:p>
    <w:p w14:paraId="2F41415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投标文件包括本通用条款第15条中规定的内容。如招标文件提供了投标文件格式，则</w:t>
      </w:r>
      <w:r>
        <w:rPr>
          <w:rFonts w:hint="eastAsia" w:ascii="宋体" w:hAnsi="宋体" w:eastAsia="宋体" w:cs="宋体"/>
          <w:b/>
          <w:bCs/>
          <w:sz w:val="24"/>
          <w:szCs w:val="24"/>
          <w:highlight w:val="none"/>
        </w:rPr>
        <w:t>投标人提交的投标文件应毫无例外地使用招标文件所提供的相应格式</w:t>
      </w:r>
      <w:r>
        <w:rPr>
          <w:rFonts w:hint="eastAsia" w:ascii="宋体" w:hAnsi="宋体" w:eastAsia="宋体" w:cs="宋体"/>
          <w:sz w:val="24"/>
          <w:szCs w:val="24"/>
          <w:highlight w:val="none"/>
        </w:rPr>
        <w:t>（表格均可按同样格式扩展）。</w:t>
      </w:r>
    </w:p>
    <w:p w14:paraId="28D5C1EC">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17．投标货币</w:t>
      </w:r>
    </w:p>
    <w:p w14:paraId="4CD4FC6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本项目的投标报价应以人民币计。</w:t>
      </w:r>
    </w:p>
    <w:bookmarkEnd w:id="1213"/>
    <w:p w14:paraId="2A2C014B">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18．</w:t>
      </w:r>
      <w:bookmarkStart w:id="1214" w:name="_Hlk72401735"/>
      <w:r>
        <w:rPr>
          <w:rFonts w:hint="eastAsia" w:ascii="宋体" w:hAnsi="宋体" w:eastAsia="宋体" w:cs="宋体"/>
          <w:sz w:val="24"/>
          <w:szCs w:val="24"/>
          <w:highlight w:val="none"/>
        </w:rPr>
        <w:t>证明投标文件投标技术方案的合格性和符合招标文件规定的文件要求</w:t>
      </w:r>
    </w:p>
    <w:p w14:paraId="65F4B945">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投标人应提交证明文件，证明其投标技术方案项下的货物和服务的合格性符合招标文件规定。该投标技术方案及其证明文件均作为投标文件组成部分。</w:t>
      </w:r>
    </w:p>
    <w:p w14:paraId="2401835E">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5817174">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18.2.1主要技术指标和性能的详细说明。</w:t>
      </w:r>
    </w:p>
    <w:p w14:paraId="2F72523D">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18.2.2投标产品从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开始使用至招标文件中规定的周期内正常、连续地使用所必须的备件和专用工具清单，包括备件和专用工具的货源及现行价格。</w:t>
      </w:r>
    </w:p>
    <w:p w14:paraId="14271DA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18.2.3对照招标文件技术规格，逐条说明投标技术方案已对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的技术规格做出了实质性的响应，或申明与技术规格条文的偏差和例外。投标人应详细说明投标技术方案中产品的具体参数，不得不合理照搬照抄招标文件的技术要求。</w:t>
      </w:r>
    </w:p>
    <w:p w14:paraId="4969FF88">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79E043FD">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5B10871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18.3相关资料不符合18.2款要求的，评审委员会有权认定为投标技术方案不合格响应，其相关分数予以扣减或作投标无效处理。</w:t>
      </w:r>
    </w:p>
    <w:p w14:paraId="63A7CC84">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18.4投标人在阐述上述第18.2时应注意</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14:paraId="007FED46">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18.5除非另有规定或说明，投标人对同一项目投标时，不得同时提供两套或两套以上的投标方案。</w:t>
      </w:r>
    </w:p>
    <w:bookmarkEnd w:id="1214"/>
    <w:p w14:paraId="013215EB">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19．</w:t>
      </w:r>
      <w:bookmarkStart w:id="1215" w:name="_Hlk72402034"/>
      <w:r>
        <w:rPr>
          <w:rFonts w:hint="eastAsia" w:ascii="宋体" w:hAnsi="宋体" w:eastAsia="宋体" w:cs="宋体"/>
          <w:sz w:val="24"/>
          <w:szCs w:val="24"/>
          <w:highlight w:val="none"/>
        </w:rPr>
        <w:t>投标文件其他证明文件的要求</w:t>
      </w:r>
    </w:p>
    <w:p w14:paraId="37469379">
      <w:pPr>
        <w:pageBreakBefore w:val="0"/>
        <w:kinsoku/>
        <w:overflowPunct/>
        <w:topLinePunct w:val="0"/>
        <w:bidi w:val="0"/>
        <w:spacing w:line="240" w:lineRule="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 xml:space="preserve">    19.1</w:t>
      </w:r>
      <w:bookmarkStart w:id="1216" w:name="_Hlk71407299"/>
      <w:r>
        <w:rPr>
          <w:rFonts w:hint="eastAsia" w:ascii="宋体" w:hAnsi="宋体" w:eastAsia="宋体" w:cs="宋体"/>
          <w:sz w:val="24"/>
          <w:szCs w:val="24"/>
          <w:highlight w:val="none"/>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代理机构</w:t>
      </w:r>
      <w:r>
        <w:rPr>
          <w:rFonts w:hint="eastAsia" w:ascii="宋体" w:hAnsi="宋体" w:eastAsia="宋体" w:cs="宋体"/>
          <w:sz w:val="24"/>
          <w:szCs w:val="24"/>
          <w:highlight w:val="none"/>
          <w:lang w:val="en-US" w:eastAsia="zh-CN"/>
        </w:rPr>
        <w:t>以及</w:t>
      </w:r>
      <w:r>
        <w:rPr>
          <w:rFonts w:hint="eastAsia" w:ascii="宋体" w:hAnsi="宋体" w:eastAsia="宋体" w:cs="宋体"/>
          <w:sz w:val="24"/>
          <w:szCs w:val="24"/>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1216"/>
    <w:p w14:paraId="64A10D56">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6DF63DC">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20．投标有效期</w:t>
      </w:r>
    </w:p>
    <w:bookmarkEnd w:id="1215"/>
    <w:p w14:paraId="1E192E25">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bookmarkStart w:id="1217" w:name="_Hlk72402214"/>
      <w:r>
        <w:rPr>
          <w:rFonts w:hint="eastAsia" w:ascii="宋体" w:hAnsi="宋体" w:eastAsia="宋体" w:cs="宋体"/>
          <w:sz w:val="24"/>
          <w:szCs w:val="24"/>
          <w:highlight w:val="none"/>
        </w:rPr>
        <w:t>20.1 投标有效期为从投标截止之日算起的日历天数。在此期限内，所有投标文件均保持有效。</w:t>
      </w:r>
    </w:p>
    <w:p w14:paraId="0E05B19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20.2 在特殊情况下，</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在原定的投标有效期满之前，</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可以根据需要以书面形式（包括</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网站公开发布方式）向投标人提出延长投标有效期的要求，对此要求投标人须以书面形式予以答复，投标人可以拒绝</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此项要求，其投标在原投标有效期满后不再有效。同意延长投标有效期的投标人不能要求也不允许修改其投标文件。</w:t>
      </w:r>
    </w:p>
    <w:p w14:paraId="025310D0">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20.3 中标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的投标文件有效期，截止于完成本招标文件规定的全部项目内容，并通过竣工验收及保修期结束。</w:t>
      </w:r>
    </w:p>
    <w:bookmarkEnd w:id="1217"/>
    <w:p w14:paraId="68E65A27">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bookmarkStart w:id="1218" w:name="_Hlk72402325"/>
      <w:r>
        <w:rPr>
          <w:rFonts w:hint="eastAsia" w:ascii="宋体" w:hAnsi="宋体" w:eastAsia="宋体" w:cs="宋体"/>
          <w:sz w:val="24"/>
          <w:szCs w:val="24"/>
          <w:highlight w:val="none"/>
        </w:rPr>
        <w:t xml:space="preserve">关于投标保证金 </w:t>
      </w:r>
    </w:p>
    <w:p w14:paraId="71AA7D01">
      <w:pPr>
        <w:pageBreakBefore w:val="0"/>
        <w:kinsoku/>
        <w:overflowPunct/>
        <w:topLinePunct w:val="0"/>
        <w:bidi w:val="0"/>
        <w:spacing w:line="24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21.1</w:t>
      </w:r>
      <w:r>
        <w:rPr>
          <w:rFonts w:hint="eastAsia" w:ascii="宋体" w:hAnsi="宋体" w:eastAsia="宋体" w:cs="宋体"/>
          <w:sz w:val="24"/>
          <w:szCs w:val="24"/>
          <w:highlight w:val="none"/>
          <w:lang w:val="en-US" w:eastAsia="zh-CN"/>
        </w:rPr>
        <w:t>项见第二章 对通用条款的补充内容及其他关键信息。</w:t>
      </w:r>
    </w:p>
    <w:p w14:paraId="3341EEC3">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22．投标人的替代方案</w:t>
      </w:r>
    </w:p>
    <w:p w14:paraId="7FD0F1F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400D8A5">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218"/>
    <w:p w14:paraId="18463978">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23．</w:t>
      </w:r>
      <w:bookmarkStart w:id="1219" w:name="_Hlk72402860"/>
      <w:r>
        <w:rPr>
          <w:rFonts w:hint="eastAsia" w:ascii="宋体" w:hAnsi="宋体" w:eastAsia="宋体" w:cs="宋体"/>
          <w:sz w:val="24"/>
          <w:szCs w:val="24"/>
          <w:highlight w:val="none"/>
        </w:rPr>
        <w:t>投标文件的制作要求</w:t>
      </w:r>
    </w:p>
    <w:p w14:paraId="66F9DA9F">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23.1投标人应准备所投项目的电子投标文件一份。</w:t>
      </w:r>
    </w:p>
    <w:p w14:paraId="441265F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23.2投标人在使用《投标书编制软件》编制投标书时须注意：</w:t>
      </w:r>
    </w:p>
    <w:p w14:paraId="357742E4">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23.2.1导入《投标书编制软件》的招标文件项目编号、包号应与以此制作的投标文件项目编号、包号一致。例如，不能将甲项目A包的招标书导入《投标书编制软件》，制作乙项目B包的投标书。</w:t>
      </w:r>
    </w:p>
    <w:p w14:paraId="205D0ACF">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23.2.2不能用非本公司的电子密钥加密本公司的投标文件，或者用其它公司的登录用户上传本公司的投标文件。</w:t>
      </w:r>
    </w:p>
    <w:p w14:paraId="74BF8474">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23.2.3要求用《投标书编制软件》编制投标书的包，不能用其它方式编制投标书。编制投标文件时，电脑须连通互联网。</w:t>
      </w:r>
    </w:p>
    <w:p w14:paraId="7FF44412">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23.2.4投标文件不能带病毒。</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将用专业杀毒软件对投标文件进行病毒检测，如果这两种软件均报告发现病毒，则</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认为该投标文件带病毒。</w:t>
      </w:r>
    </w:p>
    <w:p w14:paraId="3B30E67E">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23.2.6投标人在编辑投标文件时，</w:t>
      </w:r>
      <w:r>
        <w:rPr>
          <w:rFonts w:hint="eastAsia" w:ascii="宋体" w:hAnsi="宋体" w:eastAsia="宋体" w:cs="宋体"/>
          <w:b/>
          <w:sz w:val="24"/>
          <w:szCs w:val="24"/>
          <w:highlight w:val="none"/>
        </w:rPr>
        <w:t>在投标文件目录中属于本节点内容的必须在本节点中填写，填写到其他节点或附件，</w:t>
      </w:r>
      <w:r>
        <w:rPr>
          <w:rFonts w:hint="eastAsia" w:ascii="宋体" w:hAnsi="宋体" w:eastAsia="宋体" w:cs="宋体"/>
          <w:sz w:val="24"/>
          <w:szCs w:val="24"/>
          <w:highlight w:val="none"/>
        </w:rPr>
        <w:t>一切后果由供应商自行承担。</w:t>
      </w:r>
    </w:p>
    <w:p w14:paraId="0D97DA78">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23.2.7投标文件编写完成后，</w:t>
      </w:r>
      <w:r>
        <w:rPr>
          <w:rFonts w:hint="eastAsia" w:ascii="宋体" w:hAnsi="宋体" w:eastAsia="宋体" w:cs="宋体"/>
          <w:b/>
          <w:sz w:val="24"/>
          <w:szCs w:val="24"/>
          <w:highlight w:val="none"/>
        </w:rPr>
        <w:t>必须用属于投标人的电子密钥</w:t>
      </w:r>
      <w:r>
        <w:rPr>
          <w:rFonts w:hint="eastAsia" w:ascii="宋体" w:hAnsi="宋体" w:eastAsia="宋体" w:cs="宋体"/>
          <w:b/>
          <w:sz w:val="24"/>
          <w:szCs w:val="24"/>
          <w:highlight w:val="none"/>
          <w:lang w:val="en-US" w:eastAsia="zh-CN"/>
        </w:rPr>
        <w:t>或电子营业执照</w:t>
      </w:r>
      <w:r>
        <w:rPr>
          <w:rFonts w:hint="eastAsia" w:ascii="宋体" w:hAnsi="宋体" w:eastAsia="宋体" w:cs="宋体"/>
          <w:b/>
          <w:sz w:val="24"/>
          <w:szCs w:val="24"/>
          <w:highlight w:val="none"/>
        </w:rPr>
        <w:t>进行加密，否则视同未盖公章，将导致投标文件无效。</w:t>
      </w:r>
    </w:p>
    <w:p w14:paraId="71536E1D">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23.2.8</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不接受投标截止时间后递交的纸质、电子、传真等所有形式的投标文件。由于对</w:t>
      </w:r>
      <w:r>
        <w:rPr>
          <w:rFonts w:hint="eastAsia" w:ascii="宋体" w:hAnsi="宋体" w:eastAsia="宋体" w:cs="宋体"/>
          <w:sz w:val="24"/>
          <w:szCs w:val="24"/>
          <w:highlight w:val="none"/>
          <w:lang w:val="en-US" w:eastAsia="zh-CN"/>
        </w:rPr>
        <w:t>自行</w:t>
      </w:r>
      <w:r>
        <w:rPr>
          <w:rFonts w:hint="eastAsia" w:ascii="宋体" w:hAnsi="宋体" w:eastAsia="宋体" w:cs="宋体"/>
          <w:sz w:val="24"/>
          <w:szCs w:val="24"/>
          <w:highlight w:val="none"/>
        </w:rPr>
        <w:t>采购系统操作不熟悉或自身电脑、网络等原因导致不能在投标截止时间之前上传投标文件，</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概不负责。建议于开标前一个工作日完成投标文件的制作与上传，如上传确有困难，请及时咨询。</w:t>
      </w:r>
    </w:p>
    <w:p w14:paraId="51395A74">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23.2.9如果开标时出现网络故障、技术故障，影响了</w:t>
      </w:r>
      <w:r>
        <w:rPr>
          <w:rFonts w:hint="eastAsia" w:ascii="宋体" w:hAnsi="宋体" w:eastAsia="宋体" w:cs="宋体"/>
          <w:sz w:val="24"/>
          <w:szCs w:val="24"/>
          <w:highlight w:val="none"/>
          <w:lang w:eastAsia="zh-CN"/>
        </w:rPr>
        <w:t>交易</w:t>
      </w:r>
      <w:r>
        <w:rPr>
          <w:rFonts w:hint="eastAsia" w:ascii="宋体" w:hAnsi="宋体" w:eastAsia="宋体" w:cs="宋体"/>
          <w:sz w:val="24"/>
          <w:szCs w:val="24"/>
          <w:highlight w:val="none"/>
        </w:rPr>
        <w:t>活动，</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有权采取措施如延期、接受无法从网上上传的投标书等，以保障</w:t>
      </w:r>
      <w:r>
        <w:rPr>
          <w:rFonts w:hint="eastAsia" w:ascii="宋体" w:hAnsi="宋体" w:eastAsia="宋体" w:cs="宋体"/>
          <w:sz w:val="24"/>
          <w:szCs w:val="24"/>
          <w:highlight w:val="none"/>
          <w:lang w:eastAsia="zh-CN"/>
        </w:rPr>
        <w:t>交易</w:t>
      </w:r>
      <w:r>
        <w:rPr>
          <w:rFonts w:hint="eastAsia" w:ascii="宋体" w:hAnsi="宋体" w:eastAsia="宋体" w:cs="宋体"/>
          <w:sz w:val="24"/>
          <w:szCs w:val="24"/>
          <w:highlight w:val="none"/>
        </w:rPr>
        <w:t>活动的公开、公平和公正。</w:t>
      </w:r>
    </w:p>
    <w:p w14:paraId="01289D4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23.3电报、电话、传真形式的投标概不接受。</w:t>
      </w:r>
    </w:p>
    <w:p w14:paraId="3E98CDC0">
      <w:pPr>
        <w:pageBreakBefore w:val="0"/>
        <w:kinsoku/>
        <w:overflowPunct/>
        <w:topLinePunct w:val="0"/>
        <w:bidi w:val="0"/>
        <w:spacing w:line="240" w:lineRule="auto"/>
        <w:ind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23.4经投标人电子密钥</w:t>
      </w:r>
      <w:r>
        <w:rPr>
          <w:rFonts w:hint="eastAsia" w:ascii="宋体" w:hAnsi="宋体" w:eastAsia="宋体" w:cs="宋体"/>
          <w:b/>
          <w:sz w:val="24"/>
          <w:szCs w:val="24"/>
          <w:highlight w:val="none"/>
          <w:lang w:val="en-US" w:eastAsia="zh-CN"/>
        </w:rPr>
        <w:t>或电子营业执照</w:t>
      </w:r>
      <w:r>
        <w:rPr>
          <w:rFonts w:hint="eastAsia" w:ascii="宋体" w:hAnsi="宋体" w:eastAsia="宋体" w:cs="宋体"/>
          <w:b/>
          <w:sz w:val="24"/>
          <w:szCs w:val="24"/>
          <w:highlight w:val="none"/>
        </w:rPr>
        <w:t>加密的投标文件无须盖章或签字，</w:t>
      </w:r>
      <w:r>
        <w:rPr>
          <w:rFonts w:hint="eastAsia" w:ascii="宋体" w:hAnsi="宋体" w:eastAsia="宋体" w:cs="宋体"/>
          <w:sz w:val="24"/>
          <w:szCs w:val="24"/>
          <w:highlight w:val="none"/>
        </w:rPr>
        <w:t>专用条款另有要求的除外。</w:t>
      </w:r>
    </w:p>
    <w:p w14:paraId="03A84261">
      <w:pPr>
        <w:pageBreakBefore w:val="0"/>
        <w:kinsoku/>
        <w:overflowPunct/>
        <w:topLinePunct w:val="0"/>
        <w:bidi w:val="0"/>
        <w:spacing w:line="240" w:lineRule="auto"/>
        <w:ind w:firstLine="472" w:firstLineChars="196"/>
        <w:rPr>
          <w:rFonts w:hint="eastAsia" w:ascii="宋体" w:hAnsi="宋体" w:eastAsia="宋体" w:cs="宋体"/>
          <w:sz w:val="24"/>
          <w:szCs w:val="24"/>
          <w:highlight w:val="none"/>
        </w:rPr>
      </w:pPr>
      <w:r>
        <w:rPr>
          <w:rFonts w:hint="eastAsia" w:ascii="宋体" w:hAnsi="宋体" w:eastAsia="宋体" w:cs="宋体"/>
          <w:b/>
          <w:sz w:val="24"/>
          <w:szCs w:val="24"/>
          <w:highlight w:val="none"/>
        </w:rPr>
        <w:t>23.5</w:t>
      </w:r>
      <w:r>
        <w:rPr>
          <w:rFonts w:hint="eastAsia" w:ascii="宋体" w:hAnsi="宋体" w:eastAsia="宋体" w:cs="宋体"/>
          <w:sz w:val="24"/>
          <w:szCs w:val="24"/>
          <w:highlight w:val="none"/>
        </w:rPr>
        <w:t xml:space="preserve"> 各类资格（资质）文件提供扫描件，专用条款另有要求的除外。</w:t>
      </w:r>
      <w:bookmarkEnd w:id="1219"/>
    </w:p>
    <w:p w14:paraId="12F57452">
      <w:pPr>
        <w:pageBreakBefore w:val="0"/>
        <w:kinsoku/>
        <w:overflowPunct/>
        <w:topLinePunct w:val="0"/>
        <w:bidi w:val="0"/>
        <w:spacing w:line="240" w:lineRule="auto"/>
        <w:ind w:firstLine="472"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highlight w:val="none"/>
          <w:lang w:val="en-US" w:eastAsia="zh-CN"/>
        </w:rPr>
        <w:t>23.6</w:t>
      </w:r>
      <w:r>
        <w:rPr>
          <w:rFonts w:hint="eastAsia" w:ascii="宋体" w:hAnsi="宋体" w:eastAsia="宋体" w:cs="宋体"/>
          <w:b/>
          <w:bCs/>
          <w:color w:val="auto"/>
          <w:sz w:val="24"/>
          <w:szCs w:val="24"/>
          <w:highlight w:val="none"/>
        </w:rPr>
        <w:t>供应商用户手册下载</w:t>
      </w:r>
      <w:r>
        <w:rPr>
          <w:rFonts w:hint="eastAsia" w:ascii="宋体" w:hAnsi="宋体" w:eastAsia="宋体" w:cs="宋体"/>
          <w:color w:val="auto"/>
          <w:sz w:val="24"/>
          <w:szCs w:val="24"/>
          <w:highlight w:val="none"/>
        </w:rPr>
        <w:t>：输入网址</w:t>
      </w:r>
      <w:bookmarkStart w:id="1220" w:name="OLE_LINK21"/>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"https://www.szggzy.com/static/index.html"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https://www.szggzy.com/static/index.html</w:t>
      </w:r>
      <w:r>
        <w:rPr>
          <w:rFonts w:hint="eastAsia" w:ascii="宋体" w:hAnsi="宋体" w:eastAsia="宋体" w:cs="宋体"/>
          <w:color w:val="auto"/>
          <w:sz w:val="24"/>
          <w:szCs w:val="24"/>
          <w:highlight w:val="none"/>
        </w:rPr>
        <w:fldChar w:fldCharType="end"/>
      </w:r>
      <w:bookmarkEnd w:id="1220"/>
      <w:r>
        <w:rPr>
          <w:rFonts w:hint="eastAsia" w:ascii="宋体" w:hAnsi="宋体" w:eastAsia="宋体" w:cs="宋体"/>
          <w:color w:val="auto"/>
          <w:sz w:val="24"/>
          <w:szCs w:val="24"/>
          <w:highlight w:val="none"/>
        </w:rPr>
        <w:t>，选择政府采购，点击资料下载，找到【深圳市自行采购系统用户操作指引（供应商）】，下载查阅</w:t>
      </w:r>
      <w:r>
        <w:rPr>
          <w:rFonts w:hint="eastAsia" w:ascii="宋体" w:hAnsi="宋体" w:eastAsia="宋体" w:cs="宋体"/>
          <w:color w:val="auto"/>
          <w:sz w:val="24"/>
          <w:szCs w:val="24"/>
          <w:highlight w:val="none"/>
          <w:lang w:eastAsia="zh-CN"/>
        </w:rPr>
        <w:t>。</w:t>
      </w:r>
    </w:p>
    <w:p w14:paraId="5A975FC7">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p>
    <w:p w14:paraId="0613860A">
      <w:pPr>
        <w:pStyle w:val="3"/>
        <w:pageBreakBefore w:val="0"/>
        <w:numPr>
          <w:ilvl w:val="0"/>
          <w:numId w:val="0"/>
        </w:numPr>
        <w:kinsoku/>
        <w:overflowPunct/>
        <w:topLinePunct w:val="0"/>
        <w:bidi w:val="0"/>
        <w:spacing w:before="120" w:beforeLines="50" w:after="120" w:afterLines="50" w:line="240" w:lineRule="auto"/>
        <w:ind w:left="562" w:leftChars="0" w:hanging="562" w:firstLineChars="0"/>
        <w:jc w:val="center"/>
        <w:rPr>
          <w:rFonts w:hint="eastAsia" w:ascii="宋体" w:hAnsi="宋体" w:eastAsia="宋体" w:cs="宋体"/>
          <w:sz w:val="24"/>
          <w:szCs w:val="24"/>
          <w:highlight w:val="none"/>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四</w:t>
      </w:r>
      <w:r>
        <w:rPr>
          <w:rFonts w:hint="default" w:ascii="宋体" w:hAnsi="宋体" w:eastAsia="宋体" w:cs="宋体"/>
          <w:b/>
          <w:bCs/>
          <w:kern w:val="2"/>
          <w:sz w:val="24"/>
          <w:szCs w:val="24"/>
          <w:lang w:val="en-US" w:eastAsia="zh-CN" w:bidi="ar-SA"/>
        </w:rPr>
        <w:t>章</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sz w:val="24"/>
          <w:szCs w:val="24"/>
          <w:highlight w:val="none"/>
        </w:rPr>
        <w:t>投标文件的递交</w:t>
      </w:r>
    </w:p>
    <w:p w14:paraId="2DD5BBC5">
      <w:pPr>
        <w:pageBreakBefore w:val="0"/>
        <w:kinsoku/>
        <w:overflowPunct/>
        <w:topLinePunct w:val="0"/>
        <w:bidi w:val="0"/>
        <w:spacing w:line="240" w:lineRule="auto"/>
        <w:rPr>
          <w:rFonts w:hint="eastAsia" w:ascii="宋体" w:hAnsi="宋体" w:eastAsia="宋体" w:cs="宋体"/>
          <w:sz w:val="24"/>
          <w:szCs w:val="24"/>
          <w:highlight w:val="none"/>
        </w:rPr>
      </w:pPr>
      <w:bookmarkStart w:id="1221" w:name="_Hlk72405459"/>
      <w:r>
        <w:rPr>
          <w:rFonts w:hint="eastAsia" w:ascii="宋体" w:hAnsi="宋体" w:eastAsia="宋体" w:cs="宋体"/>
          <w:sz w:val="24"/>
          <w:szCs w:val="24"/>
          <w:highlight w:val="none"/>
        </w:rPr>
        <w:t>24．投标文件的保密</w:t>
      </w:r>
    </w:p>
    <w:p w14:paraId="2D1C853D">
      <w:pPr>
        <w:pageBreakBefore w:val="0"/>
        <w:kinsoku/>
        <w:overflowPunct/>
        <w:topLinePunct w:val="0"/>
        <w:bidi w:val="0"/>
        <w:spacing w:line="240" w:lineRule="auto"/>
        <w:ind w:firstLine="470" w:firstLineChars="196"/>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24.1在投标文件制作完成后，生成后会选择是否加密投标文件，如不加密则直接点击生成文件即可，如需加密请插入CA锁，点击加密后生成文件，需输入CA锁密码即可加密成功</w:t>
      </w:r>
      <w:r>
        <w:rPr>
          <w:rFonts w:hint="eastAsia" w:ascii="宋体" w:hAnsi="宋体" w:eastAsia="宋体" w:cs="宋体"/>
          <w:sz w:val="24"/>
          <w:szCs w:val="24"/>
          <w:highlight w:val="none"/>
          <w:lang w:eastAsia="zh-CN"/>
        </w:rPr>
        <w:t>。加密后会提示文件生成成功！(注意：加密的投标文件开标时须使用加密文件时使用的锁在项目规定时间内解密！)</w:t>
      </w:r>
    </w:p>
    <w:p w14:paraId="06EE264E">
      <w:pPr>
        <w:pageBreakBefore w:val="0"/>
        <w:kinsoku/>
        <w:overflowPunct/>
        <w:topLinePunct w:val="0"/>
        <w:bidi w:val="0"/>
        <w:spacing w:line="24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24.2若采购项目出现延期情况：</w:t>
      </w:r>
    </w:p>
    <w:p w14:paraId="46910BDB">
      <w:pPr>
        <w:pageBreakBefore w:val="0"/>
        <w:kinsoku/>
        <w:overflowPunct/>
        <w:topLinePunct w:val="0"/>
        <w:bidi w:val="0"/>
        <w:spacing w:line="24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如果供下载的招标文件有更新，投标人必须重新下载招标文件、重新制作投标文件、重新加密投标文件、重新上传投标文件。</w:t>
      </w:r>
    </w:p>
    <w:p w14:paraId="0C4A7ED5">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25．上传投标文件及投标截止日期</w:t>
      </w:r>
    </w:p>
    <w:p w14:paraId="6926DDF7">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25.1实行网上投标，投标人必须在招标文件规定的投标截止时间前用电子密钥登录“深圳市自行采购系统（https://trade.szggzy.com/ggzy/center/#/login）”上传投标文件。如上传过程中遇到问题，可拨打</w:t>
      </w:r>
      <w:r>
        <w:rPr>
          <w:rFonts w:hint="eastAsia" w:ascii="宋体" w:hAnsi="宋体" w:eastAsia="宋体" w:cs="宋体"/>
          <w:sz w:val="24"/>
          <w:szCs w:val="24"/>
          <w:highlight w:val="none"/>
          <w:lang w:val="en-US" w:eastAsia="zh-CN"/>
        </w:rPr>
        <w:t>采购公告中的技术支持电话</w:t>
      </w:r>
      <w:r>
        <w:rPr>
          <w:rFonts w:hint="eastAsia" w:ascii="宋体" w:hAnsi="宋体" w:eastAsia="宋体" w:cs="宋体"/>
          <w:sz w:val="24"/>
          <w:szCs w:val="24"/>
          <w:highlight w:val="none"/>
        </w:rPr>
        <w:t>。如多次上传均告失败，请在投标截止时间之前携带加密后的电子投标文件送达至</w:t>
      </w:r>
      <w:r>
        <w:rPr>
          <w:rFonts w:hint="eastAsia" w:ascii="宋体" w:hAnsi="宋体" w:eastAsia="宋体" w:cs="宋体"/>
          <w:b/>
          <w:bCs/>
          <w:sz w:val="24"/>
          <w:szCs w:val="24"/>
          <w:highlight w:val="none"/>
        </w:rPr>
        <w:t>深圳公共资源交易中心（</w:t>
      </w:r>
      <w:r>
        <w:rPr>
          <w:rFonts w:hint="eastAsia" w:ascii="宋体" w:hAnsi="宋体" w:eastAsia="宋体" w:cs="宋体"/>
          <w:b/>
          <w:bCs/>
          <w:sz w:val="24"/>
          <w:szCs w:val="24"/>
          <w:highlight w:val="none"/>
          <w:lang w:eastAsia="zh-CN"/>
        </w:rPr>
        <w:t>深圳交易集团有限公司</w:t>
      </w:r>
      <w:r>
        <w:rPr>
          <w:rFonts w:hint="eastAsia" w:ascii="宋体" w:hAnsi="宋体" w:eastAsia="宋体" w:cs="宋体"/>
          <w:b/>
          <w:bCs/>
          <w:sz w:val="24"/>
          <w:szCs w:val="24"/>
          <w:highlight w:val="none"/>
          <w:lang w:val="en-US" w:eastAsia="zh-CN"/>
        </w:rPr>
        <w:t>罗湖</w:t>
      </w:r>
      <w:r>
        <w:rPr>
          <w:rFonts w:hint="eastAsia" w:ascii="宋体" w:hAnsi="宋体" w:eastAsia="宋体" w:cs="宋体"/>
          <w:b/>
          <w:bCs/>
          <w:sz w:val="24"/>
          <w:szCs w:val="24"/>
          <w:highlight w:val="none"/>
          <w:lang w:eastAsia="zh-CN"/>
        </w:rPr>
        <w:t>分公司</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服务大厅</w:t>
      </w:r>
      <w:r>
        <w:rPr>
          <w:rFonts w:hint="eastAsia" w:ascii="宋体" w:hAnsi="宋体" w:eastAsia="宋体" w:cs="宋体"/>
          <w:b/>
          <w:bCs/>
          <w:sz w:val="24"/>
          <w:szCs w:val="24"/>
          <w:highlight w:val="none"/>
        </w:rPr>
        <w:t>（</w:t>
      </w:r>
      <w:r>
        <w:rPr>
          <w:rFonts w:hint="eastAsia" w:ascii="宋体" w:hAnsi="宋体" w:eastAsia="宋体" w:cs="宋体"/>
          <w:b/>
          <w:bCs/>
          <w:sz w:val="24"/>
          <w:szCs w:val="24"/>
        </w:rPr>
        <w:t>地址：深圳市罗湖区黄贝街道凤凰社区深南东路1076号罗湖区党群服务中心4层</w:t>
      </w:r>
      <w:r>
        <w:rPr>
          <w:rFonts w:hint="eastAsia" w:ascii="宋体" w:hAnsi="宋体" w:eastAsia="宋体" w:cs="宋体"/>
          <w:b/>
          <w:bCs/>
          <w:sz w:val="24"/>
          <w:szCs w:val="24"/>
          <w:highlight w:val="none"/>
        </w:rPr>
        <w:t>）协助上传，但上传过程中投标截止时间到达仍无法上传成功的，由投标人自行负责</w:t>
      </w:r>
      <w:r>
        <w:rPr>
          <w:rFonts w:hint="eastAsia" w:ascii="宋体" w:hAnsi="宋体" w:eastAsia="宋体" w:cs="宋体"/>
          <w:sz w:val="24"/>
          <w:szCs w:val="24"/>
          <w:highlight w:val="none"/>
        </w:rPr>
        <w:t>。</w:t>
      </w:r>
    </w:p>
    <w:p w14:paraId="4282B207">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25.2</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可以按本通用条款第13条规定，通过修改招标文件自行决定酌情延长投标截止期。在此情况下，</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和投标人受投标截止期制约的所有权利和义务均应延长至新的截止期。</w:t>
      </w:r>
    </w:p>
    <w:p w14:paraId="43DDFF4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25.3投标截止时间以后不得上传投标文件。</w:t>
      </w:r>
    </w:p>
    <w:bookmarkEnd w:id="1221"/>
    <w:p w14:paraId="07969D41">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26. 样品、现场演示、方案讲解</w:t>
      </w:r>
    </w:p>
    <w:p w14:paraId="61616A2E">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26.1 样品、现场演示、方案讲解等事项在招标文件专用条款中进行规定。</w:t>
      </w:r>
    </w:p>
    <w:p w14:paraId="6434B326">
      <w:pPr>
        <w:pageBreakBefore w:val="0"/>
        <w:kinsoku/>
        <w:overflowPunct/>
        <w:topLinePunct w:val="0"/>
        <w:bidi w:val="0"/>
        <w:spacing w:line="240" w:lineRule="auto"/>
        <w:rPr>
          <w:rFonts w:hint="eastAsia" w:ascii="宋体" w:hAnsi="宋体" w:eastAsia="宋体" w:cs="宋体"/>
          <w:sz w:val="24"/>
          <w:szCs w:val="24"/>
          <w:highlight w:val="none"/>
        </w:rPr>
      </w:pPr>
      <w:bookmarkStart w:id="1222" w:name="_Hlk72428346"/>
      <w:r>
        <w:rPr>
          <w:rFonts w:hint="eastAsia" w:ascii="宋体" w:hAnsi="宋体" w:eastAsia="宋体" w:cs="宋体"/>
          <w:sz w:val="24"/>
          <w:szCs w:val="24"/>
          <w:highlight w:val="none"/>
        </w:rPr>
        <w:t>27．投标文件的修改和撤销</w:t>
      </w:r>
    </w:p>
    <w:p w14:paraId="54A000A4">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27.1投标方在提交投标文件后可对其投标文件进行修改并重新上传投标文件或在网上进行撤销投标的操作。</w:t>
      </w:r>
    </w:p>
    <w:p w14:paraId="4B9E6EBE">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27.2投标截止时间以后不得修改投标文件。</w:t>
      </w:r>
    </w:p>
    <w:p w14:paraId="02012358">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27.3从投标截止期至投标人在投标文件中确定的投标有效期之间的这段时间内，投标人不得撤回其投标。</w:t>
      </w:r>
    </w:p>
    <w:p w14:paraId="30D5AB80">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27.4</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不退还投标文件，专用条款另有规定的除外。</w:t>
      </w:r>
    </w:p>
    <w:bookmarkEnd w:id="1222"/>
    <w:p w14:paraId="4F22DEC0">
      <w:pPr>
        <w:pStyle w:val="3"/>
        <w:pageBreakBefore w:val="0"/>
        <w:numPr>
          <w:ilvl w:val="0"/>
          <w:numId w:val="0"/>
        </w:numPr>
        <w:kinsoku/>
        <w:overflowPunct/>
        <w:topLinePunct w:val="0"/>
        <w:bidi w:val="0"/>
        <w:spacing w:before="120" w:beforeLines="50" w:after="120" w:afterLines="50" w:line="240" w:lineRule="auto"/>
        <w:ind w:left="562" w:leftChars="0" w:hanging="562" w:firstLineChars="0"/>
        <w:jc w:val="center"/>
        <w:rPr>
          <w:rFonts w:hint="eastAsia" w:ascii="宋体" w:hAnsi="宋体" w:eastAsia="宋体" w:cs="宋体"/>
          <w:sz w:val="24"/>
          <w:szCs w:val="24"/>
          <w:highlight w:val="none"/>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五</w:t>
      </w:r>
      <w:r>
        <w:rPr>
          <w:rFonts w:hint="default" w:ascii="宋体" w:hAnsi="宋体" w:eastAsia="宋体" w:cs="宋体"/>
          <w:b/>
          <w:bCs/>
          <w:kern w:val="2"/>
          <w:sz w:val="24"/>
          <w:szCs w:val="24"/>
          <w:lang w:val="en-US" w:eastAsia="zh-CN" w:bidi="ar-SA"/>
        </w:rPr>
        <w:t>章</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sz w:val="24"/>
          <w:szCs w:val="24"/>
          <w:highlight w:val="none"/>
        </w:rPr>
        <w:t>开标</w:t>
      </w:r>
    </w:p>
    <w:p w14:paraId="25D23A33">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28．开标</w:t>
      </w:r>
    </w:p>
    <w:p w14:paraId="04A8456D">
      <w:pPr>
        <w:pageBreakBefore w:val="0"/>
        <w:kinsoku/>
        <w:overflowPunct/>
        <w:topLinePunct w:val="0"/>
        <w:bidi w:val="0"/>
        <w:spacing w:line="240" w:lineRule="auto"/>
        <w:ind w:firstLine="410" w:firstLineChars="171"/>
        <w:rPr>
          <w:rFonts w:hint="eastAsia" w:ascii="宋体" w:hAnsi="宋体" w:eastAsia="宋体" w:cs="宋体"/>
          <w:sz w:val="24"/>
          <w:szCs w:val="24"/>
          <w:highlight w:val="none"/>
        </w:rPr>
      </w:pPr>
      <w:r>
        <w:rPr>
          <w:rFonts w:hint="eastAsia" w:ascii="宋体" w:hAnsi="宋体" w:eastAsia="宋体" w:cs="宋体"/>
          <w:sz w:val="24"/>
          <w:szCs w:val="24"/>
          <w:highlight w:val="none"/>
        </w:rPr>
        <w:t>28.1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470DDB95">
      <w:pPr>
        <w:pageBreakBefore w:val="0"/>
        <w:kinsoku/>
        <w:overflowPunct/>
        <w:topLinePunct w:val="0"/>
        <w:bidi w:val="0"/>
        <w:spacing w:line="24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28.2</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将在满足开标条件（①解密时间结束，解密后的投标供应商数量满足开标要求或②解密时间结束前所有投标供应商均完成投标文件解密）后，对投标文件进行开标，并在网上公布开标结果。</w:t>
      </w:r>
    </w:p>
    <w:p w14:paraId="5AE10CC9">
      <w:pPr>
        <w:pageBreakBefore w:val="0"/>
        <w:kinsoku/>
        <w:overflowPunct/>
        <w:topLinePunct w:val="0"/>
        <w:bidi w:val="0"/>
        <w:spacing w:line="240" w:lineRule="auto"/>
        <w:ind w:firstLine="360" w:firstLineChars="150"/>
        <w:rPr>
          <w:rFonts w:hint="eastAsia" w:ascii="宋体" w:hAnsi="宋体" w:eastAsia="宋体" w:cs="宋体"/>
          <w:sz w:val="24"/>
          <w:szCs w:val="24"/>
          <w:highlight w:val="none"/>
        </w:rPr>
      </w:pPr>
    </w:p>
    <w:p w14:paraId="7944E483">
      <w:pPr>
        <w:pStyle w:val="3"/>
        <w:pageBreakBefore w:val="0"/>
        <w:numPr>
          <w:ilvl w:val="0"/>
          <w:numId w:val="0"/>
        </w:numPr>
        <w:kinsoku/>
        <w:overflowPunct/>
        <w:topLinePunct w:val="0"/>
        <w:bidi w:val="0"/>
        <w:spacing w:before="120" w:beforeLines="50" w:after="120" w:afterLines="50" w:line="240" w:lineRule="auto"/>
        <w:ind w:left="562" w:leftChars="0" w:hanging="562" w:firstLineChars="0"/>
        <w:jc w:val="center"/>
        <w:rPr>
          <w:rFonts w:hint="eastAsia" w:ascii="宋体" w:hAnsi="宋体" w:eastAsia="宋体" w:cs="宋体"/>
          <w:sz w:val="24"/>
          <w:szCs w:val="24"/>
          <w:highlight w:val="none"/>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六</w:t>
      </w:r>
      <w:r>
        <w:rPr>
          <w:rFonts w:hint="default" w:ascii="宋体" w:hAnsi="宋体" w:eastAsia="宋体" w:cs="宋体"/>
          <w:b/>
          <w:bCs/>
          <w:kern w:val="2"/>
          <w:sz w:val="24"/>
          <w:szCs w:val="24"/>
          <w:lang w:val="en-US" w:eastAsia="zh-CN" w:bidi="ar-SA"/>
        </w:rPr>
        <w:t>章</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sz w:val="24"/>
          <w:szCs w:val="24"/>
          <w:highlight w:val="none"/>
        </w:rPr>
        <w:t>评审要求</w:t>
      </w:r>
    </w:p>
    <w:p w14:paraId="585A79B4">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29．评审委员会组成</w:t>
      </w:r>
    </w:p>
    <w:p w14:paraId="6FA9F55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29.1网上开标结束后召开评审会议，评审委员会由</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依法组建，负责评审活动。</w:t>
      </w:r>
    </w:p>
    <w:p w14:paraId="33B5E012">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bookmarkStart w:id="1223" w:name="_Hlk72436580"/>
      <w:r>
        <w:rPr>
          <w:rFonts w:hint="eastAsia" w:ascii="宋体" w:hAnsi="宋体" w:eastAsia="宋体" w:cs="宋体"/>
          <w:sz w:val="24"/>
          <w:szCs w:val="24"/>
          <w:highlight w:val="none"/>
        </w:rPr>
        <w:t>评审委员会由</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代表和评审专家组成，成员人数应当为5人以上单数（部分条件下为7人以上单数），其中评审专家不得少于成员总数的三分之二。</w:t>
      </w:r>
      <w:bookmarkEnd w:id="1223"/>
      <w:r>
        <w:rPr>
          <w:rFonts w:hint="eastAsia" w:ascii="宋体" w:hAnsi="宋体" w:eastAsia="宋体" w:cs="宋体"/>
          <w:sz w:val="24"/>
          <w:szCs w:val="24"/>
          <w:highlight w:val="none"/>
        </w:rPr>
        <w:t>评定分离项目评审专家均由评审专家组成。评审专家一般是从深圳市政府采购评审专家库中随机抽取。</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代表须持本单位签发的《评审授权书》参加评审。</w:t>
      </w:r>
    </w:p>
    <w:p w14:paraId="4E4EB8D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29.2评审定标应当遵循公平、公正、科学、择优的原则。</w:t>
      </w:r>
    </w:p>
    <w:p w14:paraId="18885F6F">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29.3评审活动依法进行，任何单位和个人不得非法干预评标过程和结果。</w:t>
      </w:r>
    </w:p>
    <w:p w14:paraId="0DAA5B49">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29.4评审过程中不允许违背评标程序或采用招标文件未载明的评标方法或评标因素进行评标。</w:t>
      </w:r>
    </w:p>
    <w:p w14:paraId="726FEFDA">
      <w:pPr>
        <w:pageBreakBefore w:val="0"/>
        <w:kinsoku/>
        <w:overflowPunct/>
        <w:topLinePunct w:val="0"/>
        <w:bidi w:val="0"/>
        <w:spacing w:line="24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29.5 开标后，直到签订</w:t>
      </w:r>
      <w:r>
        <w:rPr>
          <w:rFonts w:hint="eastAsia" w:ascii="宋体" w:hAnsi="宋体" w:eastAsia="宋体" w:cs="宋体"/>
          <w:bCs/>
          <w:sz w:val="24"/>
          <w:szCs w:val="24"/>
          <w:highlight w:val="none"/>
          <w:lang w:eastAsia="zh-CN"/>
        </w:rPr>
        <w:t>协议</w:t>
      </w:r>
      <w:r>
        <w:rPr>
          <w:rFonts w:hint="eastAsia" w:ascii="宋体" w:hAnsi="宋体" w:eastAsia="宋体" w:cs="宋体"/>
          <w:bCs/>
          <w:sz w:val="24"/>
          <w:szCs w:val="24"/>
          <w:highlight w:val="none"/>
        </w:rPr>
        <w:t>为止，凡属于对投标文件的审查、澄清、评价和比较的有关资料以及中标候选人的推荐情况、与评审有关的其他任何情况均严格保密（</w:t>
      </w:r>
      <w:r>
        <w:rPr>
          <w:rFonts w:hint="eastAsia" w:ascii="宋体" w:hAnsi="宋体" w:eastAsia="宋体" w:cs="宋体"/>
          <w:sz w:val="24"/>
          <w:szCs w:val="24"/>
          <w:highlight w:val="none"/>
        </w:rPr>
        <w:t>信息公开的内容除外</w:t>
      </w:r>
      <w:r>
        <w:rPr>
          <w:rFonts w:hint="eastAsia" w:ascii="宋体" w:hAnsi="宋体" w:eastAsia="宋体" w:cs="宋体"/>
          <w:bCs/>
          <w:sz w:val="24"/>
          <w:szCs w:val="24"/>
          <w:highlight w:val="none"/>
        </w:rPr>
        <w:t>）。</w:t>
      </w:r>
    </w:p>
    <w:p w14:paraId="0AC87454">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30．向评审委员会提供的资料</w:t>
      </w:r>
    </w:p>
    <w:p w14:paraId="3E72DCC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30.1公开发布的招标文件，包括图纸、服务清单、答疑文件等；</w:t>
      </w:r>
    </w:p>
    <w:p w14:paraId="57BCEC53">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30.2其他评标必须的资料。</w:t>
      </w:r>
    </w:p>
    <w:p w14:paraId="27A7D1E2">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30.3评审委员会应当认真研究招标文件，至少应了解熟悉以下内容：</w:t>
      </w:r>
    </w:p>
    <w:p w14:paraId="07ACD34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（1）招标的目的；</w:t>
      </w:r>
    </w:p>
    <w:p w14:paraId="50E2D912">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（2）招标项目需求的范围和性质；</w:t>
      </w:r>
    </w:p>
    <w:p w14:paraId="4B4A1D3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（3）招标文件规定的投标人的资格、财政预算限额、商务条款；</w:t>
      </w:r>
    </w:p>
    <w:p w14:paraId="2098FFCD">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（4）招标文件规定的评标程序、评标方法和评标因素；</w:t>
      </w:r>
    </w:p>
    <w:p w14:paraId="6F35AC0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（5）招标文件所列示的资格性审查表及符合性审查表。</w:t>
      </w:r>
    </w:p>
    <w:p w14:paraId="427CD57E">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31．独立评审</w:t>
      </w:r>
    </w:p>
    <w:p w14:paraId="21110D1D">
      <w:pPr>
        <w:pageBreakBefore w:val="0"/>
        <w:kinsoku/>
        <w:overflowPunct/>
        <w:topLinePunct w:val="0"/>
        <w:bidi w:val="0"/>
        <w:spacing w:line="24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31.1</w:t>
      </w:r>
      <w:r>
        <w:rPr>
          <w:rFonts w:hint="eastAsia" w:ascii="宋体" w:hAnsi="宋体" w:eastAsia="宋体" w:cs="宋体"/>
          <w:sz w:val="24"/>
          <w:szCs w:val="24"/>
          <w:highlight w:val="none"/>
        </w:rPr>
        <w:t>评审委员会</w:t>
      </w:r>
      <w:r>
        <w:rPr>
          <w:rFonts w:hint="eastAsia" w:ascii="宋体" w:hAnsi="宋体" w:eastAsia="宋体" w:cs="宋体"/>
          <w:bCs/>
          <w:sz w:val="24"/>
          <w:szCs w:val="24"/>
          <w:highlight w:val="none"/>
        </w:rPr>
        <w:t>成员的评标活动应当独立进行，并应遵循投标文件初审、澄清有关问题、比较与评价、确定中标供应商、编写评审报告的工作程序。</w:t>
      </w:r>
    </w:p>
    <w:p w14:paraId="0AAEE867">
      <w:pPr>
        <w:pageBreakBefore w:val="0"/>
        <w:kinsoku/>
        <w:overflowPunct/>
        <w:topLinePunct w:val="0"/>
        <w:bidi w:val="0"/>
        <w:spacing w:line="240" w:lineRule="auto"/>
        <w:ind w:firstLine="470" w:firstLineChars="196"/>
        <w:rPr>
          <w:rFonts w:hint="eastAsia" w:ascii="宋体" w:hAnsi="宋体" w:eastAsia="宋体" w:cs="宋体"/>
          <w:bCs/>
          <w:sz w:val="24"/>
          <w:szCs w:val="24"/>
          <w:highlight w:val="none"/>
        </w:rPr>
      </w:pPr>
    </w:p>
    <w:p w14:paraId="2412F6BC">
      <w:pPr>
        <w:pStyle w:val="3"/>
        <w:pageBreakBefore w:val="0"/>
        <w:numPr>
          <w:ilvl w:val="0"/>
          <w:numId w:val="0"/>
        </w:numPr>
        <w:kinsoku/>
        <w:overflowPunct/>
        <w:topLinePunct w:val="0"/>
        <w:bidi w:val="0"/>
        <w:spacing w:before="120" w:beforeLines="50" w:after="120" w:afterLines="50" w:line="240" w:lineRule="auto"/>
        <w:ind w:left="562" w:leftChars="0" w:hanging="562" w:firstLineChars="0"/>
        <w:jc w:val="center"/>
        <w:rPr>
          <w:rFonts w:hint="eastAsia" w:ascii="宋体" w:hAnsi="宋体" w:eastAsia="宋体" w:cs="宋体"/>
          <w:sz w:val="24"/>
          <w:szCs w:val="24"/>
          <w:highlight w:val="none"/>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七</w:t>
      </w:r>
      <w:r>
        <w:rPr>
          <w:rFonts w:hint="default" w:ascii="宋体" w:hAnsi="宋体" w:eastAsia="宋体" w:cs="宋体"/>
          <w:b/>
          <w:bCs/>
          <w:kern w:val="2"/>
          <w:sz w:val="24"/>
          <w:szCs w:val="24"/>
          <w:lang w:val="en-US" w:eastAsia="zh-CN" w:bidi="ar-SA"/>
        </w:rPr>
        <w:t>章</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sz w:val="24"/>
          <w:szCs w:val="24"/>
          <w:highlight w:val="none"/>
        </w:rPr>
        <w:t>评审程序及评审方法</w:t>
      </w:r>
    </w:p>
    <w:p w14:paraId="374F7DC7">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32．投标文件初审</w:t>
      </w:r>
    </w:p>
    <w:p w14:paraId="1CE7E2D8">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32.1投标文件初审包括资格性审查和符合性审查。</w:t>
      </w:r>
    </w:p>
    <w:p w14:paraId="1E97BF36">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资格性审查：依据法律法规和招标文件的规定，对投标文件中的资格证明等进行审查，以确定投标供应商是否具备投标资格。</w:t>
      </w:r>
    </w:p>
    <w:p w14:paraId="73AE7492">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符合性审查：依据招标文件的规定，对投标文件的有效性、完整性和对招标文件的响应程度进行审查，以确定是否满足符合性审查的要求。</w:t>
      </w:r>
    </w:p>
    <w:p w14:paraId="68014B74">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32.2 投标文件初审内容请详见《资格性审查表》和《符合性审查表》部分。投标人若有一条审查不通过则按投标无效处理。</w:t>
      </w:r>
    </w:p>
    <w:p w14:paraId="511A193D">
      <w:pPr>
        <w:pageBreakBefore w:val="0"/>
        <w:kinsoku/>
        <w:overflowPunct/>
        <w:topLinePunct w:val="0"/>
        <w:bidi w:val="0"/>
        <w:spacing w:line="24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32.3 投标文件初审中关于供应商家数的计算:</w:t>
      </w:r>
    </w:p>
    <w:p w14:paraId="3EC1EB5A">
      <w:pPr>
        <w:pageBreakBefore w:val="0"/>
        <w:kinsoku/>
        <w:overflowPunct/>
        <w:topLinePunct w:val="0"/>
        <w:bidi w:val="0"/>
        <w:spacing w:line="24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32.3.1采用最低评标价法的采购项目，提供相同品牌产品的不同投标人参加同一</w:t>
      </w:r>
      <w:r>
        <w:rPr>
          <w:rFonts w:hint="eastAsia" w:ascii="宋体" w:hAnsi="宋体" w:eastAsia="宋体" w:cs="宋体"/>
          <w:bCs/>
          <w:sz w:val="24"/>
          <w:szCs w:val="24"/>
          <w:highlight w:val="none"/>
          <w:lang w:eastAsia="zh-CN"/>
        </w:rPr>
        <w:t>协议</w:t>
      </w:r>
      <w:r>
        <w:rPr>
          <w:rFonts w:hint="eastAsia" w:ascii="宋体" w:hAnsi="宋体" w:eastAsia="宋体" w:cs="宋体"/>
          <w:bCs/>
          <w:sz w:val="24"/>
          <w:szCs w:val="24"/>
          <w:highlight w:val="none"/>
        </w:rPr>
        <w:t>项下投标的，以其中通过资格审查、符合性审查且报价最低的参加评标；报价相同的，由</w:t>
      </w:r>
      <w:r>
        <w:rPr>
          <w:rFonts w:hint="eastAsia" w:ascii="宋体" w:hAnsi="宋体" w:eastAsia="宋体" w:cs="宋体"/>
          <w:bCs/>
          <w:sz w:val="24"/>
          <w:szCs w:val="24"/>
          <w:highlight w:val="none"/>
          <w:lang w:eastAsia="zh-CN"/>
        </w:rPr>
        <w:t>招标人</w:t>
      </w:r>
      <w:r>
        <w:rPr>
          <w:rFonts w:hint="eastAsia" w:ascii="宋体" w:hAnsi="宋体" w:eastAsia="宋体" w:cs="宋体"/>
          <w:bCs/>
          <w:sz w:val="24"/>
          <w:szCs w:val="24"/>
          <w:highlight w:val="none"/>
        </w:rPr>
        <w:t>或者</w:t>
      </w:r>
      <w:r>
        <w:rPr>
          <w:rFonts w:hint="eastAsia" w:ascii="宋体" w:hAnsi="宋体" w:eastAsia="宋体" w:cs="宋体"/>
          <w:bCs/>
          <w:sz w:val="24"/>
          <w:szCs w:val="24"/>
          <w:highlight w:val="none"/>
          <w:lang w:eastAsia="zh-CN"/>
        </w:rPr>
        <w:t>招标人</w:t>
      </w:r>
      <w:r>
        <w:rPr>
          <w:rFonts w:hint="eastAsia" w:ascii="宋体" w:hAnsi="宋体" w:eastAsia="宋体" w:cs="宋体"/>
          <w:bCs/>
          <w:sz w:val="24"/>
          <w:szCs w:val="24"/>
          <w:highlight w:val="none"/>
        </w:rPr>
        <w:t>委托评审委员会按照招标文件规定的方式确定一个参加评审的投标人，招标文件未规定的采取随机抽取方式确定，其他投标无效。</w:t>
      </w:r>
    </w:p>
    <w:p w14:paraId="0A6E3BAF">
      <w:pPr>
        <w:pageBreakBefore w:val="0"/>
        <w:kinsoku/>
        <w:overflowPunct/>
        <w:topLinePunct w:val="0"/>
        <w:bidi w:val="0"/>
        <w:spacing w:line="24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32.3.2采用综合评分法的采购项目，提供相同品牌产品且通过资格审查、符合性审查的不同投标人参加同一</w:t>
      </w:r>
      <w:r>
        <w:rPr>
          <w:rFonts w:hint="eastAsia" w:ascii="宋体" w:hAnsi="宋体" w:eastAsia="宋体" w:cs="宋体"/>
          <w:bCs/>
          <w:sz w:val="24"/>
          <w:szCs w:val="24"/>
          <w:highlight w:val="none"/>
          <w:lang w:eastAsia="zh-CN"/>
        </w:rPr>
        <w:t>协议</w:t>
      </w:r>
      <w:r>
        <w:rPr>
          <w:rFonts w:hint="eastAsia" w:ascii="宋体" w:hAnsi="宋体" w:eastAsia="宋体" w:cs="宋体"/>
          <w:bCs/>
          <w:sz w:val="24"/>
          <w:szCs w:val="24"/>
          <w:highlight w:val="none"/>
        </w:rPr>
        <w:t>项下投标的，按一家投标人计算，评审后得分最高的同品牌投标人获得中标人推荐资格；评审得分相同的，由</w:t>
      </w:r>
      <w:r>
        <w:rPr>
          <w:rFonts w:hint="eastAsia" w:ascii="宋体" w:hAnsi="宋体" w:eastAsia="宋体" w:cs="宋体"/>
          <w:bCs/>
          <w:sz w:val="24"/>
          <w:szCs w:val="24"/>
          <w:highlight w:val="none"/>
          <w:lang w:eastAsia="zh-CN"/>
        </w:rPr>
        <w:t>招标人</w:t>
      </w:r>
      <w:r>
        <w:rPr>
          <w:rFonts w:hint="eastAsia" w:ascii="宋体" w:hAnsi="宋体" w:eastAsia="宋体" w:cs="宋体"/>
          <w:bCs/>
          <w:sz w:val="24"/>
          <w:szCs w:val="24"/>
          <w:highlight w:val="none"/>
        </w:rPr>
        <w:t>或者</w:t>
      </w:r>
      <w:r>
        <w:rPr>
          <w:rFonts w:hint="eastAsia" w:ascii="宋体" w:hAnsi="宋体" w:eastAsia="宋体" w:cs="宋体"/>
          <w:bCs/>
          <w:sz w:val="24"/>
          <w:szCs w:val="24"/>
          <w:highlight w:val="none"/>
          <w:lang w:eastAsia="zh-CN"/>
        </w:rPr>
        <w:t>招标人</w:t>
      </w:r>
      <w:r>
        <w:rPr>
          <w:rFonts w:hint="eastAsia" w:ascii="宋体" w:hAnsi="宋体" w:eastAsia="宋体" w:cs="宋体"/>
          <w:bCs/>
          <w:sz w:val="24"/>
          <w:szCs w:val="24"/>
          <w:highlight w:val="none"/>
        </w:rPr>
        <w:t>委托评审委员会按照招标文件规定的方式确定一个投标人获得中标人推荐资格，招标文件未规定的采取随机抽取方式确定，其他同品牌投标人不作为中标候选人。</w:t>
      </w:r>
    </w:p>
    <w:p w14:paraId="1D46139D">
      <w:pPr>
        <w:pageBreakBefore w:val="0"/>
        <w:kinsoku/>
        <w:overflowPunct/>
        <w:topLinePunct w:val="0"/>
        <w:bidi w:val="0"/>
        <w:spacing w:line="24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32.3.3非单一产品采购项目，</w:t>
      </w:r>
      <w:r>
        <w:rPr>
          <w:rFonts w:hint="eastAsia" w:ascii="宋体" w:hAnsi="宋体" w:eastAsia="宋体" w:cs="宋体"/>
          <w:bCs/>
          <w:sz w:val="24"/>
          <w:szCs w:val="24"/>
          <w:highlight w:val="none"/>
          <w:lang w:eastAsia="zh-CN"/>
        </w:rPr>
        <w:t>招标人</w:t>
      </w:r>
      <w:r>
        <w:rPr>
          <w:rFonts w:hint="eastAsia" w:ascii="宋体" w:hAnsi="宋体" w:eastAsia="宋体" w:cs="宋体"/>
          <w:bCs/>
          <w:sz w:val="24"/>
          <w:szCs w:val="24"/>
          <w:highlight w:val="none"/>
        </w:rPr>
        <w:t>应当根据采购项目技术构成、产品价格比重等合理确定核心产品，并在招标文件中载明。多家投标人提供的核心产品品牌相同的，按前两款规定处理。</w:t>
      </w:r>
    </w:p>
    <w:p w14:paraId="43769830">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32.4投标人投标文件作无效处理的情形，具体包括但不限于以下：</w:t>
      </w:r>
    </w:p>
    <w:p w14:paraId="11B3081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32.4.1不同投标人的投标文件由同一单位或者同一个人编制，或者由同一个人分阶段参与编制；</w:t>
      </w:r>
    </w:p>
    <w:p w14:paraId="6459A7B7">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32.4.2不同投标人委托同一单位或者个人办理投标事宜；</w:t>
      </w:r>
    </w:p>
    <w:p w14:paraId="6DDCA897">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32.4.3不同投标人的投标文件载明的项目管理成员或者联系人员为同一人；</w:t>
      </w:r>
    </w:p>
    <w:p w14:paraId="6FDA333F">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32.4.4不同投标人的投标文件异常一致或者投标报价呈规律性差异；</w:t>
      </w:r>
    </w:p>
    <w:p w14:paraId="5ABC7C53">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32.4.5不同投标供应商的投标文件或部分投标文件相互混装；</w:t>
      </w:r>
    </w:p>
    <w:p w14:paraId="2F5A91C5">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32.4.6投标供应商之间相互约定给予未中标的供应商利益补偿；</w:t>
      </w:r>
    </w:p>
    <w:p w14:paraId="183EBDD5">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32.4.7不同投标供应商的法定代表人、主要经营负责人、项目投标授权代表人、项目负责人、主要技术人员为同一人、属同一单位或者同一单位缴纳社会保险；</w:t>
      </w:r>
    </w:p>
    <w:p w14:paraId="58F304D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32.4.8不同投标供应商的投标文件内容存在非正常一致；</w:t>
      </w:r>
    </w:p>
    <w:p w14:paraId="5DA31370">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32.4.9在同一单位工作人员为两家以上（含两家）供应商进行同一项投标活动；</w:t>
      </w:r>
    </w:p>
    <w:p w14:paraId="753489E0">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32.4.10主管部门依照法律、法规认定的其他情形。</w:t>
      </w:r>
    </w:p>
    <w:p w14:paraId="372AC5DF">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32.5对不属于《资格性审查表》和《符合性审查表》所列的其他情形，除专用条款另有规定和32.4条款所列情形外，不得作为投标无效的理由。</w:t>
      </w:r>
    </w:p>
    <w:p w14:paraId="738E32EE">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33．澄清有关问题</w:t>
      </w:r>
    </w:p>
    <w:p w14:paraId="3243D5F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bookmarkStart w:id="1224" w:name="_Hlk71407321"/>
      <w:r>
        <w:rPr>
          <w:rFonts w:hint="eastAsia" w:ascii="宋体" w:hAnsi="宋体" w:eastAsia="宋体" w:cs="宋体"/>
          <w:sz w:val="24"/>
          <w:szCs w:val="24"/>
          <w:highlight w:val="none"/>
        </w:rPr>
        <w:t>33.1对招标文件中描述有歧义或前后不一致的地方（不含招标文件存在歧义、重大缺陷导致评审工作无法进行的情况），评审委员会有权进行评判，但对同一条款的评判应适用于每个投标人。</w:t>
      </w:r>
      <w:bookmarkEnd w:id="1224"/>
    </w:p>
    <w:p w14:paraId="0A146B13">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33.2评审委员会发现招标文件存在歧义、重大缺陷导致评审工作无法进行，或者招标文件内容违反国家有关强制性规定的，应当停止评审工作，与</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沟通并作书面记录。经确认后，项目应当修改招标文件，重新组织</w:t>
      </w:r>
      <w:r>
        <w:rPr>
          <w:rFonts w:hint="eastAsia" w:ascii="宋体" w:hAnsi="宋体" w:eastAsia="宋体" w:cs="宋体"/>
          <w:sz w:val="24"/>
          <w:szCs w:val="24"/>
          <w:highlight w:val="none"/>
          <w:lang w:val="en-US" w:eastAsia="zh-CN"/>
        </w:rPr>
        <w:t>交易</w:t>
      </w:r>
      <w:r>
        <w:rPr>
          <w:rFonts w:hint="eastAsia" w:ascii="宋体" w:hAnsi="宋体" w:eastAsia="宋体" w:cs="宋体"/>
          <w:sz w:val="24"/>
          <w:szCs w:val="24"/>
          <w:highlight w:val="none"/>
        </w:rPr>
        <w:t>活动。</w:t>
      </w:r>
    </w:p>
    <w:p w14:paraId="77B3EFE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33.3对于投标文件中含义不明确、同类问题表述不一致或者有明显文字和计算错误的内容，评审委员会应当以书面形式要求投标人作出必要的澄清、说明或者补正。</w:t>
      </w:r>
    </w:p>
    <w:p w14:paraId="05268F25">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027EF72">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根据本通用条款第34条，凡属于评审委员会在评审中发现的算术错误进行核实的修改不在此列。</w:t>
      </w:r>
    </w:p>
    <w:p w14:paraId="502B5158">
      <w:pPr>
        <w:pageBreakBefore w:val="0"/>
        <w:kinsoku/>
        <w:overflowPunct/>
        <w:topLinePunct w:val="0"/>
        <w:bidi w:val="0"/>
        <w:spacing w:line="240" w:lineRule="auto"/>
        <w:rPr>
          <w:rFonts w:hint="eastAsia" w:ascii="宋体" w:hAnsi="宋体" w:eastAsia="宋体" w:cs="宋体"/>
          <w:sz w:val="24"/>
          <w:szCs w:val="24"/>
          <w:highlight w:val="none"/>
        </w:rPr>
      </w:pPr>
      <w:bookmarkStart w:id="1225" w:name="_Toc100052400"/>
      <w:bookmarkStart w:id="1226" w:name="_Toc73521669"/>
      <w:bookmarkStart w:id="1227" w:name="_Toc73521581"/>
      <w:bookmarkStart w:id="1228" w:name="_Toc73517673"/>
      <w:bookmarkStart w:id="1229" w:name="_Toc73518151"/>
      <w:r>
        <w:rPr>
          <w:rFonts w:hint="eastAsia" w:ascii="宋体" w:hAnsi="宋体" w:eastAsia="宋体" w:cs="宋体"/>
          <w:sz w:val="24"/>
          <w:szCs w:val="24"/>
          <w:highlight w:val="none"/>
        </w:rPr>
        <w:t>34．错误的修正</w:t>
      </w:r>
      <w:bookmarkEnd w:id="1225"/>
      <w:bookmarkEnd w:id="1226"/>
      <w:bookmarkEnd w:id="1227"/>
      <w:bookmarkEnd w:id="1228"/>
      <w:bookmarkEnd w:id="1229"/>
    </w:p>
    <w:p w14:paraId="0599434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投标文件报价出现前后不一致的，除专用条款另有规定外，按照下列规定修正：</w:t>
      </w:r>
    </w:p>
    <w:p w14:paraId="03155E69">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34.1投标文件中建设投资额报价表投标报价内容与投标文件中投标报价相应内容不一致的，以建设投资额报价表为准；</w:t>
      </w:r>
    </w:p>
    <w:p w14:paraId="053C283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34.2大写金额和小写金额不一致的，以大写金额为准；</w:t>
      </w:r>
    </w:p>
    <w:p w14:paraId="7C918B9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34.3单价金额小数点或者百分比有明显错位，以建设投资额报价表的</w:t>
      </w:r>
      <w:r>
        <w:rPr>
          <w:rFonts w:hint="eastAsia" w:ascii="宋体" w:hAnsi="宋体" w:eastAsia="宋体" w:cs="宋体"/>
          <w:sz w:val="24"/>
          <w:szCs w:val="24"/>
          <w:highlight w:val="none"/>
          <w:lang w:val="en-US" w:eastAsia="zh-CN"/>
        </w:rPr>
        <w:t>建设投资额</w:t>
      </w:r>
      <w:r>
        <w:rPr>
          <w:rFonts w:hint="eastAsia" w:ascii="宋体" w:hAnsi="宋体" w:eastAsia="宋体" w:cs="宋体"/>
          <w:sz w:val="24"/>
          <w:szCs w:val="24"/>
          <w:highlight w:val="none"/>
        </w:rPr>
        <w:t>为准，并修改单价；</w:t>
      </w:r>
    </w:p>
    <w:p w14:paraId="22387F0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34.4总价金额与按单价汇总金额不一致的，以单价金额计算结果为准。</w:t>
      </w:r>
    </w:p>
    <w:p w14:paraId="2E5754AB">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34.5同时出现两种以上不一致的，按照前款规定的顺序修正。修正后的报价按照本通用条款33条的规定，经投标人确认后产生约束力，投标人不确认的，其投标无效。</w:t>
      </w:r>
    </w:p>
    <w:p w14:paraId="38FCD89E">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35．投标文件的比较与评价</w:t>
      </w:r>
    </w:p>
    <w:p w14:paraId="2609DF82">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评审委员会将参照《中华人民共和国政府采购法》《中华人民共和国招标投标法》《</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"http://www.baidu.com/link?url=6TUmbbSdkQxdcJaeHRzTO4mBxp9fQtiBr4U3woWl_azESqs3mBGaEop_LCuC-SJkD_IjzhVv5T3W1ed0YfeWVnmlKtx2JOuwBjACvXaaFhK" \t "https://www.baidu.com/_blank"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中华人民共和国民法典</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》，并参照有关法规、政策、规章，仅对通过资格性审查和符合性审查的投标文件进行综合比较与评价。</w:t>
      </w:r>
    </w:p>
    <w:p w14:paraId="265F359F">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评审委员会成员对需要共同认定的事项存在争议的，应当按照少数服从多数的原则作出结论。持不同意见的评审委员会成员应当书面作出说明，否则视为无异议。</w:t>
      </w:r>
    </w:p>
    <w:p w14:paraId="7A2E18D1">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36. 实地考察或资料查验</w:t>
      </w:r>
    </w:p>
    <w:p w14:paraId="6F6C0F2E">
      <w:pPr>
        <w:pageBreakBefore w:val="0"/>
        <w:kinsoku/>
        <w:overflowPunct/>
        <w:topLinePunct w:val="0"/>
        <w:bidi w:val="0"/>
        <w:spacing w:line="24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36.1在评审过程中，评审委员会有权决定是否对本项目投标人进行实地考察或资料查验（原件）。投标人应随时做好接受实地考察或资料查验的准备。</w:t>
      </w:r>
    </w:p>
    <w:p w14:paraId="5D1B3E41">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37．评审方法</w:t>
      </w:r>
    </w:p>
    <w:p w14:paraId="02AE7953">
      <w:pPr>
        <w:pageBreakBefore w:val="0"/>
        <w:kinsoku/>
        <w:overflowPunct/>
        <w:topLinePunct w:val="0"/>
        <w:bidi w:val="0"/>
        <w:spacing w:line="240" w:lineRule="auto"/>
        <w:ind w:firstLine="472" w:firstLineChars="19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37.1.1最低价法</w:t>
      </w:r>
    </w:p>
    <w:p w14:paraId="7D919FC8">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bookmarkStart w:id="1230" w:name="_Hlk72438142"/>
      <w:r>
        <w:rPr>
          <w:rFonts w:hint="eastAsia" w:ascii="宋体" w:hAnsi="宋体" w:eastAsia="宋体" w:cs="宋体"/>
          <w:sz w:val="24"/>
          <w:szCs w:val="24"/>
          <w:highlight w:val="none"/>
        </w:rPr>
        <w:t>最低价法，是指完全满足招标文件实质性要求，按照报价由低到高的顺序，依据招标文件中规定的数量或者比例推荐候选中标供应商。</w:t>
      </w:r>
    </w:p>
    <w:p w14:paraId="13C60AF4">
      <w:pPr>
        <w:pageBreakBefore w:val="0"/>
        <w:kinsoku/>
        <w:overflowPunct/>
        <w:topLinePunct w:val="0"/>
        <w:bidi w:val="0"/>
        <w:spacing w:line="240" w:lineRule="auto"/>
        <w:ind w:firstLine="472" w:firstLineChars="19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37.1.2综合评分法</w:t>
      </w:r>
    </w:p>
    <w:p w14:paraId="49B14B1E">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综合评分法，是指在满足招标文件全部实质性要求的前提下，按照招标文件中规定的各项因素进行综合评审，评审总得分排名前列的投标人，作为推荐的候选中标供应商。</w:t>
      </w:r>
      <w:bookmarkEnd w:id="1230"/>
      <w:r>
        <w:rPr>
          <w:rFonts w:hint="eastAsia" w:ascii="宋体" w:hAnsi="宋体" w:eastAsia="宋体" w:cs="宋体"/>
          <w:bCs/>
          <w:color w:val="FF0000"/>
          <w:sz w:val="24"/>
          <w:szCs w:val="24"/>
          <w:highlight w:val="none"/>
        </w:rPr>
        <w:t xml:space="preserve">  </w:t>
      </w:r>
      <w:r>
        <w:rPr>
          <w:rFonts w:hint="eastAsia" w:ascii="宋体" w:hAnsi="宋体" w:eastAsia="宋体" w:cs="宋体"/>
          <w:bCs/>
          <w:sz w:val="24"/>
          <w:szCs w:val="24"/>
          <w:highlight w:val="none"/>
        </w:rPr>
        <w:t xml:space="preserve">                                                                                                                                                                                                                                                                                                                                                                                                                                                                                                                                                                                                                                                                                                                                                                                                                                                                                                                                                                                                                                                                                                                                                                                                                                                                                                                                                                                                                                                                                                                                                                                                                                                                                                                                                                                                                                                                                                                                                                                                                                                                                                                                                                                                                                                                                                                                                                                                                                                                                                                                                                                                                                                                                                                                                                                                                                                                                                                                                                                                                           </w:t>
      </w:r>
    </w:p>
    <w:p w14:paraId="0BBFCF04">
      <w:pPr>
        <w:pageBreakBefore w:val="0"/>
        <w:kinsoku/>
        <w:overflowPunct/>
        <w:topLinePunct w:val="0"/>
        <w:bidi w:val="0"/>
        <w:spacing w:line="240" w:lineRule="auto"/>
        <w:ind w:firstLine="472" w:firstLineChars="19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37.2 本项目采用的评审方法见本项目招标文件第一册“专用条款”的相关内容。</w:t>
      </w:r>
    </w:p>
    <w:p w14:paraId="42A1DE7D">
      <w:pPr>
        <w:pageBreakBefore w:val="0"/>
        <w:kinsoku/>
        <w:overflowPunct/>
        <w:topLinePunct w:val="0"/>
        <w:bidi w:val="0"/>
        <w:spacing w:line="240" w:lineRule="auto"/>
        <w:ind w:firstLine="472" w:firstLineChars="19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37.3重新评审的情形</w:t>
      </w:r>
    </w:p>
    <w:p w14:paraId="39C0BA6E">
      <w:pPr>
        <w:pageBreakBefore w:val="0"/>
        <w:kinsoku/>
        <w:overflowPunct/>
        <w:topLinePunct w:val="0"/>
        <w:bidi w:val="0"/>
        <w:spacing w:line="240" w:lineRule="auto"/>
        <w:ind w:firstLine="470" w:firstLineChars="196"/>
        <w:rPr>
          <w:rFonts w:hint="eastAsia" w:ascii="宋体" w:hAnsi="宋体" w:eastAsia="宋体" w:cs="宋体"/>
          <w:b/>
          <w:bCs/>
          <w:sz w:val="24"/>
          <w:szCs w:val="24"/>
          <w:highlight w:val="none"/>
        </w:rPr>
      </w:pPr>
      <w:r>
        <w:rPr>
          <w:rFonts w:hint="eastAsia" w:ascii="宋体" w:hAnsi="宋体" w:eastAsia="宋体" w:cs="宋体"/>
          <w:kern w:val="0"/>
          <w:sz w:val="24"/>
          <w:szCs w:val="24"/>
          <w:highlight w:val="none"/>
        </w:rPr>
        <w:t>评审结果汇总完成后，除下列情形外，任何人不得修改评审结果：</w:t>
      </w:r>
    </w:p>
    <w:p w14:paraId="659DC80F">
      <w:pPr>
        <w:pageBreakBefore w:val="0"/>
        <w:kinsoku/>
        <w:overflowPunct/>
        <w:topLinePunct w:val="0"/>
        <w:bidi w:val="0"/>
        <w:spacing w:line="24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37.3.1分值汇总计算错误的；</w:t>
      </w:r>
    </w:p>
    <w:p w14:paraId="48719339">
      <w:pPr>
        <w:pageBreakBefore w:val="0"/>
        <w:kinsoku/>
        <w:overflowPunct/>
        <w:topLinePunct w:val="0"/>
        <w:bidi w:val="0"/>
        <w:spacing w:line="24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37.3.2分项评分超出评分标准范围的；</w:t>
      </w:r>
    </w:p>
    <w:p w14:paraId="0C762E42">
      <w:pPr>
        <w:pageBreakBefore w:val="0"/>
        <w:kinsoku/>
        <w:overflowPunct/>
        <w:topLinePunct w:val="0"/>
        <w:bidi w:val="0"/>
        <w:spacing w:line="24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37.3.3评审委员会成员对客观评审因素评分不一致的；</w:t>
      </w:r>
    </w:p>
    <w:p w14:paraId="158BACEE">
      <w:pPr>
        <w:pageBreakBefore w:val="0"/>
        <w:kinsoku/>
        <w:overflowPunct/>
        <w:topLinePunct w:val="0"/>
        <w:bidi w:val="0"/>
        <w:spacing w:line="24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37.3.4经评审委员会认定评分畸高、畸低的。</w:t>
      </w:r>
    </w:p>
    <w:p w14:paraId="4D5D9762">
      <w:pPr>
        <w:pageBreakBefore w:val="0"/>
        <w:kinsoku/>
        <w:overflowPunct/>
        <w:topLinePunct w:val="0"/>
        <w:bidi w:val="0"/>
        <w:spacing w:line="24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评审报告签署前，经复核发现存在以上情形之一的，评审委员会应当当场修改评审结果，并进行书面记载；评审报告签署后，</w:t>
      </w:r>
      <w:r>
        <w:rPr>
          <w:rFonts w:hint="eastAsia" w:ascii="宋体" w:hAnsi="宋体" w:eastAsia="宋体" w:cs="宋体"/>
          <w:kern w:val="0"/>
          <w:sz w:val="24"/>
          <w:szCs w:val="24"/>
          <w:highlight w:val="none"/>
          <w:lang w:eastAsia="zh-CN"/>
        </w:rPr>
        <w:t>招标人</w:t>
      </w:r>
      <w:r>
        <w:rPr>
          <w:rFonts w:hint="eastAsia" w:ascii="宋体" w:hAnsi="宋体" w:eastAsia="宋体" w:cs="宋体"/>
          <w:kern w:val="0"/>
          <w:sz w:val="24"/>
          <w:szCs w:val="24"/>
          <w:highlight w:val="none"/>
        </w:rPr>
        <w:t>或者</w:t>
      </w:r>
      <w:r>
        <w:rPr>
          <w:rFonts w:hint="eastAsia" w:ascii="宋体" w:hAnsi="宋体" w:eastAsia="宋体" w:cs="宋体"/>
          <w:kern w:val="0"/>
          <w:sz w:val="24"/>
          <w:szCs w:val="24"/>
          <w:highlight w:val="none"/>
          <w:lang w:eastAsia="zh-CN"/>
        </w:rPr>
        <w:t>招标代理机构</w:t>
      </w:r>
      <w:r>
        <w:rPr>
          <w:rFonts w:hint="eastAsia" w:ascii="宋体" w:hAnsi="宋体" w:eastAsia="宋体" w:cs="宋体"/>
          <w:kern w:val="0"/>
          <w:sz w:val="24"/>
          <w:szCs w:val="24"/>
          <w:highlight w:val="none"/>
        </w:rPr>
        <w:t>发现存在以上情形之一的，应当组织原评审委员会进行重新评审。</w:t>
      </w:r>
    </w:p>
    <w:p w14:paraId="11A39EDD">
      <w:pPr>
        <w:pageBreakBefore w:val="0"/>
        <w:kinsoku/>
        <w:overflowPunct/>
        <w:topLinePunct w:val="0"/>
        <w:bidi w:val="0"/>
        <w:spacing w:line="24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投标人对本条第一款情形提出质疑的，</w:t>
      </w:r>
      <w:r>
        <w:rPr>
          <w:rFonts w:hint="eastAsia" w:ascii="宋体" w:hAnsi="宋体" w:eastAsia="宋体" w:cs="宋体"/>
          <w:kern w:val="0"/>
          <w:sz w:val="24"/>
          <w:szCs w:val="24"/>
          <w:highlight w:val="none"/>
          <w:lang w:eastAsia="zh-CN"/>
        </w:rPr>
        <w:t>招标人</w:t>
      </w:r>
      <w:r>
        <w:rPr>
          <w:rFonts w:hint="eastAsia" w:ascii="宋体" w:hAnsi="宋体" w:eastAsia="宋体" w:cs="宋体"/>
          <w:kern w:val="0"/>
          <w:sz w:val="24"/>
          <w:szCs w:val="24"/>
          <w:highlight w:val="none"/>
        </w:rPr>
        <w:t>或者</w:t>
      </w:r>
      <w:r>
        <w:rPr>
          <w:rFonts w:hint="eastAsia" w:ascii="宋体" w:hAnsi="宋体" w:eastAsia="宋体" w:cs="宋体"/>
          <w:kern w:val="0"/>
          <w:sz w:val="24"/>
          <w:szCs w:val="24"/>
          <w:highlight w:val="none"/>
          <w:lang w:eastAsia="zh-CN"/>
        </w:rPr>
        <w:t>招标代理机构</w:t>
      </w:r>
      <w:r>
        <w:rPr>
          <w:rFonts w:hint="eastAsia" w:ascii="宋体" w:hAnsi="宋体" w:eastAsia="宋体" w:cs="宋体"/>
          <w:kern w:val="0"/>
          <w:sz w:val="24"/>
          <w:szCs w:val="24"/>
          <w:highlight w:val="none"/>
        </w:rPr>
        <w:t>可以组织原评审委员会进行重新评审。</w:t>
      </w:r>
    </w:p>
    <w:p w14:paraId="4EC6E661">
      <w:pPr>
        <w:pageBreakBefore w:val="0"/>
        <w:kinsoku/>
        <w:overflowPunct/>
        <w:topLinePunct w:val="0"/>
        <w:bidi w:val="0"/>
        <w:spacing w:line="240" w:lineRule="auto"/>
        <w:ind w:firstLine="472" w:firstLineChars="19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37.4重新组建评审委员会的情形</w:t>
      </w:r>
    </w:p>
    <w:p w14:paraId="4D2CABB9">
      <w:pPr>
        <w:pageBreakBefore w:val="0"/>
        <w:kinsoku/>
        <w:overflowPunct/>
        <w:topLinePunct w:val="0"/>
        <w:bidi w:val="0"/>
        <w:spacing w:line="24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评审委员会或者其成员存在下列情形导致评审结果无效的，重新组建评审委员会进行评标：</w:t>
      </w:r>
    </w:p>
    <w:p w14:paraId="03E42D57">
      <w:pPr>
        <w:pageBreakBefore w:val="0"/>
        <w:kinsoku/>
        <w:overflowPunct/>
        <w:topLinePunct w:val="0"/>
        <w:bidi w:val="0"/>
        <w:spacing w:line="24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37.4.1评审委员会组成不符合《政府采购货物和服务招标投标管理办法》规定的；</w:t>
      </w:r>
    </w:p>
    <w:p w14:paraId="31F6FFB2">
      <w:pPr>
        <w:pageBreakBefore w:val="0"/>
        <w:kinsoku/>
        <w:overflowPunct/>
        <w:topLinePunct w:val="0"/>
        <w:bidi w:val="0"/>
        <w:spacing w:line="24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37.4.2有《政府采购货物和服务招标投标管理办法》第六十二条第一至五项情形的；</w:t>
      </w:r>
    </w:p>
    <w:p w14:paraId="3574D1A0">
      <w:pPr>
        <w:pageBreakBefore w:val="0"/>
        <w:kinsoku/>
        <w:overflowPunct/>
        <w:topLinePunct w:val="0"/>
        <w:bidi w:val="0"/>
        <w:spacing w:line="24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37.4.3评审委员会及其成员独立评标受到非法干预的；</w:t>
      </w:r>
    </w:p>
    <w:p w14:paraId="15EAA407">
      <w:pPr>
        <w:pageBreakBefore w:val="0"/>
        <w:kinsoku/>
        <w:overflowPunct/>
        <w:topLinePunct w:val="0"/>
        <w:bidi w:val="0"/>
        <w:spacing w:line="24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37.4.4有政府采购法实施条例第七十五条规定的违法行为的。</w:t>
      </w:r>
    </w:p>
    <w:p w14:paraId="615F13AE">
      <w:pPr>
        <w:pageBreakBefore w:val="0"/>
        <w:kinsoku/>
        <w:overflowPunct/>
        <w:topLinePunct w:val="0"/>
        <w:bidi w:val="0"/>
        <w:spacing w:line="24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有违法违规行为的原评审委员会成员不得参加重新组建的评审委员会。</w:t>
      </w:r>
    </w:p>
    <w:p w14:paraId="2D34CBD6">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p>
    <w:p w14:paraId="3654AD04">
      <w:pPr>
        <w:pStyle w:val="3"/>
        <w:pageBreakBefore w:val="0"/>
        <w:numPr>
          <w:ilvl w:val="0"/>
          <w:numId w:val="0"/>
        </w:numPr>
        <w:kinsoku/>
        <w:overflowPunct/>
        <w:topLinePunct w:val="0"/>
        <w:bidi w:val="0"/>
        <w:spacing w:before="120" w:beforeLines="50" w:after="120" w:afterLines="50" w:line="240" w:lineRule="auto"/>
        <w:ind w:left="562" w:leftChars="0" w:hanging="562" w:firstLineChars="0"/>
        <w:jc w:val="center"/>
        <w:rPr>
          <w:rFonts w:hint="eastAsia" w:ascii="宋体" w:hAnsi="宋体" w:eastAsia="宋体" w:cs="宋体"/>
          <w:sz w:val="24"/>
          <w:szCs w:val="24"/>
          <w:highlight w:val="none"/>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八</w:t>
      </w:r>
      <w:r>
        <w:rPr>
          <w:rFonts w:hint="default" w:ascii="宋体" w:hAnsi="宋体" w:eastAsia="宋体" w:cs="宋体"/>
          <w:b/>
          <w:bCs/>
          <w:kern w:val="2"/>
          <w:sz w:val="24"/>
          <w:szCs w:val="24"/>
          <w:lang w:val="en-US" w:eastAsia="zh-CN" w:bidi="ar-SA"/>
        </w:rPr>
        <w:t>章</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sz w:val="24"/>
          <w:szCs w:val="24"/>
          <w:highlight w:val="none"/>
        </w:rPr>
        <w:t>定标及公示</w:t>
      </w:r>
    </w:p>
    <w:p w14:paraId="52263FCD">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38．定标方法</w:t>
      </w:r>
    </w:p>
    <w:p w14:paraId="1960ACF0">
      <w:pPr>
        <w:pageBreakBefore w:val="0"/>
        <w:kinsoku/>
        <w:overflowPunct/>
        <w:topLinePunct w:val="0"/>
        <w:bidi w:val="0"/>
        <w:spacing w:line="24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38.1非评定分离项目定标方法</w:t>
      </w:r>
    </w:p>
    <w:p w14:paraId="26CBCC6F">
      <w:pPr>
        <w:pageBreakBefore w:val="0"/>
        <w:kinsoku/>
        <w:overflowPunct/>
        <w:topLinePunct w:val="0"/>
        <w:bidi w:val="0"/>
        <w:spacing w:line="24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38.1.1评审委员会依据本项目招标文件所约定的评审方法进行评审和比较，向</w:t>
      </w:r>
      <w:r>
        <w:rPr>
          <w:rFonts w:hint="eastAsia" w:ascii="宋体" w:hAnsi="宋体" w:eastAsia="宋体" w:cs="宋体"/>
          <w:sz w:val="24"/>
          <w:szCs w:val="24"/>
          <w:lang w:eastAsia="zh-CN"/>
        </w:rPr>
        <w:t>招标代理机构</w:t>
      </w:r>
      <w:r>
        <w:rPr>
          <w:rFonts w:hint="eastAsia" w:ascii="宋体" w:hAnsi="宋体" w:eastAsia="宋体" w:cs="宋体"/>
          <w:sz w:val="24"/>
          <w:szCs w:val="24"/>
        </w:rPr>
        <w:t>提交书面评审报告，并根据评审方法比较评价结果从优到劣进行排序，确定候选中标供应商。</w:t>
      </w:r>
    </w:p>
    <w:p w14:paraId="3E721303">
      <w:pPr>
        <w:pageBreakBefore w:val="0"/>
        <w:kinsoku/>
        <w:overflowPunct/>
        <w:topLinePunct w:val="0"/>
        <w:bidi w:val="0"/>
        <w:spacing w:line="24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w:t>
      </w:r>
    </w:p>
    <w:p w14:paraId="4B538056">
      <w:pPr>
        <w:pageBreakBefore w:val="0"/>
        <w:kinsoku/>
        <w:overflowPunct/>
        <w:topLinePunct w:val="0"/>
        <w:bidi w:val="0"/>
        <w:spacing w:line="24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38.1.3采用综合评分法的，评标结果按评审后得分由高到低顺序排列。得分相同的，按投标报价由低到高顺序排列。得分且投标报价相同的并列。</w:t>
      </w:r>
    </w:p>
    <w:p w14:paraId="37D3B7B4">
      <w:pPr>
        <w:pageBreakBefore w:val="0"/>
        <w:kinsoku/>
        <w:overflowPunct/>
        <w:topLinePunct w:val="0"/>
        <w:bidi w:val="0"/>
        <w:spacing w:line="240" w:lineRule="auto"/>
        <w:ind w:firstLine="240" w:firstLineChars="1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具体操作办法及流程由评审委员会确定。</w:t>
      </w:r>
      <w:r>
        <w:rPr>
          <w:rFonts w:hint="eastAsia" w:ascii="宋体" w:hAnsi="宋体" w:eastAsia="宋体" w:cs="宋体"/>
          <w:b/>
          <w:bCs/>
          <w:sz w:val="24"/>
          <w:szCs w:val="24"/>
        </w:rPr>
        <w:t>如排名第一的中标候选人被认定投标或中标无效，符合法定情形时，依法顺次替补；合格供应商不符合法定数量时，应当重新开展</w:t>
      </w:r>
      <w:r>
        <w:rPr>
          <w:rFonts w:hint="eastAsia" w:ascii="宋体" w:hAnsi="宋体" w:eastAsia="宋体" w:cs="宋体"/>
          <w:b/>
          <w:bCs/>
          <w:sz w:val="24"/>
          <w:szCs w:val="24"/>
          <w:lang w:val="en-US" w:eastAsia="zh-CN"/>
        </w:rPr>
        <w:t>交易</w:t>
      </w:r>
      <w:r>
        <w:rPr>
          <w:rFonts w:hint="eastAsia" w:ascii="宋体" w:hAnsi="宋体" w:eastAsia="宋体" w:cs="宋体"/>
          <w:b/>
          <w:bCs/>
          <w:sz w:val="24"/>
          <w:szCs w:val="24"/>
        </w:rPr>
        <w:t>活动。</w:t>
      </w:r>
    </w:p>
    <w:p w14:paraId="04AC0E98">
      <w:pPr>
        <w:pageBreakBefore w:val="0"/>
        <w:kinsoku/>
        <w:overflowPunct/>
        <w:topLinePunct w:val="0"/>
        <w:bidi w:val="0"/>
        <w:spacing w:line="240" w:lineRule="auto"/>
        <w:ind w:firstLine="240" w:firstLineChars="1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ascii="宋体" w:hAnsi="宋体" w:eastAsia="宋体" w:cs="宋体"/>
          <w:b/>
          <w:bCs/>
          <w:sz w:val="24"/>
          <w:szCs w:val="24"/>
        </w:rPr>
        <w:t>如唯一候选中标供应商被认定投标或中标无效，</w:t>
      </w:r>
      <w:r>
        <w:rPr>
          <w:rFonts w:hint="eastAsia" w:ascii="宋体" w:hAnsi="宋体" w:eastAsia="宋体" w:cs="宋体"/>
          <w:b/>
          <w:bCs/>
          <w:sz w:val="24"/>
          <w:szCs w:val="24"/>
          <w:lang w:eastAsia="zh-CN"/>
        </w:rPr>
        <w:t>招标人</w:t>
      </w:r>
      <w:r>
        <w:rPr>
          <w:rFonts w:hint="eastAsia" w:ascii="宋体" w:hAnsi="宋体" w:eastAsia="宋体" w:cs="宋体"/>
          <w:b/>
          <w:bCs/>
          <w:sz w:val="24"/>
          <w:szCs w:val="24"/>
        </w:rPr>
        <w:t>应当重新开展</w:t>
      </w:r>
      <w:r>
        <w:rPr>
          <w:rFonts w:hint="eastAsia" w:ascii="宋体" w:hAnsi="宋体" w:eastAsia="宋体" w:cs="宋体"/>
          <w:b/>
          <w:bCs/>
          <w:sz w:val="24"/>
          <w:szCs w:val="24"/>
          <w:lang w:eastAsia="zh-CN"/>
        </w:rPr>
        <w:t>交易活动</w:t>
      </w:r>
      <w:r>
        <w:rPr>
          <w:rFonts w:hint="eastAsia" w:ascii="宋体" w:hAnsi="宋体" w:eastAsia="宋体" w:cs="宋体"/>
          <w:b/>
          <w:bCs/>
          <w:sz w:val="24"/>
          <w:szCs w:val="24"/>
        </w:rPr>
        <w:t>。</w:t>
      </w:r>
    </w:p>
    <w:p w14:paraId="6C784487">
      <w:pPr>
        <w:pageBreakBefore w:val="0"/>
        <w:kinsoku/>
        <w:overflowPunct/>
        <w:topLinePunct w:val="0"/>
        <w:bidi w:val="0"/>
        <w:spacing w:line="240" w:lineRule="auto"/>
        <w:rPr>
          <w:rFonts w:hint="eastAsia" w:ascii="宋体" w:hAnsi="宋体" w:eastAsia="宋体" w:cs="宋体"/>
          <w:sz w:val="24"/>
          <w:szCs w:val="24"/>
        </w:rPr>
      </w:pPr>
    </w:p>
    <w:p w14:paraId="7469C299">
      <w:pPr>
        <w:pageBreakBefore w:val="0"/>
        <w:kinsoku/>
        <w:overflowPunct/>
        <w:topLinePunct w:val="0"/>
        <w:bidi w:val="0"/>
        <w:spacing w:line="24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38.2评定分离项目定标方法</w:t>
      </w:r>
    </w:p>
    <w:p w14:paraId="68436905">
      <w:pPr>
        <w:pageBreakBefore w:val="0"/>
        <w:kinsoku/>
        <w:overflowPunct/>
        <w:topLinePunct w:val="0"/>
        <w:bidi w:val="0"/>
        <w:spacing w:line="24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38.2.1评定分离是指在采购程序中，以公开招标方式执行采购，评审委员会负责对投标文件进行评审、推荐候选中标供应商并出具书面评审报告，由</w:t>
      </w:r>
      <w:r>
        <w:rPr>
          <w:rFonts w:hint="eastAsia" w:ascii="宋体" w:hAnsi="宋体" w:eastAsia="宋体" w:cs="宋体"/>
          <w:sz w:val="24"/>
          <w:szCs w:val="24"/>
          <w:lang w:eastAsia="zh-CN"/>
        </w:rPr>
        <w:t>招标人</w:t>
      </w:r>
      <w:r>
        <w:rPr>
          <w:rFonts w:hint="eastAsia" w:ascii="宋体" w:hAnsi="宋体" w:eastAsia="宋体" w:cs="宋体"/>
          <w:sz w:val="24"/>
          <w:szCs w:val="24"/>
        </w:rPr>
        <w:t>根据评审委员会出具的评审报告从推荐的候选中标供应商中确定中标供应商。单个项目需要确定多家中标供应商的，不适用评定分离。</w:t>
      </w:r>
    </w:p>
    <w:p w14:paraId="60887112">
      <w:pPr>
        <w:pageBreakBefore w:val="0"/>
        <w:kinsoku/>
        <w:overflowPunct/>
        <w:topLinePunct w:val="0"/>
        <w:bidi w:val="0"/>
        <w:spacing w:line="24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 xml:space="preserve">38.2.2 </w:t>
      </w:r>
      <w:bookmarkStart w:id="1231" w:name="_Hlk71469733"/>
      <w:r>
        <w:rPr>
          <w:rFonts w:hint="eastAsia" w:ascii="宋体" w:hAnsi="宋体" w:eastAsia="宋体" w:cs="宋体"/>
          <w:sz w:val="24"/>
          <w:szCs w:val="24"/>
        </w:rPr>
        <w:t>适用评定分离的采购项目，采用综合评分法评审。评审委员会按照评审结果，推荐三个合格的候选中标供应商。</w:t>
      </w:r>
    </w:p>
    <w:p w14:paraId="5AA009F9">
      <w:pPr>
        <w:pageBreakBefore w:val="0"/>
        <w:kinsoku/>
        <w:overflowPunct/>
        <w:topLinePunct w:val="0"/>
        <w:bidi w:val="0"/>
        <w:spacing w:line="24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38.2.3</w:t>
      </w:r>
      <w:bookmarkStart w:id="1232" w:name="_Hlk71469688"/>
      <w:r>
        <w:rPr>
          <w:rFonts w:hint="eastAsia" w:ascii="宋体" w:hAnsi="宋体" w:eastAsia="宋体" w:cs="宋体"/>
          <w:sz w:val="24"/>
          <w:szCs w:val="24"/>
        </w:rPr>
        <w:t>适用评定分离的</w:t>
      </w:r>
      <w:r>
        <w:rPr>
          <w:rFonts w:hint="eastAsia" w:ascii="宋体" w:hAnsi="宋体" w:eastAsia="宋体" w:cs="宋体"/>
          <w:sz w:val="24"/>
          <w:szCs w:val="24"/>
          <w:lang w:eastAsia="zh-CN"/>
        </w:rPr>
        <w:t>交易</w:t>
      </w:r>
      <w:r>
        <w:rPr>
          <w:rFonts w:hint="eastAsia" w:ascii="宋体" w:hAnsi="宋体" w:eastAsia="宋体" w:cs="宋体"/>
          <w:sz w:val="24"/>
          <w:szCs w:val="24"/>
        </w:rPr>
        <w:t>项目，按照自定法确定中标供应商：自定法是指</w:t>
      </w:r>
      <w:r>
        <w:rPr>
          <w:rFonts w:hint="eastAsia" w:ascii="宋体" w:hAnsi="宋体" w:eastAsia="宋体" w:cs="宋体"/>
          <w:sz w:val="24"/>
          <w:szCs w:val="24"/>
          <w:lang w:eastAsia="zh-CN"/>
        </w:rPr>
        <w:t>招标人</w:t>
      </w:r>
      <w:r>
        <w:rPr>
          <w:rFonts w:hint="eastAsia" w:ascii="宋体" w:hAnsi="宋体" w:eastAsia="宋体" w:cs="宋体"/>
          <w:sz w:val="24"/>
          <w:szCs w:val="24"/>
        </w:rPr>
        <w:t>组织定标委员会，由定标委员会在三家候选中标供应商中确定中标供应商。</w:t>
      </w:r>
      <w:bookmarkEnd w:id="1231"/>
      <w:bookmarkEnd w:id="1232"/>
    </w:p>
    <w:p w14:paraId="49071E44">
      <w:pPr>
        <w:pageBreakBefore w:val="0"/>
        <w:kinsoku/>
        <w:overflowPunct/>
        <w:topLinePunct w:val="0"/>
        <w:bidi w:val="0"/>
        <w:spacing w:line="24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38.2.4</w:t>
      </w:r>
      <w:r>
        <w:rPr>
          <w:rFonts w:hint="eastAsia" w:ascii="宋体" w:hAnsi="宋体" w:eastAsia="宋体" w:cs="宋体"/>
          <w:sz w:val="24"/>
          <w:szCs w:val="24"/>
          <w:lang w:eastAsia="zh-CN"/>
        </w:rPr>
        <w:t>招标代理机构</w:t>
      </w:r>
      <w:r>
        <w:rPr>
          <w:rFonts w:hint="eastAsia" w:ascii="宋体" w:hAnsi="宋体" w:eastAsia="宋体" w:cs="宋体"/>
          <w:sz w:val="24"/>
          <w:szCs w:val="24"/>
        </w:rPr>
        <w:t>应当自评审结束之日起两个工作日内将候选中标供应商名单及其投标文件、评审报告送交</w:t>
      </w:r>
      <w:r>
        <w:rPr>
          <w:rFonts w:hint="eastAsia" w:ascii="宋体" w:hAnsi="宋体" w:eastAsia="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招标人</w:t>
      </w:r>
      <w:r>
        <w:rPr>
          <w:rFonts w:hint="eastAsia" w:ascii="宋体" w:hAnsi="宋体" w:eastAsia="宋体" w:cs="宋体"/>
          <w:sz w:val="24"/>
          <w:szCs w:val="24"/>
        </w:rPr>
        <w:t>应当安排专人对定标过程进行书面记录，形成定标报告，作为采购文件的组成部分存档，并及时将定标结果反馈</w:t>
      </w:r>
      <w:r>
        <w:rPr>
          <w:rFonts w:hint="eastAsia" w:ascii="宋体" w:hAnsi="宋体" w:eastAsia="宋体" w:cs="宋体"/>
          <w:sz w:val="24"/>
          <w:szCs w:val="24"/>
          <w:lang w:eastAsia="zh-CN"/>
        </w:rPr>
        <w:t>招标代理机构</w:t>
      </w:r>
      <w:r>
        <w:rPr>
          <w:rFonts w:hint="eastAsia" w:ascii="宋体" w:hAnsi="宋体" w:eastAsia="宋体" w:cs="宋体"/>
          <w:sz w:val="24"/>
          <w:szCs w:val="24"/>
        </w:rPr>
        <w:t>。具体定标程序及相关要求以按照《深圳市财政局关于&lt;深圳市政府采购评标定标分离管理办法&gt;续期的通知》（深财规〔2023〕1号）执行。</w:t>
      </w:r>
    </w:p>
    <w:p w14:paraId="78216CB8">
      <w:pPr>
        <w:pageBreakBefore w:val="0"/>
        <w:kinsoku/>
        <w:overflowPunct/>
        <w:topLinePunct w:val="0"/>
        <w:bidi w:val="0"/>
        <w:spacing w:line="24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sz w:val="24"/>
          <w:szCs w:val="24"/>
          <w:lang w:eastAsia="zh-CN"/>
        </w:rPr>
        <w:t>招标人</w:t>
      </w:r>
      <w:r>
        <w:rPr>
          <w:rFonts w:hint="eastAsia" w:ascii="宋体" w:hAnsi="宋体" w:eastAsia="宋体" w:cs="宋体"/>
          <w:sz w:val="24"/>
          <w:szCs w:val="24"/>
        </w:rPr>
        <w:t>及投标供应商应按照上述方法提前做好相关准备。</w:t>
      </w:r>
    </w:p>
    <w:p w14:paraId="791A72C5">
      <w:pPr>
        <w:pageBreakBefore w:val="0"/>
        <w:kinsoku/>
        <w:overflowPunct/>
        <w:topLinePunct w:val="0"/>
        <w:bidi w:val="0"/>
        <w:spacing w:line="24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38.3专用条款另有规定的，按专用条款相关要求定标。</w:t>
      </w:r>
    </w:p>
    <w:p w14:paraId="75425306">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p>
    <w:p w14:paraId="0F37F9D6">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39．编写评审报告</w:t>
      </w:r>
    </w:p>
    <w:p w14:paraId="56412C9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107676D">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40．中标公告</w:t>
      </w:r>
    </w:p>
    <w:p w14:paraId="17497EB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40.1</w:t>
      </w:r>
      <w:bookmarkStart w:id="1233" w:name="_Hlk72438709"/>
      <w:r>
        <w:rPr>
          <w:rFonts w:hint="eastAsia" w:ascii="宋体" w:hAnsi="宋体" w:eastAsia="宋体" w:cs="宋体"/>
          <w:sz w:val="24"/>
          <w:szCs w:val="24"/>
          <w:highlight w:val="none"/>
        </w:rPr>
        <w:t>为体现“公开、公平、公正”的原则，评审结束后经采购人定标后，</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将在</w:t>
      </w:r>
      <w:r>
        <w:rPr>
          <w:rFonts w:hint="eastAsia" w:ascii="宋体" w:hAnsi="宋体" w:eastAsia="宋体" w:cs="宋体"/>
          <w:b/>
          <w:bCs/>
          <w:sz w:val="24"/>
          <w:szCs w:val="24"/>
          <w:highlight w:val="none"/>
        </w:rPr>
        <w:t>深圳公共资源交易网（https://szggzy.com/）</w:t>
      </w:r>
      <w:r>
        <w:rPr>
          <w:rFonts w:hint="eastAsia" w:ascii="宋体" w:hAnsi="宋体" w:eastAsia="宋体" w:cs="宋体"/>
          <w:sz w:val="24"/>
          <w:szCs w:val="24"/>
          <w:highlight w:val="none"/>
        </w:rPr>
        <w:t>上发布中标结果公告。</w:t>
      </w:r>
      <w:bookmarkEnd w:id="1233"/>
      <w:bookmarkStart w:id="1234" w:name="_Hlk72438751"/>
      <w:r>
        <w:rPr>
          <w:rFonts w:hint="eastAsia" w:ascii="宋体" w:hAnsi="宋体" w:eastAsia="宋体" w:cs="宋体"/>
          <w:sz w:val="24"/>
          <w:szCs w:val="24"/>
          <w:highlight w:val="none"/>
        </w:rPr>
        <w:t>供应商如对评审结果有异议，可在发布公示日期起七个工作日内向</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提出。若在公示期内未提出质疑，则视为认同该评审结果。</w:t>
      </w:r>
    </w:p>
    <w:bookmarkEnd w:id="1234"/>
    <w:p w14:paraId="340A5063">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40.2质疑、投诉供应商应保证质疑、投诉内容的真实性和可靠性，并承担相应的法律责任。</w:t>
      </w:r>
    </w:p>
    <w:p w14:paraId="67EA369B">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41．中标通知书</w:t>
      </w:r>
    </w:p>
    <w:p w14:paraId="6604070B">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41.1</w:t>
      </w:r>
      <w:bookmarkStart w:id="1235" w:name="_Hlk72438863"/>
      <w:r>
        <w:rPr>
          <w:rFonts w:hint="eastAsia" w:ascii="宋体" w:hAnsi="宋体" w:eastAsia="宋体" w:cs="宋体"/>
          <w:sz w:val="24"/>
          <w:szCs w:val="24"/>
          <w:highlight w:val="none"/>
        </w:rPr>
        <w:t>中标公告公布以后无异常的情况下,中标供应商和</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可自行在</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深圳市自行采购系统（https://trade.szggzy.com/ggzy/center/#/login）</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上打印</w:t>
      </w:r>
      <w:r>
        <w:rPr>
          <w:rFonts w:hint="eastAsia" w:ascii="宋体" w:hAnsi="宋体" w:eastAsia="宋体" w:cs="宋体"/>
          <w:b/>
          <w:sz w:val="24"/>
          <w:szCs w:val="24"/>
          <w:highlight w:val="none"/>
        </w:rPr>
        <w:t>《数字中标通知书》</w:t>
      </w:r>
      <w:r>
        <w:rPr>
          <w:rFonts w:hint="eastAsia" w:ascii="宋体" w:hAnsi="宋体" w:eastAsia="宋体" w:cs="宋体"/>
          <w:sz w:val="24"/>
          <w:szCs w:val="24"/>
          <w:highlight w:val="none"/>
        </w:rPr>
        <w:t>。</w:t>
      </w:r>
      <w:bookmarkEnd w:id="1235"/>
    </w:p>
    <w:p w14:paraId="7F771ADB">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41.2中标通知书是</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的重要组成部分。</w:t>
      </w:r>
    </w:p>
    <w:p w14:paraId="2E1131B4">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bookmarkStart w:id="1236" w:name="_Hlk71407340"/>
      <w:r>
        <w:rPr>
          <w:rFonts w:hint="eastAsia" w:ascii="宋体" w:hAnsi="宋体" w:eastAsia="宋体" w:cs="宋体"/>
          <w:sz w:val="24"/>
          <w:szCs w:val="24"/>
          <w:highlight w:val="none"/>
        </w:rPr>
        <w:t>41.3因质疑投诉或其它原因导致项目结果变更或采购终止的，</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有权吊销中标通知书。</w:t>
      </w:r>
    </w:p>
    <w:bookmarkEnd w:id="1236"/>
    <w:p w14:paraId="0551943B">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p>
    <w:p w14:paraId="0052A648">
      <w:pPr>
        <w:pStyle w:val="3"/>
        <w:pageBreakBefore w:val="0"/>
        <w:numPr>
          <w:ilvl w:val="0"/>
          <w:numId w:val="0"/>
        </w:numPr>
        <w:kinsoku/>
        <w:overflowPunct/>
        <w:topLinePunct w:val="0"/>
        <w:bidi w:val="0"/>
        <w:spacing w:before="120" w:beforeLines="50" w:after="120" w:afterLines="50" w:line="240" w:lineRule="auto"/>
        <w:ind w:left="562" w:leftChars="0" w:hanging="562" w:firstLineChars="0"/>
        <w:jc w:val="center"/>
        <w:rPr>
          <w:rFonts w:hint="eastAsia" w:ascii="宋体" w:hAnsi="宋体" w:eastAsia="宋体" w:cs="宋体"/>
          <w:sz w:val="24"/>
          <w:szCs w:val="24"/>
          <w:highlight w:val="none"/>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九</w:t>
      </w:r>
      <w:r>
        <w:rPr>
          <w:rFonts w:hint="default" w:ascii="宋体" w:hAnsi="宋体" w:eastAsia="宋体" w:cs="宋体"/>
          <w:b/>
          <w:bCs/>
          <w:kern w:val="2"/>
          <w:sz w:val="24"/>
          <w:szCs w:val="24"/>
          <w:lang w:val="en-US" w:eastAsia="zh-CN" w:bidi="ar-SA"/>
        </w:rPr>
        <w:t>章</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sz w:val="24"/>
          <w:szCs w:val="24"/>
          <w:highlight w:val="none"/>
        </w:rPr>
        <w:t>公开招标失败的后续处理</w:t>
      </w:r>
    </w:p>
    <w:p w14:paraId="2B06C278">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42．公开招标失败的处理</w:t>
      </w:r>
    </w:p>
    <w:p w14:paraId="59B2B067">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42.1本项目公开招标过程中若由于投标截止后实际递交投标文件的供应商数量不足、经评审委员会评审对招标文件作实质响应的供应商不足等原因造成公开招标失败，可由</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重新组织采购。</w:t>
      </w:r>
    </w:p>
    <w:p w14:paraId="2E1EBA25">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42.2对公开招标失败的项目，评审委员会在出具该项目招标失败结论的同时，可以提出重新采购组织形式的建议，以及进一步完善招标文件的资格、技术、商务要求的修改建议。</w:t>
      </w:r>
    </w:p>
    <w:p w14:paraId="41443475">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42.3重新组织采购有以下两种组织形式：</w:t>
      </w:r>
    </w:p>
    <w:p w14:paraId="5E89F5F7">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（1）由</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重新组织公开招标；</w:t>
      </w:r>
    </w:p>
    <w:p w14:paraId="594ABFB3">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（2）根据实际情况需要向同级财政部门提出非公开招标方式申请，经同级财政部门批准，公开招标失败采购项目可转为竞争性谈判或单一来源谈判方式采购。</w:t>
      </w:r>
    </w:p>
    <w:p w14:paraId="3254463C">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42.4公开招标失败的采购项目重新组织公开招标，由</w:t>
      </w: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重新按公开招标流程组织</w:t>
      </w:r>
      <w:r>
        <w:rPr>
          <w:rFonts w:hint="eastAsia" w:ascii="宋体" w:hAnsi="宋体" w:eastAsia="宋体" w:cs="宋体"/>
          <w:sz w:val="24"/>
          <w:szCs w:val="24"/>
          <w:highlight w:val="none"/>
          <w:lang w:eastAsia="zh-CN"/>
        </w:rPr>
        <w:t>交易活动</w:t>
      </w:r>
      <w:r>
        <w:rPr>
          <w:rFonts w:hint="eastAsia" w:ascii="宋体" w:hAnsi="宋体" w:eastAsia="宋体" w:cs="宋体"/>
          <w:sz w:val="24"/>
          <w:szCs w:val="24"/>
          <w:highlight w:val="none"/>
        </w:rPr>
        <w:t>。</w:t>
      </w:r>
    </w:p>
    <w:p w14:paraId="67591B20">
      <w:pPr>
        <w:pageBreakBefore w:val="0"/>
        <w:kinsoku/>
        <w:overflowPunct/>
        <w:topLinePunct w:val="0"/>
        <w:bidi w:val="0"/>
        <w:spacing w:line="240" w:lineRule="auto"/>
        <w:rPr>
          <w:rFonts w:hint="eastAsia" w:ascii="宋体" w:hAnsi="宋体" w:eastAsia="宋体" w:cs="宋体"/>
          <w:sz w:val="24"/>
          <w:szCs w:val="24"/>
          <w:highlight w:val="none"/>
        </w:rPr>
      </w:pPr>
    </w:p>
    <w:p w14:paraId="6AF9E230">
      <w:pPr>
        <w:pStyle w:val="3"/>
        <w:pageBreakBefore w:val="0"/>
        <w:numPr>
          <w:ilvl w:val="0"/>
          <w:numId w:val="0"/>
        </w:numPr>
        <w:kinsoku/>
        <w:overflowPunct/>
        <w:topLinePunct w:val="0"/>
        <w:bidi w:val="0"/>
        <w:spacing w:before="120" w:beforeLines="50" w:after="120" w:afterLines="50" w:line="240" w:lineRule="auto"/>
        <w:ind w:left="562" w:leftChars="0" w:hanging="562" w:firstLineChars="0"/>
        <w:jc w:val="center"/>
        <w:rPr>
          <w:rFonts w:hint="eastAsia" w:ascii="宋体" w:hAnsi="宋体" w:eastAsia="宋体" w:cs="宋体"/>
          <w:sz w:val="24"/>
          <w:szCs w:val="24"/>
          <w:highlight w:val="none"/>
        </w:rPr>
      </w:pPr>
      <w:bookmarkStart w:id="1237" w:name="_Hlk72439043"/>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十</w:t>
      </w:r>
      <w:r>
        <w:rPr>
          <w:rFonts w:hint="default" w:ascii="宋体" w:hAnsi="宋体" w:eastAsia="宋体" w:cs="宋体"/>
          <w:b/>
          <w:bCs/>
          <w:kern w:val="2"/>
          <w:sz w:val="24"/>
          <w:szCs w:val="24"/>
          <w:lang w:val="en-US" w:eastAsia="zh-CN" w:bidi="ar-SA"/>
        </w:rPr>
        <w:t>章</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的授予与备案</w:t>
      </w:r>
      <w:bookmarkEnd w:id="1237"/>
    </w:p>
    <w:p w14:paraId="2D69256C">
      <w:pPr>
        <w:pageBreakBefore w:val="0"/>
        <w:kinsoku/>
        <w:overflowPunct/>
        <w:topLinePunct w:val="0"/>
        <w:bidi w:val="0"/>
        <w:spacing w:line="240" w:lineRule="auto"/>
        <w:rPr>
          <w:rFonts w:hint="eastAsia" w:ascii="宋体" w:hAnsi="宋体" w:eastAsia="宋体" w:cs="宋体"/>
          <w:sz w:val="24"/>
          <w:szCs w:val="24"/>
          <w:highlight w:val="none"/>
        </w:rPr>
      </w:pPr>
      <w:bookmarkStart w:id="1238" w:name="_Toc73517679"/>
      <w:bookmarkStart w:id="1239" w:name="_Toc73521586"/>
      <w:bookmarkStart w:id="1240" w:name="_Toc73518157"/>
      <w:bookmarkStart w:id="1241" w:name="_Toc100052408"/>
      <w:bookmarkStart w:id="1242" w:name="_Toc73521674"/>
      <w:bookmarkStart w:id="1243" w:name="_Hlk72439088"/>
      <w:r>
        <w:rPr>
          <w:rFonts w:hint="eastAsia" w:ascii="宋体" w:hAnsi="宋体" w:eastAsia="宋体" w:cs="宋体"/>
          <w:sz w:val="24"/>
          <w:szCs w:val="24"/>
          <w:highlight w:val="none"/>
        </w:rPr>
        <w:t>43．</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授予标准</w:t>
      </w:r>
      <w:bookmarkEnd w:id="1238"/>
      <w:bookmarkEnd w:id="1239"/>
      <w:bookmarkEnd w:id="1240"/>
      <w:bookmarkEnd w:id="1241"/>
      <w:bookmarkEnd w:id="1242"/>
    </w:p>
    <w:p w14:paraId="25CD7B1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本项目的</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将授予经本招标文件规定评审确定的中标供应商。</w:t>
      </w:r>
    </w:p>
    <w:p w14:paraId="3D7A9B47">
      <w:pPr>
        <w:pageBreakBefore w:val="0"/>
        <w:kinsoku/>
        <w:overflowPunct/>
        <w:topLinePunct w:val="0"/>
        <w:bidi w:val="0"/>
        <w:spacing w:line="240" w:lineRule="auto"/>
        <w:rPr>
          <w:rFonts w:hint="eastAsia" w:ascii="宋体" w:hAnsi="宋体" w:eastAsia="宋体" w:cs="宋体"/>
          <w:sz w:val="24"/>
          <w:szCs w:val="24"/>
          <w:highlight w:val="none"/>
        </w:rPr>
      </w:pPr>
      <w:bookmarkStart w:id="1244" w:name="_Toc100052409"/>
      <w:bookmarkStart w:id="1245" w:name="_Toc73521675"/>
      <w:bookmarkStart w:id="1246" w:name="_Toc73521587"/>
      <w:bookmarkStart w:id="1247" w:name="_Toc73518158"/>
      <w:bookmarkStart w:id="1248" w:name="_Toc73517680"/>
      <w:r>
        <w:rPr>
          <w:rFonts w:hint="eastAsia" w:ascii="宋体" w:hAnsi="宋体" w:eastAsia="宋体" w:cs="宋体"/>
          <w:sz w:val="24"/>
          <w:szCs w:val="24"/>
          <w:highlight w:val="none"/>
        </w:rPr>
        <w:t>44．</w:t>
      </w:r>
      <w:bookmarkEnd w:id="1244"/>
      <w:bookmarkEnd w:id="1245"/>
      <w:bookmarkEnd w:id="1246"/>
      <w:bookmarkEnd w:id="1247"/>
      <w:bookmarkEnd w:id="1248"/>
      <w:r>
        <w:rPr>
          <w:rFonts w:hint="eastAsia" w:ascii="宋体" w:hAnsi="宋体" w:eastAsia="宋体" w:cs="宋体"/>
          <w:sz w:val="24"/>
          <w:szCs w:val="24"/>
          <w:highlight w:val="none"/>
        </w:rPr>
        <w:t>接受和拒绝任何或所有投标的权力</w:t>
      </w:r>
    </w:p>
    <w:p w14:paraId="7008D279">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招标代理机构</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保留在投标之前任何时候接受或拒绝任何投标或所有投标，以及宣布招标无效的权力，对受影响的投标人不承担任何责任，也无义务向受影响的投标人解释采取这一行动的理由。</w:t>
      </w:r>
    </w:p>
    <w:p w14:paraId="149FFA55">
      <w:pPr>
        <w:pageBreakBefore w:val="0"/>
        <w:kinsoku/>
        <w:overflowPunct/>
        <w:topLinePunct w:val="0"/>
        <w:bidi w:val="0"/>
        <w:spacing w:line="240" w:lineRule="auto"/>
        <w:rPr>
          <w:rFonts w:hint="eastAsia" w:ascii="宋体" w:hAnsi="宋体" w:eastAsia="宋体" w:cs="宋体"/>
          <w:sz w:val="24"/>
          <w:szCs w:val="24"/>
          <w:highlight w:val="none"/>
        </w:rPr>
      </w:pPr>
      <w:bookmarkStart w:id="1249" w:name="_Toc73518160"/>
      <w:bookmarkStart w:id="1250" w:name="_Toc73517682"/>
      <w:bookmarkStart w:id="1251" w:name="_Toc73521589"/>
      <w:bookmarkStart w:id="1252" w:name="_Toc73521677"/>
      <w:bookmarkStart w:id="1253" w:name="_Toc100052410"/>
      <w:r>
        <w:rPr>
          <w:rFonts w:hint="eastAsia" w:ascii="宋体" w:hAnsi="宋体" w:eastAsia="宋体" w:cs="宋体"/>
          <w:sz w:val="24"/>
          <w:szCs w:val="24"/>
          <w:highlight w:val="none"/>
        </w:rPr>
        <w:t>45．</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的签订</w:t>
      </w:r>
      <w:bookmarkEnd w:id="1249"/>
      <w:bookmarkEnd w:id="1250"/>
      <w:bookmarkEnd w:id="1251"/>
      <w:bookmarkEnd w:id="1252"/>
      <w:bookmarkEnd w:id="1253"/>
    </w:p>
    <w:p w14:paraId="451A3F1B">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45.1中标人将于中标通知书发出之日起</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十日内，按照采购文件（招标文件和投标文件等）内容与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签订</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的实质性内容应当符合招标文件的规定；</w:t>
      </w:r>
    </w:p>
    <w:p w14:paraId="3008FAFE">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45.2中标人如不按本通用条款第45.1款的规定与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签订</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w:t>
      </w:r>
    </w:p>
    <w:p w14:paraId="5AC2A547">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45.3中标人应当按照</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约定履行义务，完成中标项目，不得将中标项目转让（转包）给他人。</w:t>
      </w:r>
    </w:p>
    <w:p w14:paraId="6FA6840B">
      <w:pPr>
        <w:pageBreakBefore w:val="0"/>
        <w:kinsoku/>
        <w:overflowPunct/>
        <w:topLinePunct w:val="0"/>
        <w:bidi w:val="0"/>
        <w:spacing w:line="240" w:lineRule="auto"/>
        <w:rPr>
          <w:rFonts w:hint="eastAsia" w:ascii="宋体" w:hAnsi="宋体" w:eastAsia="宋体" w:cs="宋体"/>
          <w:sz w:val="24"/>
          <w:szCs w:val="24"/>
          <w:highlight w:val="none"/>
        </w:rPr>
      </w:pPr>
      <w:bookmarkStart w:id="1254" w:name="_Toc73521590"/>
      <w:bookmarkStart w:id="1255" w:name="_Toc73518161"/>
      <w:bookmarkStart w:id="1256" w:name="_Toc100052411"/>
      <w:bookmarkStart w:id="1257" w:name="_Toc73521678"/>
      <w:bookmarkStart w:id="1258" w:name="_Toc73517683"/>
      <w:r>
        <w:rPr>
          <w:rFonts w:hint="eastAsia" w:ascii="宋体" w:hAnsi="宋体" w:eastAsia="宋体" w:cs="宋体"/>
          <w:sz w:val="24"/>
          <w:szCs w:val="24"/>
          <w:highlight w:val="none"/>
        </w:rPr>
        <w:t>46．履约担保</w:t>
      </w:r>
      <w:bookmarkEnd w:id="1254"/>
      <w:bookmarkEnd w:id="1255"/>
      <w:bookmarkEnd w:id="1256"/>
      <w:bookmarkEnd w:id="1257"/>
      <w:bookmarkEnd w:id="1258"/>
    </w:p>
    <w:p w14:paraId="7D674787">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46.1在签订项目</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的同时，中标人应按“对通用条款的补充内容”中规定的金额向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提交履约担保；</w:t>
      </w:r>
    </w:p>
    <w:p w14:paraId="15859D1D">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47. 项目验收</w:t>
      </w:r>
    </w:p>
    <w:p w14:paraId="661A5F3B">
      <w:pPr>
        <w:pageBreakBefore w:val="0"/>
        <w:widowControl/>
        <w:kinsoku/>
        <w:overflowPunct/>
        <w:topLinePunct w:val="0"/>
        <w:bidi w:val="0"/>
        <w:spacing w:line="240" w:lineRule="auto"/>
        <w:ind w:left="0" w:leftChars="0" w:right="176"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应当按照招标文件和</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规定的标准和方法，及时组织验收。</w:t>
      </w:r>
    </w:p>
    <w:p w14:paraId="3427BDEA">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48</w:t>
      </w:r>
      <w:r>
        <w:rPr>
          <w:rFonts w:hint="eastAsia" w:ascii="宋体" w:hAnsi="宋体" w:eastAsia="宋体" w:cs="宋体"/>
          <w:sz w:val="24"/>
          <w:szCs w:val="24"/>
          <w:highlight w:val="none"/>
        </w:rPr>
        <w:t>. 供应商违法责任</w:t>
      </w:r>
    </w:p>
    <w:p w14:paraId="651F5035">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48</w:t>
      </w:r>
      <w:r>
        <w:rPr>
          <w:rFonts w:hint="eastAsia" w:ascii="宋体" w:hAnsi="宋体" w:eastAsia="宋体" w:cs="宋体"/>
          <w:sz w:val="24"/>
          <w:szCs w:val="24"/>
          <w:highlight w:val="none"/>
        </w:rPr>
        <w:t>.1《深圳经济特区政府采购条例》第五十七条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5B29B3D">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（1）在采购活动中应当回避而未回避的；</w:t>
      </w:r>
    </w:p>
    <w:p w14:paraId="2F1DE074">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（2）未按本条例规定签订、履行采购</w:t>
      </w:r>
      <w:r>
        <w:rPr>
          <w:rFonts w:hint="eastAsia" w:ascii="宋体" w:hAnsi="宋体" w:eastAsia="宋体" w:cs="宋体"/>
          <w:sz w:val="24"/>
          <w:szCs w:val="24"/>
          <w:highlight w:val="none"/>
          <w:lang w:eastAsia="zh-CN"/>
        </w:rPr>
        <w:t>协议</w:t>
      </w:r>
      <w:r>
        <w:rPr>
          <w:rFonts w:hint="eastAsia" w:ascii="宋体" w:hAnsi="宋体" w:eastAsia="宋体" w:cs="宋体"/>
          <w:sz w:val="24"/>
          <w:szCs w:val="24"/>
          <w:highlight w:val="none"/>
        </w:rPr>
        <w:t>，造成严重后果的；</w:t>
      </w:r>
    </w:p>
    <w:p w14:paraId="11E9259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（3）隐瞒真实情况，提供虚假资料的；</w:t>
      </w:r>
    </w:p>
    <w:p w14:paraId="03E7ECB1">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（4）以非法手段排斥其他供应商参与竞争的；</w:t>
      </w:r>
    </w:p>
    <w:p w14:paraId="27D833A8">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（5）与其他采购参加人串通投标的；</w:t>
      </w:r>
    </w:p>
    <w:p w14:paraId="2998598A">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（6）恶意投诉的；</w:t>
      </w:r>
    </w:p>
    <w:p w14:paraId="42F5DFA9">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（7）向采购项目相关人行贿或者提供其他不当利益的；</w:t>
      </w:r>
    </w:p>
    <w:p w14:paraId="45761794">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（8）阻碍、抗拒主管部门监督检查的；</w:t>
      </w:r>
    </w:p>
    <w:p w14:paraId="6B96F9A3">
      <w:pPr>
        <w:pageBreakBefore w:val="0"/>
        <w:kinsoku/>
        <w:overflowPunct/>
        <w:topLinePunct w:val="0"/>
        <w:bidi w:val="0"/>
        <w:spacing w:line="24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（9）其他违反本条例规定的行为。</w:t>
      </w:r>
    </w:p>
    <w:bookmarkEnd w:id="1243"/>
    <w:p w14:paraId="14F74F38">
      <w:pPr>
        <w:pStyle w:val="3"/>
        <w:pageBreakBefore w:val="0"/>
        <w:numPr>
          <w:ilvl w:val="0"/>
          <w:numId w:val="0"/>
        </w:numPr>
        <w:kinsoku/>
        <w:overflowPunct/>
        <w:topLinePunct w:val="0"/>
        <w:bidi w:val="0"/>
        <w:spacing w:before="120" w:beforeLines="50" w:after="120" w:afterLines="50" w:line="240" w:lineRule="auto"/>
        <w:ind w:left="562" w:leftChars="0" w:hanging="562" w:firstLineChars="0"/>
        <w:jc w:val="center"/>
        <w:rPr>
          <w:rFonts w:hint="eastAsia" w:ascii="宋体" w:hAnsi="宋体" w:eastAsia="宋体" w:cs="宋体"/>
          <w:sz w:val="24"/>
          <w:szCs w:val="24"/>
          <w:highlight w:val="none"/>
        </w:rPr>
      </w:pPr>
      <w:r>
        <w:rPr>
          <w:rFonts w:hint="default" w:ascii="宋体" w:hAnsi="宋体" w:eastAsia="宋体" w:cs="宋体"/>
          <w:b/>
          <w:bCs/>
          <w:kern w:val="2"/>
          <w:sz w:val="24"/>
          <w:szCs w:val="24"/>
          <w:lang w:val="en-US" w:eastAsia="zh-CN" w:bidi="ar-SA"/>
        </w:rPr>
        <w:t>第</w:t>
      </w:r>
      <w:r>
        <w:rPr>
          <w:rFonts w:hint="eastAsia" w:ascii="宋体" w:hAnsi="宋体" w:eastAsia="宋体" w:cs="宋体"/>
          <w:b/>
          <w:bCs/>
          <w:kern w:val="2"/>
          <w:sz w:val="24"/>
          <w:szCs w:val="24"/>
          <w:lang w:val="en-US" w:eastAsia="zh-CN" w:bidi="ar-SA"/>
        </w:rPr>
        <w:t>十一</w:t>
      </w:r>
      <w:r>
        <w:rPr>
          <w:rFonts w:hint="default" w:ascii="宋体" w:hAnsi="宋体" w:eastAsia="宋体" w:cs="宋体"/>
          <w:b/>
          <w:bCs/>
          <w:kern w:val="2"/>
          <w:sz w:val="24"/>
          <w:szCs w:val="24"/>
          <w:lang w:val="en-US" w:eastAsia="zh-CN" w:bidi="ar-SA"/>
        </w:rPr>
        <w:t>章</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sz w:val="24"/>
          <w:szCs w:val="24"/>
          <w:highlight w:val="none"/>
        </w:rPr>
        <w:t>质疑处理</w:t>
      </w:r>
    </w:p>
    <w:p w14:paraId="7BE00F43">
      <w:pPr>
        <w:pageBreakBefore w:val="0"/>
        <w:kinsoku/>
        <w:overflowPunct/>
        <w:topLinePunct w:val="0"/>
        <w:bidi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49</w:t>
      </w:r>
      <w:r>
        <w:rPr>
          <w:rFonts w:hint="eastAsia" w:ascii="宋体" w:hAnsi="宋体" w:eastAsia="宋体" w:cs="宋体"/>
          <w:sz w:val="24"/>
          <w:szCs w:val="24"/>
          <w:highlight w:val="none"/>
        </w:rPr>
        <w:t>.质疑提出与答复</w:t>
      </w:r>
    </w:p>
    <w:p w14:paraId="02B52F1B">
      <w:pPr>
        <w:pageBreakBefore w:val="0"/>
        <w:kinsoku/>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49</w:t>
      </w:r>
      <w:r>
        <w:rPr>
          <w:rFonts w:hint="eastAsia" w:ascii="宋体" w:hAnsi="宋体" w:eastAsia="宋体" w:cs="宋体"/>
          <w:sz w:val="24"/>
          <w:szCs w:val="24"/>
        </w:rPr>
        <w:t>.1提出质疑</w:t>
      </w:r>
    </w:p>
    <w:p w14:paraId="600946AA">
      <w:pPr>
        <w:pageBreakBefore w:val="0"/>
        <w:kinsoku/>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    参与</w:t>
      </w:r>
      <w:r>
        <w:rPr>
          <w:rFonts w:hint="eastAsia" w:ascii="宋体" w:hAnsi="宋体" w:eastAsia="宋体" w:cs="宋体"/>
          <w:sz w:val="24"/>
          <w:szCs w:val="24"/>
          <w:lang w:val="en-US" w:eastAsia="zh-CN"/>
        </w:rPr>
        <w:t>招标</w:t>
      </w:r>
      <w:r>
        <w:rPr>
          <w:rFonts w:hint="eastAsia" w:ascii="宋体" w:hAnsi="宋体" w:eastAsia="宋体" w:cs="宋体"/>
          <w:sz w:val="24"/>
          <w:szCs w:val="24"/>
        </w:rPr>
        <w:t>活动的供应商认为自己的权益在采购活动中受到损害的，应当自知道或者应当知道其权益受到损害之日起七个工作日内向</w:t>
      </w:r>
      <w:r>
        <w:rPr>
          <w:rFonts w:hint="eastAsia" w:ascii="宋体" w:hAnsi="宋体" w:eastAsia="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招标代理机构</w:t>
      </w:r>
      <w:r>
        <w:rPr>
          <w:rFonts w:hint="eastAsia" w:ascii="宋体" w:hAnsi="宋体" w:eastAsia="宋体" w:cs="宋体"/>
          <w:sz w:val="24"/>
          <w:szCs w:val="24"/>
        </w:rPr>
        <w:t>以书面形式提出质疑。</w:t>
      </w:r>
    </w:p>
    <w:p w14:paraId="6844AED9">
      <w:pPr>
        <w:pageBreakBefore w:val="0"/>
        <w:kinsoku/>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highlight w:val="none"/>
          <w:lang w:val="en-US" w:eastAsia="zh-CN"/>
        </w:rPr>
        <w:t>49</w:t>
      </w:r>
      <w:r>
        <w:rPr>
          <w:rFonts w:hint="eastAsia" w:ascii="宋体" w:hAnsi="宋体" w:eastAsia="宋体" w:cs="宋体"/>
          <w:sz w:val="24"/>
          <w:szCs w:val="24"/>
        </w:rPr>
        <w:t>.2法律依据</w:t>
      </w:r>
    </w:p>
    <w:p w14:paraId="0EC0332D">
      <w:pPr>
        <w:pageBreakBefore w:val="0"/>
        <w:kinsoku/>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    《中华人民共和国政府采购法》《中华人民共和国政府采购法实施条例》《深圳经济特区政府采购条例》《深圳经济特区政府采购条例实施细则》《政府采购质疑和投诉办法》（财政部令第94号）和其他有关法律法规规定。</w:t>
      </w:r>
    </w:p>
    <w:p w14:paraId="4D25FE25">
      <w:pPr>
        <w:pageBreakBefore w:val="0"/>
        <w:kinsoku/>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FF0000"/>
          <w:sz w:val="24"/>
          <w:szCs w:val="24"/>
        </w:rPr>
        <w:t xml:space="preserve">  </w:t>
      </w:r>
      <w:r>
        <w:rPr>
          <w:rFonts w:hint="eastAsia" w:ascii="宋体" w:hAnsi="宋体" w:eastAsia="宋体" w:cs="宋体"/>
          <w:sz w:val="24"/>
          <w:szCs w:val="24"/>
          <w:highlight w:val="none"/>
          <w:lang w:val="en-US" w:eastAsia="zh-CN"/>
        </w:rPr>
        <w:t>49</w:t>
      </w:r>
      <w:r>
        <w:rPr>
          <w:rFonts w:hint="eastAsia" w:ascii="宋体" w:hAnsi="宋体" w:eastAsia="宋体" w:cs="宋体"/>
          <w:sz w:val="24"/>
          <w:szCs w:val="24"/>
        </w:rPr>
        <w:t>.3质疑条件</w:t>
      </w:r>
    </w:p>
    <w:p w14:paraId="7DF289F6">
      <w:pPr>
        <w:pageBreakBefore w:val="0"/>
        <w:kinsoku/>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highlight w:val="none"/>
          <w:lang w:val="en-US" w:eastAsia="zh-CN"/>
        </w:rPr>
        <w:t>49</w:t>
      </w:r>
      <w:r>
        <w:rPr>
          <w:rFonts w:hint="eastAsia" w:ascii="宋体" w:hAnsi="宋体" w:eastAsia="宋体" w:cs="宋体"/>
          <w:sz w:val="24"/>
          <w:szCs w:val="24"/>
        </w:rPr>
        <w:t>.3.1提出质疑的供应商应当是参与所质疑项目采购活动的供应商；以联合体形式参与的，质疑应当由组成联合体的所有成员共同提出；</w:t>
      </w:r>
    </w:p>
    <w:p w14:paraId="1DFE8D8E">
      <w:pPr>
        <w:pageBreakBefore w:val="0"/>
        <w:kinsoku/>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highlight w:val="none"/>
          <w:lang w:val="en-US" w:eastAsia="zh-CN"/>
        </w:rPr>
        <w:t>49</w:t>
      </w:r>
      <w:r>
        <w:rPr>
          <w:rFonts w:hint="eastAsia" w:ascii="宋体" w:hAnsi="宋体" w:eastAsia="宋体" w:cs="宋体"/>
          <w:sz w:val="24"/>
          <w:szCs w:val="24"/>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A97F36A">
      <w:pPr>
        <w:pageBreakBefore w:val="0"/>
        <w:kinsoku/>
        <w:overflowPunct/>
        <w:topLinePunct w:val="0"/>
        <w:bidi w:val="0"/>
        <w:spacing w:line="240" w:lineRule="auto"/>
        <w:ind w:firstLine="420"/>
        <w:rPr>
          <w:rFonts w:hint="eastAsia" w:ascii="宋体" w:hAnsi="宋体" w:eastAsia="宋体" w:cs="宋体"/>
          <w:sz w:val="24"/>
          <w:szCs w:val="24"/>
        </w:rPr>
      </w:pPr>
      <w:r>
        <w:rPr>
          <w:rFonts w:hint="eastAsia" w:ascii="宋体" w:hAnsi="宋体" w:eastAsia="宋体" w:cs="宋体"/>
          <w:sz w:val="24"/>
          <w:szCs w:val="24"/>
          <w:highlight w:val="none"/>
          <w:lang w:val="en-US" w:eastAsia="zh-CN"/>
        </w:rPr>
        <w:t>49</w:t>
      </w:r>
      <w:r>
        <w:rPr>
          <w:rFonts w:hint="eastAsia" w:ascii="宋体" w:hAnsi="宋体" w:eastAsia="宋体" w:cs="宋体"/>
          <w:sz w:val="24"/>
          <w:szCs w:val="24"/>
        </w:rPr>
        <w:t xml:space="preserve">.3.3应提交书面质疑函，质疑函应当包括以下内容： </w:t>
      </w:r>
    </w:p>
    <w:p w14:paraId="5072D668">
      <w:pPr>
        <w:pageBreakBefore w:val="0"/>
        <w:kinsoku/>
        <w:overflowPunct/>
        <w:topLinePunct w:val="0"/>
        <w:bidi w:val="0"/>
        <w:spacing w:line="240" w:lineRule="auto"/>
        <w:ind w:firstLine="420"/>
        <w:rPr>
          <w:rFonts w:hint="eastAsia" w:ascii="宋体" w:hAnsi="宋体" w:eastAsia="宋体" w:cs="宋体"/>
          <w:sz w:val="24"/>
          <w:szCs w:val="24"/>
        </w:rPr>
      </w:pPr>
      <w:r>
        <w:rPr>
          <w:rFonts w:hint="eastAsia" w:ascii="宋体" w:hAnsi="宋体" w:eastAsia="宋体" w:cs="宋体"/>
          <w:sz w:val="24"/>
          <w:szCs w:val="24"/>
        </w:rPr>
        <w:t>（1）供应商的名称（或者姓名）、地址、邮编、邮箱、联系人及联系电话；</w:t>
      </w:r>
    </w:p>
    <w:p w14:paraId="0D4E78F0">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（2）质疑项目的名称、编号；</w:t>
      </w:r>
    </w:p>
    <w:p w14:paraId="5799AA6C">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（3）具体、明确的质疑对象、质疑事项和质疑请求；</w:t>
      </w:r>
    </w:p>
    <w:p w14:paraId="02362041">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（4）因质疑事项而受损害的权益；</w:t>
      </w:r>
    </w:p>
    <w:p w14:paraId="041CF91E">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（5）事实依据；</w:t>
      </w:r>
    </w:p>
    <w:p w14:paraId="3E42A7E3">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（6）必要的法律依据；</w:t>
      </w:r>
    </w:p>
    <w:p w14:paraId="67737D6E">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（7）提出质疑的日期。</w:t>
      </w:r>
    </w:p>
    <w:p w14:paraId="38D1806E">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供应商为自然人的，应当由本人签字；供应商为法人或者其他组织的，应当由法定代表人（负责人），或者其授权代理人签字或者盖章，并加盖公章。</w:t>
      </w:r>
    </w:p>
    <w:p w14:paraId="2FC09F10">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49</w:t>
      </w:r>
      <w:r>
        <w:rPr>
          <w:rFonts w:hint="eastAsia" w:ascii="宋体" w:hAnsi="宋体" w:eastAsia="宋体" w:cs="宋体"/>
          <w:sz w:val="24"/>
          <w:szCs w:val="24"/>
        </w:rPr>
        <w:t>.4提交材料</w:t>
      </w:r>
    </w:p>
    <w:p w14:paraId="3A102974">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供应商质疑实行实名制。供应商为自然人的，应当提交本人身份证复印件；供应商为法人或者其他组织的，应当根据自身性质提交营业执照复印件或者其他证明文件（如事业单位法人证书等）复印件。</w:t>
      </w:r>
    </w:p>
    <w:p w14:paraId="1AA40F0D">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D6F8DCC">
      <w:pPr>
        <w:pageBreakBefore w:val="0"/>
        <w:kinsoku/>
        <w:overflowPunct/>
        <w:topLinePunct w:val="0"/>
        <w:bidi w:val="0"/>
        <w:spacing w:line="240" w:lineRule="auto"/>
        <w:ind w:firstLine="480" w:firstLineChars="200"/>
        <w:rPr>
          <w:rFonts w:hint="eastAsia" w:ascii="宋体" w:hAnsi="宋体" w:eastAsia="宋体" w:cs="宋体"/>
          <w:b/>
          <w:color w:val="FF0000"/>
          <w:sz w:val="24"/>
          <w:szCs w:val="24"/>
        </w:rPr>
      </w:pPr>
      <w:r>
        <w:rPr>
          <w:rFonts w:hint="eastAsia" w:ascii="宋体" w:hAnsi="宋体" w:eastAsia="宋体" w:cs="宋体"/>
          <w:sz w:val="24"/>
          <w:szCs w:val="24"/>
          <w:highlight w:val="none"/>
          <w:lang w:val="en-US" w:eastAsia="zh-CN"/>
        </w:rPr>
        <w:t>49</w:t>
      </w:r>
      <w:r>
        <w:rPr>
          <w:rFonts w:hint="eastAsia" w:ascii="宋体" w:hAnsi="宋体" w:eastAsia="宋体" w:cs="宋体"/>
          <w:b/>
          <w:color w:val="FF0000"/>
          <w:sz w:val="24"/>
          <w:szCs w:val="24"/>
        </w:rPr>
        <w:t>.5提交方式</w:t>
      </w:r>
    </w:p>
    <w:p w14:paraId="72E8C156">
      <w:pPr>
        <w:pageBreakBefore w:val="0"/>
        <w:kinsoku/>
        <w:overflowPunct/>
        <w:topLinePunct w:val="0"/>
        <w:bidi w:val="0"/>
        <w:spacing w:line="240" w:lineRule="auto"/>
        <w:ind w:firstLine="480" w:firstLineChars="200"/>
        <w:rPr>
          <w:rFonts w:hint="eastAsia" w:ascii="宋体" w:hAnsi="宋体" w:eastAsia="宋体" w:cs="宋体"/>
          <w:b/>
          <w:color w:val="FF0000"/>
          <w:sz w:val="24"/>
          <w:szCs w:val="24"/>
        </w:rPr>
      </w:pPr>
      <w:r>
        <w:rPr>
          <w:rFonts w:hint="eastAsia" w:ascii="宋体" w:hAnsi="宋体" w:eastAsia="宋体" w:cs="宋体"/>
          <w:sz w:val="24"/>
          <w:szCs w:val="24"/>
          <w:highlight w:val="none"/>
          <w:lang w:val="en-US" w:eastAsia="zh-CN"/>
        </w:rPr>
        <w:t>49</w:t>
      </w:r>
      <w:r>
        <w:rPr>
          <w:rFonts w:hint="eastAsia" w:ascii="宋体" w:hAnsi="宋体" w:eastAsia="宋体" w:cs="宋体"/>
          <w:b/>
          <w:color w:val="FF0000"/>
          <w:sz w:val="24"/>
          <w:szCs w:val="24"/>
        </w:rPr>
        <w:t>.5.1请质疑供应商根据深圳公共资源交易中心网页（https://www.szggzy.com/globalSearch/details.html?contentId=1211037）所发布的质疑指引、质疑函模板填写质疑函并提交质疑材料。</w:t>
      </w:r>
    </w:p>
    <w:p w14:paraId="77A798C8">
      <w:pPr>
        <w:pageBreakBefore w:val="0"/>
        <w:kinsoku/>
        <w:overflowPunct/>
        <w:topLinePunct w:val="0"/>
        <w:bidi w:val="0"/>
        <w:spacing w:line="24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收文地点：深圳公共资源交易中心（深圳交易集团有限公司罗湖分公司）深圳市罗湖区黄贝街道凤凰社区深南东路1076号罗湖区党群服务中心4层。质疑咨询电话：0755-</w:t>
      </w:r>
      <w:r>
        <w:rPr>
          <w:rFonts w:hint="eastAsia" w:ascii="宋体" w:hAnsi="宋体" w:eastAsia="宋体" w:cs="宋体"/>
          <w:b/>
          <w:bCs/>
          <w:color w:val="FF0000"/>
          <w:sz w:val="24"/>
          <w:szCs w:val="24"/>
          <w:lang w:val="en-US" w:eastAsia="zh-CN"/>
        </w:rPr>
        <w:t>82232523</w:t>
      </w:r>
      <w:r>
        <w:rPr>
          <w:rFonts w:hint="eastAsia" w:ascii="宋体" w:hAnsi="宋体" w:eastAsia="宋体" w:cs="宋体"/>
          <w:b/>
          <w:bCs/>
          <w:color w:val="FF0000"/>
          <w:sz w:val="24"/>
          <w:szCs w:val="24"/>
        </w:rPr>
        <w:t>。</w:t>
      </w:r>
    </w:p>
    <w:p w14:paraId="398F9F2E">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49</w:t>
      </w:r>
      <w:r>
        <w:rPr>
          <w:rFonts w:hint="eastAsia" w:ascii="宋体" w:hAnsi="宋体" w:eastAsia="宋体" w:cs="宋体"/>
          <w:sz w:val="24"/>
          <w:szCs w:val="24"/>
        </w:rPr>
        <w:t>.6收文办理程序</w:t>
      </w:r>
    </w:p>
    <w:p w14:paraId="4E09E285">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49</w:t>
      </w:r>
      <w:r>
        <w:rPr>
          <w:rFonts w:hint="eastAsia" w:ascii="宋体" w:hAnsi="宋体" w:eastAsia="宋体" w:cs="宋体"/>
          <w:sz w:val="24"/>
          <w:szCs w:val="24"/>
        </w:rPr>
        <w:t>.6.1供应商提交的质疑符合受理条件的，</w:t>
      </w:r>
      <w:r>
        <w:rPr>
          <w:rFonts w:hint="eastAsia" w:ascii="宋体" w:hAnsi="宋体" w:eastAsia="宋体" w:cs="宋体"/>
          <w:sz w:val="24"/>
          <w:szCs w:val="24"/>
          <w:lang w:eastAsia="zh-CN"/>
        </w:rPr>
        <w:t>招标代理机构</w:t>
      </w:r>
      <w:r>
        <w:rPr>
          <w:rFonts w:hint="eastAsia" w:ascii="宋体" w:hAnsi="宋体" w:eastAsia="宋体" w:cs="宋体"/>
          <w:sz w:val="24"/>
          <w:szCs w:val="24"/>
        </w:rPr>
        <w:t>自收到质疑材料之日起即为受理，应当向供应商出具质疑函收文回执并可以要求其递交质疑的法定代表人（负责人）或者授权代理人签署质疑文书送达地址确认书。</w:t>
      </w:r>
    </w:p>
    <w:p w14:paraId="5465352F">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49</w:t>
      </w:r>
      <w:r>
        <w:rPr>
          <w:rFonts w:hint="eastAsia" w:ascii="宋体" w:hAnsi="宋体" w:eastAsia="宋体" w:cs="宋体"/>
          <w:sz w:val="24"/>
          <w:szCs w:val="24"/>
        </w:rPr>
        <w:t>.6.2供应商提交的质疑材料不符合质疑条件的，视情况处理：</w:t>
      </w:r>
    </w:p>
    <w:p w14:paraId="214E209B">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供应商提交的质疑材料不全或者未按要求签字或者盖章的，</w:t>
      </w:r>
      <w:r>
        <w:rPr>
          <w:rFonts w:hint="eastAsia" w:ascii="宋体" w:hAnsi="宋体" w:eastAsia="宋体" w:cs="宋体"/>
          <w:sz w:val="24"/>
          <w:szCs w:val="24"/>
          <w:lang w:eastAsia="zh-CN"/>
        </w:rPr>
        <w:t>招标代理机构</w:t>
      </w:r>
      <w:r>
        <w:rPr>
          <w:rFonts w:hint="eastAsia" w:ascii="宋体" w:hAnsi="宋体" w:eastAsia="宋体" w:cs="宋体"/>
          <w:sz w:val="24"/>
          <w:szCs w:val="24"/>
        </w:rPr>
        <w:t>应当一次性告知供应商需补正的内容和补正期限。</w:t>
      </w:r>
    </w:p>
    <w:p w14:paraId="57E3388E">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供应商提交的质疑存在下列情形之一的，不予受理：</w:t>
      </w:r>
    </w:p>
    <w:p w14:paraId="302A877D">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（1）质疑主体不满足要求的；</w:t>
      </w:r>
    </w:p>
    <w:p w14:paraId="7FE641E3">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（2）供应商自身权益未受到损害的；</w:t>
      </w:r>
    </w:p>
    <w:p w14:paraId="4AF3712D">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（3）供应商未在法定质疑期限内提出质疑的；</w:t>
      </w:r>
    </w:p>
    <w:p w14:paraId="4FC5C602">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（4）质疑材料不全或者未按要求签字或者盖章的情况下，要求补正后，逾期未补正或者补正后仍不符合规定的；</w:t>
      </w:r>
    </w:p>
    <w:p w14:paraId="5A29C1B7">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（5）其他不符合受理条件情形的。</w:t>
      </w:r>
    </w:p>
    <w:p w14:paraId="75C5873F">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质疑事项不予受理的，</w:t>
      </w:r>
      <w:r>
        <w:rPr>
          <w:rFonts w:hint="eastAsia" w:ascii="宋体" w:hAnsi="宋体" w:eastAsia="宋体" w:cs="宋体"/>
          <w:sz w:val="24"/>
          <w:szCs w:val="24"/>
          <w:lang w:eastAsia="zh-CN"/>
        </w:rPr>
        <w:t>招标代理机构</w:t>
      </w:r>
      <w:r>
        <w:rPr>
          <w:rFonts w:hint="eastAsia" w:ascii="宋体" w:hAnsi="宋体" w:eastAsia="宋体" w:cs="宋体"/>
          <w:sz w:val="24"/>
          <w:szCs w:val="24"/>
        </w:rPr>
        <w:t>应当向供应商出具不符合质疑条件告知书。</w:t>
      </w:r>
    </w:p>
    <w:p w14:paraId="001FC0AC">
      <w:pPr>
        <w:pageBreakBefore w:val="0"/>
        <w:kinsoku/>
        <w:overflowPunct/>
        <w:topLinePunct w:val="0"/>
        <w:bidi w:val="0"/>
        <w:spacing w:line="240" w:lineRule="auto"/>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highlight w:val="none"/>
          <w:lang w:val="en-US" w:eastAsia="zh-CN"/>
        </w:rPr>
        <w:t>49</w:t>
      </w:r>
      <w:r>
        <w:rPr>
          <w:rFonts w:hint="eastAsia" w:ascii="宋体" w:hAnsi="宋体" w:eastAsia="宋体" w:cs="宋体"/>
          <w:sz w:val="24"/>
          <w:szCs w:val="24"/>
        </w:rPr>
        <w:t>.7质疑答复时限</w:t>
      </w:r>
    </w:p>
    <w:p w14:paraId="3D37A50F">
      <w:pPr>
        <w:pageBreakBefore w:val="0"/>
        <w:kinsoku/>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    自收文之日起七个工作日内。</w:t>
      </w:r>
    </w:p>
    <w:p w14:paraId="1FF56059">
      <w:pPr>
        <w:pageBreakBefore w:val="0"/>
        <w:kinsoku/>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highlight w:val="none"/>
          <w:lang w:val="en-US" w:eastAsia="zh-CN"/>
        </w:rPr>
        <w:t>49</w:t>
      </w:r>
      <w:r>
        <w:rPr>
          <w:rFonts w:hint="eastAsia" w:ascii="宋体" w:hAnsi="宋体" w:eastAsia="宋体" w:cs="宋体"/>
          <w:sz w:val="24"/>
          <w:szCs w:val="24"/>
        </w:rPr>
        <w:t>.8投诉</w:t>
      </w:r>
    </w:p>
    <w:p w14:paraId="1631403D">
      <w:pPr>
        <w:pageBreakBefore w:val="0"/>
        <w:kinsoku/>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    对质疑答复不满意或者未在规定时间内答复的，提出质疑的供应商可以在答复期满后15个工作日内向有关部门投诉。</w:t>
      </w:r>
    </w:p>
    <w:p w14:paraId="1CA8C45A">
      <w:pPr>
        <w:pageBreakBefore w:val="0"/>
        <w:kinsoku/>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50</w:t>
      </w:r>
      <w:r>
        <w:rPr>
          <w:rFonts w:hint="eastAsia" w:ascii="宋体" w:hAnsi="宋体" w:eastAsia="宋体" w:cs="宋体"/>
          <w:sz w:val="24"/>
          <w:szCs w:val="24"/>
        </w:rPr>
        <w:t>. 质疑后续处理</w:t>
      </w:r>
    </w:p>
    <w:p w14:paraId="518067FA">
      <w:pPr>
        <w:pageBreakBefore w:val="0"/>
        <w:kinsoku/>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50</w:t>
      </w:r>
      <w:r>
        <w:rPr>
          <w:rFonts w:hint="eastAsia" w:ascii="宋体" w:hAnsi="宋体" w:eastAsia="宋体" w:cs="宋体"/>
          <w:sz w:val="24"/>
          <w:szCs w:val="24"/>
        </w:rPr>
        <w:t>.1供应商质疑不成立，或者成立但未对中标、成交结果构成影响的，继续开展采购活动。</w:t>
      </w:r>
    </w:p>
    <w:p w14:paraId="0F73A6EB">
      <w:pPr>
        <w:pageBreakBefore w:val="0"/>
        <w:kinsoku/>
        <w:overflowPunct/>
        <w:topLinePunct w:val="0"/>
        <w:bidi w:val="0"/>
        <w:spacing w:line="240" w:lineRule="auto"/>
        <w:ind w:firstLine="432"/>
        <w:rPr>
          <w:rFonts w:hint="eastAsia" w:ascii="宋体" w:hAnsi="宋体" w:eastAsia="宋体" w:cs="宋体"/>
          <w:sz w:val="24"/>
          <w:szCs w:val="24"/>
        </w:rPr>
      </w:pPr>
      <w:r>
        <w:rPr>
          <w:rFonts w:hint="eastAsia" w:ascii="宋体" w:hAnsi="宋体" w:eastAsia="宋体" w:cs="宋体"/>
          <w:sz w:val="24"/>
          <w:szCs w:val="24"/>
          <w:lang w:val="en-US" w:eastAsia="zh-CN"/>
        </w:rPr>
        <w:t>50</w:t>
      </w:r>
      <w:r>
        <w:rPr>
          <w:rFonts w:hint="eastAsia" w:ascii="宋体" w:hAnsi="宋体" w:eastAsia="宋体" w:cs="宋体"/>
          <w:sz w:val="24"/>
          <w:szCs w:val="24"/>
        </w:rPr>
        <w:t>.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0A19F0A">
      <w:pPr>
        <w:pageBreakBefore w:val="0"/>
        <w:kinsoku/>
        <w:overflowPunct/>
        <w:topLinePunct w:val="0"/>
        <w:bidi w:val="0"/>
        <w:spacing w:line="240" w:lineRule="auto"/>
        <w:jc w:val="left"/>
        <w:rPr>
          <w:rFonts w:hint="eastAsia" w:ascii="宋体" w:hAnsi="宋体" w:eastAsia="宋体" w:cs="宋体"/>
          <w:sz w:val="24"/>
          <w:szCs w:val="24"/>
          <w:highlight w:val="none"/>
        </w:rPr>
      </w:pPr>
    </w:p>
    <w:p w14:paraId="7DB31242">
      <w:pPr>
        <w:pageBreakBefore w:val="0"/>
        <w:kinsoku/>
        <w:overflowPunct/>
        <w:topLinePunct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END ----</w:t>
      </w:r>
      <w:bookmarkEnd w:id="1204"/>
    </w:p>
    <w:p w14:paraId="5F2FCD49">
      <w:pPr>
        <w:pageBreakBefore w:val="0"/>
        <w:kinsoku/>
        <w:overflowPunct/>
        <w:topLinePunct w:val="0"/>
        <w:bidi w:val="0"/>
        <w:spacing w:line="240" w:lineRule="auto"/>
        <w:rPr>
          <w:rFonts w:hint="eastAsia" w:ascii="宋体" w:hAnsi="宋体" w:eastAsia="宋体" w:cs="宋体"/>
          <w:b/>
          <w:color w:val="FF0000"/>
          <w:sz w:val="24"/>
          <w:szCs w:val="24"/>
          <w:highlight w:val="none"/>
        </w:rPr>
      </w:pPr>
    </w:p>
    <w:p w14:paraId="5A768C0C">
      <w:pPr>
        <w:rPr>
          <w:rFonts w:hint="eastAsia" w:eastAsiaTheme="minorEastAsia"/>
          <w:lang w:val="en-US" w:eastAsia="zh-CN"/>
        </w:rPr>
      </w:pPr>
    </w:p>
    <w:sectPr>
      <w:headerReference r:id="rId18" w:type="first"/>
      <w:footerReference r:id="rId21" w:type="first"/>
      <w:headerReference r:id="rId16" w:type="default"/>
      <w:footerReference r:id="rId19" w:type="default"/>
      <w:headerReference r:id="rId17" w:type="even"/>
      <w:footerReference r:id="rId20" w:type="even"/>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92816">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22060"/>
                            <w:docPartObj>
                              <w:docPartGallery w:val="autotext"/>
                            </w:docPartObj>
                          </w:sdtPr>
                          <w:sdtContent>
                            <w:p w14:paraId="3D2C9C47">
                              <w:pPr>
                                <w:pStyle w:val="15"/>
                                <w:jc w:val="center"/>
                              </w:pPr>
                              <w:r>
                                <w:fldChar w:fldCharType="begin"/>
                              </w:r>
                              <w:r>
                                <w:instrText xml:space="preserve"> PAGE   \* MERGEFORMAT </w:instrText>
                              </w:r>
                              <w:r>
                                <w:fldChar w:fldCharType="separate"/>
                              </w:r>
                              <w:r>
                                <w:rPr>
                                  <w:lang w:val="zh-CN"/>
                                </w:rPr>
                                <w:t>40</w:t>
                              </w:r>
                              <w:r>
                                <w:rPr>
                                  <w:lang w:val="zh-CN"/>
                                </w:rPr>
                                <w:fldChar w:fldCharType="end"/>
                              </w:r>
                            </w:p>
                          </w:sdtContent>
                        </w:sdt>
                        <w:p w14:paraId="46C4D5E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22060"/>
                      <w:docPartObj>
                        <w:docPartGallery w:val="autotext"/>
                      </w:docPartObj>
                    </w:sdtPr>
                    <w:sdtContent>
                      <w:p w14:paraId="3D2C9C47">
                        <w:pPr>
                          <w:pStyle w:val="15"/>
                          <w:jc w:val="center"/>
                        </w:pPr>
                        <w:r>
                          <w:fldChar w:fldCharType="begin"/>
                        </w:r>
                        <w:r>
                          <w:instrText xml:space="preserve"> PAGE   \* MERGEFORMAT </w:instrText>
                        </w:r>
                        <w:r>
                          <w:fldChar w:fldCharType="separate"/>
                        </w:r>
                        <w:r>
                          <w:rPr>
                            <w:lang w:val="zh-CN"/>
                          </w:rPr>
                          <w:t>40</w:t>
                        </w:r>
                        <w:r>
                          <w:rPr>
                            <w:lang w:val="zh-CN"/>
                          </w:rPr>
                          <w:fldChar w:fldCharType="end"/>
                        </w:r>
                      </w:p>
                    </w:sdtContent>
                  </w:sdt>
                  <w:p w14:paraId="46C4D5E7"/>
                </w:txbxContent>
              </v:textbox>
            </v:shape>
          </w:pict>
        </mc:Fallback>
      </mc:AlternateContent>
    </w:r>
  </w:p>
  <w:p w14:paraId="093B9101">
    <w:pPr>
      <w:pStyle w:val="15"/>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BC6A">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016"/>
                            <w:docPartObj>
                              <w:docPartGallery w:val="autotext"/>
                            </w:docPartObj>
                          </w:sdtPr>
                          <w:sdtContent>
                            <w:p w14:paraId="5E31B2DA">
                              <w:pPr>
                                <w:pStyle w:val="15"/>
                                <w:jc w:val="center"/>
                              </w:pPr>
                              <w:r>
                                <w:fldChar w:fldCharType="begin"/>
                              </w:r>
                              <w:r>
                                <w:instrText xml:space="preserve"> PAGE   \* MERGEFORMAT </w:instrText>
                              </w:r>
                              <w:r>
                                <w:fldChar w:fldCharType="separate"/>
                              </w:r>
                              <w:r>
                                <w:rPr>
                                  <w:lang w:val="zh-CN"/>
                                </w:rPr>
                                <w:t>40</w:t>
                              </w:r>
                              <w:r>
                                <w:rPr>
                                  <w:lang w:val="zh-CN"/>
                                </w:rPr>
                                <w:fldChar w:fldCharType="end"/>
                              </w:r>
                            </w:p>
                          </w:sdtContent>
                        </w:sdt>
                        <w:p w14:paraId="439612C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75016"/>
                      <w:docPartObj>
                        <w:docPartGallery w:val="autotext"/>
                      </w:docPartObj>
                    </w:sdtPr>
                    <w:sdtContent>
                      <w:p w14:paraId="5E31B2DA">
                        <w:pPr>
                          <w:pStyle w:val="15"/>
                          <w:jc w:val="center"/>
                        </w:pPr>
                        <w:r>
                          <w:fldChar w:fldCharType="begin"/>
                        </w:r>
                        <w:r>
                          <w:instrText xml:space="preserve"> PAGE   \* MERGEFORMAT </w:instrText>
                        </w:r>
                        <w:r>
                          <w:fldChar w:fldCharType="separate"/>
                        </w:r>
                        <w:r>
                          <w:rPr>
                            <w:lang w:val="zh-CN"/>
                          </w:rPr>
                          <w:t>40</w:t>
                        </w:r>
                        <w:r>
                          <w:rPr>
                            <w:lang w:val="zh-CN"/>
                          </w:rPr>
                          <w:fldChar w:fldCharType="end"/>
                        </w:r>
                      </w:p>
                    </w:sdtContent>
                  </w:sdt>
                  <w:p w14:paraId="439612C4"/>
                </w:txbxContent>
              </v:textbox>
            </v:shape>
          </w:pict>
        </mc:Fallback>
      </mc:AlternateContent>
    </w:r>
  </w:p>
  <w:p w14:paraId="60C88FD0">
    <w:pPr>
      <w:pStyle w:val="15"/>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4E2FE">
    <w:pPr>
      <w:widowControl w:val="0"/>
      <w:tabs>
        <w:tab w:val="center" w:pos="4153"/>
        <w:tab w:val="right" w:pos="8306"/>
      </w:tabs>
      <w:snapToGrid w:val="0"/>
      <w:spacing w:before="120" w:beforeLines="50" w:after="120" w:afterLines="50" w:line="240" w:lineRule="auto"/>
      <w:ind w:firstLine="360" w:firstLineChars="200"/>
      <w:jc w:val="left"/>
      <w:rPr>
        <w:rFonts w:ascii="Times New Roman" w:hAnsi="Times New Roman" w:eastAsia="仿宋"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94FB">
    <w:pPr>
      <w:snapToGrid w:val="0"/>
      <w:spacing w:before="120" w:beforeLines="50" w:after="120" w:afterLines="50" w:line="360" w:lineRule="auto"/>
      <w:ind w:firstLine="560" w:firstLineChars="200"/>
      <w:rPr>
        <w:rFonts w:ascii="Times New Roman" w:hAnsi="Times New Roman" w:eastAsia="仿宋" w:cs="Times New Roman"/>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6B0F">
    <w:pPr>
      <w:widowControl w:val="0"/>
      <w:pBdr>
        <w:bottom w:val="single" w:color="auto" w:sz="6" w:space="1"/>
      </w:pBdr>
      <w:tabs>
        <w:tab w:val="center" w:pos="4153"/>
        <w:tab w:val="right" w:pos="8306"/>
      </w:tabs>
      <w:snapToGrid w:val="0"/>
      <w:spacing w:before="120" w:beforeLines="50" w:after="120" w:afterLines="50" w:line="240" w:lineRule="auto"/>
      <w:ind w:firstLine="360" w:firstLineChars="200"/>
      <w:jc w:val="center"/>
      <w:rPr>
        <w:rFonts w:ascii="Times New Roman" w:hAnsi="Times New Roman" w:eastAsia="仿宋"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2AA3">
    <w:pPr>
      <w:widowControl w:val="0"/>
      <w:tabs>
        <w:tab w:val="center" w:pos="4153"/>
        <w:tab w:val="right" w:pos="8306"/>
      </w:tabs>
      <w:snapToGrid w:val="0"/>
      <w:spacing w:before="120" w:beforeLines="50" w:after="120" w:afterLines="50" w:line="240" w:lineRule="auto"/>
      <w:ind w:firstLine="0" w:firstLineChars="0"/>
      <w:jc w:val="center"/>
      <w:rPr>
        <w:rFonts w:ascii="Times New Roman" w:hAnsi="Times New Roman" w:eastAsia="仿宋" w:cs="Times New Roman"/>
        <w:kern w:val="2"/>
        <w:sz w:val="18"/>
        <w:szCs w:val="18"/>
        <w:lang w:val="en-US" w:eastAsia="zh-CN" w:bidi="ar-SA"/>
      </w:rPr>
    </w:pPr>
    <w:r>
      <w:rPr>
        <w:rFonts w:ascii="Times New Roman" w:hAnsi="Times New Roman" w:eastAsia="仿宋" w:cs="Times New Roman"/>
        <w:kern w:val="2"/>
        <w:sz w:val="18"/>
        <w:szCs w:val="18"/>
        <w:lang w:val="en-US" w:eastAsia="zh-CN" w:bidi="ar-SA"/>
      </w:rPr>
      <w:fldChar w:fldCharType="begin"/>
    </w:r>
    <w:r>
      <w:rPr>
        <w:rFonts w:ascii="Times New Roman" w:hAnsi="Times New Roman" w:eastAsia="仿宋" w:cs="Times New Roman"/>
        <w:kern w:val="2"/>
        <w:sz w:val="18"/>
        <w:szCs w:val="18"/>
        <w:lang w:val="en-US" w:eastAsia="zh-CN" w:bidi="ar-SA"/>
      </w:rPr>
      <w:instrText xml:space="preserve">PAGE   \* MERGEFORMAT</w:instrText>
    </w:r>
    <w:r>
      <w:rPr>
        <w:rFonts w:ascii="Times New Roman" w:hAnsi="Times New Roman" w:eastAsia="仿宋" w:cs="Times New Roman"/>
        <w:kern w:val="2"/>
        <w:sz w:val="18"/>
        <w:szCs w:val="18"/>
        <w:lang w:val="en-US" w:eastAsia="zh-CN" w:bidi="ar-SA"/>
      </w:rPr>
      <w:fldChar w:fldCharType="separate"/>
    </w:r>
    <w:r>
      <w:rPr>
        <w:rFonts w:ascii="Times New Roman" w:hAnsi="Times New Roman" w:eastAsia="仿宋" w:cs="Times New Roman"/>
        <w:kern w:val="2"/>
        <w:sz w:val="18"/>
        <w:szCs w:val="18"/>
        <w:lang w:val="zh-CN" w:eastAsia="zh-CN" w:bidi="ar-SA"/>
      </w:rPr>
      <w:t>V</w:t>
    </w:r>
    <w:r>
      <w:rPr>
        <w:rFonts w:ascii="Times New Roman" w:hAnsi="Times New Roman" w:eastAsia="仿宋" w:cs="Times New Roman"/>
        <w:kern w:val="2"/>
        <w:sz w:val="18"/>
        <w:szCs w:val="18"/>
        <w:lang w:val="en-US" w:eastAsia="zh-CN" w:bidi="ar-S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6B13">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242"/>
                            <w:docPartObj>
                              <w:docPartGallery w:val="autotext"/>
                            </w:docPartObj>
                          </w:sdtPr>
                          <w:sdtContent>
                            <w:p w14:paraId="0D2AF99F">
                              <w:pPr>
                                <w:pStyle w:val="15"/>
                                <w:jc w:val="center"/>
                              </w:pPr>
                              <w:r>
                                <w:fldChar w:fldCharType="begin"/>
                              </w:r>
                              <w:r>
                                <w:instrText xml:space="preserve"> PAGE   \* MERGEFORMAT </w:instrText>
                              </w:r>
                              <w:r>
                                <w:fldChar w:fldCharType="separate"/>
                              </w:r>
                              <w:r>
                                <w:rPr>
                                  <w:lang w:val="zh-CN"/>
                                </w:rPr>
                                <w:t>40</w:t>
                              </w:r>
                              <w:r>
                                <w:rPr>
                                  <w:lang w:val="zh-CN"/>
                                </w:rPr>
                                <w:fldChar w:fldCharType="end"/>
                              </w:r>
                            </w:p>
                          </w:sdtContent>
                        </w:sdt>
                        <w:p w14:paraId="3CF0951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242"/>
                      <w:docPartObj>
                        <w:docPartGallery w:val="autotext"/>
                      </w:docPartObj>
                    </w:sdtPr>
                    <w:sdtContent>
                      <w:p w14:paraId="0D2AF99F">
                        <w:pPr>
                          <w:pStyle w:val="15"/>
                          <w:jc w:val="center"/>
                        </w:pPr>
                        <w:r>
                          <w:fldChar w:fldCharType="begin"/>
                        </w:r>
                        <w:r>
                          <w:instrText xml:space="preserve"> PAGE   \* MERGEFORMAT </w:instrText>
                        </w:r>
                        <w:r>
                          <w:fldChar w:fldCharType="separate"/>
                        </w:r>
                        <w:r>
                          <w:rPr>
                            <w:lang w:val="zh-CN"/>
                          </w:rPr>
                          <w:t>40</w:t>
                        </w:r>
                        <w:r>
                          <w:rPr>
                            <w:lang w:val="zh-CN"/>
                          </w:rPr>
                          <w:fldChar w:fldCharType="end"/>
                        </w:r>
                      </w:p>
                    </w:sdtContent>
                  </w:sdt>
                  <w:p w14:paraId="3CF09514"/>
                </w:txbxContent>
              </v:textbox>
            </v:shape>
          </w:pict>
        </mc:Fallback>
      </mc:AlternateContent>
    </w:r>
  </w:p>
  <w:p w14:paraId="28AA32FF">
    <w:pPr>
      <w:pStyle w:val="15"/>
      <w:spacing w:after="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B05AB">
    <w:pPr>
      <w:pStyle w:val="15"/>
      <w:spacing w:after="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D8692">
    <w:pPr>
      <w:pStyle w:val="15"/>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BEB4">
    <w:pPr>
      <w:pStyle w:val="16"/>
      <w:spacing w:after="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3CD7">
    <w:pPr>
      <w:pStyle w:val="16"/>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B5CD4">
    <w:pPr>
      <w:snapToGrid w:val="0"/>
      <w:spacing w:before="120" w:beforeLines="50" w:after="120" w:afterLines="50" w:line="360" w:lineRule="auto"/>
      <w:ind w:firstLine="560" w:firstLineChars="200"/>
      <w:rPr>
        <w:rFonts w:ascii="Times New Roman" w:hAnsi="Times New Roman" w:eastAsia="仿宋" w:cs="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A29C0">
    <w:pPr>
      <w:snapToGrid w:val="0"/>
      <w:spacing w:before="120" w:beforeLines="50" w:after="120" w:afterLines="50" w:line="360" w:lineRule="auto"/>
      <w:ind w:firstLine="560" w:firstLineChars="200"/>
      <w:rPr>
        <w:rFonts w:ascii="Times New Roman" w:hAnsi="Times New Roman" w:eastAsia="仿宋" w:cs="Times New Roman"/>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9301">
    <w:pPr>
      <w:widowControl w:val="0"/>
      <w:tabs>
        <w:tab w:val="center" w:pos="4153"/>
        <w:tab w:val="right" w:pos="8306"/>
      </w:tabs>
      <w:snapToGrid w:val="0"/>
      <w:spacing w:before="120" w:beforeLines="50" w:after="120" w:afterLines="50" w:line="240" w:lineRule="auto"/>
      <w:ind w:firstLine="360" w:firstLineChars="200"/>
      <w:jc w:val="left"/>
      <w:rPr>
        <w:rFonts w:ascii="Times New Roman" w:hAnsi="Times New Roman" w:eastAsia="仿宋"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D3ED">
    <w:pPr>
      <w:widowControl w:val="0"/>
      <w:pBdr>
        <w:bottom w:val="single" w:color="auto" w:sz="6" w:space="1"/>
      </w:pBdr>
      <w:tabs>
        <w:tab w:val="center" w:pos="4153"/>
        <w:tab w:val="right" w:pos="8306"/>
      </w:tabs>
      <w:snapToGrid w:val="0"/>
      <w:spacing w:before="120" w:beforeLines="50" w:after="120" w:afterLines="50" w:line="240" w:lineRule="auto"/>
      <w:ind w:firstLine="360" w:firstLineChars="200"/>
      <w:jc w:val="center"/>
      <w:rPr>
        <w:rFonts w:ascii="Times New Roman" w:hAnsi="Times New Roman" w:eastAsia="仿宋"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E899">
    <w:pPr>
      <w:widowControl w:val="0"/>
      <w:pBdr>
        <w:bottom w:val="single" w:color="auto" w:sz="6" w:space="1"/>
      </w:pBdr>
      <w:tabs>
        <w:tab w:val="center" w:pos="4153"/>
        <w:tab w:val="right" w:pos="8306"/>
      </w:tabs>
      <w:snapToGrid w:val="0"/>
      <w:spacing w:before="120" w:beforeLines="50" w:after="120" w:afterLines="50" w:line="240" w:lineRule="auto"/>
      <w:ind w:firstLine="360" w:firstLineChars="200"/>
      <w:jc w:val="center"/>
      <w:rPr>
        <w:rFonts w:ascii="Times New Roman" w:hAnsi="Times New Roman" w:eastAsia="仿宋" w:cs="Times New Roman"/>
        <w:kern w:val="2"/>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E58A9">
    <w:pPr>
      <w:widowControl w:val="0"/>
      <w:pBdr>
        <w:bottom w:val="single" w:color="auto" w:sz="6" w:space="1"/>
      </w:pBdr>
      <w:tabs>
        <w:tab w:val="center" w:pos="4153"/>
        <w:tab w:val="right" w:pos="8306"/>
      </w:tabs>
      <w:snapToGrid w:val="0"/>
      <w:spacing w:before="120" w:beforeLines="50" w:after="120" w:afterLines="50" w:line="240" w:lineRule="auto"/>
      <w:ind w:firstLine="360" w:firstLineChars="200"/>
      <w:jc w:val="center"/>
      <w:rPr>
        <w:rFonts w:ascii="Times New Roman" w:hAnsi="Times New Roman" w:eastAsia="仿宋" w:cs="Times New Roman"/>
        <w:kern w:val="2"/>
        <w:sz w:val="18"/>
        <w:szCs w:val="18"/>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7E0C">
    <w:pPr>
      <w:pStyle w:val="16"/>
      <w:spacing w:after="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FEF4C">
    <w:pPr>
      <w:pStyle w:val="16"/>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A362F"/>
    <w:multiLevelType w:val="singleLevel"/>
    <w:tmpl w:val="D92A362F"/>
    <w:lvl w:ilvl="0" w:tentative="0">
      <w:start w:val="2"/>
      <w:numFmt w:val="chineseCounting"/>
      <w:suff w:val="nothing"/>
      <w:lvlText w:val="%1、"/>
      <w:lvlJc w:val="left"/>
      <w:rPr>
        <w:rFonts w:hint="eastAsia"/>
      </w:rPr>
    </w:lvl>
  </w:abstractNum>
  <w:abstractNum w:abstractNumId="1">
    <w:nsid w:val="045A2137"/>
    <w:multiLevelType w:val="multilevel"/>
    <w:tmpl w:val="045A213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B11FD7"/>
    <w:multiLevelType w:val="multilevel"/>
    <w:tmpl w:val="0CB11FD7"/>
    <w:lvl w:ilvl="0" w:tentative="0">
      <w:start w:val="1"/>
      <w:numFmt w:val="decimal"/>
      <w:lvlText w:val="%1)"/>
      <w:lvlJc w:val="left"/>
      <w:pPr>
        <w:tabs>
          <w:tab w:val="left" w:pos="1470"/>
        </w:tabs>
        <w:ind w:left="1470" w:hanging="420"/>
      </w:pPr>
      <w:rPr>
        <w:rFonts w:hint="eastAsia"/>
        <w:b w:val="0"/>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6C0052A"/>
    <w:multiLevelType w:val="multilevel"/>
    <w:tmpl w:val="16C0052A"/>
    <w:lvl w:ilvl="0" w:tentative="0">
      <w:start w:val="1"/>
      <w:numFmt w:val="chineseCountingThousand"/>
      <w:lvlText w:val="第%1条"/>
      <w:lvlJc w:val="left"/>
      <w:pPr>
        <w:tabs>
          <w:tab w:val="left" w:pos="1134"/>
        </w:tabs>
        <w:ind w:left="0" w:firstLine="560"/>
      </w:pPr>
      <w:rPr>
        <w:rFonts w:hint="eastAsia"/>
      </w:rPr>
    </w:lvl>
    <w:lvl w:ilvl="1" w:tentative="0">
      <w:start w:val="1"/>
      <w:numFmt w:val="decimal"/>
      <w:suff w:val="nothing"/>
      <w:lvlText w:val="%2."/>
      <w:lvlJc w:val="left"/>
      <w:pPr>
        <w:ind w:left="3976" w:firstLine="560"/>
      </w:pPr>
      <w:rPr>
        <w:rFonts w:hint="eastAsia"/>
      </w:rPr>
    </w:lvl>
    <w:lvl w:ilvl="2" w:tentative="0">
      <w:start w:val="1"/>
      <w:numFmt w:val="none"/>
      <w:suff w:val="space"/>
      <w:lvlText w:val=""/>
      <w:lvlJc w:val="left"/>
      <w:pPr>
        <w:ind w:left="0" w:firstLine="400"/>
      </w:pPr>
      <w:rPr>
        <w:rFonts w:hint="eastAsia"/>
      </w:rPr>
    </w:lvl>
    <w:lvl w:ilvl="3" w:tentative="0">
      <w:start w:val="1"/>
      <w:numFmt w:val="upperLetter"/>
      <w:suff w:val="space"/>
      <w:lvlText w:val="%4."/>
      <w:lvlJc w:val="left"/>
      <w:pPr>
        <w:ind w:left="0" w:firstLine="40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4">
    <w:nsid w:val="3A4E10DF"/>
    <w:multiLevelType w:val="multilevel"/>
    <w:tmpl w:val="3A4E10DF"/>
    <w:lvl w:ilvl="0" w:tentative="0">
      <w:start w:val="1"/>
      <w:numFmt w:val="chineseCountingThousand"/>
      <w:suff w:val="space"/>
      <w:lvlText w:val="第%1条"/>
      <w:lvlJc w:val="center"/>
      <w:pPr>
        <w:ind w:left="5103" w:firstLine="0"/>
      </w:pPr>
      <w:rPr>
        <w:rFonts w:hint="eastAsia"/>
      </w:rPr>
    </w:lvl>
    <w:lvl w:ilvl="1" w:tentative="0">
      <w:start w:val="1"/>
      <w:numFmt w:val="decimal"/>
      <w:isLgl/>
      <w:lvlText w:val="%1.%2"/>
      <w:lvlJc w:val="left"/>
      <w:pPr>
        <w:ind w:left="709" w:firstLine="0"/>
      </w:pPr>
      <w:rPr>
        <w:rFonts w:hint="eastAsia"/>
      </w:rPr>
    </w:lvl>
    <w:lvl w:ilvl="2" w:tentative="0">
      <w:start w:val="1"/>
      <w:numFmt w:val="decimal"/>
      <w:isLgl/>
      <w:suff w:val="nothing"/>
      <w:lvlText w:val="%1.%2.%3"/>
      <w:lvlJc w:val="left"/>
      <w:pPr>
        <w:ind w:left="0" w:firstLine="400"/>
      </w:pPr>
      <w:rPr>
        <w:rFonts w:hint="eastAsia"/>
      </w:rPr>
    </w:lvl>
    <w:lvl w:ilvl="3" w:tentative="0">
      <w:start w:val="1"/>
      <w:numFmt w:val="decimal"/>
      <w:suff w:val="nothing"/>
      <w:lvlText w:val="%4、"/>
      <w:lvlJc w:val="left"/>
      <w:pPr>
        <w:ind w:left="2126" w:firstLine="0"/>
      </w:pPr>
      <w:rPr>
        <w:rFonts w:cs="Times New Roman"/>
        <w:bCs w:val="0"/>
        <w:i w:val="0"/>
        <w:iCs w:val="0"/>
        <w:caps w:val="0"/>
        <w:smallCaps w:val="0"/>
        <w:strike w:val="0"/>
        <w:dstrike w:val="0"/>
        <w:vanish w:val="0"/>
        <w:spacing w:val="0"/>
        <w:position w:val="0"/>
        <w:u w:val="none"/>
        <w:vertAlign w:val="baseline"/>
      </w:rPr>
    </w:lvl>
    <w:lvl w:ilvl="4" w:tentative="0">
      <w:start w:val="1"/>
      <w:numFmt w:val="decimal"/>
      <w:suff w:val="nothing"/>
      <w:lvlText w:val="（%5）"/>
      <w:lvlJc w:val="left"/>
      <w:pPr>
        <w:ind w:left="2722" w:hanging="45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lang w:val="en-US"/>
      </w:rPr>
    </w:lvl>
    <w:lvl w:ilvl="5" w:tentative="0">
      <w:start w:val="1"/>
      <w:numFmt w:val="lowerLetter"/>
      <w:suff w:val="space"/>
      <w:lvlText w:val="%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5EC27779"/>
    <w:multiLevelType w:val="multilevel"/>
    <w:tmpl w:val="5EC27779"/>
    <w:lvl w:ilvl="0" w:tentative="0">
      <w:start w:val="1"/>
      <w:numFmt w:val="decimal"/>
      <w:lvlText w:val="%1)"/>
      <w:lvlJc w:val="left"/>
      <w:pPr>
        <w:tabs>
          <w:tab w:val="left" w:pos="1470"/>
        </w:tabs>
        <w:ind w:left="1470" w:hanging="420"/>
      </w:pPr>
      <w:rPr>
        <w:rFonts w:hint="eastAsia" w:asciiTheme="majorEastAsia" w:hAnsiTheme="majorEastAsia" w:eastAsiaTheme="majorEastAsia"/>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MzdkMTRlYjU4Mzk4NjYwMGU0MzZkZGNjMzI3NTQifQ=="/>
    <w:docVar w:name="KSO_WPS_MARK_KEY" w:val="2f9ed4fd-8025-4770-8d27-b1f50e703a93"/>
  </w:docVars>
  <w:rsids>
    <w:rsidRoot w:val="002B296E"/>
    <w:rsid w:val="00002E60"/>
    <w:rsid w:val="000048FF"/>
    <w:rsid w:val="00004FA5"/>
    <w:rsid w:val="0000723B"/>
    <w:rsid w:val="000114D0"/>
    <w:rsid w:val="00012263"/>
    <w:rsid w:val="00015C20"/>
    <w:rsid w:val="000165A0"/>
    <w:rsid w:val="00017ECC"/>
    <w:rsid w:val="00024DCF"/>
    <w:rsid w:val="00026B1C"/>
    <w:rsid w:val="0002788F"/>
    <w:rsid w:val="00027E40"/>
    <w:rsid w:val="00030854"/>
    <w:rsid w:val="00030B9F"/>
    <w:rsid w:val="000325CA"/>
    <w:rsid w:val="0003474D"/>
    <w:rsid w:val="00035243"/>
    <w:rsid w:val="000354DF"/>
    <w:rsid w:val="000413CE"/>
    <w:rsid w:val="00041760"/>
    <w:rsid w:val="00046AE3"/>
    <w:rsid w:val="00047161"/>
    <w:rsid w:val="00047CFA"/>
    <w:rsid w:val="00047F90"/>
    <w:rsid w:val="000509B8"/>
    <w:rsid w:val="000549AF"/>
    <w:rsid w:val="00055C90"/>
    <w:rsid w:val="000572C4"/>
    <w:rsid w:val="0008028B"/>
    <w:rsid w:val="00082568"/>
    <w:rsid w:val="000839B0"/>
    <w:rsid w:val="00083BC2"/>
    <w:rsid w:val="00083FD9"/>
    <w:rsid w:val="000844B8"/>
    <w:rsid w:val="0008773C"/>
    <w:rsid w:val="0009130D"/>
    <w:rsid w:val="00091343"/>
    <w:rsid w:val="00094FCC"/>
    <w:rsid w:val="000A7A9D"/>
    <w:rsid w:val="000B5D94"/>
    <w:rsid w:val="000B6946"/>
    <w:rsid w:val="000C0D21"/>
    <w:rsid w:val="000C0E1A"/>
    <w:rsid w:val="000C106C"/>
    <w:rsid w:val="000C4236"/>
    <w:rsid w:val="000D406E"/>
    <w:rsid w:val="000D4A50"/>
    <w:rsid w:val="000D4B12"/>
    <w:rsid w:val="000D6122"/>
    <w:rsid w:val="000E13A3"/>
    <w:rsid w:val="000F1328"/>
    <w:rsid w:val="000F34B2"/>
    <w:rsid w:val="000F4368"/>
    <w:rsid w:val="000F50E1"/>
    <w:rsid w:val="000F6FF0"/>
    <w:rsid w:val="001031B0"/>
    <w:rsid w:val="0010408D"/>
    <w:rsid w:val="001053A0"/>
    <w:rsid w:val="001063E2"/>
    <w:rsid w:val="00110CBD"/>
    <w:rsid w:val="00111349"/>
    <w:rsid w:val="00112D2A"/>
    <w:rsid w:val="00113412"/>
    <w:rsid w:val="00114DD8"/>
    <w:rsid w:val="00115E40"/>
    <w:rsid w:val="00115FE9"/>
    <w:rsid w:val="00116C4B"/>
    <w:rsid w:val="00121E98"/>
    <w:rsid w:val="00122F53"/>
    <w:rsid w:val="00123D4F"/>
    <w:rsid w:val="00126CD8"/>
    <w:rsid w:val="00130EED"/>
    <w:rsid w:val="001318CF"/>
    <w:rsid w:val="0013313E"/>
    <w:rsid w:val="00135D16"/>
    <w:rsid w:val="001405FA"/>
    <w:rsid w:val="001423E8"/>
    <w:rsid w:val="00142726"/>
    <w:rsid w:val="00143A07"/>
    <w:rsid w:val="0014406D"/>
    <w:rsid w:val="00147326"/>
    <w:rsid w:val="001477E0"/>
    <w:rsid w:val="001478A4"/>
    <w:rsid w:val="0015184C"/>
    <w:rsid w:val="00152E85"/>
    <w:rsid w:val="00154E87"/>
    <w:rsid w:val="00155971"/>
    <w:rsid w:val="001559D5"/>
    <w:rsid w:val="00156956"/>
    <w:rsid w:val="00170A76"/>
    <w:rsid w:val="00171482"/>
    <w:rsid w:val="001776D1"/>
    <w:rsid w:val="00184554"/>
    <w:rsid w:val="00184F4C"/>
    <w:rsid w:val="001872EC"/>
    <w:rsid w:val="00190D4E"/>
    <w:rsid w:val="00191DBC"/>
    <w:rsid w:val="00192AD1"/>
    <w:rsid w:val="00196ADD"/>
    <w:rsid w:val="001A4CD3"/>
    <w:rsid w:val="001A5C09"/>
    <w:rsid w:val="001A6041"/>
    <w:rsid w:val="001B0953"/>
    <w:rsid w:val="001B1074"/>
    <w:rsid w:val="001B150F"/>
    <w:rsid w:val="001B51BE"/>
    <w:rsid w:val="001B5B31"/>
    <w:rsid w:val="001B77F3"/>
    <w:rsid w:val="001B7F44"/>
    <w:rsid w:val="001C09D9"/>
    <w:rsid w:val="001C2014"/>
    <w:rsid w:val="001C2B16"/>
    <w:rsid w:val="001C3631"/>
    <w:rsid w:val="001D0EB9"/>
    <w:rsid w:val="001D33A2"/>
    <w:rsid w:val="001E10E8"/>
    <w:rsid w:val="001E12CE"/>
    <w:rsid w:val="001E18EF"/>
    <w:rsid w:val="001E2BD6"/>
    <w:rsid w:val="001E76F0"/>
    <w:rsid w:val="001E7CA2"/>
    <w:rsid w:val="001E7E39"/>
    <w:rsid w:val="001F0086"/>
    <w:rsid w:val="001F0952"/>
    <w:rsid w:val="001F2FF4"/>
    <w:rsid w:val="001F3848"/>
    <w:rsid w:val="001F3DC3"/>
    <w:rsid w:val="001F587F"/>
    <w:rsid w:val="001F6634"/>
    <w:rsid w:val="0020017A"/>
    <w:rsid w:val="00201302"/>
    <w:rsid w:val="002051F9"/>
    <w:rsid w:val="00205AF2"/>
    <w:rsid w:val="0020663F"/>
    <w:rsid w:val="00207A91"/>
    <w:rsid w:val="00210E25"/>
    <w:rsid w:val="00212161"/>
    <w:rsid w:val="0021479B"/>
    <w:rsid w:val="002177DC"/>
    <w:rsid w:val="0022303D"/>
    <w:rsid w:val="00223EEB"/>
    <w:rsid w:val="002244C7"/>
    <w:rsid w:val="00225DED"/>
    <w:rsid w:val="002278BD"/>
    <w:rsid w:val="00227BC5"/>
    <w:rsid w:val="00231E55"/>
    <w:rsid w:val="00232987"/>
    <w:rsid w:val="0023517A"/>
    <w:rsid w:val="002378E5"/>
    <w:rsid w:val="0024137C"/>
    <w:rsid w:val="002425D6"/>
    <w:rsid w:val="00244C00"/>
    <w:rsid w:val="00246372"/>
    <w:rsid w:val="002505A6"/>
    <w:rsid w:val="0025158C"/>
    <w:rsid w:val="00254904"/>
    <w:rsid w:val="00262AF1"/>
    <w:rsid w:val="00263E6E"/>
    <w:rsid w:val="0026418F"/>
    <w:rsid w:val="0026450A"/>
    <w:rsid w:val="00267A80"/>
    <w:rsid w:val="002709A8"/>
    <w:rsid w:val="00273346"/>
    <w:rsid w:val="002746A1"/>
    <w:rsid w:val="00276D6D"/>
    <w:rsid w:val="002805D4"/>
    <w:rsid w:val="00282867"/>
    <w:rsid w:val="00284C24"/>
    <w:rsid w:val="00285DE2"/>
    <w:rsid w:val="002933B7"/>
    <w:rsid w:val="00293B10"/>
    <w:rsid w:val="002942A3"/>
    <w:rsid w:val="0029795C"/>
    <w:rsid w:val="002A0ED3"/>
    <w:rsid w:val="002A29E5"/>
    <w:rsid w:val="002A758C"/>
    <w:rsid w:val="002B0948"/>
    <w:rsid w:val="002B296E"/>
    <w:rsid w:val="002B5C22"/>
    <w:rsid w:val="002B6F9C"/>
    <w:rsid w:val="002C3F0A"/>
    <w:rsid w:val="002C3FC4"/>
    <w:rsid w:val="002C500F"/>
    <w:rsid w:val="002D2996"/>
    <w:rsid w:val="002D4DB4"/>
    <w:rsid w:val="002D5EB6"/>
    <w:rsid w:val="002D67D0"/>
    <w:rsid w:val="002E1005"/>
    <w:rsid w:val="002E6F35"/>
    <w:rsid w:val="002F019C"/>
    <w:rsid w:val="002F218D"/>
    <w:rsid w:val="002F3F2C"/>
    <w:rsid w:val="002F4FC9"/>
    <w:rsid w:val="002F7BA0"/>
    <w:rsid w:val="00305131"/>
    <w:rsid w:val="003075D2"/>
    <w:rsid w:val="00307991"/>
    <w:rsid w:val="00311E94"/>
    <w:rsid w:val="00315035"/>
    <w:rsid w:val="0031695C"/>
    <w:rsid w:val="00317044"/>
    <w:rsid w:val="00321622"/>
    <w:rsid w:val="0032311B"/>
    <w:rsid w:val="00323813"/>
    <w:rsid w:val="00324CB2"/>
    <w:rsid w:val="00331FE7"/>
    <w:rsid w:val="00334D55"/>
    <w:rsid w:val="00335A76"/>
    <w:rsid w:val="00340524"/>
    <w:rsid w:val="00342876"/>
    <w:rsid w:val="0034457F"/>
    <w:rsid w:val="00345849"/>
    <w:rsid w:val="00347ADA"/>
    <w:rsid w:val="003553CD"/>
    <w:rsid w:val="00356426"/>
    <w:rsid w:val="00356A28"/>
    <w:rsid w:val="00362CA7"/>
    <w:rsid w:val="0036622C"/>
    <w:rsid w:val="003706DD"/>
    <w:rsid w:val="0037109F"/>
    <w:rsid w:val="00372805"/>
    <w:rsid w:val="00372E27"/>
    <w:rsid w:val="00373CC6"/>
    <w:rsid w:val="00376180"/>
    <w:rsid w:val="00376EF5"/>
    <w:rsid w:val="003802A7"/>
    <w:rsid w:val="003811DD"/>
    <w:rsid w:val="00384539"/>
    <w:rsid w:val="00386271"/>
    <w:rsid w:val="003876BD"/>
    <w:rsid w:val="00387C79"/>
    <w:rsid w:val="00391E72"/>
    <w:rsid w:val="003936FB"/>
    <w:rsid w:val="003938DE"/>
    <w:rsid w:val="00395B93"/>
    <w:rsid w:val="003977F7"/>
    <w:rsid w:val="003A283F"/>
    <w:rsid w:val="003A5619"/>
    <w:rsid w:val="003A6825"/>
    <w:rsid w:val="003B1124"/>
    <w:rsid w:val="003B2CDB"/>
    <w:rsid w:val="003B2D06"/>
    <w:rsid w:val="003B3F59"/>
    <w:rsid w:val="003C7B60"/>
    <w:rsid w:val="003D016D"/>
    <w:rsid w:val="003E1A20"/>
    <w:rsid w:val="003E3A5C"/>
    <w:rsid w:val="003E3CEC"/>
    <w:rsid w:val="003F0736"/>
    <w:rsid w:val="003F0EBF"/>
    <w:rsid w:val="003F1B3F"/>
    <w:rsid w:val="003F385B"/>
    <w:rsid w:val="003F3E0E"/>
    <w:rsid w:val="003F3FB9"/>
    <w:rsid w:val="003F5EFA"/>
    <w:rsid w:val="003F5F84"/>
    <w:rsid w:val="003F6980"/>
    <w:rsid w:val="003F6F74"/>
    <w:rsid w:val="0040232B"/>
    <w:rsid w:val="00411AD4"/>
    <w:rsid w:val="004155CD"/>
    <w:rsid w:val="0041767A"/>
    <w:rsid w:val="004208A5"/>
    <w:rsid w:val="00420DE3"/>
    <w:rsid w:val="0042513B"/>
    <w:rsid w:val="004338D4"/>
    <w:rsid w:val="004340BA"/>
    <w:rsid w:val="00434434"/>
    <w:rsid w:val="00434C62"/>
    <w:rsid w:val="004370D7"/>
    <w:rsid w:val="00440482"/>
    <w:rsid w:val="004437AE"/>
    <w:rsid w:val="00444582"/>
    <w:rsid w:val="00446748"/>
    <w:rsid w:val="0045104F"/>
    <w:rsid w:val="004515EE"/>
    <w:rsid w:val="004519A1"/>
    <w:rsid w:val="00451D23"/>
    <w:rsid w:val="00460ABA"/>
    <w:rsid w:val="00460E5B"/>
    <w:rsid w:val="00463379"/>
    <w:rsid w:val="0046375D"/>
    <w:rsid w:val="00463D37"/>
    <w:rsid w:val="00471274"/>
    <w:rsid w:val="00471E81"/>
    <w:rsid w:val="00473EA5"/>
    <w:rsid w:val="0047463B"/>
    <w:rsid w:val="004747A0"/>
    <w:rsid w:val="00480F0D"/>
    <w:rsid w:val="00482482"/>
    <w:rsid w:val="00487E35"/>
    <w:rsid w:val="00492CAF"/>
    <w:rsid w:val="00493F5B"/>
    <w:rsid w:val="004A019E"/>
    <w:rsid w:val="004A19DD"/>
    <w:rsid w:val="004A20E5"/>
    <w:rsid w:val="004B294D"/>
    <w:rsid w:val="004B30D9"/>
    <w:rsid w:val="004B3548"/>
    <w:rsid w:val="004B3730"/>
    <w:rsid w:val="004B5FA8"/>
    <w:rsid w:val="004B6143"/>
    <w:rsid w:val="004C2208"/>
    <w:rsid w:val="004C3ADD"/>
    <w:rsid w:val="004C3E0E"/>
    <w:rsid w:val="004C44EC"/>
    <w:rsid w:val="004D1052"/>
    <w:rsid w:val="004D7F2E"/>
    <w:rsid w:val="004E00DC"/>
    <w:rsid w:val="004E0362"/>
    <w:rsid w:val="004E3FBD"/>
    <w:rsid w:val="004E5F98"/>
    <w:rsid w:val="004E714A"/>
    <w:rsid w:val="004E7B5C"/>
    <w:rsid w:val="004F29F5"/>
    <w:rsid w:val="004F7062"/>
    <w:rsid w:val="00500956"/>
    <w:rsid w:val="00501787"/>
    <w:rsid w:val="00501B5F"/>
    <w:rsid w:val="005038E9"/>
    <w:rsid w:val="00504893"/>
    <w:rsid w:val="00506897"/>
    <w:rsid w:val="005129E6"/>
    <w:rsid w:val="00513456"/>
    <w:rsid w:val="0051395D"/>
    <w:rsid w:val="00516147"/>
    <w:rsid w:val="0052007E"/>
    <w:rsid w:val="005252BE"/>
    <w:rsid w:val="00526A79"/>
    <w:rsid w:val="00532047"/>
    <w:rsid w:val="00532FBA"/>
    <w:rsid w:val="00535134"/>
    <w:rsid w:val="00536A0C"/>
    <w:rsid w:val="00537AA3"/>
    <w:rsid w:val="00537F1E"/>
    <w:rsid w:val="00540B12"/>
    <w:rsid w:val="00542681"/>
    <w:rsid w:val="005436FB"/>
    <w:rsid w:val="00543EBF"/>
    <w:rsid w:val="00545710"/>
    <w:rsid w:val="00546A86"/>
    <w:rsid w:val="00546E60"/>
    <w:rsid w:val="00552DE9"/>
    <w:rsid w:val="00553482"/>
    <w:rsid w:val="005537A7"/>
    <w:rsid w:val="005568B0"/>
    <w:rsid w:val="00557C1B"/>
    <w:rsid w:val="00563968"/>
    <w:rsid w:val="005668BA"/>
    <w:rsid w:val="00566A6A"/>
    <w:rsid w:val="00575109"/>
    <w:rsid w:val="005755D6"/>
    <w:rsid w:val="00576EAB"/>
    <w:rsid w:val="00581EE1"/>
    <w:rsid w:val="00582807"/>
    <w:rsid w:val="00582ECC"/>
    <w:rsid w:val="00582FA7"/>
    <w:rsid w:val="0058780A"/>
    <w:rsid w:val="00590EB6"/>
    <w:rsid w:val="00591BAF"/>
    <w:rsid w:val="00594D4B"/>
    <w:rsid w:val="00596152"/>
    <w:rsid w:val="005965FD"/>
    <w:rsid w:val="005A482C"/>
    <w:rsid w:val="005A6D72"/>
    <w:rsid w:val="005B1875"/>
    <w:rsid w:val="005B28C9"/>
    <w:rsid w:val="005B3AB8"/>
    <w:rsid w:val="005B749E"/>
    <w:rsid w:val="005B7B25"/>
    <w:rsid w:val="005C09EC"/>
    <w:rsid w:val="005C26DC"/>
    <w:rsid w:val="005C4B92"/>
    <w:rsid w:val="005C5083"/>
    <w:rsid w:val="005C5333"/>
    <w:rsid w:val="005C5ED0"/>
    <w:rsid w:val="005D1B8A"/>
    <w:rsid w:val="005D5EB2"/>
    <w:rsid w:val="005E24CF"/>
    <w:rsid w:val="005E27B2"/>
    <w:rsid w:val="005E513F"/>
    <w:rsid w:val="005E6307"/>
    <w:rsid w:val="005E7861"/>
    <w:rsid w:val="005F0ACD"/>
    <w:rsid w:val="005F0B55"/>
    <w:rsid w:val="005F1D5B"/>
    <w:rsid w:val="005F378B"/>
    <w:rsid w:val="005F4CF2"/>
    <w:rsid w:val="00603B6D"/>
    <w:rsid w:val="00604DC0"/>
    <w:rsid w:val="00607011"/>
    <w:rsid w:val="006137B4"/>
    <w:rsid w:val="00613CE9"/>
    <w:rsid w:val="00622334"/>
    <w:rsid w:val="006279EE"/>
    <w:rsid w:val="0063107F"/>
    <w:rsid w:val="00631EC8"/>
    <w:rsid w:val="006322DC"/>
    <w:rsid w:val="006331E8"/>
    <w:rsid w:val="00633C10"/>
    <w:rsid w:val="00634CA8"/>
    <w:rsid w:val="00634D11"/>
    <w:rsid w:val="006357F8"/>
    <w:rsid w:val="00636B59"/>
    <w:rsid w:val="0063769B"/>
    <w:rsid w:val="00637C05"/>
    <w:rsid w:val="006416BE"/>
    <w:rsid w:val="00650F5B"/>
    <w:rsid w:val="006529BC"/>
    <w:rsid w:val="00652E82"/>
    <w:rsid w:val="006530D0"/>
    <w:rsid w:val="0065516B"/>
    <w:rsid w:val="0066606D"/>
    <w:rsid w:val="00666B5D"/>
    <w:rsid w:val="0067242A"/>
    <w:rsid w:val="00673CED"/>
    <w:rsid w:val="00674722"/>
    <w:rsid w:val="006749FE"/>
    <w:rsid w:val="006801A9"/>
    <w:rsid w:val="00681D73"/>
    <w:rsid w:val="006821DB"/>
    <w:rsid w:val="00684C4D"/>
    <w:rsid w:val="00691817"/>
    <w:rsid w:val="0069374B"/>
    <w:rsid w:val="00696FD7"/>
    <w:rsid w:val="006A5F3A"/>
    <w:rsid w:val="006A6F0A"/>
    <w:rsid w:val="006B00E1"/>
    <w:rsid w:val="006B1578"/>
    <w:rsid w:val="006B6920"/>
    <w:rsid w:val="006B6BCB"/>
    <w:rsid w:val="006C01D1"/>
    <w:rsid w:val="006C13B8"/>
    <w:rsid w:val="006C5B1E"/>
    <w:rsid w:val="006C5C51"/>
    <w:rsid w:val="006C5CD4"/>
    <w:rsid w:val="006D4663"/>
    <w:rsid w:val="006D5BEC"/>
    <w:rsid w:val="006D6273"/>
    <w:rsid w:val="006F3A9D"/>
    <w:rsid w:val="006F6AAD"/>
    <w:rsid w:val="006F77AA"/>
    <w:rsid w:val="00701EE1"/>
    <w:rsid w:val="00702DD5"/>
    <w:rsid w:val="007037E0"/>
    <w:rsid w:val="00715EA0"/>
    <w:rsid w:val="00716DDE"/>
    <w:rsid w:val="00721211"/>
    <w:rsid w:val="0072143A"/>
    <w:rsid w:val="00722517"/>
    <w:rsid w:val="00722B3F"/>
    <w:rsid w:val="00725998"/>
    <w:rsid w:val="00725B12"/>
    <w:rsid w:val="007311C0"/>
    <w:rsid w:val="00731E2A"/>
    <w:rsid w:val="00734FD4"/>
    <w:rsid w:val="00740FDB"/>
    <w:rsid w:val="0074155C"/>
    <w:rsid w:val="00742715"/>
    <w:rsid w:val="0074419A"/>
    <w:rsid w:val="00744AC7"/>
    <w:rsid w:val="0074718B"/>
    <w:rsid w:val="00752F41"/>
    <w:rsid w:val="00755821"/>
    <w:rsid w:val="00756CF3"/>
    <w:rsid w:val="00760711"/>
    <w:rsid w:val="00764256"/>
    <w:rsid w:val="0076454F"/>
    <w:rsid w:val="00767B75"/>
    <w:rsid w:val="007700F8"/>
    <w:rsid w:val="007764F5"/>
    <w:rsid w:val="0078066F"/>
    <w:rsid w:val="0078157F"/>
    <w:rsid w:val="00781A4A"/>
    <w:rsid w:val="0079172F"/>
    <w:rsid w:val="00791C67"/>
    <w:rsid w:val="00793C07"/>
    <w:rsid w:val="007941DC"/>
    <w:rsid w:val="00794DAC"/>
    <w:rsid w:val="007958AE"/>
    <w:rsid w:val="0079703B"/>
    <w:rsid w:val="0079727B"/>
    <w:rsid w:val="007A0D34"/>
    <w:rsid w:val="007A5852"/>
    <w:rsid w:val="007A5F9B"/>
    <w:rsid w:val="007A7C7A"/>
    <w:rsid w:val="007B6A73"/>
    <w:rsid w:val="007C175B"/>
    <w:rsid w:val="007C3FAA"/>
    <w:rsid w:val="007D3AB6"/>
    <w:rsid w:val="007D4637"/>
    <w:rsid w:val="007D4C6C"/>
    <w:rsid w:val="007D569A"/>
    <w:rsid w:val="007D64F6"/>
    <w:rsid w:val="007D7F8F"/>
    <w:rsid w:val="007E4C94"/>
    <w:rsid w:val="007E5F04"/>
    <w:rsid w:val="007F2B36"/>
    <w:rsid w:val="007F2C2A"/>
    <w:rsid w:val="007F360E"/>
    <w:rsid w:val="007F4A22"/>
    <w:rsid w:val="007F5365"/>
    <w:rsid w:val="00800B76"/>
    <w:rsid w:val="00812DDE"/>
    <w:rsid w:val="008140E8"/>
    <w:rsid w:val="00815186"/>
    <w:rsid w:val="00816199"/>
    <w:rsid w:val="00816284"/>
    <w:rsid w:val="00817DB8"/>
    <w:rsid w:val="008223B6"/>
    <w:rsid w:val="008234AD"/>
    <w:rsid w:val="00824D57"/>
    <w:rsid w:val="00830E2C"/>
    <w:rsid w:val="00831A8D"/>
    <w:rsid w:val="00835FB6"/>
    <w:rsid w:val="008401DA"/>
    <w:rsid w:val="00844AC5"/>
    <w:rsid w:val="00845602"/>
    <w:rsid w:val="00846672"/>
    <w:rsid w:val="00847099"/>
    <w:rsid w:val="00853091"/>
    <w:rsid w:val="00861B0D"/>
    <w:rsid w:val="00864234"/>
    <w:rsid w:val="008642D5"/>
    <w:rsid w:val="00865A6F"/>
    <w:rsid w:val="00867AC8"/>
    <w:rsid w:val="0087133C"/>
    <w:rsid w:val="00872B38"/>
    <w:rsid w:val="008801A3"/>
    <w:rsid w:val="00880599"/>
    <w:rsid w:val="00882212"/>
    <w:rsid w:val="00883AA8"/>
    <w:rsid w:val="008853B1"/>
    <w:rsid w:val="0088696D"/>
    <w:rsid w:val="00887B87"/>
    <w:rsid w:val="00890BC9"/>
    <w:rsid w:val="0089165B"/>
    <w:rsid w:val="008920BC"/>
    <w:rsid w:val="00893242"/>
    <w:rsid w:val="008944F3"/>
    <w:rsid w:val="008A06BA"/>
    <w:rsid w:val="008A06DF"/>
    <w:rsid w:val="008A2AD6"/>
    <w:rsid w:val="008A2E3D"/>
    <w:rsid w:val="008A2FC0"/>
    <w:rsid w:val="008A59E6"/>
    <w:rsid w:val="008A6F34"/>
    <w:rsid w:val="008B2078"/>
    <w:rsid w:val="008B5366"/>
    <w:rsid w:val="008C3CB6"/>
    <w:rsid w:val="008C4241"/>
    <w:rsid w:val="008C444B"/>
    <w:rsid w:val="008C60E7"/>
    <w:rsid w:val="008D1150"/>
    <w:rsid w:val="008D16DC"/>
    <w:rsid w:val="008D1E2F"/>
    <w:rsid w:val="008E1FB9"/>
    <w:rsid w:val="008E3462"/>
    <w:rsid w:val="008E58D8"/>
    <w:rsid w:val="008E6A1B"/>
    <w:rsid w:val="008E6B4B"/>
    <w:rsid w:val="008F615A"/>
    <w:rsid w:val="008F6B49"/>
    <w:rsid w:val="0090150F"/>
    <w:rsid w:val="009025C1"/>
    <w:rsid w:val="009047BE"/>
    <w:rsid w:val="00904AF7"/>
    <w:rsid w:val="009059F6"/>
    <w:rsid w:val="00905EC4"/>
    <w:rsid w:val="00906E89"/>
    <w:rsid w:val="00914845"/>
    <w:rsid w:val="009159E1"/>
    <w:rsid w:val="00926143"/>
    <w:rsid w:val="0092669F"/>
    <w:rsid w:val="00932626"/>
    <w:rsid w:val="00937032"/>
    <w:rsid w:val="00937148"/>
    <w:rsid w:val="00941419"/>
    <w:rsid w:val="00942353"/>
    <w:rsid w:val="009437A8"/>
    <w:rsid w:val="00946EFC"/>
    <w:rsid w:val="00946F9D"/>
    <w:rsid w:val="00952D54"/>
    <w:rsid w:val="00953043"/>
    <w:rsid w:val="00954CB2"/>
    <w:rsid w:val="00960804"/>
    <w:rsid w:val="00960E38"/>
    <w:rsid w:val="00967D3B"/>
    <w:rsid w:val="00970EA5"/>
    <w:rsid w:val="00971A55"/>
    <w:rsid w:val="00972180"/>
    <w:rsid w:val="00973CA7"/>
    <w:rsid w:val="0097679F"/>
    <w:rsid w:val="00984C36"/>
    <w:rsid w:val="00986108"/>
    <w:rsid w:val="00987D22"/>
    <w:rsid w:val="00991008"/>
    <w:rsid w:val="009929A4"/>
    <w:rsid w:val="009963B1"/>
    <w:rsid w:val="009A0EA8"/>
    <w:rsid w:val="009A1BDE"/>
    <w:rsid w:val="009A4B3F"/>
    <w:rsid w:val="009A7DA8"/>
    <w:rsid w:val="009B352B"/>
    <w:rsid w:val="009B39E3"/>
    <w:rsid w:val="009B5D6F"/>
    <w:rsid w:val="009C3B31"/>
    <w:rsid w:val="009C4A73"/>
    <w:rsid w:val="009C5CF6"/>
    <w:rsid w:val="009C75DB"/>
    <w:rsid w:val="009D062B"/>
    <w:rsid w:val="009D1E75"/>
    <w:rsid w:val="009D389A"/>
    <w:rsid w:val="009D61CA"/>
    <w:rsid w:val="009E3496"/>
    <w:rsid w:val="009E444A"/>
    <w:rsid w:val="009E44D1"/>
    <w:rsid w:val="009F0561"/>
    <w:rsid w:val="009F1C8C"/>
    <w:rsid w:val="009F249A"/>
    <w:rsid w:val="009F6A79"/>
    <w:rsid w:val="00A00532"/>
    <w:rsid w:val="00A027FE"/>
    <w:rsid w:val="00A049ED"/>
    <w:rsid w:val="00A13FD3"/>
    <w:rsid w:val="00A15662"/>
    <w:rsid w:val="00A15B4D"/>
    <w:rsid w:val="00A17A05"/>
    <w:rsid w:val="00A201BA"/>
    <w:rsid w:val="00A20B5D"/>
    <w:rsid w:val="00A23F78"/>
    <w:rsid w:val="00A26C10"/>
    <w:rsid w:val="00A32364"/>
    <w:rsid w:val="00A32B12"/>
    <w:rsid w:val="00A332CD"/>
    <w:rsid w:val="00A33AC6"/>
    <w:rsid w:val="00A35840"/>
    <w:rsid w:val="00A43C61"/>
    <w:rsid w:val="00A44087"/>
    <w:rsid w:val="00A50064"/>
    <w:rsid w:val="00A50762"/>
    <w:rsid w:val="00A50EFB"/>
    <w:rsid w:val="00A51785"/>
    <w:rsid w:val="00A518CC"/>
    <w:rsid w:val="00A51DA0"/>
    <w:rsid w:val="00A52400"/>
    <w:rsid w:val="00A53AEC"/>
    <w:rsid w:val="00A5552F"/>
    <w:rsid w:val="00A557BC"/>
    <w:rsid w:val="00A57FA5"/>
    <w:rsid w:val="00A63D89"/>
    <w:rsid w:val="00A64913"/>
    <w:rsid w:val="00A66F56"/>
    <w:rsid w:val="00A70FB7"/>
    <w:rsid w:val="00A73159"/>
    <w:rsid w:val="00A90CAD"/>
    <w:rsid w:val="00A91710"/>
    <w:rsid w:val="00A921BD"/>
    <w:rsid w:val="00A925B1"/>
    <w:rsid w:val="00A92A0C"/>
    <w:rsid w:val="00A95ABA"/>
    <w:rsid w:val="00A96575"/>
    <w:rsid w:val="00AA1DA9"/>
    <w:rsid w:val="00AA3C1D"/>
    <w:rsid w:val="00AA470C"/>
    <w:rsid w:val="00AA6718"/>
    <w:rsid w:val="00AA733B"/>
    <w:rsid w:val="00AB0EAD"/>
    <w:rsid w:val="00AB2F6A"/>
    <w:rsid w:val="00AB686A"/>
    <w:rsid w:val="00AC108C"/>
    <w:rsid w:val="00AC1A00"/>
    <w:rsid w:val="00AC2AA0"/>
    <w:rsid w:val="00AC4E3E"/>
    <w:rsid w:val="00AD1041"/>
    <w:rsid w:val="00AD273D"/>
    <w:rsid w:val="00AD518D"/>
    <w:rsid w:val="00AD5200"/>
    <w:rsid w:val="00AD5F49"/>
    <w:rsid w:val="00AE19A1"/>
    <w:rsid w:val="00AE7D66"/>
    <w:rsid w:val="00AF0598"/>
    <w:rsid w:val="00AF15DE"/>
    <w:rsid w:val="00AF1826"/>
    <w:rsid w:val="00AF6FAC"/>
    <w:rsid w:val="00B00551"/>
    <w:rsid w:val="00B053A8"/>
    <w:rsid w:val="00B1021A"/>
    <w:rsid w:val="00B1504B"/>
    <w:rsid w:val="00B153BA"/>
    <w:rsid w:val="00B16372"/>
    <w:rsid w:val="00B16D72"/>
    <w:rsid w:val="00B176D7"/>
    <w:rsid w:val="00B200B5"/>
    <w:rsid w:val="00B20E1B"/>
    <w:rsid w:val="00B21432"/>
    <w:rsid w:val="00B232BF"/>
    <w:rsid w:val="00B246C8"/>
    <w:rsid w:val="00B2524F"/>
    <w:rsid w:val="00B2636C"/>
    <w:rsid w:val="00B26C75"/>
    <w:rsid w:val="00B31267"/>
    <w:rsid w:val="00B316F7"/>
    <w:rsid w:val="00B36C6F"/>
    <w:rsid w:val="00B44A67"/>
    <w:rsid w:val="00B45AD9"/>
    <w:rsid w:val="00B46B50"/>
    <w:rsid w:val="00B46F12"/>
    <w:rsid w:val="00B50FAF"/>
    <w:rsid w:val="00B56DC4"/>
    <w:rsid w:val="00B63EEA"/>
    <w:rsid w:val="00B64301"/>
    <w:rsid w:val="00B64CA6"/>
    <w:rsid w:val="00B64F0D"/>
    <w:rsid w:val="00B652C9"/>
    <w:rsid w:val="00B66291"/>
    <w:rsid w:val="00B6685C"/>
    <w:rsid w:val="00B67E44"/>
    <w:rsid w:val="00B70889"/>
    <w:rsid w:val="00B72209"/>
    <w:rsid w:val="00B723C4"/>
    <w:rsid w:val="00B73AEF"/>
    <w:rsid w:val="00B73D7A"/>
    <w:rsid w:val="00B759D9"/>
    <w:rsid w:val="00B75E35"/>
    <w:rsid w:val="00B762CF"/>
    <w:rsid w:val="00B8127D"/>
    <w:rsid w:val="00B8450A"/>
    <w:rsid w:val="00B94787"/>
    <w:rsid w:val="00B95FA8"/>
    <w:rsid w:val="00B96E1B"/>
    <w:rsid w:val="00B97368"/>
    <w:rsid w:val="00B97861"/>
    <w:rsid w:val="00B97CCE"/>
    <w:rsid w:val="00BA0C36"/>
    <w:rsid w:val="00BB22AB"/>
    <w:rsid w:val="00BB4B9A"/>
    <w:rsid w:val="00BB5734"/>
    <w:rsid w:val="00BB612C"/>
    <w:rsid w:val="00BB61A5"/>
    <w:rsid w:val="00BB74E8"/>
    <w:rsid w:val="00BC2E32"/>
    <w:rsid w:val="00BC3A0B"/>
    <w:rsid w:val="00BC4919"/>
    <w:rsid w:val="00BC7592"/>
    <w:rsid w:val="00BC79A5"/>
    <w:rsid w:val="00BD00BC"/>
    <w:rsid w:val="00BD3394"/>
    <w:rsid w:val="00BD4173"/>
    <w:rsid w:val="00BD4618"/>
    <w:rsid w:val="00BD4F05"/>
    <w:rsid w:val="00BD69D0"/>
    <w:rsid w:val="00BD72CF"/>
    <w:rsid w:val="00BD7899"/>
    <w:rsid w:val="00BE3DF4"/>
    <w:rsid w:val="00BE6581"/>
    <w:rsid w:val="00BE7E28"/>
    <w:rsid w:val="00BF0E74"/>
    <w:rsid w:val="00BF3488"/>
    <w:rsid w:val="00BF55BD"/>
    <w:rsid w:val="00C02333"/>
    <w:rsid w:val="00C05D05"/>
    <w:rsid w:val="00C06DAA"/>
    <w:rsid w:val="00C14B6A"/>
    <w:rsid w:val="00C15825"/>
    <w:rsid w:val="00C169A3"/>
    <w:rsid w:val="00C20E8D"/>
    <w:rsid w:val="00C217C3"/>
    <w:rsid w:val="00C225A6"/>
    <w:rsid w:val="00C23C13"/>
    <w:rsid w:val="00C240A7"/>
    <w:rsid w:val="00C25258"/>
    <w:rsid w:val="00C255CE"/>
    <w:rsid w:val="00C27BEA"/>
    <w:rsid w:val="00C3712E"/>
    <w:rsid w:val="00C40B64"/>
    <w:rsid w:val="00C435E6"/>
    <w:rsid w:val="00C443E4"/>
    <w:rsid w:val="00C446EE"/>
    <w:rsid w:val="00C4660F"/>
    <w:rsid w:val="00C471AC"/>
    <w:rsid w:val="00C476C8"/>
    <w:rsid w:val="00C51754"/>
    <w:rsid w:val="00C51F32"/>
    <w:rsid w:val="00C547A9"/>
    <w:rsid w:val="00C56E41"/>
    <w:rsid w:val="00C57192"/>
    <w:rsid w:val="00C609D6"/>
    <w:rsid w:val="00C64BB6"/>
    <w:rsid w:val="00C67553"/>
    <w:rsid w:val="00C67EFD"/>
    <w:rsid w:val="00C705B3"/>
    <w:rsid w:val="00C719FB"/>
    <w:rsid w:val="00C71C81"/>
    <w:rsid w:val="00C71F2E"/>
    <w:rsid w:val="00C72BA4"/>
    <w:rsid w:val="00C7311A"/>
    <w:rsid w:val="00C778D5"/>
    <w:rsid w:val="00C803D0"/>
    <w:rsid w:val="00C80A7E"/>
    <w:rsid w:val="00C85D36"/>
    <w:rsid w:val="00C867A5"/>
    <w:rsid w:val="00C86A3C"/>
    <w:rsid w:val="00C86FA4"/>
    <w:rsid w:val="00C87D50"/>
    <w:rsid w:val="00C90586"/>
    <w:rsid w:val="00C9432C"/>
    <w:rsid w:val="00C95401"/>
    <w:rsid w:val="00CA6AFC"/>
    <w:rsid w:val="00CA717E"/>
    <w:rsid w:val="00CB1580"/>
    <w:rsid w:val="00CB2684"/>
    <w:rsid w:val="00CB327E"/>
    <w:rsid w:val="00CB4CF4"/>
    <w:rsid w:val="00CB6D8B"/>
    <w:rsid w:val="00CB757F"/>
    <w:rsid w:val="00CB7714"/>
    <w:rsid w:val="00CB7888"/>
    <w:rsid w:val="00CC0D34"/>
    <w:rsid w:val="00CC1F52"/>
    <w:rsid w:val="00CC3CEC"/>
    <w:rsid w:val="00CC5650"/>
    <w:rsid w:val="00CC601E"/>
    <w:rsid w:val="00CD0810"/>
    <w:rsid w:val="00CD0871"/>
    <w:rsid w:val="00CD15AC"/>
    <w:rsid w:val="00CD16EF"/>
    <w:rsid w:val="00CD6E04"/>
    <w:rsid w:val="00CE0038"/>
    <w:rsid w:val="00CE00DF"/>
    <w:rsid w:val="00CE0EE9"/>
    <w:rsid w:val="00CE2815"/>
    <w:rsid w:val="00CE4363"/>
    <w:rsid w:val="00CE6145"/>
    <w:rsid w:val="00CE7493"/>
    <w:rsid w:val="00CF1384"/>
    <w:rsid w:val="00CF31A3"/>
    <w:rsid w:val="00CF5029"/>
    <w:rsid w:val="00D0005C"/>
    <w:rsid w:val="00D03E68"/>
    <w:rsid w:val="00D0649F"/>
    <w:rsid w:val="00D101DB"/>
    <w:rsid w:val="00D10EC7"/>
    <w:rsid w:val="00D14647"/>
    <w:rsid w:val="00D14DA8"/>
    <w:rsid w:val="00D152BD"/>
    <w:rsid w:val="00D1696C"/>
    <w:rsid w:val="00D173FA"/>
    <w:rsid w:val="00D17566"/>
    <w:rsid w:val="00D20765"/>
    <w:rsid w:val="00D20FE1"/>
    <w:rsid w:val="00D22980"/>
    <w:rsid w:val="00D251EF"/>
    <w:rsid w:val="00D25271"/>
    <w:rsid w:val="00D26AD1"/>
    <w:rsid w:val="00D27104"/>
    <w:rsid w:val="00D30143"/>
    <w:rsid w:val="00D31DD4"/>
    <w:rsid w:val="00D348B0"/>
    <w:rsid w:val="00D3713E"/>
    <w:rsid w:val="00D40793"/>
    <w:rsid w:val="00D436C6"/>
    <w:rsid w:val="00D463F3"/>
    <w:rsid w:val="00D47072"/>
    <w:rsid w:val="00D514DB"/>
    <w:rsid w:val="00D51D5A"/>
    <w:rsid w:val="00D526AB"/>
    <w:rsid w:val="00D54B44"/>
    <w:rsid w:val="00D558E1"/>
    <w:rsid w:val="00D57026"/>
    <w:rsid w:val="00D627C9"/>
    <w:rsid w:val="00D71828"/>
    <w:rsid w:val="00D800DA"/>
    <w:rsid w:val="00D8218E"/>
    <w:rsid w:val="00D8346E"/>
    <w:rsid w:val="00D86650"/>
    <w:rsid w:val="00D86D55"/>
    <w:rsid w:val="00D921FE"/>
    <w:rsid w:val="00D9496D"/>
    <w:rsid w:val="00D95BB3"/>
    <w:rsid w:val="00D97380"/>
    <w:rsid w:val="00DA044F"/>
    <w:rsid w:val="00DA105C"/>
    <w:rsid w:val="00DA2163"/>
    <w:rsid w:val="00DA28B2"/>
    <w:rsid w:val="00DA6C09"/>
    <w:rsid w:val="00DA6ECE"/>
    <w:rsid w:val="00DA7095"/>
    <w:rsid w:val="00DA72AF"/>
    <w:rsid w:val="00DB223F"/>
    <w:rsid w:val="00DB57BB"/>
    <w:rsid w:val="00DB6A83"/>
    <w:rsid w:val="00DC0B27"/>
    <w:rsid w:val="00DC3998"/>
    <w:rsid w:val="00DC4475"/>
    <w:rsid w:val="00DC5E9F"/>
    <w:rsid w:val="00DC7567"/>
    <w:rsid w:val="00DD645B"/>
    <w:rsid w:val="00DE1A22"/>
    <w:rsid w:val="00DE1CCA"/>
    <w:rsid w:val="00DE6729"/>
    <w:rsid w:val="00DE7E2D"/>
    <w:rsid w:val="00DF193F"/>
    <w:rsid w:val="00DF25E1"/>
    <w:rsid w:val="00DF3523"/>
    <w:rsid w:val="00E01458"/>
    <w:rsid w:val="00E0332B"/>
    <w:rsid w:val="00E036CD"/>
    <w:rsid w:val="00E049D9"/>
    <w:rsid w:val="00E07100"/>
    <w:rsid w:val="00E07FC2"/>
    <w:rsid w:val="00E10C3F"/>
    <w:rsid w:val="00E13124"/>
    <w:rsid w:val="00E153BB"/>
    <w:rsid w:val="00E21413"/>
    <w:rsid w:val="00E22D57"/>
    <w:rsid w:val="00E22EBC"/>
    <w:rsid w:val="00E251C7"/>
    <w:rsid w:val="00E278B7"/>
    <w:rsid w:val="00E30D44"/>
    <w:rsid w:val="00E329CC"/>
    <w:rsid w:val="00E37343"/>
    <w:rsid w:val="00E45FFA"/>
    <w:rsid w:val="00E50F9B"/>
    <w:rsid w:val="00E54396"/>
    <w:rsid w:val="00E5578E"/>
    <w:rsid w:val="00E604F1"/>
    <w:rsid w:val="00E61654"/>
    <w:rsid w:val="00E6680C"/>
    <w:rsid w:val="00E66C37"/>
    <w:rsid w:val="00E7270D"/>
    <w:rsid w:val="00E737A3"/>
    <w:rsid w:val="00E7592D"/>
    <w:rsid w:val="00E81AF6"/>
    <w:rsid w:val="00E826CD"/>
    <w:rsid w:val="00E843C6"/>
    <w:rsid w:val="00E85903"/>
    <w:rsid w:val="00E85964"/>
    <w:rsid w:val="00E85CA9"/>
    <w:rsid w:val="00E86560"/>
    <w:rsid w:val="00E86589"/>
    <w:rsid w:val="00E90411"/>
    <w:rsid w:val="00E90B57"/>
    <w:rsid w:val="00E90E77"/>
    <w:rsid w:val="00E91D47"/>
    <w:rsid w:val="00E950F7"/>
    <w:rsid w:val="00E9738B"/>
    <w:rsid w:val="00E97ED5"/>
    <w:rsid w:val="00EA2A02"/>
    <w:rsid w:val="00EA3FB7"/>
    <w:rsid w:val="00EA4881"/>
    <w:rsid w:val="00EA6339"/>
    <w:rsid w:val="00EB0F3C"/>
    <w:rsid w:val="00EB13A1"/>
    <w:rsid w:val="00EB1B29"/>
    <w:rsid w:val="00EB1F22"/>
    <w:rsid w:val="00EB4289"/>
    <w:rsid w:val="00EB5885"/>
    <w:rsid w:val="00EB6854"/>
    <w:rsid w:val="00EB75BE"/>
    <w:rsid w:val="00EC1352"/>
    <w:rsid w:val="00EC2549"/>
    <w:rsid w:val="00EC2883"/>
    <w:rsid w:val="00EC2BB5"/>
    <w:rsid w:val="00EC3810"/>
    <w:rsid w:val="00EC40A2"/>
    <w:rsid w:val="00EC4B4C"/>
    <w:rsid w:val="00EC4D83"/>
    <w:rsid w:val="00EC5F28"/>
    <w:rsid w:val="00EC69E5"/>
    <w:rsid w:val="00EE126C"/>
    <w:rsid w:val="00EE32ED"/>
    <w:rsid w:val="00EE7E2F"/>
    <w:rsid w:val="00EF31F9"/>
    <w:rsid w:val="00EF4E8F"/>
    <w:rsid w:val="00EF5AA6"/>
    <w:rsid w:val="00EF6661"/>
    <w:rsid w:val="00F02D10"/>
    <w:rsid w:val="00F0669D"/>
    <w:rsid w:val="00F07E14"/>
    <w:rsid w:val="00F10E50"/>
    <w:rsid w:val="00F211FE"/>
    <w:rsid w:val="00F224EF"/>
    <w:rsid w:val="00F234A7"/>
    <w:rsid w:val="00F238BB"/>
    <w:rsid w:val="00F2456F"/>
    <w:rsid w:val="00F261FD"/>
    <w:rsid w:val="00F27DDA"/>
    <w:rsid w:val="00F37F8A"/>
    <w:rsid w:val="00F42EDE"/>
    <w:rsid w:val="00F43EFC"/>
    <w:rsid w:val="00F446EB"/>
    <w:rsid w:val="00F46B36"/>
    <w:rsid w:val="00F47157"/>
    <w:rsid w:val="00F5336A"/>
    <w:rsid w:val="00F54C2B"/>
    <w:rsid w:val="00F567E7"/>
    <w:rsid w:val="00F571BE"/>
    <w:rsid w:val="00F5795E"/>
    <w:rsid w:val="00F57A49"/>
    <w:rsid w:val="00F61B76"/>
    <w:rsid w:val="00F643A2"/>
    <w:rsid w:val="00F643F2"/>
    <w:rsid w:val="00F65F03"/>
    <w:rsid w:val="00F6601D"/>
    <w:rsid w:val="00F673CB"/>
    <w:rsid w:val="00F67588"/>
    <w:rsid w:val="00F70F4B"/>
    <w:rsid w:val="00F72D0E"/>
    <w:rsid w:val="00F758CB"/>
    <w:rsid w:val="00F76A4D"/>
    <w:rsid w:val="00F8221A"/>
    <w:rsid w:val="00F87178"/>
    <w:rsid w:val="00F87390"/>
    <w:rsid w:val="00F90B59"/>
    <w:rsid w:val="00F91549"/>
    <w:rsid w:val="00F9208B"/>
    <w:rsid w:val="00F93EE8"/>
    <w:rsid w:val="00F943BD"/>
    <w:rsid w:val="00FA440F"/>
    <w:rsid w:val="00FA6888"/>
    <w:rsid w:val="00FB762C"/>
    <w:rsid w:val="00FC18D7"/>
    <w:rsid w:val="00FC6BE7"/>
    <w:rsid w:val="00FC7535"/>
    <w:rsid w:val="00FD0135"/>
    <w:rsid w:val="00FD028C"/>
    <w:rsid w:val="00FD2052"/>
    <w:rsid w:val="00FE0575"/>
    <w:rsid w:val="00FE26CC"/>
    <w:rsid w:val="00FE78A2"/>
    <w:rsid w:val="00FF3E28"/>
    <w:rsid w:val="00FF77D0"/>
    <w:rsid w:val="00FF7C8C"/>
    <w:rsid w:val="01DA23AF"/>
    <w:rsid w:val="025739FF"/>
    <w:rsid w:val="02581525"/>
    <w:rsid w:val="025832D3"/>
    <w:rsid w:val="02971D9B"/>
    <w:rsid w:val="02B15283"/>
    <w:rsid w:val="038A7E04"/>
    <w:rsid w:val="03CD6E6E"/>
    <w:rsid w:val="040F20B8"/>
    <w:rsid w:val="04A120E1"/>
    <w:rsid w:val="056A3A4A"/>
    <w:rsid w:val="05CF5FA2"/>
    <w:rsid w:val="060C467C"/>
    <w:rsid w:val="062A31D9"/>
    <w:rsid w:val="062F259D"/>
    <w:rsid w:val="06654211"/>
    <w:rsid w:val="068C25DB"/>
    <w:rsid w:val="06AE79A3"/>
    <w:rsid w:val="06B47C7B"/>
    <w:rsid w:val="06EB2968"/>
    <w:rsid w:val="06ED4932"/>
    <w:rsid w:val="07106873"/>
    <w:rsid w:val="071C0D73"/>
    <w:rsid w:val="07504EC1"/>
    <w:rsid w:val="07BA6656"/>
    <w:rsid w:val="07CD23FE"/>
    <w:rsid w:val="07CF7DE9"/>
    <w:rsid w:val="07EE41F1"/>
    <w:rsid w:val="080324F7"/>
    <w:rsid w:val="082F13F4"/>
    <w:rsid w:val="08381BDD"/>
    <w:rsid w:val="083D1CD8"/>
    <w:rsid w:val="087516B5"/>
    <w:rsid w:val="09A10A0F"/>
    <w:rsid w:val="0A1C72DC"/>
    <w:rsid w:val="0AC37758"/>
    <w:rsid w:val="0AD61B81"/>
    <w:rsid w:val="0AF25588"/>
    <w:rsid w:val="0B154457"/>
    <w:rsid w:val="0B212DFC"/>
    <w:rsid w:val="0B3E2722"/>
    <w:rsid w:val="0B91507D"/>
    <w:rsid w:val="0BBA6DAD"/>
    <w:rsid w:val="0BDD0298"/>
    <w:rsid w:val="0C2543D3"/>
    <w:rsid w:val="0C27455C"/>
    <w:rsid w:val="0C4A1EDF"/>
    <w:rsid w:val="0C610D37"/>
    <w:rsid w:val="0D0F2768"/>
    <w:rsid w:val="0D8458C4"/>
    <w:rsid w:val="0DC57C54"/>
    <w:rsid w:val="0E1704E7"/>
    <w:rsid w:val="0FDD1D3C"/>
    <w:rsid w:val="102B5847"/>
    <w:rsid w:val="10702130"/>
    <w:rsid w:val="10B169D0"/>
    <w:rsid w:val="10B72ECD"/>
    <w:rsid w:val="10F90F82"/>
    <w:rsid w:val="111019FE"/>
    <w:rsid w:val="11570938"/>
    <w:rsid w:val="11627CCB"/>
    <w:rsid w:val="12056066"/>
    <w:rsid w:val="127C3A4D"/>
    <w:rsid w:val="1283393D"/>
    <w:rsid w:val="130D3C66"/>
    <w:rsid w:val="13333656"/>
    <w:rsid w:val="134358DA"/>
    <w:rsid w:val="134C478E"/>
    <w:rsid w:val="13533D6F"/>
    <w:rsid w:val="13A9398F"/>
    <w:rsid w:val="13BF03CA"/>
    <w:rsid w:val="140B464A"/>
    <w:rsid w:val="143851FF"/>
    <w:rsid w:val="148B578A"/>
    <w:rsid w:val="1510485B"/>
    <w:rsid w:val="151E215B"/>
    <w:rsid w:val="155B33AF"/>
    <w:rsid w:val="15853F88"/>
    <w:rsid w:val="16157E2D"/>
    <w:rsid w:val="16393F65"/>
    <w:rsid w:val="168313B6"/>
    <w:rsid w:val="16866209"/>
    <w:rsid w:val="17173305"/>
    <w:rsid w:val="174727ED"/>
    <w:rsid w:val="17D66D1D"/>
    <w:rsid w:val="18F25DD8"/>
    <w:rsid w:val="1945415A"/>
    <w:rsid w:val="196C5B8A"/>
    <w:rsid w:val="199F50F2"/>
    <w:rsid w:val="19AC5F87"/>
    <w:rsid w:val="19B328DA"/>
    <w:rsid w:val="19CF7EC7"/>
    <w:rsid w:val="19D63004"/>
    <w:rsid w:val="1A134258"/>
    <w:rsid w:val="1A174E18"/>
    <w:rsid w:val="1A27385F"/>
    <w:rsid w:val="1A396A26"/>
    <w:rsid w:val="1A3D3083"/>
    <w:rsid w:val="1AB75623"/>
    <w:rsid w:val="1B297ECA"/>
    <w:rsid w:val="1BA91321"/>
    <w:rsid w:val="1BBE6537"/>
    <w:rsid w:val="1C422BD3"/>
    <w:rsid w:val="1C4C57FF"/>
    <w:rsid w:val="1C56667E"/>
    <w:rsid w:val="1C607754"/>
    <w:rsid w:val="1CA266AD"/>
    <w:rsid w:val="1CE27F12"/>
    <w:rsid w:val="1CF75746"/>
    <w:rsid w:val="1D024E89"/>
    <w:rsid w:val="1D170B2D"/>
    <w:rsid w:val="1D2ECEB7"/>
    <w:rsid w:val="1D686669"/>
    <w:rsid w:val="1DA65DFF"/>
    <w:rsid w:val="1DD82FFB"/>
    <w:rsid w:val="1E4F15D7"/>
    <w:rsid w:val="1E571888"/>
    <w:rsid w:val="1ECC7CDD"/>
    <w:rsid w:val="1EFA59E6"/>
    <w:rsid w:val="1F1E5E03"/>
    <w:rsid w:val="1F422EEA"/>
    <w:rsid w:val="1FA64B1C"/>
    <w:rsid w:val="1FC6067B"/>
    <w:rsid w:val="1FFB5111"/>
    <w:rsid w:val="20DB53A4"/>
    <w:rsid w:val="20E650B5"/>
    <w:rsid w:val="21081EAC"/>
    <w:rsid w:val="218B4956"/>
    <w:rsid w:val="21AB2FC8"/>
    <w:rsid w:val="21F104B3"/>
    <w:rsid w:val="22552F34"/>
    <w:rsid w:val="22843E91"/>
    <w:rsid w:val="23256E5B"/>
    <w:rsid w:val="23A943F2"/>
    <w:rsid w:val="23BF77F9"/>
    <w:rsid w:val="23ED5B1A"/>
    <w:rsid w:val="242F7EE0"/>
    <w:rsid w:val="24A02B8C"/>
    <w:rsid w:val="253756B8"/>
    <w:rsid w:val="25A022C7"/>
    <w:rsid w:val="25BF7042"/>
    <w:rsid w:val="25C26B32"/>
    <w:rsid w:val="25E8116C"/>
    <w:rsid w:val="260F3318"/>
    <w:rsid w:val="262B0B7B"/>
    <w:rsid w:val="26322DB0"/>
    <w:rsid w:val="263E1924"/>
    <w:rsid w:val="26E6643E"/>
    <w:rsid w:val="270D0281"/>
    <w:rsid w:val="27677991"/>
    <w:rsid w:val="27EC23B7"/>
    <w:rsid w:val="28184540"/>
    <w:rsid w:val="282447EB"/>
    <w:rsid w:val="28CD68E9"/>
    <w:rsid w:val="292D1901"/>
    <w:rsid w:val="296B0177"/>
    <w:rsid w:val="297638B7"/>
    <w:rsid w:val="2A7B2E88"/>
    <w:rsid w:val="2AAC55EE"/>
    <w:rsid w:val="2B1241D5"/>
    <w:rsid w:val="2B1E480B"/>
    <w:rsid w:val="2B3D1DC1"/>
    <w:rsid w:val="2B6F32B8"/>
    <w:rsid w:val="2B886128"/>
    <w:rsid w:val="2BB92785"/>
    <w:rsid w:val="2C023A0C"/>
    <w:rsid w:val="2C475F3C"/>
    <w:rsid w:val="2CC20B95"/>
    <w:rsid w:val="2CE33F5E"/>
    <w:rsid w:val="2CEB4BC0"/>
    <w:rsid w:val="2D170DFB"/>
    <w:rsid w:val="2D6B72D5"/>
    <w:rsid w:val="2D88240F"/>
    <w:rsid w:val="2DA51213"/>
    <w:rsid w:val="2DEC215C"/>
    <w:rsid w:val="2E150147"/>
    <w:rsid w:val="2E4F4001"/>
    <w:rsid w:val="2E7979F8"/>
    <w:rsid w:val="2EF36F14"/>
    <w:rsid w:val="2FA17BFB"/>
    <w:rsid w:val="2FC841E5"/>
    <w:rsid w:val="2FFA56D7"/>
    <w:rsid w:val="300852DE"/>
    <w:rsid w:val="301B3177"/>
    <w:rsid w:val="30205571"/>
    <w:rsid w:val="303F76FD"/>
    <w:rsid w:val="30AC3D2C"/>
    <w:rsid w:val="310B3A83"/>
    <w:rsid w:val="31992E3D"/>
    <w:rsid w:val="31E06CBE"/>
    <w:rsid w:val="32160E27"/>
    <w:rsid w:val="32236BAB"/>
    <w:rsid w:val="3244289A"/>
    <w:rsid w:val="32B97377"/>
    <w:rsid w:val="32FB602D"/>
    <w:rsid w:val="33941B0E"/>
    <w:rsid w:val="33C91D38"/>
    <w:rsid w:val="34291934"/>
    <w:rsid w:val="348D06FD"/>
    <w:rsid w:val="34BFA0AE"/>
    <w:rsid w:val="34CC177B"/>
    <w:rsid w:val="34DB551B"/>
    <w:rsid w:val="34DF325D"/>
    <w:rsid w:val="350A2883"/>
    <w:rsid w:val="360D5C0C"/>
    <w:rsid w:val="362E697F"/>
    <w:rsid w:val="362F1FC2"/>
    <w:rsid w:val="369B2AB4"/>
    <w:rsid w:val="37144761"/>
    <w:rsid w:val="375A6BCB"/>
    <w:rsid w:val="37AB5678"/>
    <w:rsid w:val="37C24F6B"/>
    <w:rsid w:val="37D7173E"/>
    <w:rsid w:val="37F17D73"/>
    <w:rsid w:val="382F48C6"/>
    <w:rsid w:val="38312021"/>
    <w:rsid w:val="38932C00"/>
    <w:rsid w:val="38B817B4"/>
    <w:rsid w:val="38BC00B2"/>
    <w:rsid w:val="38C05153"/>
    <w:rsid w:val="38E30E7D"/>
    <w:rsid w:val="393B4A71"/>
    <w:rsid w:val="398E34A3"/>
    <w:rsid w:val="3A7E52C6"/>
    <w:rsid w:val="3A8F1281"/>
    <w:rsid w:val="3A9B5E78"/>
    <w:rsid w:val="3AAC1E33"/>
    <w:rsid w:val="3AB17F7A"/>
    <w:rsid w:val="3ACA22B9"/>
    <w:rsid w:val="3AD7A6E2"/>
    <w:rsid w:val="3B0E58C7"/>
    <w:rsid w:val="3B304812"/>
    <w:rsid w:val="3B3A08FF"/>
    <w:rsid w:val="3BCE7B87"/>
    <w:rsid w:val="3BFB0141"/>
    <w:rsid w:val="3BFE30E2"/>
    <w:rsid w:val="3C033730"/>
    <w:rsid w:val="3C247817"/>
    <w:rsid w:val="3C5207B8"/>
    <w:rsid w:val="3C746980"/>
    <w:rsid w:val="3C7A1ABD"/>
    <w:rsid w:val="3D406863"/>
    <w:rsid w:val="3D74475E"/>
    <w:rsid w:val="3DDF607B"/>
    <w:rsid w:val="3E064452"/>
    <w:rsid w:val="3E260CC7"/>
    <w:rsid w:val="3EB968CD"/>
    <w:rsid w:val="3EE776B4"/>
    <w:rsid w:val="3EE7C2B4"/>
    <w:rsid w:val="3EF8229A"/>
    <w:rsid w:val="3F11495A"/>
    <w:rsid w:val="3F446ADE"/>
    <w:rsid w:val="3F4563B2"/>
    <w:rsid w:val="3FFF8FF1"/>
    <w:rsid w:val="401C18F7"/>
    <w:rsid w:val="40356427"/>
    <w:rsid w:val="404579BE"/>
    <w:rsid w:val="40A35A86"/>
    <w:rsid w:val="40D93256"/>
    <w:rsid w:val="41540906"/>
    <w:rsid w:val="418961FE"/>
    <w:rsid w:val="41C2018E"/>
    <w:rsid w:val="41DA7286"/>
    <w:rsid w:val="42103A4A"/>
    <w:rsid w:val="42764E69"/>
    <w:rsid w:val="427D5E63"/>
    <w:rsid w:val="42D55C9F"/>
    <w:rsid w:val="430C1F0E"/>
    <w:rsid w:val="43144A19"/>
    <w:rsid w:val="434370AD"/>
    <w:rsid w:val="439416B6"/>
    <w:rsid w:val="43AD2778"/>
    <w:rsid w:val="4416031D"/>
    <w:rsid w:val="44315157"/>
    <w:rsid w:val="44B10046"/>
    <w:rsid w:val="44D51F86"/>
    <w:rsid w:val="450811BF"/>
    <w:rsid w:val="452614AD"/>
    <w:rsid w:val="45823E47"/>
    <w:rsid w:val="45823EEF"/>
    <w:rsid w:val="45C67B21"/>
    <w:rsid w:val="45D25155"/>
    <w:rsid w:val="45F83D1B"/>
    <w:rsid w:val="46B17C96"/>
    <w:rsid w:val="46B300A5"/>
    <w:rsid w:val="46B8390E"/>
    <w:rsid w:val="46C40B0B"/>
    <w:rsid w:val="471E5E67"/>
    <w:rsid w:val="47721D0E"/>
    <w:rsid w:val="47C754C6"/>
    <w:rsid w:val="47D71C0C"/>
    <w:rsid w:val="48232705"/>
    <w:rsid w:val="486E0FF2"/>
    <w:rsid w:val="486F44A0"/>
    <w:rsid w:val="48D569FD"/>
    <w:rsid w:val="49680B13"/>
    <w:rsid w:val="49D7054F"/>
    <w:rsid w:val="4A7D2EA4"/>
    <w:rsid w:val="4B160904"/>
    <w:rsid w:val="4B3B645A"/>
    <w:rsid w:val="4B7B3A94"/>
    <w:rsid w:val="4BA12BC2"/>
    <w:rsid w:val="4C15710C"/>
    <w:rsid w:val="4C5D2380"/>
    <w:rsid w:val="4C6C1422"/>
    <w:rsid w:val="4C7812B7"/>
    <w:rsid w:val="4CE2651F"/>
    <w:rsid w:val="4D0553D3"/>
    <w:rsid w:val="4D29616C"/>
    <w:rsid w:val="4D346757"/>
    <w:rsid w:val="4D3B1D7F"/>
    <w:rsid w:val="4D9C1893"/>
    <w:rsid w:val="4DFB63A5"/>
    <w:rsid w:val="4E896D6E"/>
    <w:rsid w:val="4EDD03B5"/>
    <w:rsid w:val="4F9063D8"/>
    <w:rsid w:val="4FBD3D43"/>
    <w:rsid w:val="4FDDBF27"/>
    <w:rsid w:val="50487D45"/>
    <w:rsid w:val="50F639B0"/>
    <w:rsid w:val="51121E6C"/>
    <w:rsid w:val="512C1180"/>
    <w:rsid w:val="513F80A7"/>
    <w:rsid w:val="514C35D0"/>
    <w:rsid w:val="51656440"/>
    <w:rsid w:val="5176064D"/>
    <w:rsid w:val="52533F75"/>
    <w:rsid w:val="52C84ED8"/>
    <w:rsid w:val="52CA126A"/>
    <w:rsid w:val="52DB2E5E"/>
    <w:rsid w:val="530103EA"/>
    <w:rsid w:val="531445C2"/>
    <w:rsid w:val="53650979"/>
    <w:rsid w:val="53A07C03"/>
    <w:rsid w:val="53A243C6"/>
    <w:rsid w:val="54006EBD"/>
    <w:rsid w:val="540208BE"/>
    <w:rsid w:val="542425E2"/>
    <w:rsid w:val="549A7B8D"/>
    <w:rsid w:val="54EC4FD5"/>
    <w:rsid w:val="550E3F9A"/>
    <w:rsid w:val="553E1482"/>
    <w:rsid w:val="55766E6E"/>
    <w:rsid w:val="559732D1"/>
    <w:rsid w:val="559B2D78"/>
    <w:rsid w:val="559B53B0"/>
    <w:rsid w:val="55B81234"/>
    <w:rsid w:val="55FE01DE"/>
    <w:rsid w:val="565F3711"/>
    <w:rsid w:val="567F7FA4"/>
    <w:rsid w:val="56951575"/>
    <w:rsid w:val="56B17AF5"/>
    <w:rsid w:val="56C1680E"/>
    <w:rsid w:val="56D7393C"/>
    <w:rsid w:val="56FFB051"/>
    <w:rsid w:val="57672F12"/>
    <w:rsid w:val="57F16C7F"/>
    <w:rsid w:val="57F95B34"/>
    <w:rsid w:val="586C27AA"/>
    <w:rsid w:val="58756F84"/>
    <w:rsid w:val="589F0733"/>
    <w:rsid w:val="58E10F36"/>
    <w:rsid w:val="58E914C3"/>
    <w:rsid w:val="591075D9"/>
    <w:rsid w:val="59BA5EBD"/>
    <w:rsid w:val="59CA6C37"/>
    <w:rsid w:val="59DD51A2"/>
    <w:rsid w:val="5A241C82"/>
    <w:rsid w:val="5A48337E"/>
    <w:rsid w:val="5A655703"/>
    <w:rsid w:val="5A7D3EBF"/>
    <w:rsid w:val="5AC8016B"/>
    <w:rsid w:val="5ACD1DFE"/>
    <w:rsid w:val="5AE605F2"/>
    <w:rsid w:val="5B2D7FCE"/>
    <w:rsid w:val="5B70435F"/>
    <w:rsid w:val="5B774CDC"/>
    <w:rsid w:val="5BD56E96"/>
    <w:rsid w:val="5BD7E651"/>
    <w:rsid w:val="5BF219A0"/>
    <w:rsid w:val="5D0631CD"/>
    <w:rsid w:val="5D3445F3"/>
    <w:rsid w:val="5DEBA27A"/>
    <w:rsid w:val="5E1A49DB"/>
    <w:rsid w:val="5E4717A2"/>
    <w:rsid w:val="5E487850"/>
    <w:rsid w:val="5E4A70E9"/>
    <w:rsid w:val="5E6A75A9"/>
    <w:rsid w:val="5E6A778C"/>
    <w:rsid w:val="5EDB41E5"/>
    <w:rsid w:val="5EE44E48"/>
    <w:rsid w:val="5EFD1A3B"/>
    <w:rsid w:val="5F2B2A77"/>
    <w:rsid w:val="5FD35B6B"/>
    <w:rsid w:val="5FDE3F8D"/>
    <w:rsid w:val="5FFB82B6"/>
    <w:rsid w:val="601B0D3D"/>
    <w:rsid w:val="609A4358"/>
    <w:rsid w:val="61665FE8"/>
    <w:rsid w:val="61BC56D7"/>
    <w:rsid w:val="62A3501A"/>
    <w:rsid w:val="62C25F1E"/>
    <w:rsid w:val="62D96C8E"/>
    <w:rsid w:val="63FD86E7"/>
    <w:rsid w:val="6445282D"/>
    <w:rsid w:val="64DA7491"/>
    <w:rsid w:val="652D4363"/>
    <w:rsid w:val="65764C68"/>
    <w:rsid w:val="65980330"/>
    <w:rsid w:val="65BE5407"/>
    <w:rsid w:val="65CB6AD7"/>
    <w:rsid w:val="66F44096"/>
    <w:rsid w:val="67065B78"/>
    <w:rsid w:val="67310E46"/>
    <w:rsid w:val="674F751F"/>
    <w:rsid w:val="675D6C23"/>
    <w:rsid w:val="67D77C40"/>
    <w:rsid w:val="67DA328C"/>
    <w:rsid w:val="6832115E"/>
    <w:rsid w:val="68586D26"/>
    <w:rsid w:val="6881130A"/>
    <w:rsid w:val="688A2F04"/>
    <w:rsid w:val="68C06BF6"/>
    <w:rsid w:val="696B1E57"/>
    <w:rsid w:val="69E0280F"/>
    <w:rsid w:val="6A042842"/>
    <w:rsid w:val="6A97773D"/>
    <w:rsid w:val="6A99742E"/>
    <w:rsid w:val="6ADF8A26"/>
    <w:rsid w:val="6AF405C0"/>
    <w:rsid w:val="6B555802"/>
    <w:rsid w:val="6B5B0B88"/>
    <w:rsid w:val="6BA6470E"/>
    <w:rsid w:val="6CE013DA"/>
    <w:rsid w:val="6CF5724A"/>
    <w:rsid w:val="6DFBD2C0"/>
    <w:rsid w:val="6E14501E"/>
    <w:rsid w:val="6E5F9B2B"/>
    <w:rsid w:val="6E971ED7"/>
    <w:rsid w:val="6EB15DD3"/>
    <w:rsid w:val="6EC91D52"/>
    <w:rsid w:val="6ED07E1A"/>
    <w:rsid w:val="6EE85353"/>
    <w:rsid w:val="6EF32E85"/>
    <w:rsid w:val="6EFEA66F"/>
    <w:rsid w:val="6F240921"/>
    <w:rsid w:val="6F7A7850"/>
    <w:rsid w:val="6FB710F9"/>
    <w:rsid w:val="703D7D6C"/>
    <w:rsid w:val="70419D8B"/>
    <w:rsid w:val="70CE05A3"/>
    <w:rsid w:val="71107D1F"/>
    <w:rsid w:val="71213CDA"/>
    <w:rsid w:val="71792240"/>
    <w:rsid w:val="71A50ADE"/>
    <w:rsid w:val="72457588"/>
    <w:rsid w:val="735C724B"/>
    <w:rsid w:val="73DD5247"/>
    <w:rsid w:val="73EF2A80"/>
    <w:rsid w:val="742064CB"/>
    <w:rsid w:val="746C343F"/>
    <w:rsid w:val="7476258E"/>
    <w:rsid w:val="748F01F5"/>
    <w:rsid w:val="74F8E0F4"/>
    <w:rsid w:val="75357D54"/>
    <w:rsid w:val="755A5A0C"/>
    <w:rsid w:val="75C80BC8"/>
    <w:rsid w:val="762A72B5"/>
    <w:rsid w:val="762B1157"/>
    <w:rsid w:val="76677F65"/>
    <w:rsid w:val="768F16E6"/>
    <w:rsid w:val="76AD7DBE"/>
    <w:rsid w:val="76BF2DA9"/>
    <w:rsid w:val="76C87B5C"/>
    <w:rsid w:val="76EE4427"/>
    <w:rsid w:val="77183DD1"/>
    <w:rsid w:val="77CD8BF8"/>
    <w:rsid w:val="77EC1FCD"/>
    <w:rsid w:val="77F71C38"/>
    <w:rsid w:val="77FF052E"/>
    <w:rsid w:val="78AA314A"/>
    <w:rsid w:val="78C25DA2"/>
    <w:rsid w:val="78CD0CE6"/>
    <w:rsid w:val="78EA70A7"/>
    <w:rsid w:val="792A3948"/>
    <w:rsid w:val="79D07A75"/>
    <w:rsid w:val="79FB4704"/>
    <w:rsid w:val="7A1F0A71"/>
    <w:rsid w:val="7A3A5E0C"/>
    <w:rsid w:val="7A71379F"/>
    <w:rsid w:val="7A7237F8"/>
    <w:rsid w:val="7AD26C79"/>
    <w:rsid w:val="7BC566B5"/>
    <w:rsid w:val="7BEBF68D"/>
    <w:rsid w:val="7BFDBFAA"/>
    <w:rsid w:val="7BFEAA39"/>
    <w:rsid w:val="7CB579CC"/>
    <w:rsid w:val="7D8201F6"/>
    <w:rsid w:val="7DAF2A15"/>
    <w:rsid w:val="7DB768B9"/>
    <w:rsid w:val="7DBF99EF"/>
    <w:rsid w:val="7DCB394B"/>
    <w:rsid w:val="7DCC1471"/>
    <w:rsid w:val="7E2D0162"/>
    <w:rsid w:val="7E3C68D4"/>
    <w:rsid w:val="7E70572F"/>
    <w:rsid w:val="7E740559"/>
    <w:rsid w:val="7E7A031E"/>
    <w:rsid w:val="7E8E3C1C"/>
    <w:rsid w:val="7EFB16FE"/>
    <w:rsid w:val="7F041331"/>
    <w:rsid w:val="7F482D79"/>
    <w:rsid w:val="7F7E5F4B"/>
    <w:rsid w:val="7F820039"/>
    <w:rsid w:val="7FA9FAC7"/>
    <w:rsid w:val="7FDD3C17"/>
    <w:rsid w:val="7FE63D05"/>
    <w:rsid w:val="7FEE948F"/>
    <w:rsid w:val="7FFF0D42"/>
    <w:rsid w:val="7FFF168A"/>
    <w:rsid w:val="7FFFBAF4"/>
    <w:rsid w:val="96F35F89"/>
    <w:rsid w:val="9D5DFA2F"/>
    <w:rsid w:val="9FAF53D8"/>
    <w:rsid w:val="A7D75FB6"/>
    <w:rsid w:val="B1B73F05"/>
    <w:rsid w:val="B7F73F1B"/>
    <w:rsid w:val="B7F7AA3F"/>
    <w:rsid w:val="B7F7B120"/>
    <w:rsid w:val="BB7DD81C"/>
    <w:rsid w:val="BCFB40A8"/>
    <w:rsid w:val="BFBDBE15"/>
    <w:rsid w:val="C71F3EE9"/>
    <w:rsid w:val="CCFACD89"/>
    <w:rsid w:val="CEFF992E"/>
    <w:rsid w:val="D2BF1AF6"/>
    <w:rsid w:val="D5DFB335"/>
    <w:rsid w:val="D7A78BA2"/>
    <w:rsid w:val="D7AEFE51"/>
    <w:rsid w:val="D7F59FE9"/>
    <w:rsid w:val="D7FFBEC4"/>
    <w:rsid w:val="DBEEB134"/>
    <w:rsid w:val="DFFBB6A9"/>
    <w:rsid w:val="DFFFC274"/>
    <w:rsid w:val="E6C95D3F"/>
    <w:rsid w:val="E9654DA7"/>
    <w:rsid w:val="EDDD5E0E"/>
    <w:rsid w:val="EF77D0F4"/>
    <w:rsid w:val="EF7FECDC"/>
    <w:rsid w:val="EFEDB458"/>
    <w:rsid w:val="EFFF24FB"/>
    <w:rsid w:val="F3D7E46C"/>
    <w:rsid w:val="F6ED6222"/>
    <w:rsid w:val="F7AF071F"/>
    <w:rsid w:val="F7E83DE7"/>
    <w:rsid w:val="F7FE3506"/>
    <w:rsid w:val="FA3F05B3"/>
    <w:rsid w:val="FDB4079F"/>
    <w:rsid w:val="FDF7E0B9"/>
    <w:rsid w:val="FE2F2444"/>
    <w:rsid w:val="FE954869"/>
    <w:rsid w:val="FE975D8F"/>
    <w:rsid w:val="FEBF0F49"/>
    <w:rsid w:val="FEDBAC5F"/>
    <w:rsid w:val="FF365CAD"/>
    <w:rsid w:val="FF935FDE"/>
    <w:rsid w:val="FFCF3F28"/>
    <w:rsid w:val="FFF5472D"/>
    <w:rsid w:val="FFFC0455"/>
    <w:rsid w:val="FFFC2F17"/>
    <w:rsid w:val="FFFE1E02"/>
    <w:rsid w:val="FFFE8945"/>
    <w:rsid w:val="FFFFC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39"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1"/>
    <w:next w:val="1"/>
    <w:link w:val="3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sz w:val="28"/>
      <w:szCs w:val="20"/>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Document Map"/>
    <w:basedOn w:val="1"/>
    <w:link w:val="38"/>
    <w:semiHidden/>
    <w:unhideWhenUsed/>
    <w:qFormat/>
    <w:uiPriority w:val="99"/>
    <w:rPr>
      <w:rFonts w:ascii="宋体" w:eastAsia="宋体"/>
      <w:sz w:val="18"/>
      <w:szCs w:val="18"/>
    </w:rPr>
  </w:style>
  <w:style w:type="paragraph" w:styleId="9">
    <w:name w:val="annotation text"/>
    <w:basedOn w:val="1"/>
    <w:link w:val="40"/>
    <w:semiHidden/>
    <w:unhideWhenUsed/>
    <w:qFormat/>
    <w:uiPriority w:val="99"/>
    <w:pPr>
      <w:jc w:val="left"/>
    </w:pPr>
  </w:style>
  <w:style w:type="paragraph" w:styleId="10">
    <w:name w:val="Body Text"/>
    <w:basedOn w:val="1"/>
    <w:next w:val="11"/>
    <w:qFormat/>
    <w:uiPriority w:val="0"/>
    <w:pPr>
      <w:spacing w:line="360" w:lineRule="auto"/>
    </w:pPr>
    <w:rPr>
      <w:b/>
      <w:bCs/>
      <w:sz w:val="24"/>
    </w:rPr>
  </w:style>
  <w:style w:type="paragraph" w:styleId="11">
    <w:name w:val="toc 4"/>
    <w:basedOn w:val="1"/>
    <w:next w:val="1"/>
    <w:qFormat/>
    <w:uiPriority w:val="39"/>
    <w:pPr>
      <w:ind w:left="630"/>
      <w:jc w:val="left"/>
    </w:pPr>
    <w:rPr>
      <w:sz w:val="18"/>
      <w:szCs w:val="18"/>
    </w:rPr>
  </w:style>
  <w:style w:type="paragraph" w:styleId="12">
    <w:name w:val="Body Text Indent"/>
    <w:basedOn w:val="1"/>
    <w:qFormat/>
    <w:uiPriority w:val="0"/>
    <w:pPr>
      <w:spacing w:line="360" w:lineRule="auto"/>
      <w:ind w:firstLine="420" w:firstLineChars="200"/>
    </w:pPr>
  </w:style>
  <w:style w:type="paragraph" w:styleId="13">
    <w:name w:val="Plain Text"/>
    <w:basedOn w:val="1"/>
    <w:next w:val="1"/>
    <w:qFormat/>
    <w:uiPriority w:val="0"/>
    <w:rPr>
      <w:rFonts w:ascii="宋体" w:hAnsi="Courier New"/>
      <w:szCs w:val="20"/>
    </w:rPr>
  </w:style>
  <w:style w:type="paragraph" w:styleId="14">
    <w:name w:val="Balloon Text"/>
    <w:basedOn w:val="1"/>
    <w:link w:val="34"/>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spacing w:before="120" w:after="120"/>
      <w:jc w:val="left"/>
    </w:pPr>
    <w:rPr>
      <w:b/>
      <w:bCs/>
      <w:caps/>
    </w:rPr>
  </w:style>
  <w:style w:type="paragraph" w:styleId="18">
    <w:name w:val="toc 2"/>
    <w:basedOn w:val="1"/>
    <w:next w:val="1"/>
    <w:qFormat/>
    <w:uiPriority w:val="39"/>
    <w:pPr>
      <w:ind w:left="420" w:leftChars="200"/>
    </w:pPr>
  </w:style>
  <w:style w:type="paragraph" w:styleId="19">
    <w:name w:val="Body Text 2"/>
    <w:basedOn w:val="1"/>
    <w:qFormat/>
    <w:uiPriority w:val="0"/>
    <w:pPr>
      <w:spacing w:line="360" w:lineRule="auto"/>
    </w:pPr>
    <w:rPr>
      <w:sz w:val="24"/>
    </w:rPr>
  </w:style>
  <w:style w:type="paragraph" w:styleId="20">
    <w:name w:val="Normal (Web)"/>
    <w:basedOn w:val="1"/>
    <w:link w:val="35"/>
    <w:qFormat/>
    <w:uiPriority w:val="99"/>
    <w:pPr>
      <w:widowControl/>
      <w:spacing w:before="100" w:beforeAutospacing="1" w:afterAutospacing="1"/>
      <w:jc w:val="left"/>
    </w:pPr>
    <w:rPr>
      <w:rFonts w:ascii="宋体" w:hAnsi="宋体"/>
      <w:sz w:val="24"/>
      <w:szCs w:val="24"/>
    </w:rPr>
  </w:style>
  <w:style w:type="paragraph" w:styleId="21">
    <w:name w:val="annotation subject"/>
    <w:basedOn w:val="9"/>
    <w:next w:val="9"/>
    <w:link w:val="42"/>
    <w:semiHidden/>
    <w:unhideWhenUsed/>
    <w:qFormat/>
    <w:uiPriority w:val="99"/>
    <w:rPr>
      <w:b/>
      <w:bCs/>
    </w:rPr>
  </w:style>
  <w:style w:type="paragraph" w:styleId="22">
    <w:name w:val="Body Text First Indent 2"/>
    <w:basedOn w:val="12"/>
    <w:qFormat/>
    <w:uiPriority w:val="0"/>
    <w:pPr>
      <w:spacing w:after="120" w:line="240" w:lineRule="auto"/>
      <w:ind w:left="420" w:left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8">
    <w:name w:val="Emphasis"/>
    <w:basedOn w:val="25"/>
    <w:qFormat/>
    <w:uiPriority w:val="20"/>
    <w:rPr>
      <w:color w:val="F73131"/>
    </w:rPr>
  </w:style>
  <w:style w:type="character" w:styleId="29">
    <w:name w:val="Hyperlink"/>
    <w:basedOn w:val="25"/>
    <w:unhideWhenUsed/>
    <w:qFormat/>
    <w:uiPriority w:val="99"/>
    <w:rPr>
      <w:color w:val="0000FF" w:themeColor="hyperlink"/>
      <w:u w:val="single"/>
      <w14:textFill>
        <w14:solidFill>
          <w14:schemeClr w14:val="hlink"/>
        </w14:solidFill>
      </w14:textFill>
    </w:rPr>
  </w:style>
  <w:style w:type="character" w:styleId="30">
    <w:name w:val="annotation reference"/>
    <w:basedOn w:val="25"/>
    <w:semiHidden/>
    <w:unhideWhenUsed/>
    <w:qFormat/>
    <w:uiPriority w:val="99"/>
    <w:rPr>
      <w:sz w:val="21"/>
      <w:szCs w:val="21"/>
    </w:rPr>
  </w:style>
  <w:style w:type="character" w:styleId="31">
    <w:name w:val="HTML Cite"/>
    <w:basedOn w:val="25"/>
    <w:semiHidden/>
    <w:unhideWhenUsed/>
    <w:qFormat/>
    <w:uiPriority w:val="99"/>
    <w:rPr>
      <w:color w:val="008000"/>
    </w:rPr>
  </w:style>
  <w:style w:type="character" w:customStyle="1" w:styleId="32">
    <w:name w:val="页眉 Char"/>
    <w:basedOn w:val="25"/>
    <w:link w:val="16"/>
    <w:semiHidden/>
    <w:qFormat/>
    <w:uiPriority w:val="99"/>
    <w:rPr>
      <w:sz w:val="18"/>
      <w:szCs w:val="18"/>
    </w:rPr>
  </w:style>
  <w:style w:type="character" w:customStyle="1" w:styleId="33">
    <w:name w:val="页脚 Char"/>
    <w:basedOn w:val="25"/>
    <w:link w:val="15"/>
    <w:qFormat/>
    <w:uiPriority w:val="99"/>
    <w:rPr>
      <w:sz w:val="18"/>
      <w:szCs w:val="18"/>
    </w:rPr>
  </w:style>
  <w:style w:type="character" w:customStyle="1" w:styleId="34">
    <w:name w:val="批注框文本 Char"/>
    <w:basedOn w:val="25"/>
    <w:link w:val="14"/>
    <w:semiHidden/>
    <w:qFormat/>
    <w:uiPriority w:val="99"/>
    <w:rPr>
      <w:sz w:val="18"/>
      <w:szCs w:val="18"/>
    </w:rPr>
  </w:style>
  <w:style w:type="character" w:customStyle="1" w:styleId="35">
    <w:name w:val="普通(网站) Char"/>
    <w:link w:val="20"/>
    <w:qFormat/>
    <w:uiPriority w:val="99"/>
    <w:rPr>
      <w:rFonts w:ascii="宋体" w:hAnsi="宋体"/>
      <w:sz w:val="24"/>
      <w:szCs w:val="24"/>
    </w:rPr>
  </w:style>
  <w:style w:type="character" w:customStyle="1" w:styleId="36">
    <w:name w:val="标题 1 Char"/>
    <w:basedOn w:val="25"/>
    <w:link w:val="2"/>
    <w:qFormat/>
    <w:uiPriority w:val="0"/>
    <w:rPr>
      <w:rFonts w:ascii="Arial" w:hAnsi="Arial" w:eastAsia="宋体" w:cs="Times New Roman"/>
      <w:b/>
      <w:bCs/>
      <w:kern w:val="44"/>
      <w:sz w:val="44"/>
      <w:szCs w:val="44"/>
    </w:rPr>
  </w:style>
  <w:style w:type="paragraph" w:styleId="37">
    <w:name w:val="List Paragraph"/>
    <w:basedOn w:val="1"/>
    <w:qFormat/>
    <w:uiPriority w:val="34"/>
    <w:pPr>
      <w:ind w:firstLine="420" w:firstLineChars="200"/>
    </w:pPr>
  </w:style>
  <w:style w:type="character" w:customStyle="1" w:styleId="38">
    <w:name w:val="文档结构图 Char"/>
    <w:basedOn w:val="25"/>
    <w:link w:val="8"/>
    <w:semiHidden/>
    <w:qFormat/>
    <w:uiPriority w:val="99"/>
    <w:rPr>
      <w:rFonts w:ascii="宋体" w:eastAsia="宋体"/>
      <w:sz w:val="18"/>
      <w:szCs w:val="18"/>
    </w:rPr>
  </w:style>
  <w:style w:type="character" w:customStyle="1" w:styleId="39">
    <w:name w:val="标题 2 Char"/>
    <w:basedOn w:val="25"/>
    <w:link w:val="3"/>
    <w:semiHidden/>
    <w:qFormat/>
    <w:uiPriority w:val="9"/>
    <w:rPr>
      <w:rFonts w:asciiTheme="majorHAnsi" w:hAnsiTheme="majorHAnsi" w:eastAsiaTheme="majorEastAsia" w:cstheme="majorBidi"/>
      <w:b/>
      <w:bCs/>
      <w:sz w:val="32"/>
      <w:szCs w:val="32"/>
    </w:rPr>
  </w:style>
  <w:style w:type="character" w:customStyle="1" w:styleId="40">
    <w:name w:val="批注文字 Char"/>
    <w:basedOn w:val="25"/>
    <w:link w:val="9"/>
    <w:semiHidden/>
    <w:qFormat/>
    <w:uiPriority w:val="99"/>
  </w:style>
  <w:style w:type="character" w:customStyle="1" w:styleId="41">
    <w:name w:val="标题 3 Char"/>
    <w:qFormat/>
    <w:uiPriority w:val="0"/>
    <w:rPr>
      <w:rFonts w:ascii="黑体" w:eastAsia="黑体"/>
      <w:bCs/>
      <w:sz w:val="30"/>
    </w:rPr>
  </w:style>
  <w:style w:type="character" w:customStyle="1" w:styleId="42">
    <w:name w:val="批注主题 Char"/>
    <w:basedOn w:val="40"/>
    <w:link w:val="21"/>
    <w:semiHidden/>
    <w:qFormat/>
    <w:uiPriority w:val="99"/>
    <w:rPr>
      <w:b/>
      <w:bCs/>
      <w:kern w:val="2"/>
      <w:sz w:val="21"/>
      <w:szCs w:val="22"/>
    </w:rPr>
  </w:style>
  <w:style w:type="table" w:customStyle="1" w:styleId="43">
    <w:name w:val="网格型1"/>
    <w:basedOn w:val="2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4">
    <w:name w:val="Table Text"/>
    <w:basedOn w:val="1"/>
    <w:semiHidden/>
    <w:qFormat/>
    <w:uiPriority w:val="0"/>
    <w:rPr>
      <w:rFonts w:ascii="宋体" w:hAnsi="宋体" w:eastAsia="宋体" w:cs="宋体"/>
      <w:sz w:val="20"/>
      <w:szCs w:val="20"/>
      <w:lang w:val="en-US" w:eastAsia="en-US" w:bidi="ar-SA"/>
    </w:rPr>
  </w:style>
  <w:style w:type="paragraph" w:customStyle="1" w:styleId="45">
    <w:name w:val="正文1"/>
    <w:basedOn w:val="1"/>
    <w:qFormat/>
    <w:uiPriority w:val="0"/>
    <w:pPr>
      <w:adjustRightInd/>
      <w:spacing w:before="156" w:after="156"/>
      <w:ind w:firstLine="560"/>
    </w:pPr>
    <w:rPr>
      <w:sz w:val="28"/>
      <w:szCs w:val="32"/>
    </w:rPr>
  </w:style>
  <w:style w:type="paragraph" w:customStyle="1" w:styleId="46">
    <w:name w:val="_Style 38"/>
    <w:basedOn w:val="2"/>
    <w:next w:val="1"/>
    <w:qFormat/>
    <w:uiPriority w:val="39"/>
    <w:pPr>
      <w:widowControl/>
      <w:spacing w:before="240" w:after="0" w:line="259" w:lineRule="auto"/>
      <w:jc w:val="left"/>
      <w:outlineLvl w:val="9"/>
    </w:pPr>
    <w:rPr>
      <w:rFonts w:ascii="Calibri Light" w:hAnsi="Calibri Light" w:eastAsia="宋体" w:cs="Times New Roman"/>
      <w:color w:val="2E74B5"/>
      <w:kern w:val="0"/>
      <w:sz w:val="32"/>
      <w:szCs w:val="32"/>
    </w:rPr>
  </w:style>
  <w:style w:type="character" w:customStyle="1" w:styleId="47">
    <w:name w:val="hover19"/>
    <w:basedOn w:val="25"/>
    <w:qFormat/>
    <w:uiPriority w:val="0"/>
    <w:rPr>
      <w:color w:val="315EFB"/>
    </w:rPr>
  </w:style>
  <w:style w:type="character" w:customStyle="1" w:styleId="48">
    <w:name w:val="hover20"/>
    <w:basedOn w:val="25"/>
    <w:qFormat/>
    <w:uiPriority w:val="0"/>
  </w:style>
  <w:style w:type="character" w:customStyle="1" w:styleId="49">
    <w:name w:val="hover21"/>
    <w:basedOn w:val="25"/>
    <w:qFormat/>
    <w:uiPriority w:val="0"/>
    <w:rPr>
      <w:color w:val="315EFB"/>
    </w:rPr>
  </w:style>
  <w:style w:type="character" w:customStyle="1" w:styleId="50">
    <w:name w:val="hover22"/>
    <w:basedOn w:val="25"/>
    <w:qFormat/>
    <w:uiPriority w:val="0"/>
    <w:rPr>
      <w:color w:val="335BFF"/>
    </w:rPr>
  </w:style>
  <w:style w:type="character" w:customStyle="1" w:styleId="51">
    <w:name w:val="hover23"/>
    <w:basedOn w:val="25"/>
    <w:qFormat/>
    <w:uiPriority w:val="0"/>
  </w:style>
  <w:style w:type="character" w:customStyle="1" w:styleId="52">
    <w:name w:val="c-icon28"/>
    <w:basedOn w:val="25"/>
    <w:qFormat/>
    <w:uiPriority w:val="0"/>
  </w:style>
  <w:style w:type="character" w:customStyle="1" w:styleId="53">
    <w:name w:val="c-icon26"/>
    <w:basedOn w:val="25"/>
    <w:qFormat/>
    <w:uiPriority w:val="0"/>
  </w:style>
  <w:style w:type="character" w:customStyle="1" w:styleId="54">
    <w:name w:val="hover25"/>
    <w:basedOn w:val="25"/>
    <w:qFormat/>
    <w:uiPriority w:val="0"/>
    <w:rPr>
      <w:color w:val="315EFB"/>
    </w:rPr>
  </w:style>
  <w:style w:type="character" w:customStyle="1" w:styleId="55">
    <w:name w:val="hover26"/>
    <w:basedOn w:val="25"/>
    <w:qFormat/>
    <w:uiPriority w:val="0"/>
  </w:style>
  <w:style w:type="character" w:customStyle="1" w:styleId="56">
    <w:name w:val="hover27"/>
    <w:basedOn w:val="25"/>
    <w:qFormat/>
    <w:uiPriority w:val="0"/>
    <w:rPr>
      <w:color w:val="315EFB"/>
    </w:rPr>
  </w:style>
  <w:style w:type="character" w:customStyle="1" w:styleId="57">
    <w:name w:val="hover28"/>
    <w:basedOn w:val="25"/>
    <w:qFormat/>
    <w:uiPriority w:val="0"/>
    <w:rPr>
      <w:color w:val="335BFF"/>
    </w:rPr>
  </w:style>
  <w:style w:type="character" w:customStyle="1" w:styleId="58">
    <w:name w:val="hover29"/>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102</Pages>
  <Words>49800</Words>
  <Characters>52166</Characters>
  <Lines>316</Lines>
  <Paragraphs>89</Paragraphs>
  <TotalTime>10</TotalTime>
  <ScaleCrop>false</ScaleCrop>
  <LinksUpToDate>false</LinksUpToDate>
  <CharactersWithSpaces>56060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2021-03-14T16:56:00Z</dcterms:created>
  <dc:creator>win7-1</dc:creator>
  <cp:lastModifiedBy>123</cp:lastModifiedBy>
  <cp:lastPrinted>2025-07-04T16:05:00Z</cp:lastPrinted>
  <dcterms:modified xsi:type="dcterms:W3CDTF">2025-07-04T11:48:47Z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2BD41A9ACD98F75F6F0959682D48772E</vt:lpwstr>
  </property>
  <property fmtid="{D5CDD505-2E9C-101B-9397-08002B2CF9AE}" pid="4" name="KSOTemplateDocerSaveRecord">
    <vt:lpwstr>eyJoZGlkIjoiOGIyNWQ0ZDdhZTQwZGE2OGJhOWJhNzgyYjMwNzA4MzUifQ==</vt:lpwstr>
  </property>
</Properties>
</file>