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招标文件信息</w:t>
      </w:r>
    </w:p>
    <w:tbl>
      <w:tblPr>
        <w:tblStyle w:val="42"/>
        <w:tblW w:w="7943" w:type="dxa"/>
        <w:jc w:val="center"/>
        <w:tblCellSpacing w:w="0" w:type="dxa"/>
        <w:tblLayout w:type="autofit"/>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rPr>
              <w:t>项目编号：</w:t>
            </w:r>
          </w:p>
        </w:tc>
        <w:tc>
          <w:tcPr>
            <w:tcW w:w="5220" w:type="dxa"/>
            <w:shd w:val="clear" w:color="auto" w:fill="auto"/>
            <w:vAlign w:val="center"/>
          </w:tcPr>
          <w:p>
            <w:pPr>
              <w:widowControl/>
              <w:jc w:val="left"/>
              <w:rPr>
                <w:sz w:val="30"/>
                <w:szCs w:val="30"/>
              </w:rPr>
            </w:pPr>
            <w:r>
              <w:rPr>
                <w:sz w:val="30"/>
                <w:szCs w:val="30"/>
              </w:rPr>
              <w:t>SZZXCG-2025-00099</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rPr>
              <w:t>项目名称：</w:t>
            </w:r>
          </w:p>
        </w:tc>
        <w:tc>
          <w:tcPr>
            <w:tcW w:w="5220" w:type="dxa"/>
            <w:shd w:val="clear" w:color="auto" w:fill="auto"/>
            <w:vAlign w:val="center"/>
          </w:tcPr>
          <w:p>
            <w:pPr>
              <w:widowControl/>
              <w:jc w:val="left"/>
              <w:rPr>
                <w:sz w:val="30"/>
                <w:szCs w:val="30"/>
              </w:rPr>
            </w:pPr>
            <w:r>
              <w:rPr>
                <w:rFonts w:hint="eastAsia"/>
                <w:sz w:val="30"/>
                <w:szCs w:val="30"/>
                <w:lang w:val="en-US" w:eastAsia="zh-CN"/>
              </w:rPr>
              <w:t>深圳技师学院跨境供应链实训中心项目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rPr>
              <w:t>包 号：</w:t>
            </w:r>
          </w:p>
        </w:tc>
        <w:tc>
          <w:tcPr>
            <w:tcW w:w="5220" w:type="dxa"/>
            <w:shd w:val="clear" w:color="auto" w:fill="auto"/>
            <w:vAlign w:val="center"/>
          </w:tcPr>
          <w:p>
            <w:pPr>
              <w:widowControl/>
              <w:jc w:val="left"/>
              <w:rPr>
                <w:sz w:val="30"/>
                <w:szCs w:val="30"/>
              </w:rPr>
            </w:pPr>
            <w:r>
              <w:rPr>
                <w:rFonts w:ascii="宋体" w:hAnsi="宋体" w:cs="宋体"/>
                <w:kern w:val="0"/>
                <w:sz w:val="30"/>
                <w:szCs w:val="30"/>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rPr>
              <w:t>采购方式：</w:t>
            </w:r>
          </w:p>
        </w:tc>
        <w:tc>
          <w:tcPr>
            <w:tcW w:w="5220" w:type="dxa"/>
            <w:shd w:val="clear" w:color="auto" w:fill="auto"/>
            <w:vAlign w:val="center"/>
          </w:tcPr>
          <w:p>
            <w:pPr>
              <w:widowControl/>
              <w:jc w:val="left"/>
              <w:rPr>
                <w:rFonts w:hint="eastAsia" w:eastAsia="宋体"/>
                <w:sz w:val="30"/>
                <w:szCs w:val="30"/>
                <w:lang w:val="en-US" w:eastAsia="zh-CN"/>
              </w:rPr>
            </w:pPr>
            <w:r>
              <w:rPr>
                <w:rFonts w:ascii="宋体" w:hAnsi="宋体" w:cs="宋体"/>
                <w:kern w:val="0"/>
                <w:sz w:val="30"/>
                <w:szCs w:val="30"/>
              </w:rPr>
              <w:t>公开</w:t>
            </w:r>
            <w:r>
              <w:rPr>
                <w:rFonts w:hint="eastAsia" w:ascii="宋体" w:hAnsi="宋体" w:cs="宋体"/>
                <w:kern w:val="0"/>
                <w:sz w:val="30"/>
                <w:szCs w:val="30"/>
                <w:lang w:val="en-US" w:eastAsia="zh-CN"/>
              </w:rPr>
              <w:t>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rPr>
              <w:t>评标方法：</w:t>
            </w:r>
          </w:p>
        </w:tc>
        <w:tc>
          <w:tcPr>
            <w:tcW w:w="5220" w:type="dxa"/>
            <w:shd w:val="clear" w:color="auto" w:fill="auto"/>
            <w:vAlign w:val="center"/>
          </w:tcPr>
          <w:p>
            <w:pPr>
              <w:widowControl/>
              <w:jc w:val="left"/>
              <w:rPr>
                <w:sz w:val="30"/>
                <w:szCs w:val="30"/>
              </w:rPr>
            </w:pPr>
            <w:r>
              <w:rPr>
                <w:rFonts w:ascii="宋体" w:hAnsi="宋体" w:eastAsia="宋体" w:cs="宋体"/>
                <w:kern w:val="0"/>
                <w:sz w:val="30"/>
                <w:szCs w:val="30"/>
                <w:lang w:bidi="ar"/>
              </w:rPr>
              <w:t>综合评分法</w:t>
            </w:r>
          </w:p>
        </w:tc>
      </w:tr>
    </w:tbl>
    <w:p>
      <w:pPr>
        <w:pStyle w:val="37"/>
        <w:jc w:val="center"/>
        <w:outlineLvl w:val="1"/>
        <w:rPr>
          <w:rFonts w:ascii="黑体" w:hAnsi="黑体" w:eastAsia="黑体"/>
          <w:sz w:val="40"/>
          <w:szCs w:val="40"/>
        </w:rPr>
      </w:pPr>
      <w:r>
        <w:rPr>
          <w:rFonts w:hint="eastAsia" w:ascii="黑体" w:hAnsi="黑体" w:eastAsia="黑体"/>
          <w:sz w:val="40"/>
          <w:szCs w:val="40"/>
        </w:rPr>
        <w:t>资格性审查表</w:t>
      </w:r>
    </w:p>
    <w:tbl>
      <w:tblPr>
        <w:tblStyle w:val="42"/>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474"/>
        <w:gridCol w:w="85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74"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序号</w:t>
            </w:r>
          </w:p>
        </w:tc>
        <w:tc>
          <w:tcPr>
            <w:tcW w:w="85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7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w:t>
            </w:r>
          </w:p>
        </w:tc>
        <w:tc>
          <w:tcPr>
            <w:tcW w:w="859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ascii="宋体" w:hAnsi="宋体" w:cs="宋体"/>
                <w:kern w:val="0"/>
                <w:szCs w:val="21"/>
              </w:rPr>
              <w:t>投标人不</w:t>
            </w:r>
            <w:r>
              <w:rPr>
                <w:rFonts w:hint="eastAsia" w:ascii="宋体" w:hAnsi="宋体" w:cs="宋体"/>
                <w:kern w:val="0"/>
                <w:szCs w:val="21"/>
              </w:rPr>
              <w:t>符合</w:t>
            </w:r>
            <w:r>
              <w:rPr>
                <w:rFonts w:ascii="宋体" w:hAnsi="宋体" w:cs="宋体"/>
                <w:kern w:val="0"/>
                <w:szCs w:val="21"/>
              </w:rPr>
              <w:t>资格要求，或未提交相应的资格证明资料（详见</w:t>
            </w:r>
            <w:r>
              <w:rPr>
                <w:rFonts w:hint="eastAsia" w:ascii="宋体" w:hAnsi="宋体" w:cs="宋体"/>
                <w:kern w:val="0"/>
                <w:szCs w:val="21"/>
              </w:rPr>
              <w:t>招标</w:t>
            </w:r>
            <w:r>
              <w:rPr>
                <w:rFonts w:ascii="宋体" w:hAnsi="宋体" w:cs="宋体"/>
                <w:kern w:val="0"/>
                <w:szCs w:val="21"/>
              </w:rPr>
              <w:t>公告</w:t>
            </w:r>
            <w:r>
              <w:rPr>
                <w:rFonts w:hint="eastAsia" w:ascii="宋体" w:hAnsi="宋体"/>
                <w:szCs w:val="21"/>
              </w:rPr>
              <w:t>投标人资格要求</w:t>
            </w:r>
            <w:r>
              <w:rPr>
                <w:rFonts w:ascii="宋体" w:hAnsi="宋体" w:cs="宋体"/>
                <w:kern w:val="0"/>
                <w:szCs w:val="21"/>
              </w:rPr>
              <w:t>）</w:t>
            </w:r>
          </w:p>
        </w:tc>
      </w:tr>
    </w:tbl>
    <w:p>
      <w:pPr>
        <w:pStyle w:val="37"/>
        <w:spacing w:before="28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42"/>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430"/>
        <w:gridCol w:w="86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30"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rPr>
              <w:t>序号</w:t>
            </w:r>
          </w:p>
        </w:tc>
        <w:tc>
          <w:tcPr>
            <w:tcW w:w="864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30"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rPr>
              <w:t>1</w:t>
            </w:r>
          </w:p>
        </w:tc>
        <w:tc>
          <w:tcPr>
            <w:tcW w:w="8648"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不得将一个包内容拆开投标；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30"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rPr>
              <w:t>2</w:t>
            </w:r>
          </w:p>
        </w:tc>
        <w:tc>
          <w:tcPr>
            <w:tcW w:w="8648"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对同一项目投标时，不得提供两套以上的投标方案（招标文件另有规定的除外）；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30"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rPr>
              <w:t>3</w:t>
            </w:r>
          </w:p>
        </w:tc>
        <w:tc>
          <w:tcPr>
            <w:tcW w:w="8648"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高于相应预算金额（或设定的预算金额下的最高限价）；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30"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rPr>
              <w:t>4</w:t>
            </w:r>
          </w:p>
        </w:tc>
        <w:tc>
          <w:tcPr>
            <w:tcW w:w="8648"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30"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rPr>
              <w:t>5</w:t>
            </w:r>
          </w:p>
        </w:tc>
        <w:tc>
          <w:tcPr>
            <w:tcW w:w="8648"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w:t>
            </w:r>
            <w:r>
              <w:rPr>
                <w:rFonts w:hint="eastAsia" w:ascii="Calibri" w:hAnsi="Calibri"/>
              </w:rPr>
              <w:t>或未响应招标文件中带★号条款或响应有负偏离）</w:t>
            </w:r>
            <w:r>
              <w:rPr>
                <w:rFonts w:hint="eastAsia"/>
              </w:rPr>
              <w:t>招标文件要求的（是否实质性满足招标文件要求，由评审委员会根据实质性条款响应情况作出评判）；</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30"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rPr>
              <w:t>6</w:t>
            </w:r>
          </w:p>
        </w:tc>
        <w:tc>
          <w:tcPr>
            <w:tcW w:w="8648"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采购投标及履约承诺函</w:t>
            </w:r>
            <w:r>
              <w:rPr>
                <w:rFonts w:hint="eastAsia"/>
              </w:rPr>
              <w:t>》进行承诺或不符合承诺的；未按招标文件对投标文件组成的要求提供投标文件；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30"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rPr>
              <w:t>7</w:t>
            </w:r>
          </w:p>
        </w:tc>
        <w:tc>
          <w:tcPr>
            <w:tcW w:w="8648"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采购标的/所投产品/货物清单有缺漏项或响应不全或报价有缺漏或者对招标文件规定的项目需求内容或者需求数量进行修改，评审委员会判定投标响应不满足采购需求；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30"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rPr>
              <w:t>8</w:t>
            </w:r>
          </w:p>
        </w:tc>
        <w:tc>
          <w:tcPr>
            <w:tcW w:w="8648"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30"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rPr>
              <w:t>9</w:t>
            </w:r>
          </w:p>
        </w:tc>
        <w:tc>
          <w:tcPr>
            <w:tcW w:w="8648"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投标文件电子文档不得带病毒；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30"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rPr>
              <w:t>10</w:t>
            </w:r>
          </w:p>
        </w:tc>
        <w:tc>
          <w:tcPr>
            <w:tcW w:w="8648"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投标文件用不属于本公司的电子密钥进行加密或投标文件未按时解密的；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30"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rPr>
              <w:t>1</w:t>
            </w:r>
            <w:r>
              <w:rPr>
                <w:rFonts w:hint="eastAsia" w:ascii="宋体" w:hAnsi="宋体" w:cs="宋体"/>
                <w:kern w:val="0"/>
                <w:szCs w:val="21"/>
              </w:rPr>
              <w:t>1</w:t>
            </w:r>
          </w:p>
        </w:tc>
        <w:tc>
          <w:tcPr>
            <w:tcW w:w="8648"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37"/>
        <w:jc w:val="center"/>
        <w:outlineLvl w:val="1"/>
        <w:rPr>
          <w:rFonts w:ascii="黑体" w:hAnsi="黑体" w:eastAsia="黑体"/>
          <w:sz w:val="40"/>
          <w:szCs w:val="40"/>
        </w:rPr>
      </w:pPr>
      <w:r>
        <w:rPr>
          <w:rFonts w:hint="eastAsia" w:ascii="黑体" w:hAnsi="黑体" w:eastAsia="黑体"/>
          <w:sz w:val="40"/>
          <w:szCs w:val="40"/>
        </w:rPr>
        <w:t>评标信息</w:t>
      </w:r>
    </w:p>
    <w:tbl>
      <w:tblPr>
        <w:tblStyle w:val="42"/>
        <w:tblW w:w="9337"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265"/>
        <w:gridCol w:w="704"/>
        <w:gridCol w:w="709"/>
        <w:gridCol w:w="1843"/>
        <w:gridCol w:w="992"/>
        <w:gridCol w:w="4559"/>
        <w:gridCol w:w="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gridAfter w:val="1"/>
          <w:wAfter w:w="265" w:type="dxa"/>
          <w:tblCellSpacing w:w="0" w:type="dxa"/>
          <w:jc w:val="center"/>
        </w:trPr>
        <w:tc>
          <w:tcPr>
            <w:tcW w:w="9072" w:type="dxa"/>
            <w:gridSpan w:val="6"/>
            <w:vAlign w:val="center"/>
          </w:tcPr>
          <w:p>
            <w:pPr>
              <w:jc w:val="left"/>
              <w:rPr>
                <w:rFonts w:ascii="宋体" w:hAnsi="宋体" w:cs="宋体"/>
                <w:b/>
                <w:bCs/>
                <w:sz w:val="24"/>
              </w:rPr>
            </w:pPr>
            <w:r>
              <w:rPr>
                <w:b/>
                <w:bCs/>
              </w:rPr>
              <w:t>评标方法：综合评分法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gridAfter w:val="1"/>
          <w:wAfter w:w="265" w:type="dxa"/>
          <w:tblCellSpacing w:w="0" w:type="dxa"/>
          <w:jc w:val="center"/>
        </w:trPr>
        <w:tc>
          <w:tcPr>
            <w:tcW w:w="9072" w:type="dxa"/>
            <w:gridSpan w:val="6"/>
            <w:vAlign w:val="center"/>
          </w:tcPr>
          <w:p>
            <w:pPr>
              <w:pStyle w:val="37"/>
              <w:spacing w:line="324" w:lineRule="auto"/>
              <w:ind w:firstLine="420"/>
              <w:rPr>
                <w:sz w:val="21"/>
                <w:szCs w:val="21"/>
              </w:rPr>
            </w:pPr>
            <w:r>
              <w:rPr>
                <w:rFonts w:hint="eastAsia"/>
                <w:sz w:val="21"/>
                <w:szCs w:val="21"/>
              </w:rPr>
              <w:t>综合评分法，是指投标文件满足招标文件全部实质性要求，且按照评审因素的量化指标评审得分最高的投标人为中标候选人的评标方法。 （适用于中标候选人为1家的情形）</w:t>
            </w:r>
          </w:p>
          <w:p>
            <w:pPr>
              <w:pStyle w:val="37"/>
              <w:spacing w:line="324" w:lineRule="auto"/>
              <w:ind w:firstLine="420"/>
              <w:rPr>
                <w:sz w:val="21"/>
                <w:szCs w:val="21"/>
              </w:rPr>
            </w:pPr>
            <w:r>
              <w:rPr>
                <w:rFonts w:hint="eastAsia"/>
                <w:sz w:val="21"/>
                <w:szCs w:val="21"/>
              </w:rPr>
              <w:t>综合评分法。在最大限度地满足招标文件实质性要求的前提下，按照招标文件中规定的各项因素进行综合评审，评标总得分排名前列的投标人，作为推荐的候选中标供应商。（适用于中标候选人为多家的情形）</w:t>
            </w:r>
          </w:p>
          <w:p>
            <w:pPr>
              <w:pStyle w:val="37"/>
              <w:ind w:firstLine="420"/>
              <w:rPr>
                <w:sz w:val="21"/>
                <w:szCs w:val="21"/>
              </w:rPr>
            </w:pPr>
            <w:r>
              <w:rPr>
                <w:sz w:val="21"/>
                <w:szCs w:val="21"/>
              </w:rPr>
              <w:t>价格分计算方法：</w:t>
            </w:r>
          </w:p>
          <w:p>
            <w:pPr>
              <w:pStyle w:val="37"/>
              <w:spacing w:line="324" w:lineRule="auto"/>
              <w:ind w:left="420"/>
              <w:rPr>
                <w:sz w:val="21"/>
                <w:szCs w:val="21"/>
              </w:rPr>
            </w:pPr>
            <w:r>
              <w:rPr>
                <w:sz w:val="21"/>
                <w:szCs w:val="21"/>
              </w:rPr>
              <w:t>采用低价优先法计算，即满足</w:t>
            </w:r>
            <w:r>
              <w:rPr>
                <w:rFonts w:hint="eastAsia"/>
                <w:sz w:val="21"/>
                <w:szCs w:val="21"/>
              </w:rPr>
              <w:t>招标</w:t>
            </w:r>
            <w:r>
              <w:rPr>
                <w:sz w:val="21"/>
                <w:szCs w:val="21"/>
              </w:rPr>
              <w:t xml:space="preserve">文件要求且投标价格最低的投标报价为评标基准价，其价格分为满分。其他投标人的价格分统一按照下列公式计算： </w:t>
            </w:r>
            <w:r>
              <w:rPr>
                <w:sz w:val="21"/>
                <w:szCs w:val="21"/>
              </w:rPr>
              <w:br w:type="textWrapping"/>
            </w:r>
            <w:r>
              <w:rPr>
                <w:sz w:val="21"/>
                <w:szCs w:val="21"/>
              </w:rPr>
              <w:t xml:space="preserve">投标报价得分=(评标基准价／投标报价)×100 </w:t>
            </w:r>
            <w:r>
              <w:rPr>
                <w:sz w:val="21"/>
                <w:szCs w:val="21"/>
              </w:rPr>
              <w:br w:type="textWrapping"/>
            </w:r>
            <w:r>
              <w:rPr>
                <w:sz w:val="21"/>
                <w:szCs w:val="21"/>
              </w:rPr>
              <w:t xml:space="preserve">评标总得分＝F1×A1＋F2×A2＋……＋Fn×An </w:t>
            </w:r>
            <w:r>
              <w:rPr>
                <w:sz w:val="21"/>
                <w:szCs w:val="21"/>
              </w:rPr>
              <w:br w:type="textWrapping"/>
            </w:r>
            <w:r>
              <w:rPr>
                <w:sz w:val="21"/>
                <w:szCs w:val="21"/>
              </w:rPr>
              <w:t xml:space="preserve">F1、F2……Fn分别为各项评审因素的得分； </w:t>
            </w:r>
            <w:r>
              <w:rPr>
                <w:sz w:val="21"/>
                <w:szCs w:val="21"/>
              </w:rPr>
              <w:br w:type="textWrapping"/>
            </w:r>
            <w:r>
              <w:rPr>
                <w:sz w:val="21"/>
                <w:szCs w:val="21"/>
              </w:rPr>
              <w:t xml:space="preserve">A1、A2、……An 分别为各项评审因素所占的权重(A1＋A2＋……＋An＝1)。 </w:t>
            </w:r>
            <w:r>
              <w:rPr>
                <w:sz w:val="21"/>
                <w:szCs w:val="21"/>
              </w:rPr>
              <w:br w:type="textWrapping"/>
            </w:r>
            <w:r>
              <w:rPr>
                <w:sz w:val="21"/>
                <w:szCs w:val="21"/>
              </w:rPr>
              <w:t>评标过程中，不得去掉报价中的最高报价和最低报价。</w:t>
            </w:r>
          </w:p>
          <w:p>
            <w:pPr>
              <w:pStyle w:val="37"/>
              <w:spacing w:line="324" w:lineRule="auto"/>
              <w:ind w:left="420"/>
              <w:rPr>
                <w:sz w:val="21"/>
                <w:szCs w:val="21"/>
              </w:rPr>
            </w:pPr>
            <w:r>
              <w:rPr>
                <w:rFonts w:hint="eastAsia"/>
                <w:sz w:val="21"/>
                <w:szCs w:val="21"/>
                <w:highlight w:val="yellow"/>
                <w:lang w:val="en-US" w:eastAsia="zh-CN"/>
              </w:rPr>
              <w:t>注：投标人的“</w:t>
            </w:r>
            <w:r>
              <w:rPr>
                <w:rFonts w:hint="eastAsia"/>
                <w:color w:val="FF0000"/>
                <w:sz w:val="21"/>
                <w:szCs w:val="21"/>
                <w:highlight w:val="yellow"/>
                <w:lang w:val="en-US" w:eastAsia="zh-CN"/>
              </w:rPr>
              <w:t>技术规格响应情况</w:t>
            </w:r>
            <w:r>
              <w:rPr>
                <w:rFonts w:hint="eastAsia"/>
                <w:sz w:val="21"/>
                <w:szCs w:val="21"/>
                <w:highlight w:val="yellow"/>
                <w:lang w:val="en-US" w:eastAsia="zh-CN"/>
              </w:rPr>
              <w:t>”“技术规格偏离情况”等必须与客观实际保持一致，响应不实且情节严重的，经查实，将依法记入供应商诚信档案或受到行政处罚。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3544" w:type="dxa"/>
            <w:gridSpan w:val="3"/>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评分项</w:t>
            </w:r>
          </w:p>
        </w:tc>
        <w:tc>
          <w:tcPr>
            <w:tcW w:w="4824" w:type="dxa"/>
            <w:gridSpan w:val="2"/>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restart"/>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color w:val="0000FF"/>
                <w:sz w:val="21"/>
                <w:szCs w:val="21"/>
              </w:rPr>
            </w:pPr>
            <w:r>
              <w:rPr>
                <w:rFonts w:hint="eastAsia" w:asciiTheme="minorEastAsia" w:hAnsiTheme="minorEastAsia" w:eastAsiaTheme="minorEastAsia" w:cstheme="minorEastAsia"/>
                <w:b/>
                <w:bCs/>
                <w:color w:val="0000FF"/>
                <w:sz w:val="21"/>
                <w:szCs w:val="21"/>
              </w:rPr>
              <w:t>1</w:t>
            </w:r>
          </w:p>
        </w:tc>
        <w:tc>
          <w:tcPr>
            <w:tcW w:w="3544" w:type="dxa"/>
            <w:gridSpan w:val="3"/>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color w:val="0000FF"/>
                <w:sz w:val="21"/>
                <w:szCs w:val="21"/>
              </w:rPr>
            </w:pPr>
            <w:r>
              <w:rPr>
                <w:rFonts w:hint="eastAsia" w:asciiTheme="minorEastAsia" w:hAnsiTheme="minorEastAsia" w:eastAsiaTheme="minorEastAsia" w:cstheme="minorEastAsia"/>
                <w:b/>
                <w:bCs/>
                <w:color w:val="0000FF"/>
                <w:sz w:val="21"/>
                <w:szCs w:val="21"/>
              </w:rPr>
              <w:t>价格</w:t>
            </w:r>
          </w:p>
        </w:tc>
        <w:tc>
          <w:tcPr>
            <w:tcW w:w="4824" w:type="dxa"/>
            <w:gridSpan w:val="2"/>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color w:val="0000FF"/>
                <w:sz w:val="21"/>
                <w:szCs w:val="21"/>
              </w:rPr>
            </w:pPr>
            <w:r>
              <w:rPr>
                <w:rFonts w:hint="eastAsia" w:asciiTheme="minorEastAsia" w:hAnsiTheme="minorEastAsia" w:eastAsiaTheme="minorEastAsia" w:cstheme="minorEastAsia"/>
                <w:b/>
                <w:bCs/>
                <w:color w:val="0000FF"/>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continue"/>
            <w:vAlign w:val="center"/>
          </w:tcPr>
          <w:p>
            <w:pPr>
              <w:keepNext w:val="0"/>
              <w:keepLines w:val="0"/>
              <w:pageBreakBefore w:val="0"/>
              <w:kinsoku/>
              <w:overflowPunct/>
              <w:topLinePunct w:val="0"/>
              <w:autoSpaceDE/>
              <w:autoSpaceDN/>
              <w:bidi w:val="0"/>
              <w:adjustRightInd/>
              <w:snapToGrid/>
              <w:textAlignment w:val="auto"/>
              <w:rPr>
                <w:rFonts w:hint="eastAsia" w:asciiTheme="minorEastAsia" w:hAnsiTheme="minorEastAsia" w:eastAsiaTheme="minorEastAsia" w:cstheme="minorEastAsia"/>
                <w:b/>
                <w:bCs/>
                <w:color w:val="0000FF"/>
                <w:sz w:val="21"/>
                <w:szCs w:val="21"/>
              </w:rPr>
            </w:pPr>
          </w:p>
        </w:tc>
        <w:tc>
          <w:tcPr>
            <w:tcW w:w="8368" w:type="dxa"/>
            <w:gridSpan w:val="5"/>
          </w:tcPr>
          <w:p>
            <w:pPr>
              <w:keepNext w:val="0"/>
              <w:keepLines w:val="0"/>
              <w:pageBreakBefore w:val="0"/>
              <w:kinsoku/>
              <w:wordWrap w:val="0"/>
              <w:overflowPunct/>
              <w:topLinePunct w:val="0"/>
              <w:autoSpaceDE/>
              <w:autoSpaceDN/>
              <w:bidi w:val="0"/>
              <w:adjustRightInd/>
              <w:snapToGrid/>
              <w:textAlignment w:val="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restart"/>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color w:val="0000FF"/>
                <w:sz w:val="21"/>
                <w:szCs w:val="21"/>
              </w:rPr>
            </w:pPr>
            <w:r>
              <w:rPr>
                <w:rFonts w:hint="eastAsia" w:asciiTheme="minorEastAsia" w:hAnsiTheme="minorEastAsia" w:eastAsiaTheme="minorEastAsia" w:cstheme="minorEastAsia"/>
                <w:b/>
                <w:bCs/>
                <w:color w:val="0000FF"/>
                <w:sz w:val="21"/>
                <w:szCs w:val="21"/>
              </w:rPr>
              <w:t>2</w:t>
            </w:r>
          </w:p>
        </w:tc>
        <w:tc>
          <w:tcPr>
            <w:tcW w:w="3544" w:type="dxa"/>
            <w:gridSpan w:val="3"/>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color w:val="0000FF"/>
                <w:sz w:val="21"/>
                <w:szCs w:val="21"/>
              </w:rPr>
            </w:pPr>
            <w:r>
              <w:rPr>
                <w:rFonts w:hint="eastAsia" w:asciiTheme="minorEastAsia" w:hAnsiTheme="minorEastAsia" w:eastAsiaTheme="minorEastAsia" w:cstheme="minorEastAsia"/>
                <w:b/>
                <w:bCs/>
                <w:color w:val="0000FF"/>
                <w:sz w:val="21"/>
                <w:szCs w:val="21"/>
              </w:rPr>
              <w:t>技术部分</w:t>
            </w:r>
          </w:p>
        </w:tc>
        <w:tc>
          <w:tcPr>
            <w:tcW w:w="4824" w:type="dxa"/>
            <w:gridSpan w:val="2"/>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color w:val="0000FF"/>
                <w:sz w:val="21"/>
                <w:szCs w:val="21"/>
              </w:rPr>
            </w:pPr>
            <w:r>
              <w:rPr>
                <w:rFonts w:hint="eastAsia" w:asciiTheme="minorEastAsia" w:hAnsiTheme="minorEastAsia" w:eastAsiaTheme="minorEastAsia" w:cstheme="minorEastAsia"/>
                <w:b/>
                <w:bCs/>
                <w:color w:val="0000FF"/>
                <w:sz w:val="21"/>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continue"/>
            <w:vAlign w:val="center"/>
          </w:tcPr>
          <w:p>
            <w:pPr>
              <w:keepNext w:val="0"/>
              <w:keepLines w:val="0"/>
              <w:pageBreakBefore w:val="0"/>
              <w:kinsoku/>
              <w:overflowPunct/>
              <w:topLinePunct w:val="0"/>
              <w:autoSpaceDE/>
              <w:autoSpaceDN/>
              <w:bidi w:val="0"/>
              <w:adjustRightInd/>
              <w:snapToGrid/>
              <w:textAlignment w:val="auto"/>
              <w:rPr>
                <w:rFonts w:hint="eastAsia" w:asciiTheme="minorEastAsia" w:hAnsiTheme="minorEastAsia" w:eastAsiaTheme="minorEastAsia" w:cstheme="minorEastAsia"/>
                <w:b/>
                <w:bCs/>
                <w:color w:val="0000FF"/>
                <w:sz w:val="21"/>
                <w:szCs w:val="21"/>
              </w:rPr>
            </w:pPr>
          </w:p>
        </w:tc>
        <w:tc>
          <w:tcPr>
            <w:tcW w:w="8368" w:type="dxa"/>
            <w:gridSpan w:val="5"/>
          </w:tcPr>
          <w:p>
            <w:pPr>
              <w:keepNext w:val="0"/>
              <w:keepLines w:val="0"/>
              <w:pageBreakBefore w:val="0"/>
              <w:kinsoku/>
              <w:wordWrap w:val="0"/>
              <w:overflowPunct/>
              <w:topLinePunct w:val="0"/>
              <w:autoSpaceDE/>
              <w:autoSpaceDN/>
              <w:bidi w:val="0"/>
              <w:adjustRightInd/>
              <w:snapToGrid/>
              <w:textAlignment w:val="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continue"/>
            <w:shd w:val="clear" w:color="auto" w:fill="E6EFFA"/>
            <w:vAlign w:val="center"/>
          </w:tcPr>
          <w:p>
            <w:pPr>
              <w:keepNext w:val="0"/>
              <w:keepLines w:val="0"/>
              <w:pageBreakBefore w:val="0"/>
              <w:kinsoku/>
              <w:overflowPunct/>
              <w:topLinePunct w:val="0"/>
              <w:autoSpaceDE/>
              <w:autoSpaceDN/>
              <w:bidi w:val="0"/>
              <w:adjustRightInd/>
              <w:snapToGrid/>
              <w:textAlignment w:val="auto"/>
              <w:rPr>
                <w:rFonts w:hint="eastAsia" w:asciiTheme="minorEastAsia" w:hAnsiTheme="minorEastAsia" w:eastAsiaTheme="minorEastAsia" w:cstheme="minorEastAsia"/>
                <w:b/>
                <w:bCs/>
                <w:color w:val="0000FF"/>
                <w:sz w:val="21"/>
                <w:szCs w:val="21"/>
              </w:rPr>
            </w:pPr>
          </w:p>
        </w:tc>
        <w:tc>
          <w:tcPr>
            <w:tcW w:w="709" w:type="dxa"/>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1843" w:type="dxa"/>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评审因素</w:t>
            </w:r>
          </w:p>
        </w:tc>
        <w:tc>
          <w:tcPr>
            <w:tcW w:w="992" w:type="dxa"/>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权重%</w:t>
            </w:r>
          </w:p>
        </w:tc>
        <w:tc>
          <w:tcPr>
            <w:tcW w:w="4824" w:type="dxa"/>
            <w:gridSpan w:val="2"/>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continue"/>
            <w:vAlign w:val="center"/>
          </w:tcPr>
          <w:p>
            <w:pPr>
              <w:keepNext w:val="0"/>
              <w:keepLines w:val="0"/>
              <w:pageBreakBefore w:val="0"/>
              <w:kinsoku/>
              <w:overflowPunct/>
              <w:topLinePunct w:val="0"/>
              <w:autoSpaceDE/>
              <w:autoSpaceDN/>
              <w:bidi w:val="0"/>
              <w:adjustRightInd/>
              <w:snapToGrid/>
              <w:textAlignment w:val="auto"/>
              <w:rPr>
                <w:rFonts w:hint="eastAsia" w:asciiTheme="minorEastAsia" w:hAnsiTheme="minorEastAsia" w:eastAsiaTheme="minorEastAsia" w:cstheme="minorEastAsia"/>
                <w:b/>
                <w:bCs/>
                <w:color w:val="0000FF"/>
                <w:sz w:val="21"/>
                <w:szCs w:val="21"/>
              </w:rPr>
            </w:pPr>
          </w:p>
        </w:tc>
        <w:tc>
          <w:tcPr>
            <w:tcW w:w="709"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843"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auto"/>
                <w:sz w:val="21"/>
                <w:szCs w:val="21"/>
                <w:highlight w:val="none"/>
              </w:rPr>
              <w:t>实施团队人员情况</w:t>
            </w:r>
          </w:p>
        </w:tc>
        <w:tc>
          <w:tcPr>
            <w:tcW w:w="992"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w:t>
            </w:r>
          </w:p>
        </w:tc>
        <w:tc>
          <w:tcPr>
            <w:tcW w:w="4824" w:type="dxa"/>
            <w:gridSpan w:val="2"/>
            <w:vAlign w:val="center"/>
          </w:tcPr>
          <w:p>
            <w:pPr>
              <w:keepNext w:val="0"/>
              <w:keepLines w:val="0"/>
              <w:pageBreakBefore w:val="0"/>
              <w:widowControl/>
              <w:numPr>
                <w:ilvl w:val="0"/>
                <w:numId w:val="7"/>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评分因素：</w:t>
            </w:r>
          </w:p>
          <w:p>
            <w:pPr>
              <w:keepNext w:val="0"/>
              <w:keepLines w:val="0"/>
              <w:pageBreakBefore w:val="0"/>
              <w:widowControl/>
              <w:numPr>
                <w:ilvl w:val="0"/>
                <w:numId w:val="0"/>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根据投标人拟投入本项目实施团队人员情况</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为自有员工，再此基础上</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进行评审：</w:t>
            </w:r>
          </w:p>
          <w:p>
            <w:pPr>
              <w:keepNext w:val="0"/>
              <w:keepLines w:val="0"/>
              <w:pageBreakBefore w:val="0"/>
              <w:widowControl/>
              <w:numPr>
                <w:ilvl w:val="-1"/>
                <w:numId w:val="0"/>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1、为本项目配备一名项目负责人，本项最高得60分；</w:t>
            </w:r>
          </w:p>
          <w:p>
            <w:pPr>
              <w:keepNext w:val="0"/>
              <w:keepLines w:val="0"/>
              <w:pageBreakBefore w:val="0"/>
              <w:widowControl/>
              <w:numPr>
                <w:ilvl w:val="-1"/>
                <w:numId w:val="0"/>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（1）具有物流或供应链相关专业：硕士研究生或以上学历的得40分；本科的得20分，本小项最高40分。</w:t>
            </w:r>
          </w:p>
          <w:p>
            <w:pPr>
              <w:keepNext w:val="0"/>
              <w:keepLines w:val="0"/>
              <w:pageBreakBefore w:val="0"/>
              <w:widowControl/>
              <w:numPr>
                <w:ilvl w:val="-1"/>
                <w:numId w:val="0"/>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）具有相关专业（经济类或软件类）</w:t>
            </w:r>
            <w:r>
              <w:rPr>
                <w:rFonts w:hint="eastAsia"/>
                <w:lang w:val="en-US" w:eastAsia="zh-CN"/>
              </w:rPr>
              <w:t>副高级或以上</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职称的得20分；</w:t>
            </w:r>
          </w:p>
          <w:p>
            <w:pPr>
              <w:keepNext w:val="0"/>
              <w:keepLines w:val="0"/>
              <w:pageBreakBefore w:val="0"/>
              <w:widowControl/>
              <w:numPr>
                <w:ilvl w:val="-1"/>
                <w:numId w:val="0"/>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2、为本项目配备技术支持人员，最高得40分；</w:t>
            </w:r>
          </w:p>
          <w:p>
            <w:pPr>
              <w:keepNext w:val="0"/>
              <w:keepLines w:val="0"/>
              <w:pageBreakBefore w:val="0"/>
              <w:widowControl/>
              <w:numPr>
                <w:ilvl w:val="-1"/>
                <w:numId w:val="0"/>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（1）每提供一人具有供应链或物流相关的高级工（三级）或以上等级证书的得20分。</w:t>
            </w:r>
          </w:p>
          <w:p>
            <w:pPr>
              <w:keepNext w:val="0"/>
              <w:keepLines w:val="0"/>
              <w:pageBreakBefore w:val="0"/>
              <w:widowControl/>
              <w:numPr>
                <w:ilvl w:val="-1"/>
                <w:numId w:val="0"/>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同一人</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不得担任多个岗位</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。以上2项累计最高得100分。</w:t>
            </w:r>
          </w:p>
          <w:p>
            <w:pPr>
              <w:keepNext w:val="0"/>
              <w:keepLines w:val="0"/>
              <w:pageBreakBefore w:val="0"/>
              <w:widowControl/>
              <w:numPr>
                <w:ilvl w:val="-1"/>
                <w:numId w:val="0"/>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（二）评分依据：</w:t>
            </w:r>
          </w:p>
          <w:p>
            <w:pPr>
              <w:keepNext w:val="0"/>
              <w:keepLines w:val="0"/>
              <w:pageBreakBefore w:val="0"/>
              <w:widowControl/>
              <w:numPr>
                <w:ilvl w:val="-1"/>
                <w:numId w:val="0"/>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1、提供相关证书；</w:t>
            </w:r>
          </w:p>
          <w:p>
            <w:pPr>
              <w:keepNext w:val="0"/>
              <w:keepLines w:val="0"/>
              <w:pageBreakBefore w:val="0"/>
              <w:widowControl/>
              <w:numPr>
                <w:ilvl w:val="-1"/>
                <w:numId w:val="0"/>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（1）（经济类或软件类）</w:t>
            </w:r>
            <w:r>
              <w:rPr>
                <w:rFonts w:hint="eastAsia"/>
                <w:lang w:val="en-US" w:eastAsia="zh-CN"/>
              </w:rPr>
              <w:t>副高级或以上</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职称证书是职称证书，须提供证书及提供全国职称评审信息查询（http://www.12333.gov.cn/）或中国人事考试网（http://www.cpta.com.cn/certQuery.html）查询截图；</w:t>
            </w:r>
          </w:p>
          <w:p>
            <w:pPr>
              <w:keepNext w:val="0"/>
              <w:keepLines w:val="0"/>
              <w:pageBreakBefore w:val="0"/>
              <w:widowControl/>
              <w:numPr>
                <w:ilvl w:val="-1"/>
                <w:numId w:val="0"/>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（2）供应链或物流相关的高级工</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三级</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或以上等级证书为职业资格/职业技能等级证书，须提供证书及技能人才评价证书全国联网查询（http://zscx.osta.org.cn/）截图；</w:t>
            </w:r>
          </w:p>
          <w:p>
            <w:pPr>
              <w:keepNext w:val="0"/>
              <w:keepLines w:val="0"/>
              <w:pageBreakBefore w:val="0"/>
              <w:widowControl/>
              <w:numPr>
                <w:ilvl w:val="-1"/>
                <w:numId w:val="0"/>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提供学历证书和学信网查询记录（如学信网无法查询的，还需提供毕业院校、人社部门等颁发机构或监管机构等单位出具的证明）。留学归国人员如无法提供学信网查询记录截图，提供国（境）外学历证书扫描件（以及中文翻译件）和教育部留学服务中心出具的国外学历学位认证书扫描件【或教育部留学服务中心网站（http://zwfw.cscse.edu.cn/）在线查询截图】也予以认可。</w:t>
            </w:r>
          </w:p>
          <w:p>
            <w:pPr>
              <w:keepNext w:val="0"/>
              <w:keepLines w:val="0"/>
              <w:pageBreakBefore w:val="0"/>
              <w:widowControl/>
              <w:numPr>
                <w:ilvl w:val="-1"/>
                <w:numId w:val="0"/>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提供通过投标人缴纳的投标截止日近1个月的社保证明。近1个月的社保证明无法提供的，则可以往前顺延一个月；如供应商为新成立企业且成立时间不足1个月，提供情况说明或者证明材料亦视为符合，无需提供相关人员社保，亦可得分。</w:t>
            </w:r>
          </w:p>
          <w:p>
            <w:pPr>
              <w:keepNext w:val="0"/>
              <w:keepLines w:val="0"/>
              <w:pageBreakBefore w:val="0"/>
              <w:widowControl/>
              <w:numPr>
                <w:ilvl w:val="-1"/>
                <w:numId w:val="0"/>
              </w:numPr>
              <w:kinsoku/>
              <w:wordWrap w:val="0"/>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3、未提供或提供不清晰导致无法识别的不得分。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continue"/>
            <w:vAlign w:val="center"/>
          </w:tcPr>
          <w:p>
            <w:pPr>
              <w:keepNext w:val="0"/>
              <w:keepLines w:val="0"/>
              <w:pageBreakBefore w:val="0"/>
              <w:kinsoku/>
              <w:overflowPunct/>
              <w:topLinePunct w:val="0"/>
              <w:autoSpaceDE/>
              <w:autoSpaceDN/>
              <w:bidi w:val="0"/>
              <w:adjustRightInd/>
              <w:snapToGrid/>
              <w:textAlignment w:val="auto"/>
              <w:rPr>
                <w:rFonts w:hint="eastAsia" w:asciiTheme="minorEastAsia" w:hAnsiTheme="minorEastAsia" w:eastAsiaTheme="minorEastAsia" w:cstheme="minorEastAsia"/>
                <w:b/>
                <w:bCs/>
                <w:color w:val="0000FF"/>
                <w:sz w:val="21"/>
                <w:szCs w:val="21"/>
              </w:rPr>
            </w:pPr>
          </w:p>
        </w:tc>
        <w:tc>
          <w:tcPr>
            <w:tcW w:w="709"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2</w:t>
            </w:r>
          </w:p>
        </w:tc>
        <w:tc>
          <w:tcPr>
            <w:tcW w:w="1843"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kern w:val="0"/>
                <w:sz w:val="21"/>
                <w:szCs w:val="21"/>
              </w:rPr>
              <w:t>技术规格偏离情况</w:t>
            </w:r>
          </w:p>
        </w:tc>
        <w:tc>
          <w:tcPr>
            <w:tcW w:w="992"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51</w:t>
            </w:r>
          </w:p>
        </w:tc>
        <w:tc>
          <w:tcPr>
            <w:tcW w:w="4824" w:type="dxa"/>
            <w:gridSpan w:val="2"/>
            <w:vAlign w:val="center"/>
          </w:tcPr>
          <w:p>
            <w:pPr>
              <w:keepNext w:val="0"/>
              <w:keepLines w:val="0"/>
              <w:pageBreakBefore w:val="0"/>
              <w:widowControl/>
              <w:kinsoku/>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投标人应如实填写《技术要求偏离表》，评审委员会根据技术需求参数响应情况进行打分，各项技术参数指标及要求全部满足的得100分，所有标注“▲”的重要参数每项负偏离一扣</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分，一般参数每负偏离一条扣0.</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rPr>
              <w:t>分，扣完为止。（招标文件具体技术要求中提供相关证明材料的，如不提供视为不满足，并按照规定扣分）。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restart"/>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color w:val="0000FF"/>
                <w:sz w:val="21"/>
                <w:szCs w:val="21"/>
              </w:rPr>
            </w:pPr>
            <w:r>
              <w:rPr>
                <w:rFonts w:hint="eastAsia" w:asciiTheme="minorEastAsia" w:hAnsiTheme="minorEastAsia" w:eastAsiaTheme="minorEastAsia" w:cstheme="minorEastAsia"/>
                <w:b/>
                <w:bCs/>
                <w:color w:val="0000FF"/>
                <w:sz w:val="21"/>
                <w:szCs w:val="21"/>
              </w:rPr>
              <w:t>3</w:t>
            </w:r>
          </w:p>
        </w:tc>
        <w:tc>
          <w:tcPr>
            <w:tcW w:w="3544" w:type="dxa"/>
            <w:gridSpan w:val="3"/>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color w:val="0000FF"/>
                <w:sz w:val="21"/>
                <w:szCs w:val="21"/>
              </w:rPr>
            </w:pPr>
            <w:r>
              <w:rPr>
                <w:rFonts w:hint="eastAsia" w:asciiTheme="minorEastAsia" w:hAnsiTheme="minorEastAsia" w:eastAsiaTheme="minorEastAsia" w:cstheme="minorEastAsia"/>
                <w:b/>
                <w:bCs/>
                <w:color w:val="0000FF"/>
                <w:sz w:val="21"/>
                <w:szCs w:val="21"/>
              </w:rPr>
              <w:t>商务部分</w:t>
            </w:r>
          </w:p>
        </w:tc>
        <w:tc>
          <w:tcPr>
            <w:tcW w:w="4824" w:type="dxa"/>
            <w:gridSpan w:val="2"/>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color w:val="0000FF"/>
                <w:sz w:val="21"/>
                <w:szCs w:val="21"/>
                <w:lang w:val="en-US" w:eastAsia="zh-CN"/>
              </w:rPr>
            </w:pPr>
            <w:r>
              <w:rPr>
                <w:rFonts w:hint="eastAsia" w:asciiTheme="minorEastAsia" w:hAnsiTheme="minorEastAsia" w:eastAsiaTheme="minorEastAsia" w:cstheme="minorEastAsia"/>
                <w:b/>
                <w:bCs/>
                <w:color w:val="0000FF"/>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continue"/>
            <w:vAlign w:val="center"/>
          </w:tcPr>
          <w:p>
            <w:pPr>
              <w:keepNext w:val="0"/>
              <w:keepLines w:val="0"/>
              <w:pageBreakBefore w:val="0"/>
              <w:kinsoku/>
              <w:overflowPunct/>
              <w:topLinePunct w:val="0"/>
              <w:autoSpaceDE/>
              <w:autoSpaceDN/>
              <w:bidi w:val="0"/>
              <w:adjustRightInd/>
              <w:snapToGrid/>
              <w:textAlignment w:val="auto"/>
              <w:rPr>
                <w:rFonts w:hint="eastAsia" w:asciiTheme="minorEastAsia" w:hAnsiTheme="minorEastAsia" w:eastAsiaTheme="minorEastAsia" w:cstheme="minorEastAsia"/>
                <w:b/>
                <w:bCs/>
                <w:color w:val="0000FF"/>
                <w:sz w:val="21"/>
                <w:szCs w:val="21"/>
              </w:rPr>
            </w:pPr>
          </w:p>
        </w:tc>
        <w:tc>
          <w:tcPr>
            <w:tcW w:w="8368" w:type="dxa"/>
            <w:gridSpan w:val="5"/>
          </w:tcPr>
          <w:p>
            <w:pPr>
              <w:keepNext w:val="0"/>
              <w:keepLines w:val="0"/>
              <w:pageBreakBefore w:val="0"/>
              <w:kinsoku/>
              <w:wordWrap w:val="0"/>
              <w:overflowPunct/>
              <w:topLinePunct w:val="0"/>
              <w:autoSpaceDE/>
              <w:autoSpaceDN/>
              <w:bidi w:val="0"/>
              <w:adjustRightInd/>
              <w:snapToGrid/>
              <w:textAlignment w:val="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continue"/>
            <w:shd w:val="clear" w:color="auto" w:fill="E6EFFA"/>
            <w:vAlign w:val="center"/>
          </w:tcPr>
          <w:p>
            <w:pPr>
              <w:keepNext w:val="0"/>
              <w:keepLines w:val="0"/>
              <w:pageBreakBefore w:val="0"/>
              <w:kinsoku/>
              <w:overflowPunct/>
              <w:topLinePunct w:val="0"/>
              <w:autoSpaceDE/>
              <w:autoSpaceDN/>
              <w:bidi w:val="0"/>
              <w:adjustRightInd/>
              <w:snapToGrid/>
              <w:textAlignment w:val="auto"/>
              <w:rPr>
                <w:rFonts w:hint="eastAsia" w:asciiTheme="minorEastAsia" w:hAnsiTheme="minorEastAsia" w:eastAsiaTheme="minorEastAsia" w:cstheme="minorEastAsia"/>
                <w:b/>
                <w:bCs/>
                <w:color w:val="0000FF"/>
                <w:sz w:val="21"/>
                <w:szCs w:val="21"/>
              </w:rPr>
            </w:pPr>
          </w:p>
        </w:tc>
        <w:tc>
          <w:tcPr>
            <w:tcW w:w="709" w:type="dxa"/>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1843" w:type="dxa"/>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评审因素</w:t>
            </w:r>
          </w:p>
        </w:tc>
        <w:tc>
          <w:tcPr>
            <w:tcW w:w="992" w:type="dxa"/>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权重%</w:t>
            </w:r>
          </w:p>
        </w:tc>
        <w:tc>
          <w:tcPr>
            <w:tcW w:w="4824" w:type="dxa"/>
            <w:gridSpan w:val="2"/>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continue"/>
            <w:vAlign w:val="center"/>
          </w:tcPr>
          <w:p>
            <w:pPr>
              <w:keepNext w:val="0"/>
              <w:keepLines w:val="0"/>
              <w:pageBreakBefore w:val="0"/>
              <w:kinsoku/>
              <w:overflowPunct/>
              <w:topLinePunct w:val="0"/>
              <w:autoSpaceDE/>
              <w:autoSpaceDN/>
              <w:bidi w:val="0"/>
              <w:adjustRightInd/>
              <w:snapToGrid/>
              <w:textAlignment w:val="auto"/>
              <w:rPr>
                <w:rFonts w:hint="eastAsia" w:asciiTheme="minorEastAsia" w:hAnsiTheme="minorEastAsia" w:eastAsiaTheme="minorEastAsia" w:cstheme="minorEastAsia"/>
                <w:b/>
                <w:bCs/>
                <w:color w:val="0000FF"/>
                <w:sz w:val="21"/>
                <w:szCs w:val="21"/>
              </w:rPr>
            </w:pPr>
          </w:p>
        </w:tc>
        <w:tc>
          <w:tcPr>
            <w:tcW w:w="709"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1</w:t>
            </w:r>
          </w:p>
        </w:tc>
        <w:tc>
          <w:tcPr>
            <w:tcW w:w="1843"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售后服务条款偏离情况</w:t>
            </w:r>
          </w:p>
        </w:tc>
        <w:tc>
          <w:tcPr>
            <w:tcW w:w="992"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5</w:t>
            </w:r>
          </w:p>
        </w:tc>
        <w:tc>
          <w:tcPr>
            <w:tcW w:w="4824" w:type="dxa"/>
            <w:gridSpan w:val="2"/>
            <w:vAlign w:val="center"/>
          </w:tcPr>
          <w:p>
            <w:pPr>
              <w:keepNext w:val="0"/>
              <w:keepLines w:val="0"/>
              <w:pageBreakBefore w:val="0"/>
              <w:kinsoku/>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投标人应如实填写《售后服务条款偏离表》，评审委员会根据响应情况进行打分，全部满足要求的得100分，每负偏离一项扣</w:t>
            </w:r>
            <w:r>
              <w:rPr>
                <w:rFonts w:hint="eastAsia" w:asciiTheme="minorEastAsia" w:hAnsiTheme="minorEastAsia" w:eastAsiaTheme="minorEastAsia" w:cstheme="minorEastAsia"/>
                <w:color w:val="auto"/>
                <w:sz w:val="21"/>
                <w:szCs w:val="21"/>
                <w:lang w:val="en-US" w:eastAsia="zh-CN"/>
              </w:rPr>
              <w:t>35</w:t>
            </w:r>
            <w:r>
              <w:rPr>
                <w:rFonts w:hint="eastAsia" w:asciiTheme="minorEastAsia" w:hAnsiTheme="minorEastAsia" w:eastAsiaTheme="minorEastAsia" w:cstheme="minorEastAsia"/>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continue"/>
            <w:vAlign w:val="center"/>
          </w:tcPr>
          <w:p>
            <w:pPr>
              <w:keepNext w:val="0"/>
              <w:keepLines w:val="0"/>
              <w:pageBreakBefore w:val="0"/>
              <w:kinsoku/>
              <w:overflowPunct/>
              <w:topLinePunct w:val="0"/>
              <w:autoSpaceDE/>
              <w:autoSpaceDN/>
              <w:bidi w:val="0"/>
              <w:adjustRightInd/>
              <w:snapToGrid/>
              <w:textAlignment w:val="auto"/>
              <w:rPr>
                <w:rFonts w:hint="eastAsia" w:asciiTheme="minorEastAsia" w:hAnsiTheme="minorEastAsia" w:eastAsiaTheme="minorEastAsia" w:cstheme="minorEastAsia"/>
                <w:b/>
                <w:bCs/>
                <w:color w:val="0000FF"/>
                <w:sz w:val="21"/>
                <w:szCs w:val="21"/>
              </w:rPr>
            </w:pPr>
          </w:p>
        </w:tc>
        <w:tc>
          <w:tcPr>
            <w:tcW w:w="709"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2</w:t>
            </w:r>
          </w:p>
        </w:tc>
        <w:tc>
          <w:tcPr>
            <w:tcW w:w="1843"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其他商务条款偏离情况</w:t>
            </w:r>
          </w:p>
        </w:tc>
        <w:tc>
          <w:tcPr>
            <w:tcW w:w="992"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3</w:t>
            </w:r>
          </w:p>
        </w:tc>
        <w:tc>
          <w:tcPr>
            <w:tcW w:w="4824" w:type="dxa"/>
            <w:gridSpan w:val="2"/>
            <w:vAlign w:val="center"/>
          </w:tcPr>
          <w:p>
            <w:pPr>
              <w:keepNext w:val="0"/>
              <w:keepLines w:val="0"/>
              <w:pageBreakBefore w:val="0"/>
              <w:kinsoku/>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投标人应如实填写《其他商务条款偏离表》，评审委员会根据响应情况进行打分，全部满足要求的得100分，每负偏离一项扣</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continue"/>
            <w:vAlign w:val="center"/>
          </w:tcPr>
          <w:p>
            <w:pPr>
              <w:keepNext w:val="0"/>
              <w:keepLines w:val="0"/>
              <w:pageBreakBefore w:val="0"/>
              <w:kinsoku/>
              <w:overflowPunct/>
              <w:topLinePunct w:val="0"/>
              <w:autoSpaceDE/>
              <w:autoSpaceDN/>
              <w:bidi w:val="0"/>
              <w:adjustRightInd/>
              <w:snapToGrid/>
              <w:textAlignment w:val="auto"/>
              <w:rPr>
                <w:rFonts w:hint="eastAsia" w:asciiTheme="minorEastAsia" w:hAnsiTheme="minorEastAsia" w:eastAsiaTheme="minorEastAsia" w:cstheme="minorEastAsia"/>
                <w:b/>
                <w:bCs/>
                <w:color w:val="0000FF"/>
                <w:sz w:val="21"/>
                <w:szCs w:val="21"/>
              </w:rPr>
            </w:pPr>
          </w:p>
        </w:tc>
        <w:tc>
          <w:tcPr>
            <w:tcW w:w="709"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843"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投标人近三年同类业绩</w:t>
            </w:r>
          </w:p>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highlight w:val="none"/>
              </w:rPr>
            </w:pPr>
          </w:p>
        </w:tc>
        <w:tc>
          <w:tcPr>
            <w:tcW w:w="992" w:type="dxa"/>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4824" w:type="dxa"/>
            <w:gridSpan w:val="2"/>
            <w:vAlign w:val="top"/>
          </w:tcPr>
          <w:p>
            <w:pPr>
              <w:keepNext w:val="0"/>
              <w:keepLines w:val="0"/>
              <w:pageBreakBefore w:val="0"/>
              <w:kinsoku/>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（一）评分内容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2022年1月1日至本项目投标截止日（以合同签订日期为准），投标人</w:t>
            </w:r>
            <w:r>
              <w:rPr>
                <w:rFonts w:hint="eastAsia" w:asciiTheme="minorEastAsia" w:hAnsiTheme="minorEastAsia" w:eastAsiaTheme="minorEastAsia" w:cstheme="minorEastAsia"/>
                <w:color w:val="auto"/>
                <w:sz w:val="21"/>
                <w:szCs w:val="21"/>
                <w:highlight w:val="none"/>
                <w:lang w:val="en-US" w:eastAsia="zh-CN"/>
              </w:rPr>
              <w:t>具有</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供应链或物流相关</w:t>
            </w:r>
            <w:r>
              <w:rPr>
                <w:rFonts w:hint="eastAsia" w:asciiTheme="minorEastAsia" w:hAnsiTheme="minorEastAsia" w:eastAsiaTheme="minorEastAsia" w:cstheme="minorEastAsia"/>
                <w:color w:val="auto"/>
                <w:sz w:val="21"/>
                <w:szCs w:val="21"/>
                <w:highlight w:val="none"/>
              </w:rPr>
              <w:t>类业绩</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每提供一个得35分，满分100分。年一签的长期服务续签合同只计算一个业绩。</w:t>
            </w:r>
          </w:p>
          <w:p>
            <w:pPr>
              <w:pStyle w:val="67"/>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评分标准</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1.提供合同关键页扫描件(包括不限于:合同服务期限、合同甲乙双方页、合同签署日期、服务内容、</w:t>
            </w:r>
            <w:r>
              <w:rPr>
                <w:rFonts w:hint="eastAsia"/>
                <w:lang w:val="en-US" w:eastAsia="zh-CN"/>
              </w:rPr>
              <w:t>合同双方盖章页</w:t>
            </w:r>
            <w:r>
              <w:rPr>
                <w:rFonts w:hint="eastAsia" w:asciiTheme="minorEastAsia" w:hAnsiTheme="minorEastAsia" w:eastAsiaTheme="minorEastAsia" w:cstheme="minorEastAsia"/>
                <w:color w:val="auto"/>
                <w:sz w:val="21"/>
                <w:szCs w:val="21"/>
                <w:highlight w:val="none"/>
                <w:lang w:val="en-US" w:eastAsia="zh-CN"/>
              </w:rPr>
              <w:t>);</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2.未提供或提供不清晰导致无法识别的不得分。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color w:val="0000FF"/>
                <w:sz w:val="21"/>
                <w:szCs w:val="21"/>
              </w:rPr>
            </w:pPr>
            <w:r>
              <w:rPr>
                <w:rFonts w:hint="eastAsia" w:asciiTheme="minorEastAsia" w:hAnsiTheme="minorEastAsia" w:eastAsiaTheme="minorEastAsia" w:cstheme="minorEastAsia"/>
                <w:b/>
                <w:bCs/>
                <w:color w:val="0000FF"/>
                <w:sz w:val="21"/>
                <w:szCs w:val="21"/>
              </w:rPr>
              <w:t>4</w:t>
            </w:r>
          </w:p>
        </w:tc>
        <w:tc>
          <w:tcPr>
            <w:tcW w:w="3544" w:type="dxa"/>
            <w:gridSpan w:val="3"/>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color w:val="0000FF"/>
                <w:sz w:val="21"/>
                <w:szCs w:val="21"/>
              </w:rPr>
            </w:pPr>
            <w:r>
              <w:rPr>
                <w:rFonts w:hint="eastAsia" w:asciiTheme="minorEastAsia" w:hAnsiTheme="minorEastAsia" w:eastAsiaTheme="minorEastAsia" w:cstheme="minorEastAsia"/>
                <w:b/>
                <w:bCs/>
                <w:color w:val="0000FF"/>
                <w:sz w:val="21"/>
                <w:szCs w:val="21"/>
              </w:rPr>
              <w:t>诚信情况</w:t>
            </w:r>
          </w:p>
        </w:tc>
        <w:tc>
          <w:tcPr>
            <w:tcW w:w="4824" w:type="dxa"/>
            <w:gridSpan w:val="2"/>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color w:val="0000FF"/>
                <w:sz w:val="21"/>
                <w:szCs w:val="21"/>
              </w:rPr>
            </w:pPr>
            <w:r>
              <w:rPr>
                <w:rFonts w:hint="eastAsia" w:asciiTheme="minorEastAsia" w:hAnsiTheme="minorEastAsia" w:eastAsiaTheme="minorEastAsia" w:cstheme="minorEastAsia"/>
                <w:b/>
                <w:bCs/>
                <w:color w:val="0000FF"/>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restart"/>
            <w:shd w:val="clear" w:color="auto" w:fill="auto"/>
            <w:vAlign w:val="center"/>
          </w:tcPr>
          <w:p>
            <w:pPr>
              <w:keepNext w:val="0"/>
              <w:keepLines w:val="0"/>
              <w:pageBreakBefore w:val="0"/>
              <w:kinsoku/>
              <w:overflowPunct/>
              <w:topLinePunct w:val="0"/>
              <w:autoSpaceDE/>
              <w:autoSpaceDN/>
              <w:bidi w:val="0"/>
              <w:adjustRightInd/>
              <w:snapToGrid/>
              <w:textAlignment w:val="auto"/>
              <w:rPr>
                <w:rFonts w:hint="eastAsia" w:asciiTheme="minorEastAsia" w:hAnsiTheme="minorEastAsia" w:eastAsiaTheme="minorEastAsia" w:cstheme="minorEastAsia"/>
                <w:b/>
                <w:bCs/>
                <w:color w:val="0000FF"/>
                <w:sz w:val="21"/>
                <w:szCs w:val="21"/>
              </w:rPr>
            </w:pPr>
          </w:p>
        </w:tc>
        <w:tc>
          <w:tcPr>
            <w:tcW w:w="709" w:type="dxa"/>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1843" w:type="dxa"/>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评审因素</w:t>
            </w:r>
          </w:p>
        </w:tc>
        <w:tc>
          <w:tcPr>
            <w:tcW w:w="992" w:type="dxa"/>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权重%</w:t>
            </w:r>
          </w:p>
        </w:tc>
        <w:tc>
          <w:tcPr>
            <w:tcW w:w="4824" w:type="dxa"/>
            <w:gridSpan w:val="2"/>
            <w:shd w:val="clear" w:color="auto" w:fill="E6EFF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gridBefore w:val="1"/>
          <w:wBefore w:w="265" w:type="dxa"/>
          <w:tblCellSpacing w:w="0" w:type="dxa"/>
          <w:jc w:val="center"/>
        </w:trPr>
        <w:tc>
          <w:tcPr>
            <w:tcW w:w="704" w:type="dxa"/>
            <w:vMerge w:val="continue"/>
            <w:shd w:val="clear" w:color="auto" w:fill="auto"/>
            <w:vAlign w:val="center"/>
          </w:tcPr>
          <w:p>
            <w:pPr>
              <w:keepNext w:val="0"/>
              <w:keepLines w:val="0"/>
              <w:pageBreakBefore w:val="0"/>
              <w:kinsoku/>
              <w:overflowPunct/>
              <w:topLinePunct w:val="0"/>
              <w:autoSpaceDE/>
              <w:autoSpaceDN/>
              <w:bidi w:val="0"/>
              <w:adjustRightInd/>
              <w:snapToGrid/>
              <w:textAlignment w:val="auto"/>
              <w:rPr>
                <w:rFonts w:hint="eastAsia" w:asciiTheme="minorEastAsia" w:hAnsiTheme="minorEastAsia" w:eastAsiaTheme="minorEastAsia" w:cstheme="minorEastAsia"/>
                <w:b/>
                <w:bCs/>
                <w:color w:val="0000FF"/>
                <w:sz w:val="21"/>
                <w:szCs w:val="21"/>
              </w:rPr>
            </w:pPr>
          </w:p>
        </w:tc>
        <w:tc>
          <w:tcPr>
            <w:tcW w:w="709" w:type="dx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843" w:type="dx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诚信情况</w:t>
            </w:r>
          </w:p>
        </w:tc>
        <w:tc>
          <w:tcPr>
            <w:tcW w:w="992" w:type="dxa"/>
            <w:vAlign w:val="center"/>
          </w:tcPr>
          <w:p>
            <w:pPr>
              <w:keepNext w:val="0"/>
              <w:keepLines w:val="0"/>
              <w:pageBreakBefore w:val="0"/>
              <w:kinsoku/>
              <w:wordWrap w:val="0"/>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4824" w:type="dxa"/>
            <w:gridSpan w:val="2"/>
          </w:tcPr>
          <w:p>
            <w:pPr>
              <w:keepNext w:val="0"/>
              <w:keepLines w:val="0"/>
              <w:pageBreakBefore w:val="0"/>
              <w:kinsoku/>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（一）评分内容：</w:t>
            </w:r>
          </w:p>
          <w:p>
            <w:pPr>
              <w:keepNext w:val="0"/>
              <w:keepLines w:val="0"/>
              <w:pageBreakBefore w:val="0"/>
              <w:kinsoku/>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应商存在《深圳市财政局政府采购供应商信用信息管理办法》（深财规〔2023〕3号）列明的一般行政处罚信息、一般违法失信记录信息的，本项不得分，不存在上述情形的本项得100分。供应商无需提供任何证明材料，评标过程中由工作人员向评审委员会提供有关供应商诚信查询结果。</w:t>
            </w:r>
          </w:p>
          <w:p>
            <w:pPr>
              <w:keepNext w:val="0"/>
              <w:keepLines w:val="0"/>
              <w:pageBreakBefore w:val="0"/>
              <w:kinsoku/>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（二）评分依据：</w:t>
            </w:r>
          </w:p>
          <w:p>
            <w:pPr>
              <w:keepNext w:val="0"/>
              <w:keepLines w:val="0"/>
              <w:pageBreakBefore w:val="0"/>
              <w:kinsoku/>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查询渠道：通过“信用中国”（www.creditchina.gov.cn，</w:t>
            </w:r>
            <w:r>
              <w:rPr>
                <w:rFonts w:hint="eastAsia" w:asciiTheme="minorEastAsia" w:hAnsiTheme="minorEastAsia" w:eastAsiaTheme="minorEastAsia" w:cstheme="minorEastAsia"/>
                <w:b/>
                <w:bCs/>
                <w:sz w:val="21"/>
                <w:szCs w:val="21"/>
              </w:rPr>
              <w:t>下载信用信息报告</w:t>
            </w:r>
            <w:r>
              <w:rPr>
                <w:rFonts w:hint="eastAsia" w:asciiTheme="minorEastAsia" w:hAnsiTheme="minorEastAsia" w:eastAsiaTheme="minorEastAsia" w:cstheme="minorEastAsia"/>
                <w:sz w:val="21"/>
                <w:szCs w:val="21"/>
              </w:rPr>
              <w:t>）、“中国政府采购网”（www.ccgp.gov.cn）以及“深圳市政府采购监管网”（http://zfcg.sz.gov.cn）查询供应商信用信息，信用信息以开标当日的查询结果为准。</w:t>
            </w:r>
          </w:p>
        </w:tc>
      </w:tr>
    </w:tbl>
    <w:p>
      <w:r>
        <w:rPr>
          <w:rFonts w:hint="eastAsia"/>
        </w:rPr>
        <w:br w:type="page"/>
      </w:r>
    </w:p>
    <w:p>
      <w:pPr>
        <w:jc w:val="center"/>
        <w:rPr>
          <w:b/>
          <w:sz w:val="120"/>
          <w:szCs w:val="120"/>
        </w:rPr>
      </w:pPr>
    </w:p>
    <w:p>
      <w:pPr>
        <w:jc w:val="center"/>
        <w:rPr>
          <w:b/>
          <w:sz w:val="120"/>
          <w:szCs w:val="120"/>
        </w:rPr>
      </w:pPr>
      <w:r>
        <w:rPr>
          <w:rFonts w:hint="eastAsia"/>
          <w:b/>
          <w:sz w:val="120"/>
          <w:szCs w:val="120"/>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w:t>
      </w:r>
      <w:r>
        <w:rPr>
          <w:rFonts w:hint="eastAsia"/>
          <w:b/>
          <w:sz w:val="52"/>
          <w:szCs w:val="52"/>
          <w:lang w:eastAsia="zh-CN"/>
        </w:rPr>
        <w:t>货物类</w:t>
      </w:r>
      <w:r>
        <w:rPr>
          <w:rFonts w:hint="eastAsia"/>
          <w:b/>
          <w:sz w:val="52"/>
          <w:szCs w:val="52"/>
        </w:rPr>
        <w:t>）</w:t>
      </w:r>
    </w:p>
    <w:p>
      <w:pPr>
        <w:jc w:val="center"/>
      </w:pPr>
    </w:p>
    <w:p>
      <w:pPr>
        <w:jc w:val="center"/>
      </w:pPr>
    </w:p>
    <w:p>
      <w:pPr>
        <w:jc w:val="center"/>
      </w:pPr>
    </w:p>
    <w:p>
      <w:pPr>
        <w:jc w:val="center"/>
      </w:pPr>
    </w:p>
    <w:p>
      <w:pPr>
        <w:jc w:val="cente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bookmarkStart w:id="0" w:name="_Hlk71465316"/>
      <w:r>
        <w:rPr>
          <w:rFonts w:hint="eastAsia"/>
          <w:b/>
          <w:sz w:val="44"/>
          <w:szCs w:val="44"/>
        </w:rPr>
        <w:t>深圳公共资源交易中心</w:t>
      </w:r>
    </w:p>
    <w:p>
      <w:pPr>
        <w:jc w:val="center"/>
        <w:rPr>
          <w:sz w:val="28"/>
          <w:szCs w:val="28"/>
        </w:rPr>
      </w:pPr>
      <w:r>
        <w:rPr>
          <w:rFonts w:hint="eastAsia"/>
          <w:b/>
          <w:sz w:val="28"/>
          <w:szCs w:val="28"/>
        </w:rPr>
        <w:t>（</w:t>
      </w:r>
      <w:r>
        <w:rPr>
          <w:b/>
          <w:sz w:val="28"/>
          <w:szCs w:val="28"/>
        </w:rPr>
        <w:t>20</w:t>
      </w:r>
      <w:r>
        <w:rPr>
          <w:rFonts w:hint="eastAsia"/>
          <w:b/>
          <w:sz w:val="28"/>
          <w:szCs w:val="28"/>
        </w:rPr>
        <w:t>2</w:t>
      </w:r>
      <w:r>
        <w:rPr>
          <w:rFonts w:hint="eastAsia"/>
          <w:b/>
          <w:sz w:val="28"/>
          <w:szCs w:val="28"/>
          <w:lang w:val="en-US" w:eastAsia="zh-CN"/>
        </w:rPr>
        <w:t>5</w:t>
      </w:r>
      <w:r>
        <w:rPr>
          <w:rFonts w:hint="eastAsia"/>
          <w:b/>
          <w:sz w:val="28"/>
          <w:szCs w:val="28"/>
        </w:rPr>
        <w:t>年）</w:t>
      </w:r>
      <w:bookmarkEnd w:id="0"/>
    </w:p>
    <w:p>
      <w:pPr>
        <w:jc w:val="center"/>
        <w:rPr>
          <w:rFonts w:ascii="宋体" w:hAnsi="宋体"/>
          <w:color w:val="FF0000"/>
          <w:szCs w:val="21"/>
        </w:rPr>
      </w:pPr>
      <w:r>
        <w:rPr>
          <w:rFonts w:hint="eastAsia"/>
        </w:rPr>
        <w:br w:type="page"/>
      </w:r>
      <w:bookmarkStart w:id="1" w:name="_Hlk137453387"/>
      <w:r>
        <w:rPr>
          <w:rFonts w:hint="eastAsia" w:ascii="宋体" w:hAnsi="宋体" w:eastAsia="黑体"/>
          <w:b/>
          <w:bCs/>
          <w:color w:val="FF0000"/>
          <w:kern w:val="44"/>
          <w:sz w:val="28"/>
          <w:szCs w:val="44"/>
        </w:rPr>
        <w:t>警示条款</w:t>
      </w:r>
    </w:p>
    <w:p>
      <w:pPr>
        <w:ind w:firstLine="400" w:firstLineChars="200"/>
        <w:rPr>
          <w:rFonts w:ascii="宋体" w:hAnsi="宋体"/>
          <w:color w:val="FF0000"/>
          <w:sz w:val="20"/>
          <w:szCs w:val="20"/>
        </w:rPr>
      </w:pPr>
    </w:p>
    <w:p>
      <w:pPr>
        <w:ind w:firstLine="400" w:firstLineChars="200"/>
        <w:rPr>
          <w:rFonts w:ascii="宋体" w:hAnsi="宋体"/>
          <w:color w:val="FF0000"/>
          <w:sz w:val="20"/>
          <w:szCs w:val="20"/>
        </w:rPr>
      </w:pPr>
      <w:r>
        <w:rPr>
          <w:rFonts w:hint="eastAsia" w:ascii="宋体" w:hAnsi="宋体"/>
          <w:color w:val="FF0000"/>
          <w:sz w:val="20"/>
          <w:szCs w:val="20"/>
        </w:rPr>
        <w:t>本项目为自行采购项目，参照《深圳经济特区政府采购条例》、《深圳经济特区政府采购条例实施细则》及政府采购其他法律法规，按照</w:t>
      </w:r>
      <w:r>
        <w:rPr>
          <w:rFonts w:hint="eastAsia" w:ascii="宋体" w:hAnsi="宋体"/>
          <w:color w:val="FF0000"/>
          <w:sz w:val="20"/>
          <w:szCs w:val="20"/>
          <w:lang w:val="en-US" w:eastAsia="zh-CN"/>
        </w:rPr>
        <w:t>采购人内控制度</w:t>
      </w:r>
      <w:r>
        <w:rPr>
          <w:rFonts w:hint="eastAsia" w:ascii="宋体" w:hAnsi="宋体"/>
          <w:color w:val="FF0000"/>
          <w:sz w:val="20"/>
          <w:szCs w:val="20"/>
        </w:rPr>
        <w:t>，通过公开招标方式确定中标供应商。</w:t>
      </w:r>
    </w:p>
    <w:p>
      <w:pPr>
        <w:ind w:firstLine="400" w:firstLineChars="200"/>
        <w:rPr>
          <w:rFonts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罚款；情节严重的，取消其参与本市政府采购资格，处采购金额千分之二十以上千分之三十以下罚款，并由市场监管部门依法吊销其营业执照；给他人造成损失的，依法承担赔偿责任；构成犯罪的，依法追究刑事责任：</w:t>
      </w:r>
    </w:p>
    <w:p>
      <w:pPr>
        <w:ind w:firstLine="400" w:firstLineChars="200"/>
        <w:rPr>
          <w:rFonts w:ascii="宋体" w:hAnsi="宋体"/>
          <w:color w:val="FF0000"/>
          <w:sz w:val="20"/>
          <w:szCs w:val="20"/>
        </w:rPr>
      </w:pPr>
      <w:r>
        <w:rPr>
          <w:rFonts w:hint="eastAsia" w:ascii="宋体" w:hAnsi="宋体"/>
          <w:color w:val="FF0000"/>
          <w:sz w:val="20"/>
          <w:szCs w:val="20"/>
        </w:rPr>
        <w:t>（一）在采购活动中应当回避而未回避的；</w:t>
      </w:r>
    </w:p>
    <w:p>
      <w:pPr>
        <w:ind w:firstLine="400" w:firstLineChars="200"/>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ind w:firstLine="400" w:firstLineChars="200"/>
        <w:rPr>
          <w:rFonts w:ascii="宋体" w:hAnsi="宋体"/>
          <w:color w:val="FF0000"/>
          <w:sz w:val="20"/>
          <w:szCs w:val="20"/>
        </w:rPr>
      </w:pPr>
      <w:r>
        <w:rPr>
          <w:rFonts w:hint="eastAsia" w:ascii="宋体" w:hAnsi="宋体"/>
          <w:color w:val="FF0000"/>
          <w:sz w:val="20"/>
          <w:szCs w:val="20"/>
        </w:rPr>
        <w:t>（三）隐瞒真实情况，提供虚假资料的；</w:t>
      </w:r>
    </w:p>
    <w:p>
      <w:pPr>
        <w:ind w:firstLine="400" w:firstLineChars="200"/>
        <w:rPr>
          <w:rFonts w:ascii="宋体" w:hAnsi="宋体"/>
          <w:color w:val="FF0000"/>
          <w:sz w:val="20"/>
          <w:szCs w:val="20"/>
        </w:rPr>
      </w:pPr>
      <w:r>
        <w:rPr>
          <w:rFonts w:hint="eastAsia" w:ascii="宋体" w:hAnsi="宋体"/>
          <w:color w:val="FF0000"/>
          <w:sz w:val="20"/>
          <w:szCs w:val="20"/>
        </w:rPr>
        <w:t>（四）以非法手段排斥其他供应商参与竞争的；</w:t>
      </w:r>
    </w:p>
    <w:p>
      <w:pPr>
        <w:ind w:firstLine="400" w:firstLineChars="200"/>
        <w:rPr>
          <w:rFonts w:ascii="宋体" w:hAnsi="宋体"/>
          <w:color w:val="FF0000"/>
          <w:sz w:val="20"/>
          <w:szCs w:val="20"/>
        </w:rPr>
      </w:pPr>
      <w:r>
        <w:rPr>
          <w:rFonts w:hint="eastAsia" w:ascii="宋体" w:hAnsi="宋体"/>
          <w:color w:val="FF0000"/>
          <w:sz w:val="20"/>
          <w:szCs w:val="20"/>
        </w:rPr>
        <w:t>（五）与其他采购参加人串通投标的；</w:t>
      </w:r>
    </w:p>
    <w:p>
      <w:pPr>
        <w:ind w:firstLine="400" w:firstLineChars="200"/>
        <w:rPr>
          <w:rFonts w:ascii="宋体" w:hAnsi="宋体"/>
          <w:color w:val="FF0000"/>
          <w:sz w:val="20"/>
          <w:szCs w:val="20"/>
        </w:rPr>
      </w:pPr>
      <w:r>
        <w:rPr>
          <w:rFonts w:hint="eastAsia" w:ascii="宋体" w:hAnsi="宋体"/>
          <w:color w:val="FF0000"/>
          <w:sz w:val="20"/>
          <w:szCs w:val="20"/>
        </w:rPr>
        <w:t>（六）恶意投诉的；</w:t>
      </w:r>
    </w:p>
    <w:p>
      <w:pPr>
        <w:ind w:firstLine="400" w:firstLineChars="200"/>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ind w:firstLine="400" w:firstLineChars="200"/>
        <w:rPr>
          <w:rFonts w:ascii="宋体" w:hAnsi="宋体"/>
          <w:color w:val="FF0000"/>
          <w:sz w:val="20"/>
          <w:szCs w:val="20"/>
        </w:rPr>
      </w:pPr>
      <w:r>
        <w:rPr>
          <w:rFonts w:hint="eastAsia" w:ascii="宋体" w:hAnsi="宋体"/>
          <w:color w:val="FF0000"/>
          <w:sz w:val="20"/>
          <w:szCs w:val="20"/>
        </w:rPr>
        <w:t>（八）阻碍、抗拒主管部门监督检查的；</w:t>
      </w:r>
    </w:p>
    <w:p>
      <w:pPr>
        <w:ind w:firstLine="400" w:firstLineChars="200"/>
        <w:rPr>
          <w:rFonts w:ascii="宋体" w:hAnsi="宋体"/>
          <w:color w:val="FF0000"/>
          <w:sz w:val="20"/>
          <w:szCs w:val="20"/>
        </w:rPr>
      </w:pPr>
      <w:r>
        <w:rPr>
          <w:rFonts w:hint="eastAsia" w:ascii="宋体" w:hAnsi="宋体"/>
          <w:color w:val="FF0000"/>
          <w:sz w:val="20"/>
          <w:szCs w:val="20"/>
        </w:rPr>
        <w:t>（九）其他违反本条例规定的行为。</w:t>
      </w:r>
    </w:p>
    <w:p>
      <w:pPr>
        <w:ind w:firstLine="402" w:firstLineChars="200"/>
        <w:rPr>
          <w:rFonts w:ascii="宋体" w:hAnsi="宋体"/>
          <w:color w:val="FF0000"/>
          <w:sz w:val="20"/>
          <w:szCs w:val="20"/>
        </w:rPr>
      </w:pPr>
      <w:r>
        <w:rPr>
          <w:rFonts w:hint="eastAsia" w:ascii="宋体" w:hAnsi="宋体"/>
          <w:b/>
          <w:bCs/>
          <w:color w:val="FF0000"/>
          <w:sz w:val="20"/>
          <w:szCs w:val="20"/>
        </w:rPr>
        <w:t>二、《深圳经济特区政府采购条例实施细则》第七十五条 </w:t>
      </w:r>
      <w:r>
        <w:rPr>
          <w:rFonts w:hint="eastAsia" w:ascii="宋体" w:hAnsi="宋体"/>
          <w:color w:val="FF0000"/>
          <w:sz w:val="20"/>
          <w:szCs w:val="2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pPr>
        <w:ind w:firstLine="402" w:firstLineChars="200"/>
        <w:rPr>
          <w:rFonts w:ascii="宋体" w:hAnsi="宋体"/>
          <w:color w:val="FF0000"/>
          <w:sz w:val="20"/>
          <w:szCs w:val="20"/>
        </w:rPr>
      </w:pPr>
      <w:r>
        <w:rPr>
          <w:rFonts w:hint="eastAsia" w:ascii="宋体" w:hAnsi="宋体"/>
          <w:b/>
          <w:bCs/>
          <w:color w:val="FF0000"/>
          <w:sz w:val="20"/>
          <w:szCs w:val="20"/>
        </w:rPr>
        <w:t>三、《深圳经济特区政府采购条例实施细则》第七十七条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00" w:firstLineChars="200"/>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pPr>
        <w:ind w:firstLine="422" w:firstLineChars="200"/>
        <w:rPr>
          <w:rFonts w:hint="eastAsia"/>
          <w:b/>
          <w:color w:val="FF0000"/>
        </w:rPr>
      </w:pPr>
      <w:r>
        <w:rPr>
          <w:rFonts w:hint="eastAsia"/>
          <w:b/>
          <w:color w:val="FF0000"/>
        </w:rPr>
        <w:t>四、请投标供应商阅读《</w:t>
      </w:r>
      <w:r>
        <w:rPr>
          <w:rFonts w:hint="eastAsia"/>
          <w:b/>
          <w:color w:val="FF0000"/>
          <w:lang w:eastAsia="zh-CN"/>
        </w:rPr>
        <w:t>采购</w:t>
      </w:r>
      <w:r>
        <w:rPr>
          <w:rFonts w:hint="eastAsia"/>
          <w:b/>
          <w:color w:val="FF0000"/>
        </w:rPr>
        <w:t>违法行为风险知悉确认书》（内容详见“投标文件附件（信息不公开部分）”中节点“投标人认为需要加以说明的其他内容（格式自定）”），并经各投标供应商负责人或投标授权代表签字并加盖单位公章后，扫描上传至投标文件一并提交。注：该风险知悉确认书用于对供应商违法行为的警示，不作为供应商资格性审查及符合性审查条件。</w:t>
      </w:r>
    </w:p>
    <w:p>
      <w:pPr>
        <w:ind w:firstLine="400" w:firstLineChars="200"/>
      </w:pPr>
      <w:r>
        <w:rPr>
          <w:rFonts w:hint="eastAsia" w:ascii="宋体" w:hAnsi="宋体"/>
          <w:color w:val="FF0000"/>
          <w:sz w:val="20"/>
          <w:szCs w:val="20"/>
        </w:rPr>
        <w:t>五、</w:t>
      </w:r>
      <w:r>
        <w:rPr>
          <w:rFonts w:ascii="宋体" w:hAnsi="宋体"/>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r>
        <w:br w:type="textWrapping"/>
      </w:r>
    </w:p>
    <w:bookmarkEnd w:id="1"/>
    <w:p>
      <w:pPr>
        <w:widowControl/>
        <w:jc w:val="left"/>
        <w:rPr>
          <w:rFonts w:ascii="宋体" w:hAnsi="宋体" w:eastAsia="黑体"/>
          <w:b/>
          <w:bCs/>
          <w:kern w:val="44"/>
          <w:sz w:val="28"/>
          <w:szCs w:val="44"/>
        </w:rPr>
      </w:pPr>
      <w:r>
        <w:br w:type="page"/>
      </w:r>
    </w:p>
    <w:p>
      <w:pPr>
        <w:pStyle w:val="3"/>
      </w:pPr>
      <w:r>
        <w:rPr>
          <w:rFonts w:hint="eastAsia"/>
        </w:rPr>
        <w:t>目   录</w:t>
      </w:r>
    </w:p>
    <w:p>
      <w:pPr>
        <w:outlineLvl w:val="0"/>
        <w:rPr>
          <w:b/>
          <w:sz w:val="24"/>
        </w:rPr>
      </w:pPr>
      <w:r>
        <w:rPr>
          <w:rFonts w:hint="eastAsia"/>
          <w:b/>
          <w:sz w:val="24"/>
        </w:rPr>
        <w:t>第一册  专用条款</w:t>
      </w:r>
    </w:p>
    <w:p>
      <w:pPr>
        <w:rPr>
          <w:sz w:val="24"/>
        </w:rPr>
      </w:pPr>
      <w:r>
        <w:rPr>
          <w:rFonts w:hint="eastAsia"/>
          <w:sz w:val="24"/>
        </w:rPr>
        <w:t xml:space="preserve">          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2" w:name="_Hlk71994379"/>
      <w:r>
        <w:rPr>
          <w:rFonts w:hint="eastAsia" w:ascii="宋体" w:hAnsi="宋体"/>
          <w:szCs w:val="21"/>
        </w:rPr>
        <w:t>对通用条款的补充内容及其他关键信息</w:t>
      </w:r>
      <w:bookmarkEnd w:id="2"/>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  通用条款</w:t>
      </w:r>
    </w:p>
    <w:p>
      <w:pPr>
        <w:ind w:left="630" w:leftChars="300" w:firstLine="630" w:firstLineChars="300"/>
        <w:rPr>
          <w:rFonts w:ascii="宋体" w:hAnsi="宋体"/>
          <w:szCs w:val="21"/>
        </w:rPr>
      </w:pPr>
      <w:r>
        <w:rPr>
          <w:rFonts w:hint="eastAsia" w:ascii="宋体" w:hAnsi="宋体"/>
          <w:szCs w:val="21"/>
        </w:rPr>
        <w:t>第一章  总则</w:t>
      </w:r>
    </w:p>
    <w:p>
      <w:pPr>
        <w:ind w:left="630" w:leftChars="300" w:firstLine="630" w:firstLineChars="300"/>
        <w:rPr>
          <w:rFonts w:ascii="宋体" w:hAnsi="宋体"/>
          <w:szCs w:val="21"/>
        </w:rPr>
      </w:pPr>
      <w:r>
        <w:rPr>
          <w:rFonts w:hint="eastAsia" w:ascii="宋体" w:hAnsi="宋体"/>
          <w:szCs w:val="21"/>
        </w:rPr>
        <w:t>第二章  招标文件</w:t>
      </w:r>
    </w:p>
    <w:p>
      <w:pPr>
        <w:ind w:left="630" w:leftChars="300" w:firstLine="630" w:firstLineChars="300"/>
        <w:rPr>
          <w:rFonts w:ascii="宋体" w:hAnsi="宋体"/>
          <w:szCs w:val="21"/>
        </w:rPr>
      </w:pPr>
      <w:r>
        <w:rPr>
          <w:rFonts w:hint="eastAsia" w:ascii="宋体" w:hAnsi="宋体"/>
          <w:szCs w:val="21"/>
        </w:rPr>
        <w:t>第三章  投标文件的编制</w:t>
      </w:r>
    </w:p>
    <w:p>
      <w:pPr>
        <w:ind w:left="630" w:leftChars="300" w:firstLine="630" w:firstLineChars="300"/>
        <w:rPr>
          <w:rFonts w:ascii="宋体" w:hAnsi="宋体"/>
          <w:szCs w:val="21"/>
        </w:rPr>
      </w:pPr>
      <w:r>
        <w:rPr>
          <w:rFonts w:hint="eastAsia" w:ascii="宋体" w:hAnsi="宋体"/>
          <w:szCs w:val="21"/>
        </w:rPr>
        <w:t>第四章  投标文件的递交</w:t>
      </w:r>
    </w:p>
    <w:p>
      <w:pPr>
        <w:ind w:left="630" w:leftChars="300" w:firstLine="630" w:firstLineChars="300"/>
        <w:rPr>
          <w:rFonts w:ascii="宋体" w:hAnsi="宋体"/>
          <w:szCs w:val="21"/>
        </w:rPr>
      </w:pPr>
      <w:r>
        <w:rPr>
          <w:rFonts w:hint="eastAsia" w:ascii="宋体" w:hAnsi="宋体"/>
          <w:szCs w:val="21"/>
        </w:rPr>
        <w:t>第五章  开标</w:t>
      </w:r>
    </w:p>
    <w:p>
      <w:pPr>
        <w:ind w:left="630" w:leftChars="300" w:firstLine="630" w:firstLineChars="300"/>
        <w:rPr>
          <w:rFonts w:ascii="宋体" w:hAnsi="宋体"/>
          <w:szCs w:val="21"/>
        </w:rPr>
      </w:pPr>
      <w:r>
        <w:rPr>
          <w:rFonts w:hint="eastAsia" w:ascii="宋体" w:hAnsi="宋体"/>
          <w:szCs w:val="21"/>
        </w:rPr>
        <w:t>第六章  评审要求</w:t>
      </w:r>
    </w:p>
    <w:p>
      <w:pPr>
        <w:ind w:left="630" w:leftChars="300" w:firstLine="630" w:firstLineChars="300"/>
        <w:rPr>
          <w:rFonts w:ascii="宋体" w:hAnsi="宋体"/>
          <w:szCs w:val="21"/>
        </w:rPr>
      </w:pPr>
      <w:r>
        <w:rPr>
          <w:rFonts w:hint="eastAsia" w:ascii="宋体" w:hAnsi="宋体"/>
          <w:szCs w:val="21"/>
        </w:rPr>
        <w:t>第七章  评审程序及评审方法</w:t>
      </w:r>
    </w:p>
    <w:p>
      <w:pPr>
        <w:ind w:left="630" w:leftChars="300" w:firstLine="630" w:firstLineChars="300"/>
        <w:rPr>
          <w:rFonts w:ascii="宋体" w:hAnsi="宋体"/>
          <w:szCs w:val="21"/>
        </w:rPr>
      </w:pPr>
      <w:r>
        <w:rPr>
          <w:rFonts w:hint="eastAsia" w:ascii="宋体" w:hAnsi="宋体"/>
          <w:szCs w:val="21"/>
        </w:rPr>
        <w:t>第八章  定标及公示</w:t>
      </w:r>
    </w:p>
    <w:p>
      <w:pPr>
        <w:ind w:left="630" w:leftChars="300" w:firstLine="630" w:firstLineChars="300"/>
        <w:rPr>
          <w:rFonts w:ascii="宋体" w:hAnsi="宋体"/>
          <w:szCs w:val="21"/>
        </w:rPr>
      </w:pPr>
      <w:r>
        <w:rPr>
          <w:rFonts w:hint="eastAsia" w:ascii="宋体" w:hAnsi="宋体"/>
          <w:szCs w:val="21"/>
        </w:rPr>
        <w:t>第九章  公开招标失败的后续处理</w:t>
      </w:r>
    </w:p>
    <w:p>
      <w:pPr>
        <w:ind w:left="630" w:leftChars="300" w:firstLine="630" w:firstLineChars="300"/>
        <w:rPr>
          <w:rFonts w:ascii="宋体" w:hAnsi="宋体"/>
          <w:szCs w:val="21"/>
        </w:rPr>
      </w:pPr>
      <w:r>
        <w:rPr>
          <w:rFonts w:hint="eastAsia" w:ascii="宋体" w:hAnsi="宋体"/>
          <w:szCs w:val="21"/>
        </w:rPr>
        <w:t>第十章  合同的授予与备案</w:t>
      </w:r>
    </w:p>
    <w:p>
      <w:pPr>
        <w:ind w:left="630" w:leftChars="300" w:firstLine="630" w:firstLineChars="300"/>
        <w:rPr>
          <w:rFonts w:ascii="宋体" w:hAnsi="宋体"/>
          <w:szCs w:val="21"/>
        </w:rPr>
      </w:pPr>
      <w:r>
        <w:rPr>
          <w:rFonts w:hint="eastAsia" w:ascii="宋体" w:hAnsi="宋体"/>
          <w:szCs w:val="21"/>
        </w:rPr>
        <w:t>第十一章  质疑处理</w:t>
      </w:r>
    </w:p>
    <w:p>
      <w:pPr>
        <w:spacing w:line="360" w:lineRule="auto"/>
        <w:ind w:firstLine="420" w:firstLineChars="200"/>
        <w:jc w:val="left"/>
        <w:rPr>
          <w:rFonts w:ascii="宋体" w:hAnsi="宋体"/>
          <w:szCs w:val="21"/>
        </w:rPr>
      </w:pPr>
    </w:p>
    <w:p>
      <w:pPr>
        <w:pStyle w:val="3"/>
        <w:rPr>
          <w:sz w:val="24"/>
        </w:rPr>
      </w:pPr>
      <w:r>
        <w:br w:type="page"/>
      </w:r>
      <w:bookmarkStart w:id="3" w:name="bt合同条款"/>
      <w:bookmarkEnd w:id="3"/>
      <w:bookmarkStart w:id="4" w:name="bt商务标投标文件格式"/>
      <w:bookmarkEnd w:id="4"/>
      <w:bookmarkStart w:id="5" w:name="bt项目管理班子配备情况"/>
      <w:bookmarkEnd w:id="5"/>
      <w:bookmarkStart w:id="6" w:name="bt技术标投标文件格式"/>
      <w:bookmarkEnd w:id="6"/>
      <w:bookmarkStart w:id="7" w:name="bt其他资料2"/>
      <w:bookmarkEnd w:id="7"/>
      <w:bookmarkStart w:id="8" w:name="bt投标报价汇总表"/>
      <w:bookmarkEnd w:id="8"/>
      <w:bookmarkStart w:id="9" w:name="bt本工程承诺书"/>
      <w:bookmarkEnd w:id="9"/>
      <w:bookmarkStart w:id="10" w:name="bt说明"/>
      <w:bookmarkEnd w:id="10"/>
      <w:bookmarkStart w:id="11" w:name="bt其他资料由投标人自定"/>
      <w:bookmarkEnd w:id="11"/>
      <w:bookmarkStart w:id="12" w:name="bt投标人情况介绍"/>
      <w:bookmarkEnd w:id="12"/>
      <w:bookmarkStart w:id="13" w:name="合同格式"/>
      <w:bookmarkEnd w:id="13"/>
      <w:bookmarkStart w:id="14" w:name="bt合同格式"/>
      <w:bookmarkEnd w:id="14"/>
      <w:bookmarkStart w:id="15" w:name="bt投标函"/>
      <w:bookmarkEnd w:id="15"/>
      <w:bookmarkStart w:id="16" w:name="bt投标人须知"/>
      <w:bookmarkEnd w:id="16"/>
      <w:bookmarkStart w:id="17" w:name="bt合同条款及格式"/>
      <w:bookmarkEnd w:id="17"/>
      <w:bookmarkStart w:id="18" w:name="bt投标文件签署授权委托书"/>
      <w:bookmarkEnd w:id="18"/>
      <w:bookmarkStart w:id="19" w:name="bt开标一览表"/>
      <w:bookmarkEnd w:id="19"/>
      <w:r>
        <w:rPr>
          <w:rFonts w:hint="eastAsia"/>
        </w:rPr>
        <w:t>第一册专用条款</w:t>
      </w:r>
    </w:p>
    <w:p>
      <w:pPr>
        <w:pStyle w:val="6"/>
        <w:rPr>
          <w:b/>
          <w:bCs/>
          <w:sz w:val="28"/>
          <w:szCs w:val="28"/>
        </w:rPr>
      </w:pPr>
      <w:r>
        <w:rPr>
          <w:rFonts w:hint="eastAsia"/>
          <w:b/>
          <w:bCs/>
          <w:sz w:val="28"/>
          <w:szCs w:val="28"/>
        </w:rPr>
        <w:t>第一章  招标公告</w:t>
      </w:r>
    </w:p>
    <w:p/>
    <w:p>
      <w:pPr>
        <w:spacing w:line="360" w:lineRule="auto"/>
        <w:rPr>
          <w:rFonts w:ascii="宋体" w:hAnsi="宋体" w:cs="宋体"/>
          <w:b/>
          <w:bCs/>
          <w:kern w:val="0"/>
          <w:szCs w:val="21"/>
        </w:rPr>
      </w:pPr>
      <w:r>
        <w:rPr>
          <w:rFonts w:hint="eastAsia" w:ascii="宋体" w:hAnsi="宋体" w:cs="宋体"/>
          <w:b/>
          <w:bCs/>
          <w:kern w:val="0"/>
          <w:szCs w:val="21"/>
          <w:lang w:eastAsia="zh-CN"/>
        </w:rPr>
        <w:t>投标人的资格要求</w:t>
      </w:r>
      <w:r>
        <w:rPr>
          <w:rFonts w:hint="eastAsia" w:ascii="宋体" w:hAnsi="宋体" w:cs="宋体"/>
          <w:b/>
          <w:bCs/>
          <w:kern w:val="0"/>
          <w:szCs w:val="21"/>
        </w:rPr>
        <w:t>：</w:t>
      </w:r>
    </w:p>
    <w:p>
      <w:pPr>
        <w:ind w:firstLine="630" w:firstLineChars="300"/>
        <w:rPr>
          <w:rFonts w:hint="eastAsia" w:ascii="宋体" w:hAnsi="宋体" w:eastAsia="宋体" w:cs="宋体"/>
          <w:kern w:val="0"/>
          <w:szCs w:val="21"/>
          <w:highlight w:val="yellow"/>
          <w:lang w:eastAsia="zh-CN"/>
        </w:rPr>
      </w:pPr>
      <w:r>
        <w:rPr>
          <w:rFonts w:hint="eastAsia" w:ascii="宋体" w:hAnsi="宋体" w:cs="宋体"/>
          <w:kern w:val="0"/>
          <w:szCs w:val="21"/>
          <w:highlight w:val="yellow"/>
        </w:rPr>
        <w:t>1</w:t>
      </w:r>
      <w:r>
        <w:rPr>
          <w:rFonts w:ascii="宋体" w:hAnsi="宋体" w:cs="宋体"/>
          <w:kern w:val="0"/>
          <w:szCs w:val="21"/>
          <w:highlight w:val="yellow"/>
        </w:rPr>
        <w:t>.</w:t>
      </w:r>
      <w:bookmarkStart w:id="20" w:name="_Hlk72162904"/>
      <w:r>
        <w:rPr>
          <w:rFonts w:hint="eastAsia" w:ascii="宋体" w:hAnsi="宋体" w:cs="宋体"/>
          <w:kern w:val="0"/>
          <w:szCs w:val="21"/>
          <w:highlight w:val="yellow"/>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bookmarkEnd w:id="20"/>
    </w:p>
    <w:p>
      <w:pPr>
        <w:ind w:firstLine="630" w:firstLineChars="300"/>
        <w:rPr>
          <w:rFonts w:ascii="宋体" w:hAnsi="宋体" w:cs="宋体"/>
          <w:kern w:val="0"/>
          <w:szCs w:val="21"/>
          <w:highlight w:val="yellow"/>
        </w:rPr>
      </w:pPr>
      <w:r>
        <w:rPr>
          <w:rFonts w:hint="eastAsia" w:ascii="宋体" w:hAnsi="宋体" w:cs="宋体"/>
          <w:color w:val="FF0000"/>
          <w:kern w:val="0"/>
          <w:szCs w:val="21"/>
          <w:highlight w:val="yellow"/>
        </w:rPr>
        <w:t>2.本项目不接受联合体投标，不接受投标人选用进口产品参与投标（由供应商在《</w:t>
      </w:r>
      <w:r>
        <w:rPr>
          <w:rFonts w:hint="eastAsia" w:ascii="宋体" w:hAnsi="宋体" w:cs="宋体"/>
          <w:color w:val="FF0000"/>
          <w:kern w:val="0"/>
          <w:szCs w:val="21"/>
          <w:highlight w:val="yellow"/>
          <w:lang w:eastAsia="zh-CN"/>
        </w:rPr>
        <w:t>采购投标及履约承诺函</w:t>
      </w:r>
      <w:r>
        <w:rPr>
          <w:rFonts w:hint="eastAsia" w:ascii="宋体" w:hAnsi="宋体" w:cs="宋体"/>
          <w:color w:val="FF0000"/>
          <w:kern w:val="0"/>
          <w:szCs w:val="21"/>
          <w:highlight w:val="yellow"/>
        </w:rPr>
        <w:t>》中作出声明）；</w:t>
      </w:r>
    </w:p>
    <w:p>
      <w:pPr>
        <w:ind w:firstLine="630" w:firstLineChars="3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参与本项目采购活动时不存在被有关部门禁止参与政府采购活动且在有效期内的情况（由供应商在《</w:t>
      </w:r>
      <w:r>
        <w:rPr>
          <w:rFonts w:hint="eastAsia" w:ascii="宋体" w:hAnsi="宋体" w:cs="宋体"/>
          <w:kern w:val="0"/>
          <w:szCs w:val="21"/>
          <w:lang w:eastAsia="zh-CN"/>
        </w:rPr>
        <w:t>采购投标及履约承诺函</w:t>
      </w:r>
      <w:r>
        <w:rPr>
          <w:rFonts w:hint="eastAsia" w:ascii="宋体" w:hAnsi="宋体" w:cs="宋体"/>
          <w:kern w:val="0"/>
          <w:szCs w:val="21"/>
        </w:rPr>
        <w:t>》中作出声明）；</w:t>
      </w:r>
    </w:p>
    <w:p>
      <w:pPr>
        <w:ind w:firstLine="630" w:firstLineChars="3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采购投标及履约承诺函</w:t>
      </w:r>
      <w:r>
        <w:rPr>
          <w:rFonts w:hint="eastAsia" w:ascii="宋体" w:hAnsi="宋体" w:cs="宋体"/>
          <w:kern w:val="0"/>
          <w:szCs w:val="21"/>
        </w:rPr>
        <w:t>》中作出声明）；</w:t>
      </w:r>
    </w:p>
    <w:p>
      <w:pPr>
        <w:ind w:firstLine="630" w:firstLineChars="3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未被列入失信被执行人、重大税收违法案件当事人名单、政府采购严重违法失信行为记录名单（由供应商在《</w:t>
      </w:r>
      <w:r>
        <w:rPr>
          <w:rFonts w:hint="eastAsia" w:ascii="宋体" w:hAnsi="宋体" w:cs="宋体"/>
          <w:kern w:val="0"/>
          <w:szCs w:val="21"/>
          <w:lang w:eastAsia="zh-CN"/>
        </w:rPr>
        <w:t>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630" w:firstLineChars="3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eastAsia="zh-CN"/>
        </w:rPr>
        <w:t>；</w:t>
      </w:r>
      <w:r>
        <w:rPr>
          <w:rFonts w:hint="eastAsia" w:ascii="宋体" w:hAnsi="宋体" w:cs="宋体"/>
          <w:color w:val="FF0000"/>
          <w:kern w:val="0"/>
          <w:szCs w:val="21"/>
          <w:lang w:val="en-US" w:eastAsia="zh-CN"/>
        </w:rPr>
        <w:t>;</w:t>
      </w:r>
    </w:p>
    <w:p>
      <w:pPr>
        <w:ind w:firstLine="630" w:firstLineChars="300"/>
        <w:rPr>
          <w:rFonts w:hint="eastAsia" w:ascii="宋体" w:hAnsi="宋体" w:eastAsia="宋体" w:cs="宋体"/>
          <w:kern w:val="0"/>
          <w:szCs w:val="21"/>
          <w:lang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630" w:firstLineChars="300"/>
        <w:rPr>
          <w:rFonts w:hint="eastAsia" w:ascii="宋体" w:hAnsi="宋体" w:cs="宋体"/>
          <w:kern w:val="0"/>
          <w:szCs w:val="21"/>
          <w:lang w:eastAsia="zh-CN"/>
        </w:rPr>
      </w:pPr>
      <w:r>
        <w:rPr>
          <w:rFonts w:hint="eastAsia" w:ascii="宋体" w:hAnsi="宋体" w:cs="宋体"/>
          <w:kern w:val="0"/>
          <w:szCs w:val="21"/>
          <w:lang w:val="en-US" w:eastAsia="zh-CN"/>
        </w:rPr>
        <w:t>8</w:t>
      </w:r>
      <w:r>
        <w:rPr>
          <w:rFonts w:hint="eastAsia" w:ascii="宋体" w:hAnsi="宋体" w:cs="宋体"/>
          <w:kern w:val="0"/>
          <w:szCs w:val="21"/>
        </w:rPr>
        <w:t>.本项目是（否）专门面向中小企业采购：否</w:t>
      </w:r>
      <w:r>
        <w:rPr>
          <w:rFonts w:hint="eastAsia" w:ascii="宋体" w:hAnsi="宋体" w:cs="宋体"/>
          <w:kern w:val="0"/>
          <w:szCs w:val="21"/>
          <w:lang w:eastAsia="zh-CN"/>
        </w:rPr>
        <w:t>。</w:t>
      </w:r>
    </w:p>
    <w:p>
      <w:pPr>
        <w:ind w:firstLine="420" w:firstLineChars="200"/>
        <w:rPr>
          <w:rFonts w:hint="default"/>
          <w:lang w:val="en-US"/>
        </w:rPr>
      </w:pPr>
      <w:r>
        <w:rPr>
          <w:rFonts w:hint="eastAsia" w:ascii="宋体" w:hAnsi="宋体" w:cs="宋体"/>
          <w:kern w:val="0"/>
          <w:szCs w:val="21"/>
          <w:lang w:val="en-US" w:eastAsia="zh-CN"/>
        </w:rPr>
        <w:t xml:space="preserve">  </w:t>
      </w:r>
      <w:r>
        <w:rPr>
          <w:rFonts w:hint="eastAsia" w:ascii="宋体" w:hAnsi="宋体" w:eastAsia="宋体" w:cs="宋体"/>
          <w:color w:val="FF0000"/>
          <w:kern w:val="0"/>
          <w:sz w:val="21"/>
          <w:szCs w:val="21"/>
          <w:lang w:val="en-US" w:eastAsia="zh-CN" w:bidi="ar-SA"/>
        </w:rPr>
        <w:t>9</w:t>
      </w:r>
      <w:r>
        <w:rPr>
          <w:rFonts w:hint="eastAsia" w:ascii="宋体" w:hAnsi="宋体" w:cs="宋体"/>
          <w:color w:val="FF0000"/>
          <w:kern w:val="0"/>
          <w:sz w:val="21"/>
          <w:szCs w:val="21"/>
          <w:lang w:val="en-US" w:eastAsia="zh-CN" w:bidi="ar-SA"/>
        </w:rPr>
        <w:t>.</w:t>
      </w:r>
      <w:r>
        <w:rPr>
          <w:rFonts w:hint="eastAsia" w:ascii="宋体" w:hAnsi="宋体" w:cs="宋体"/>
          <w:color w:val="FF0000"/>
          <w:szCs w:val="21"/>
        </w:rPr>
        <w:t>不</w:t>
      </w:r>
      <w:r>
        <w:rPr>
          <w:rFonts w:hint="eastAsia"/>
          <w:color w:val="FF0000"/>
          <w:szCs w:val="21"/>
          <w:shd w:val="clear" w:color="auto" w:fill="FFFFFF"/>
        </w:rPr>
        <w:t>存在不同投标供应商的法定代表人、主要经营负责人、投标授权代表人、项目负责人、主要技术人员为同一人、属同一单位或者在同一单位缴纳社会保险的情形；不存在不同投标供应商单位负责人为同一人或直接控股、管理关系的情形。如存在上述情形，所涉供应商均资格审查不通过，按投标无效处理</w:t>
      </w:r>
      <w:r>
        <w:rPr>
          <w:rStyle w:val="45"/>
          <w:rFonts w:hint="eastAsia"/>
          <w:color w:val="FF0000"/>
          <w:szCs w:val="21"/>
          <w:shd w:val="clear" w:color="auto" w:fill="FFFFFF"/>
        </w:rPr>
        <w:t>（</w:t>
      </w:r>
      <w:r>
        <w:rPr>
          <w:rStyle w:val="45"/>
          <w:rFonts w:hint="eastAsia"/>
          <w:color w:val="FF0000"/>
          <w:szCs w:val="21"/>
          <w:highlight w:val="yellow"/>
          <w:shd w:val="clear" w:color="auto" w:fill="FFFFFF"/>
        </w:rPr>
        <w:t>由供应商提供《供应商基本情况表》并加盖公章扫描件</w:t>
      </w:r>
      <w:r>
        <w:rPr>
          <w:rStyle w:val="45"/>
          <w:rFonts w:hint="eastAsia"/>
          <w:color w:val="FF0000"/>
          <w:szCs w:val="21"/>
          <w:shd w:val="clear" w:color="auto" w:fill="FFFFFF"/>
        </w:rPr>
        <w:t>）</w:t>
      </w:r>
      <w:r>
        <w:rPr>
          <w:rFonts w:hint="eastAsia"/>
          <w:color w:val="FF0000"/>
          <w:szCs w:val="21"/>
          <w:shd w:val="clear" w:color="auto" w:fill="FFFFFF"/>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highlight w:val="yellow"/>
          <w:lang w:val="en-US" w:eastAsia="zh-CN"/>
        </w:rPr>
        <w:t>或者下载信用信息报告</w:t>
      </w:r>
      <w:r>
        <w:rPr>
          <w:rFonts w:hint="eastAsia" w:ascii="宋体" w:hAnsi="宋体" w:cs="宋体"/>
          <w:kern w:val="0"/>
          <w:szCs w:val="21"/>
          <w:lang w:val="en-US" w:eastAsia="zh-CN"/>
        </w:rPr>
        <w:t>）</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cs="宋体"/>
          <w:kern w:val="0"/>
          <w:szCs w:val="21"/>
        </w:rPr>
      </w:pPr>
      <w:r>
        <w:rPr>
          <w:rFonts w:hint="eastAsia" w:ascii="宋体" w:hAnsi="宋体"/>
        </w:rPr>
        <w:t>（2）供应商投标（上传投标文件）必须先行办理注册手续，具体</w:t>
      </w:r>
      <w:r>
        <w:rPr>
          <w:rFonts w:hint="eastAsia" w:ascii="宋体" w:hAnsi="宋体"/>
          <w:lang w:val="en-US" w:eastAsia="zh-CN"/>
        </w:rPr>
        <w:t>操作指引</w:t>
      </w:r>
      <w:r>
        <w:rPr>
          <w:rFonts w:hint="eastAsia" w:ascii="宋体" w:hAnsi="宋体"/>
        </w:rPr>
        <w:t>请按照深圳公共资源交易网/交易服务指南/资料下载/深圳自行采购系统用户操作指引（供应商）相关内容指引办理。</w:t>
      </w:r>
    </w:p>
    <w:p>
      <w:pPr>
        <w:ind w:firstLine="420" w:firstLineChars="200"/>
        <w:rPr>
          <w:rFonts w:ascii="宋体" w:hAnsi="宋体" w:cs="宋体"/>
          <w:color w:val="FF0000"/>
          <w:kern w:val="0"/>
          <w:szCs w:val="21"/>
        </w:rPr>
      </w:pPr>
    </w:p>
    <w:p>
      <w:pPr>
        <w:rPr>
          <w:sz w:val="22"/>
          <w:szCs w:val="18"/>
        </w:rPr>
      </w:pPr>
      <w:r>
        <w:rPr>
          <w:rFonts w:hint="eastAsia"/>
          <w:sz w:val="22"/>
          <w:szCs w:val="18"/>
        </w:rPr>
        <w:t>完整公告内容详见：深圳交易集团（深圳公共资源交易中心）官网https://www.szexgrp.com/jyfw/zfcg-view.html?id=zfcg</w:t>
      </w:r>
    </w:p>
    <w:p>
      <w:r>
        <w:rPr>
          <w:rFonts w:hint="eastAsia"/>
        </w:rPr>
        <w:br w:type="page"/>
      </w:r>
    </w:p>
    <w:p>
      <w:pPr>
        <w:pStyle w:val="6"/>
        <w:rPr>
          <w:b/>
          <w:bCs/>
          <w:sz w:val="28"/>
          <w:szCs w:val="28"/>
        </w:rPr>
      </w:pPr>
      <w:r>
        <w:rPr>
          <w:rFonts w:hint="eastAsia"/>
          <w:b/>
          <w:bCs/>
          <w:sz w:val="28"/>
          <w:szCs w:val="28"/>
        </w:rPr>
        <w:t>第二章 对通用条款的补充内容及其他关键信息</w:t>
      </w:r>
    </w:p>
    <w:p>
      <w:pPr>
        <w:pStyle w:val="6"/>
        <w:spacing w:before="120" w:beforeLines="50" w:after="120" w:afterLines="50"/>
        <w:rPr>
          <w:sz w:val="28"/>
          <w:szCs w:val="28"/>
        </w:rPr>
      </w:pPr>
      <w:bookmarkStart w:id="21" w:name="_Toc73518117"/>
      <w:bookmarkStart w:id="22" w:name="_Toc60560625"/>
      <w:bookmarkStart w:id="23" w:name="_Toc73521635"/>
      <w:bookmarkStart w:id="24" w:name="_Toc60631620"/>
      <w:bookmarkStart w:id="25" w:name="_Toc73517639"/>
      <w:bookmarkStart w:id="26" w:name="_Toc73521547"/>
      <w:bookmarkStart w:id="27" w:name="_Toc100052364"/>
      <w:bookmarkStart w:id="28" w:name="_Toc101074876"/>
      <w:r>
        <w:rPr>
          <w:rFonts w:hint="eastAsia"/>
          <w:szCs w:val="24"/>
        </w:rPr>
        <w:t>一、对通用条款的补充内容</w:t>
      </w:r>
    </w:p>
    <w:bookmarkEnd w:id="21"/>
    <w:bookmarkEnd w:id="22"/>
    <w:bookmarkEnd w:id="23"/>
    <w:bookmarkEnd w:id="24"/>
    <w:bookmarkEnd w:id="25"/>
    <w:bookmarkEnd w:id="26"/>
    <w:bookmarkEnd w:id="27"/>
    <w:bookmarkEnd w:id="28"/>
    <w:tbl>
      <w:tblPr>
        <w:tblStyle w:val="42"/>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70"/>
        <w:gridCol w:w="2526"/>
        <w:gridCol w:w="487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pPr>
              <w:jc w:val="center"/>
              <w:rPr>
                <w:rFonts w:ascii="宋体" w:hAnsi="宋体"/>
                <w:b/>
                <w:bCs/>
              </w:rPr>
            </w:pPr>
            <w:r>
              <w:rPr>
                <w:rFonts w:hint="eastAsia" w:ascii="宋体" w:hAnsi="宋体"/>
                <w:b/>
                <w:bCs/>
              </w:rPr>
              <w:t>通用条款序号</w:t>
            </w:r>
          </w:p>
        </w:tc>
        <w:tc>
          <w:tcPr>
            <w:tcW w:w="2526" w:type="dxa"/>
            <w:vAlign w:val="center"/>
          </w:tcPr>
          <w:p>
            <w:pPr>
              <w:jc w:val="center"/>
              <w:rPr>
                <w:rFonts w:ascii="宋体" w:hAnsi="宋体"/>
                <w:b/>
                <w:bCs/>
              </w:rPr>
            </w:pPr>
            <w:r>
              <w:rPr>
                <w:rFonts w:hint="eastAsia" w:ascii="宋体" w:hAnsi="宋体"/>
                <w:b/>
                <w:bCs/>
              </w:rPr>
              <w:t>涉及事项</w:t>
            </w:r>
          </w:p>
        </w:tc>
        <w:tc>
          <w:tcPr>
            <w:tcW w:w="4871"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367" w:type="dxa"/>
            <w:gridSpan w:val="3"/>
            <w:vAlign w:val="center"/>
          </w:tcPr>
          <w:p>
            <w:pPr>
              <w:jc w:val="center"/>
              <w:rPr>
                <w:rFonts w:ascii="宋体" w:hAnsi="宋体"/>
                <w:b/>
                <w:bCs/>
              </w:rPr>
            </w:pPr>
            <w:r>
              <w:rPr>
                <w:rFonts w:hint="eastAsia"/>
              </w:rPr>
              <w:t>本项目为自行采购项目，相关事宜按照招标文件要求及采购单位内控制度执行。</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pPr>
              <w:jc w:val="center"/>
              <w:rPr>
                <w:rFonts w:ascii="宋体" w:hAnsi="宋体"/>
              </w:rPr>
            </w:pPr>
            <w:r>
              <w:rPr>
                <w:rFonts w:hint="eastAsia" w:ascii="宋体" w:hAnsi="宋体"/>
              </w:rPr>
              <w:t>3</w:t>
            </w:r>
            <w:r>
              <w:rPr>
                <w:rFonts w:ascii="宋体" w:hAnsi="宋体"/>
              </w:rPr>
              <w:t>.1</w:t>
            </w:r>
          </w:p>
        </w:tc>
        <w:tc>
          <w:tcPr>
            <w:tcW w:w="2526" w:type="dxa"/>
            <w:vAlign w:val="center"/>
          </w:tcPr>
          <w:p>
            <w:pPr>
              <w:jc w:val="center"/>
            </w:pPr>
            <w:r>
              <w:rPr>
                <w:rFonts w:hint="eastAsia"/>
              </w:rPr>
              <w:t>采购人</w:t>
            </w:r>
          </w:p>
        </w:tc>
        <w:tc>
          <w:tcPr>
            <w:tcW w:w="4871" w:type="dxa"/>
            <w:vAlign w:val="center"/>
          </w:tcPr>
          <w:p>
            <w:pPr>
              <w:jc w:val="center"/>
              <w:rPr>
                <w:rFonts w:ascii="宋体" w:hAnsi="宋体"/>
              </w:rPr>
            </w:pPr>
            <w:r>
              <w:rPr>
                <w:rFonts w:hint="eastAsia" w:ascii="宋体" w:hAnsi="宋体"/>
              </w:rPr>
              <w:t>深圳技师学院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pPr>
              <w:jc w:val="center"/>
              <w:rPr>
                <w:rFonts w:ascii="宋体" w:hAnsi="宋体"/>
              </w:rPr>
            </w:pPr>
            <w:r>
              <w:rPr>
                <w:rFonts w:hint="eastAsia" w:ascii="宋体" w:hAnsi="宋体"/>
              </w:rPr>
              <w:t>3</w:t>
            </w:r>
            <w:r>
              <w:rPr>
                <w:rFonts w:ascii="宋体" w:hAnsi="宋体"/>
              </w:rPr>
              <w:t>.2</w:t>
            </w:r>
          </w:p>
        </w:tc>
        <w:tc>
          <w:tcPr>
            <w:tcW w:w="2526" w:type="dxa"/>
            <w:vAlign w:val="center"/>
          </w:tcPr>
          <w:p>
            <w:pPr>
              <w:jc w:val="center"/>
              <w:rPr>
                <w:rFonts w:ascii="宋体" w:hAnsi="宋体"/>
              </w:rPr>
            </w:pPr>
            <w:r>
              <w:rPr>
                <w:rFonts w:hint="eastAsia" w:ascii="宋体" w:hAnsi="宋体"/>
              </w:rPr>
              <w:t>政府集中采购机构</w:t>
            </w:r>
          </w:p>
        </w:tc>
        <w:tc>
          <w:tcPr>
            <w:tcW w:w="4871" w:type="dxa"/>
            <w:vAlign w:val="center"/>
          </w:tcPr>
          <w:p>
            <w:pPr>
              <w:jc w:val="center"/>
              <w:rPr>
                <w:rFonts w:ascii="宋体" w:hAnsi="宋体"/>
              </w:rPr>
            </w:pPr>
            <w:r>
              <w:rPr>
                <w:rFonts w:hint="eastAsia" w:ascii="宋体" w:hAnsi="宋体"/>
              </w:rPr>
              <w:t>深圳公共资源交易中心</w:t>
            </w:r>
          </w:p>
          <w:p>
            <w:pPr>
              <w:jc w:val="center"/>
              <w:rPr>
                <w:rFonts w:ascii="宋体" w:hAnsi="宋体"/>
              </w:rPr>
            </w:pPr>
            <w:r>
              <w:rPr>
                <w:rFonts w:hint="eastAsia" w:ascii="宋体" w:hAnsi="宋体"/>
              </w:rPr>
              <w:t>（深圳交易集团有限公司政府采购业务分公司）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pPr>
              <w:jc w:val="center"/>
              <w:rPr>
                <w:rFonts w:ascii="宋体" w:hAnsi="宋体"/>
              </w:rPr>
            </w:pPr>
            <w:r>
              <w:rPr>
                <w:rFonts w:hint="eastAsia" w:ascii="宋体" w:hAnsi="宋体"/>
              </w:rPr>
              <w:t>9</w:t>
            </w:r>
          </w:p>
        </w:tc>
        <w:tc>
          <w:tcPr>
            <w:tcW w:w="2526" w:type="dxa"/>
            <w:vAlign w:val="center"/>
          </w:tcPr>
          <w:p>
            <w:pPr>
              <w:jc w:val="center"/>
              <w:rPr>
                <w:rFonts w:ascii="宋体" w:hAnsi="宋体"/>
              </w:rPr>
            </w:pPr>
            <w:r>
              <w:rPr>
                <w:rFonts w:hint="eastAsia" w:ascii="宋体" w:hAnsi="宋体"/>
              </w:rPr>
              <w:t>踏勘现场</w:t>
            </w:r>
          </w:p>
        </w:tc>
        <w:tc>
          <w:tcPr>
            <w:tcW w:w="4871" w:type="dxa"/>
            <w:vAlign w:val="center"/>
          </w:tcPr>
          <w:p>
            <w:pPr>
              <w:jc w:val="center"/>
              <w:rPr>
                <w:rFonts w:ascii="宋体" w:hAnsi="宋体"/>
              </w:rPr>
            </w:pPr>
            <w:r>
              <w:rPr>
                <w:rFonts w:hint="eastAsia" w:ascii="宋体" w:hAnsi="宋体" w:eastAsia="宋体" w:cs="Times New Roman"/>
                <w:highlight w:val="yellow"/>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pPr>
              <w:jc w:val="center"/>
              <w:rPr>
                <w:rFonts w:ascii="宋体" w:hAnsi="宋体"/>
              </w:rPr>
            </w:pPr>
            <w:r>
              <w:rPr>
                <w:rFonts w:hint="eastAsia" w:ascii="宋体" w:hAnsi="宋体"/>
              </w:rPr>
              <w:t>1</w:t>
            </w:r>
            <w:r>
              <w:rPr>
                <w:rFonts w:ascii="宋体" w:hAnsi="宋体"/>
              </w:rPr>
              <w:t>0</w:t>
            </w:r>
          </w:p>
        </w:tc>
        <w:tc>
          <w:tcPr>
            <w:tcW w:w="2526" w:type="dxa"/>
            <w:vAlign w:val="center"/>
          </w:tcPr>
          <w:p>
            <w:pPr>
              <w:jc w:val="center"/>
              <w:rPr>
                <w:rFonts w:ascii="宋体" w:hAnsi="宋体"/>
              </w:rPr>
            </w:pPr>
            <w:r>
              <w:rPr>
                <w:rFonts w:hint="eastAsia" w:ascii="宋体" w:hAnsi="宋体"/>
              </w:rPr>
              <w:t>标前会议</w:t>
            </w:r>
          </w:p>
        </w:tc>
        <w:tc>
          <w:tcPr>
            <w:tcW w:w="4871" w:type="dxa"/>
            <w:vAlign w:val="center"/>
          </w:tcPr>
          <w:p>
            <w:pPr>
              <w:jc w:val="center"/>
              <w:rPr>
                <w:rFonts w:ascii="宋体" w:hAnsi="宋体"/>
              </w:rPr>
            </w:pPr>
            <w:r>
              <w:rPr>
                <w:rFonts w:hint="eastAsia" w:ascii="宋体" w:hAnsi="宋体"/>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526" w:type="dxa"/>
            <w:vAlign w:val="center"/>
          </w:tcPr>
          <w:p>
            <w:pPr>
              <w:jc w:val="center"/>
              <w:rPr>
                <w:rFonts w:ascii="宋体" w:hAnsi="宋体"/>
              </w:rPr>
            </w:pPr>
            <w:r>
              <w:rPr>
                <w:rFonts w:hint="eastAsia" w:ascii="宋体" w:hAnsi="宋体"/>
              </w:rPr>
              <w:t>招标文件的澄清和修改</w:t>
            </w:r>
          </w:p>
        </w:tc>
        <w:tc>
          <w:tcPr>
            <w:tcW w:w="4871" w:type="dxa"/>
            <w:vAlign w:val="center"/>
          </w:tcPr>
          <w:p>
            <w:pPr>
              <w:jc w:val="left"/>
              <w:rPr>
                <w:rFonts w:ascii="宋体" w:hAnsi="宋体"/>
              </w:rPr>
            </w:pPr>
            <w:r>
              <w:rPr>
                <w:rFonts w:hint="eastAsia" w:ascii="宋体" w:hAnsi="宋体"/>
                <w:highlight w:val="yellow"/>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pPr>
              <w:jc w:val="center"/>
              <w:rPr>
                <w:rFonts w:ascii="宋体" w:hAnsi="宋体"/>
              </w:rPr>
            </w:pPr>
            <w:r>
              <w:rPr>
                <w:rFonts w:hint="eastAsia" w:ascii="宋体" w:hAnsi="宋体"/>
              </w:rPr>
              <w:t>2</w:t>
            </w:r>
            <w:r>
              <w:rPr>
                <w:rFonts w:ascii="宋体" w:hAnsi="宋体"/>
              </w:rPr>
              <w:t>0</w:t>
            </w:r>
          </w:p>
        </w:tc>
        <w:tc>
          <w:tcPr>
            <w:tcW w:w="2526" w:type="dxa"/>
            <w:vAlign w:val="center"/>
          </w:tcPr>
          <w:p>
            <w:pPr>
              <w:jc w:val="center"/>
              <w:rPr>
                <w:rFonts w:ascii="宋体" w:hAnsi="宋体"/>
              </w:rPr>
            </w:pPr>
            <w:r>
              <w:rPr>
                <w:rFonts w:hint="eastAsia" w:ascii="宋体" w:hAnsi="宋体"/>
              </w:rPr>
              <w:t>投标有效期</w:t>
            </w:r>
          </w:p>
        </w:tc>
        <w:tc>
          <w:tcPr>
            <w:tcW w:w="4871" w:type="dxa"/>
            <w:vAlign w:val="center"/>
          </w:tcPr>
          <w:p>
            <w:pPr>
              <w:jc w:val="center"/>
              <w:rPr>
                <w:rFonts w:ascii="宋体" w:hAnsi="宋体"/>
              </w:rPr>
            </w:pPr>
            <w:r>
              <w:rPr>
                <w:rFonts w:hint="eastAsia" w:ascii="宋体" w:hAnsi="宋体"/>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pPr>
              <w:jc w:val="center"/>
              <w:rPr>
                <w:rFonts w:ascii="宋体" w:hAnsi="宋体"/>
              </w:rPr>
            </w:pPr>
            <w:r>
              <w:rPr>
                <w:rFonts w:hint="eastAsia" w:ascii="宋体" w:hAnsi="宋体"/>
              </w:rPr>
              <w:t>2</w:t>
            </w:r>
            <w:r>
              <w:rPr>
                <w:rFonts w:ascii="宋体" w:hAnsi="宋体"/>
              </w:rPr>
              <w:t>2</w:t>
            </w:r>
          </w:p>
        </w:tc>
        <w:tc>
          <w:tcPr>
            <w:tcW w:w="2526" w:type="dxa"/>
            <w:vAlign w:val="center"/>
          </w:tcPr>
          <w:p>
            <w:pPr>
              <w:jc w:val="center"/>
              <w:rPr>
                <w:rFonts w:ascii="宋体" w:hAnsi="宋体"/>
              </w:rPr>
            </w:pPr>
            <w:r>
              <w:rPr>
                <w:rFonts w:hint="eastAsia" w:ascii="宋体" w:hAnsi="宋体"/>
              </w:rPr>
              <w:t>投标人的替代方案</w:t>
            </w:r>
          </w:p>
        </w:tc>
        <w:tc>
          <w:tcPr>
            <w:tcW w:w="4871" w:type="dxa"/>
            <w:vAlign w:val="center"/>
          </w:tcPr>
          <w:p>
            <w:pPr>
              <w:jc w:val="center"/>
              <w:rPr>
                <w:rFonts w:ascii="宋体" w:hAnsi="宋体"/>
              </w:rPr>
            </w:pPr>
            <w:r>
              <w:rPr>
                <w:rFonts w:hint="eastAsia" w:ascii="宋体" w:hAnsi="宋体"/>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pPr>
              <w:jc w:val="center"/>
              <w:rPr>
                <w:rFonts w:ascii="宋体" w:hAnsi="宋体"/>
              </w:rPr>
            </w:pPr>
            <w:r>
              <w:rPr>
                <w:rFonts w:hint="eastAsia" w:ascii="宋体" w:hAnsi="宋体"/>
              </w:rPr>
              <w:t>2</w:t>
            </w:r>
            <w:r>
              <w:rPr>
                <w:rFonts w:ascii="宋体" w:hAnsi="宋体"/>
              </w:rPr>
              <w:t>5</w:t>
            </w:r>
          </w:p>
        </w:tc>
        <w:tc>
          <w:tcPr>
            <w:tcW w:w="2526" w:type="dxa"/>
            <w:vAlign w:val="center"/>
          </w:tcPr>
          <w:p>
            <w:pPr>
              <w:jc w:val="center"/>
              <w:rPr>
                <w:rFonts w:ascii="宋体" w:hAnsi="宋体"/>
              </w:rPr>
            </w:pPr>
            <w:r>
              <w:rPr>
                <w:rFonts w:hint="eastAsia" w:ascii="宋体" w:hAnsi="宋体"/>
              </w:rPr>
              <w:t>投标文件的大小</w:t>
            </w:r>
          </w:p>
        </w:tc>
        <w:tc>
          <w:tcPr>
            <w:tcW w:w="4871" w:type="dxa"/>
            <w:vAlign w:val="center"/>
          </w:tcPr>
          <w:p>
            <w:pPr>
              <w:jc w:val="center"/>
              <w:rPr>
                <w:rFonts w:ascii="宋体" w:hAnsi="宋体"/>
              </w:rPr>
            </w:pPr>
            <w:r>
              <w:rPr>
                <w:rFonts w:hint="eastAsia" w:ascii="宋体" w:hAnsi="宋体"/>
              </w:rPr>
              <w:t>投标文件大小不得超过</w:t>
            </w:r>
            <w:r>
              <w:rPr>
                <w:rFonts w:ascii="宋体" w:hAnsi="宋体"/>
              </w:rPr>
              <w:t>1</w:t>
            </w:r>
            <w:r>
              <w:rPr>
                <w:rFonts w:hint="eastAsia" w:ascii="宋体" w:hAnsi="宋体"/>
              </w:rPr>
              <w:t>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pPr>
              <w:jc w:val="center"/>
              <w:rPr>
                <w:rFonts w:ascii="宋体" w:hAnsi="宋体"/>
              </w:rPr>
            </w:pPr>
            <w:r>
              <w:rPr>
                <w:rFonts w:hint="eastAsia" w:ascii="宋体" w:hAnsi="宋体"/>
              </w:rPr>
              <w:t>2</w:t>
            </w:r>
            <w:r>
              <w:rPr>
                <w:rFonts w:ascii="宋体" w:hAnsi="宋体"/>
              </w:rPr>
              <w:t>6</w:t>
            </w:r>
          </w:p>
        </w:tc>
        <w:tc>
          <w:tcPr>
            <w:tcW w:w="2526" w:type="dxa"/>
            <w:vAlign w:val="center"/>
          </w:tcPr>
          <w:p>
            <w:pPr>
              <w:jc w:val="center"/>
              <w:rPr>
                <w:rFonts w:ascii="宋体" w:hAnsi="宋体"/>
              </w:rPr>
            </w:pPr>
            <w:bookmarkStart w:id="29" w:name="_Hlk71664860"/>
            <w:r>
              <w:rPr>
                <w:rFonts w:hint="eastAsia" w:ascii="宋体" w:hAnsi="宋体"/>
              </w:rPr>
              <w:t>样品、演示、方案讲解</w:t>
            </w:r>
            <w:bookmarkEnd w:id="29"/>
          </w:p>
        </w:tc>
        <w:tc>
          <w:tcPr>
            <w:tcW w:w="4871" w:type="dxa"/>
            <w:vAlign w:val="center"/>
          </w:tcPr>
          <w:p>
            <w:pPr>
              <w:rPr>
                <w:rFonts w:ascii="宋体" w:hAnsi="宋体"/>
              </w:rPr>
            </w:pPr>
            <w:r>
              <w:rPr>
                <w:rFonts w:hint="eastAsia" w:ascii="宋体" w:hAnsi="宋体"/>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pPr>
              <w:jc w:val="center"/>
              <w:rPr>
                <w:rFonts w:ascii="宋体" w:hAnsi="宋体"/>
              </w:rPr>
            </w:pPr>
            <w:r>
              <w:rPr>
                <w:rFonts w:hint="eastAsia" w:ascii="宋体" w:hAnsi="宋体"/>
              </w:rPr>
              <w:t>3</w:t>
            </w:r>
            <w:r>
              <w:rPr>
                <w:rFonts w:ascii="宋体" w:hAnsi="宋体"/>
              </w:rPr>
              <w:t>7</w:t>
            </w:r>
          </w:p>
        </w:tc>
        <w:tc>
          <w:tcPr>
            <w:tcW w:w="2526" w:type="dxa"/>
            <w:vAlign w:val="center"/>
          </w:tcPr>
          <w:p>
            <w:pPr>
              <w:jc w:val="center"/>
              <w:rPr>
                <w:rFonts w:ascii="宋体" w:hAnsi="宋体"/>
              </w:rPr>
            </w:pPr>
            <w:r>
              <w:rPr>
                <w:rFonts w:hint="eastAsia" w:ascii="宋体" w:hAnsi="宋体"/>
              </w:rPr>
              <w:t>评审方法</w:t>
            </w:r>
          </w:p>
        </w:tc>
        <w:tc>
          <w:tcPr>
            <w:tcW w:w="4871" w:type="dxa"/>
            <w:vAlign w:val="center"/>
          </w:tcPr>
          <w:p>
            <w:pPr>
              <w:jc w:val="left"/>
              <w:rPr>
                <w:rFonts w:ascii="宋体" w:hAnsi="宋体"/>
              </w:rPr>
            </w:pPr>
            <w:r>
              <w:rPr>
                <w:rFonts w:hint="eastAsia" w:ascii="宋体" w:hAnsi="宋体"/>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9" w:hRule="atLeast"/>
          <w:jc w:val="center"/>
        </w:trPr>
        <w:tc>
          <w:tcPr>
            <w:tcW w:w="970" w:type="dxa"/>
            <w:vAlign w:val="center"/>
          </w:tcPr>
          <w:p>
            <w:pPr>
              <w:jc w:val="center"/>
              <w:rPr>
                <w:rFonts w:ascii="宋体" w:hAnsi="宋体"/>
              </w:rPr>
            </w:pPr>
            <w:r>
              <w:rPr>
                <w:rFonts w:hint="eastAsia" w:ascii="宋体" w:hAnsi="宋体"/>
              </w:rPr>
              <w:t>3</w:t>
            </w:r>
            <w:r>
              <w:rPr>
                <w:rFonts w:ascii="宋体" w:hAnsi="宋体"/>
              </w:rPr>
              <w:t>8</w:t>
            </w:r>
          </w:p>
        </w:tc>
        <w:tc>
          <w:tcPr>
            <w:tcW w:w="2526" w:type="dxa"/>
            <w:vAlign w:val="center"/>
          </w:tcPr>
          <w:p>
            <w:pPr>
              <w:jc w:val="center"/>
              <w:rPr>
                <w:rFonts w:ascii="宋体" w:hAnsi="宋体"/>
              </w:rPr>
            </w:pPr>
            <w:r>
              <w:rPr>
                <w:rFonts w:hint="eastAsia" w:ascii="宋体" w:hAnsi="宋体"/>
              </w:rPr>
              <w:t>定标方法</w:t>
            </w:r>
          </w:p>
        </w:tc>
        <w:tc>
          <w:tcPr>
            <w:tcW w:w="4871" w:type="dxa"/>
            <w:vAlign w:val="center"/>
          </w:tcPr>
          <w:p>
            <w:pPr>
              <w:jc w:val="center"/>
              <w:rPr>
                <w:rFonts w:ascii="宋体" w:hAnsi="宋体"/>
              </w:rPr>
            </w:pPr>
            <w:r>
              <w:rPr>
                <w:rFonts w:hint="eastAsia" w:ascii="宋体" w:hAnsi="宋体"/>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pPr>
              <w:jc w:val="center"/>
              <w:rPr>
                <w:rFonts w:ascii="宋体" w:hAnsi="宋体"/>
              </w:rPr>
            </w:pPr>
            <w:r>
              <w:rPr>
                <w:rFonts w:hint="eastAsia" w:ascii="宋体" w:hAnsi="宋体"/>
              </w:rPr>
              <w:t>4</w:t>
            </w:r>
            <w:r>
              <w:rPr>
                <w:rFonts w:ascii="宋体" w:hAnsi="宋体"/>
              </w:rPr>
              <w:t>6</w:t>
            </w:r>
          </w:p>
        </w:tc>
        <w:tc>
          <w:tcPr>
            <w:tcW w:w="2526" w:type="dxa"/>
            <w:vAlign w:val="center"/>
          </w:tcPr>
          <w:p>
            <w:pPr>
              <w:jc w:val="center"/>
              <w:rPr>
                <w:rFonts w:ascii="宋体" w:hAnsi="宋体"/>
              </w:rPr>
            </w:pPr>
            <w:r>
              <w:rPr>
                <w:rFonts w:hint="eastAsia" w:ascii="宋体" w:hAnsi="宋体"/>
              </w:rPr>
              <w:t>履约担保</w:t>
            </w:r>
          </w:p>
        </w:tc>
        <w:tc>
          <w:tcPr>
            <w:tcW w:w="4871" w:type="dxa"/>
            <w:vAlign w:val="center"/>
          </w:tcPr>
          <w:p>
            <w:pPr>
              <w:jc w:val="center"/>
              <w:rPr>
                <w:rFonts w:ascii="宋体" w:hAnsi="宋体"/>
              </w:rPr>
            </w:pPr>
            <w:r>
              <w:rPr>
                <w:rFonts w:hint="eastAsia" w:ascii="宋体" w:hAnsi="宋体"/>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pPr>
              <w:jc w:val="center"/>
              <w:rPr>
                <w:rFonts w:ascii="宋体" w:hAnsi="宋体"/>
              </w:rPr>
            </w:pPr>
            <w:r>
              <w:rPr>
                <w:rFonts w:hint="eastAsia" w:ascii="宋体" w:hAnsi="宋体"/>
              </w:rPr>
              <w:t>52.8</w:t>
            </w:r>
          </w:p>
        </w:tc>
        <w:tc>
          <w:tcPr>
            <w:tcW w:w="2526" w:type="dxa"/>
            <w:vAlign w:val="center"/>
          </w:tcPr>
          <w:p>
            <w:pPr>
              <w:jc w:val="center"/>
              <w:rPr>
                <w:rFonts w:ascii="宋体" w:hAnsi="宋体"/>
              </w:rPr>
            </w:pPr>
            <w:r>
              <w:rPr>
                <w:rFonts w:hint="eastAsia" w:ascii="宋体" w:hAnsi="宋体"/>
              </w:rPr>
              <w:t>投诉</w:t>
            </w:r>
          </w:p>
        </w:tc>
        <w:tc>
          <w:tcPr>
            <w:tcW w:w="4871" w:type="dxa"/>
            <w:vAlign w:val="center"/>
          </w:tcPr>
          <w:p>
            <w:pPr>
              <w:jc w:val="left"/>
              <w:rPr>
                <w:rFonts w:ascii="宋体" w:hAnsi="宋体"/>
                <w:b/>
              </w:rPr>
            </w:pPr>
            <w:r>
              <w:rPr>
                <w:rFonts w:hint="eastAsia" w:ascii="宋体" w:hAnsi="宋体"/>
              </w:rPr>
              <w:t>对被质疑人的答复不满意或者被质疑人未在规定时间内答复的，提出质疑的供应商可以在答复期满后十五个工作日内向本项目预算主管单位（本项目采购人）投诉。供应商投诉的事项应当是经过质疑的事项。</w:t>
            </w:r>
          </w:p>
        </w:tc>
      </w:tr>
    </w:tbl>
    <w:p>
      <w:pPr>
        <w:rPr>
          <w:b/>
        </w:rPr>
      </w:pPr>
      <w:r>
        <w:rPr>
          <w:rFonts w:hint="eastAsia"/>
          <w:szCs w:val="21"/>
        </w:rPr>
        <w:t>备注：本表是通用条款相关条款的补充和明确，如与通用条款内容相冲突的，以本表为准。</w:t>
      </w:r>
    </w:p>
    <w:p>
      <w:pPr>
        <w:rPr>
          <w:b/>
        </w:rPr>
      </w:pPr>
    </w:p>
    <w:p>
      <w:pPr>
        <w:pStyle w:val="6"/>
        <w:spacing w:before="120" w:beforeLines="50" w:after="120" w:afterLines="50"/>
        <w:rPr>
          <w:szCs w:val="24"/>
        </w:rPr>
      </w:pPr>
      <w:r>
        <w:rPr>
          <w:rFonts w:hint="eastAsia"/>
          <w:szCs w:val="24"/>
        </w:rPr>
        <w:t>二、其他关键信息</w:t>
      </w:r>
    </w:p>
    <w:p>
      <w:pPr>
        <w:ind w:firstLine="422" w:firstLineChars="200"/>
        <w:rPr>
          <w:b/>
          <w:bCs/>
        </w:rPr>
      </w:pPr>
      <w:r>
        <w:rPr>
          <w:rFonts w:hint="eastAsia"/>
          <w:b/>
          <w:bCs/>
        </w:rPr>
        <w:t>（一）与“对通用条款的补充内容”章节相关的事项</w:t>
      </w:r>
    </w:p>
    <w:p>
      <w:pPr>
        <w:spacing w:line="276" w:lineRule="auto"/>
        <w:ind w:firstLine="422" w:firstLineChars="200"/>
        <w:jc w:val="left"/>
        <w:rPr>
          <w:rFonts w:asciiTheme="minorEastAsia" w:hAnsiTheme="minorEastAsia" w:eastAsiaTheme="minorEastAsia"/>
          <w:b/>
          <w:kern w:val="0"/>
          <w:szCs w:val="20"/>
        </w:rPr>
      </w:pPr>
      <w:bookmarkStart w:id="30" w:name="_Hlk72579465"/>
      <w:r>
        <w:rPr>
          <w:rFonts w:hint="eastAsia" w:asciiTheme="minorEastAsia" w:hAnsiTheme="minorEastAsia" w:eastAsiaTheme="minorEastAsia"/>
          <w:b/>
          <w:kern w:val="0"/>
          <w:szCs w:val="20"/>
        </w:rPr>
        <w:t>1、评标定标信息</w:t>
      </w:r>
    </w:p>
    <w:bookmarkEnd w:id="30"/>
    <w:tbl>
      <w:tblPr>
        <w:tblStyle w:val="4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8"/>
        <w:gridCol w:w="4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0" w:type="pct"/>
          </w:tcPr>
          <w:p>
            <w:pPr>
              <w:jc w:val="center"/>
            </w:pPr>
            <w:r>
              <w:rPr>
                <w:rFonts w:hint="eastAsia"/>
              </w:rPr>
              <w:t>评标方法</w:t>
            </w:r>
          </w:p>
        </w:tc>
        <w:tc>
          <w:tcPr>
            <w:tcW w:w="2489" w:type="pct"/>
          </w:tcPr>
          <w:p>
            <w:pPr>
              <w:jc w:val="center"/>
            </w:pPr>
            <w:r>
              <w:rPr>
                <w:rFonts w:hint="eastAsia"/>
              </w:rPr>
              <w:sym w:font="Wingdings" w:char="00FE"/>
            </w:r>
            <w:r>
              <w:rPr>
                <w:rFonts w:hint="eastAsia"/>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0" w:type="pct"/>
          </w:tcPr>
          <w:p>
            <w:pPr>
              <w:jc w:val="center"/>
            </w:pPr>
            <w:r>
              <w:rPr>
                <w:rFonts w:hint="eastAsia"/>
              </w:rPr>
              <w:t>候选中标供应商家数</w:t>
            </w:r>
          </w:p>
        </w:tc>
        <w:tc>
          <w:tcPr>
            <w:tcW w:w="2489" w:type="pct"/>
          </w:tcPr>
          <w:p>
            <w:pPr>
              <w:jc w:val="cente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0" w:type="pct"/>
          </w:tcPr>
          <w:p>
            <w:pPr>
              <w:jc w:val="center"/>
            </w:pPr>
            <w:r>
              <w:rPr>
                <w:rFonts w:hint="eastAsia"/>
              </w:rPr>
              <w:t>中标供应商家数</w:t>
            </w:r>
          </w:p>
        </w:tc>
        <w:tc>
          <w:tcPr>
            <w:tcW w:w="2489" w:type="pct"/>
          </w:tcPr>
          <w:p>
            <w:pPr>
              <w:jc w:val="center"/>
            </w:pPr>
            <w:r>
              <w:rPr>
                <w:rFonts w:hint="eastAsia"/>
              </w:rPr>
              <w:t>1</w:t>
            </w:r>
          </w:p>
        </w:tc>
      </w:tr>
    </w:tbl>
    <w:p>
      <w:pPr>
        <w:ind w:firstLine="422" w:firstLineChars="200"/>
        <w:rPr>
          <w:rFonts w:hint="eastAsia"/>
          <w:b/>
        </w:rPr>
      </w:pPr>
      <w:r>
        <w:rPr>
          <w:rFonts w:hint="eastAsia"/>
          <w:b/>
        </w:rPr>
        <w:t>（二）其他事项</w:t>
      </w:r>
    </w:p>
    <w:p>
      <w:pPr>
        <w:ind w:firstLine="420" w:firstLineChars="200"/>
      </w:pPr>
      <w:r>
        <w:t>1</w:t>
      </w:r>
      <w:r>
        <w:rPr>
          <w:rFonts w:hint="eastAsia"/>
        </w:rPr>
        <w:t>、关于享受优惠政策的主体及价格扣除比例</w:t>
      </w:r>
    </w:p>
    <w:p>
      <w:pPr>
        <w:ind w:firstLine="420" w:firstLineChars="200"/>
      </w:pPr>
      <w:r>
        <w:rPr>
          <w:rFonts w:hint="eastAsia"/>
        </w:rPr>
        <w:t>（</w:t>
      </w:r>
      <w:r>
        <w:rPr>
          <w:rFonts w:hint="eastAsia"/>
          <w:lang w:val="en-US" w:eastAsia="zh-CN"/>
        </w:rPr>
        <w:t>1</w:t>
      </w:r>
      <w:r>
        <w:rPr>
          <w:rFonts w:hint="eastAsia"/>
        </w:rPr>
        <w:t>）非专门面向中小企业采购的项目，应执行价格扣除比例：投标人提供的货物（以招标文件用户需求书“</w:t>
      </w:r>
      <w:r>
        <w:rPr>
          <w:rFonts w:hint="eastAsia"/>
          <w:szCs w:val="24"/>
        </w:rPr>
        <w:t>货物需求明细</w:t>
      </w:r>
      <w:r>
        <w:rPr>
          <w:rFonts w:hint="eastAsia"/>
        </w:rPr>
        <w:t>”的“货物名称”一栏为准）全部均由优惠主体制造，则对其投标总价给予</w:t>
      </w:r>
      <w:r>
        <w:rPr>
          <w:b/>
          <w:bCs/>
          <w:color w:val="FF0000"/>
          <w:sz w:val="24"/>
          <w:szCs w:val="32"/>
          <w:u w:val="single"/>
        </w:rPr>
        <w:t xml:space="preserve">  </w:t>
      </w:r>
      <w:r>
        <w:rPr>
          <w:rFonts w:hint="eastAsia"/>
          <w:b/>
          <w:bCs/>
          <w:color w:val="FF0000"/>
          <w:sz w:val="24"/>
          <w:szCs w:val="32"/>
          <w:u w:val="single"/>
        </w:rPr>
        <w:t xml:space="preserve">  </w:t>
      </w:r>
      <w:r>
        <w:rPr>
          <w:rFonts w:hint="eastAsia"/>
          <w:b/>
          <w:bCs/>
          <w:color w:val="FF0000"/>
          <w:sz w:val="24"/>
          <w:szCs w:val="32"/>
          <w:u w:val="single"/>
          <w:lang w:val="en-US" w:eastAsia="zh-CN"/>
        </w:rPr>
        <w:t>10</w:t>
      </w:r>
      <w:r>
        <w:rPr>
          <w:rFonts w:hint="eastAsia"/>
          <w:b/>
          <w:bCs/>
          <w:color w:val="FF0000"/>
          <w:sz w:val="24"/>
          <w:szCs w:val="32"/>
          <w:u w:val="single"/>
        </w:rPr>
        <w:t xml:space="preserve"> </w:t>
      </w:r>
      <w:r>
        <w:rPr>
          <w:b/>
          <w:bCs/>
          <w:color w:val="FF0000"/>
          <w:sz w:val="24"/>
          <w:szCs w:val="32"/>
          <w:u w:val="single"/>
        </w:rPr>
        <w:t xml:space="preserve">  </w:t>
      </w:r>
      <w:r>
        <w:rPr>
          <w:rFonts w:hint="eastAsia"/>
          <w:b/>
          <w:bCs/>
          <w:color w:val="FF0000"/>
          <w:sz w:val="24"/>
          <w:szCs w:val="32"/>
          <w:u w:val="single"/>
        </w:rPr>
        <w:t xml:space="preserve"> </w:t>
      </w:r>
      <w:r>
        <w:rPr>
          <w:b/>
          <w:bCs/>
          <w:color w:val="FF0000"/>
          <w:sz w:val="24"/>
          <w:szCs w:val="32"/>
        </w:rPr>
        <w:t>%</w:t>
      </w:r>
      <w:r>
        <w:rPr>
          <w:rFonts w:hint="eastAsia"/>
        </w:rPr>
        <w:t>的扣除，用扣除后的价格参与评审。满足多项优惠政策的供应商，不重复享受多项价格扣除政策。</w:t>
      </w:r>
    </w:p>
    <w:p>
      <w:pPr>
        <w:ind w:firstLine="420" w:firstLineChars="200"/>
      </w:pPr>
      <w:r>
        <w:rPr>
          <w:rFonts w:hint="eastAsia"/>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自行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bookmarkStart w:id="31" w:name="_Hlk71970739"/>
      <w:r>
        <w:rPr>
          <w:rFonts w:hint="eastAsia" w:asciiTheme="minorEastAsia" w:hAnsiTheme="minorEastAsia" w:eastAsiaTheme="minorEastAsia" w:cstheme="minorEastAsia"/>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Cs w:val="21"/>
        </w:rPr>
        <w:t>《中小企业声明函》中相关企业所属行业应当与采购标的所属行业相一致。</w:t>
      </w:r>
      <w:r>
        <w:rPr>
          <w:rFonts w:hint="eastAsia" w:asciiTheme="minorEastAsia" w:hAnsiTheme="minorEastAsia" w:eastAsiaTheme="minorEastAsia" w:cstheme="minorEastAsia"/>
          <w:szCs w:val="21"/>
        </w:rPr>
        <w:t>本项目采购标的（货物）对应的中小企业划分标准所属行业为</w:t>
      </w:r>
      <w:r>
        <w:rPr>
          <w:rFonts w:hint="eastAsia" w:asciiTheme="minorEastAsia" w:hAnsiTheme="minorEastAsia" w:eastAsiaTheme="minorEastAsia" w:cstheme="minorEastAsia"/>
          <w:b/>
          <w:bCs/>
          <w:color w:val="FF0000"/>
          <w:sz w:val="24"/>
          <w:u w:val="single"/>
        </w:rPr>
        <w:t xml:space="preserve"> </w:t>
      </w:r>
      <w:r>
        <w:rPr>
          <w:rFonts w:hint="eastAsia" w:asciiTheme="minorEastAsia" w:hAnsiTheme="minorEastAsia" w:eastAsiaTheme="minorEastAsia" w:cstheme="minorEastAsia"/>
          <w:b/>
          <w:bCs/>
          <w:color w:val="FF0000"/>
          <w:szCs w:val="21"/>
          <w:highlight w:val="yellow"/>
        </w:rPr>
        <w:t>软件和信息技术服务业</w:t>
      </w:r>
      <w:r>
        <w:rPr>
          <w:rFonts w:hint="eastAsia" w:asciiTheme="minorEastAsia" w:hAnsiTheme="minorEastAsia" w:eastAsiaTheme="minorEastAsia" w:cstheme="minorEastAsia"/>
          <w:szCs w:val="21"/>
        </w:rPr>
        <w:t>。</w:t>
      </w:r>
      <w:bookmarkEnd w:id="31"/>
    </w:p>
    <w:p>
      <w:pPr>
        <w:numPr>
          <w:ilvl w:val="0"/>
          <w:numId w:val="9"/>
        </w:numPr>
        <w:ind w:firstLine="420" w:firstLineChars="200"/>
      </w:pPr>
      <w:r>
        <w:rPr>
          <w:rFonts w:hint="eastAsia"/>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四章“投标文件组成要求及格式”中“投标人情况及资格证明文件”章节提供的格式）。</w:t>
      </w:r>
    </w:p>
    <w:p>
      <w:pPr>
        <w:ind w:firstLine="420" w:firstLineChars="200"/>
      </w:pPr>
      <w:r>
        <w:rPr>
          <w:rFonts w:hint="eastAsia"/>
        </w:rPr>
        <w:t>（5）享受价格扣除获得采购合同的，小微企业不得将合同分包给大中型企业。</w:t>
      </w:r>
    </w:p>
    <w:p>
      <w:pPr>
        <w:spacing w:line="360" w:lineRule="auto"/>
        <w:ind w:firstLine="422" w:firstLineChars="200"/>
        <w:rPr>
          <w:rFonts w:ascii="宋体" w:hAnsi="宋体" w:cs="宋体"/>
          <w:b/>
          <w:bCs/>
        </w:rPr>
      </w:pPr>
      <w:r>
        <w:rPr>
          <w:rFonts w:hint="eastAsia" w:ascii="宋体" w:hAnsi="宋体" w:cs="宋体"/>
          <w:b/>
          <w:bCs/>
        </w:rPr>
        <w:t>2.关于</w:t>
      </w:r>
      <w:r>
        <w:rPr>
          <w:rFonts w:hint="eastAsia" w:ascii="宋体" w:hAnsi="宋体" w:cs="宋体"/>
          <w:b/>
          <w:bCs/>
          <w:lang w:eastAsia="zh-CN"/>
        </w:rPr>
        <w:t>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b/>
        </w:rPr>
      </w:pPr>
      <w:r>
        <w:rPr>
          <w:rFonts w:hint="eastAsia"/>
          <w:color w:val="FF0000"/>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rPr>
      </w:pPr>
      <w:r>
        <w:rPr>
          <w:rFonts w:hint="eastAsia"/>
          <w:b/>
        </w:rPr>
        <w:t>3、</w:t>
      </w:r>
      <w:bookmarkStart w:id="32" w:name="_Hlk72594729"/>
      <w:bookmarkStart w:id="33" w:name="_Hlk76855768"/>
      <w:r>
        <w:rPr>
          <w:rFonts w:hint="eastAsia"/>
          <w:b/>
        </w:rPr>
        <w:t>本项目为代理服务项目，将向中标</w:t>
      </w:r>
      <w:r>
        <w:rPr>
          <w:rFonts w:hint="eastAsia" w:eastAsia="宋体"/>
          <w:b/>
          <w:lang w:eastAsia="zh-CN"/>
        </w:rPr>
        <w:t>（</w:t>
      </w:r>
      <w:r>
        <w:rPr>
          <w:rFonts w:hint="eastAsia" w:ascii="Times New Roman" w:eastAsia="宋体"/>
          <w:b/>
          <w:lang w:val="en-US" w:eastAsia="zh-CN"/>
        </w:rPr>
        <w:t>成交</w:t>
      </w:r>
      <w:r>
        <w:rPr>
          <w:rFonts w:hint="eastAsia" w:eastAsia="宋体"/>
          <w:b/>
          <w:lang w:eastAsia="zh-CN"/>
        </w:rPr>
        <w:t>）</w:t>
      </w:r>
      <w:r>
        <w:rPr>
          <w:rFonts w:hint="eastAsia"/>
          <w:b/>
        </w:rPr>
        <w:t>供应商收取代理服务费。</w:t>
      </w:r>
    </w:p>
    <w:bookmarkEnd w:id="32"/>
    <w:bookmarkEnd w:id="33"/>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政府采购业务分公司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u w:val="single"/>
        </w:rPr>
        <w:t>货物采购</w:t>
      </w:r>
      <w:r>
        <w:rPr>
          <w:rFonts w:hint="eastAsia"/>
          <w:b/>
          <w:color w:val="FF0000"/>
        </w:rPr>
        <w:t>：</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4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rFonts w:hint="eastAsia" w:eastAsia="宋体"/>
          <w:lang w:eastAsia="zh-CN"/>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w:t>
      </w:r>
      <w:r>
        <w:rPr>
          <w:rFonts w:hint="eastAsia" w:eastAsia="宋体"/>
          <w:lang w:eastAsia="zh-CN"/>
        </w:rPr>
        <w:t>：</w:t>
      </w:r>
    </w:p>
    <w:p>
      <w:pPr>
        <w:ind w:firstLine="422" w:firstLineChars="200"/>
        <w:rPr>
          <w:rFonts w:ascii="宋体" w:hAnsi="宋体" w:eastAsia="宋体" w:cs="宋体"/>
          <w:bCs/>
          <w:color w:val="FF0000"/>
          <w:szCs w:val="21"/>
          <w:highlight w:val="yellow"/>
        </w:rPr>
      </w:pPr>
      <w:r>
        <w:rPr>
          <w:rFonts w:hint="eastAsia" w:ascii="宋体" w:hAnsi="宋体" w:eastAsia="宋体" w:cs="宋体"/>
          <w:b/>
          <w:bCs/>
          <w:color w:val="FF0000"/>
          <w:szCs w:val="21"/>
          <w:highlight w:val="yellow"/>
        </w:rPr>
        <w:t>基本户信息：</w:t>
      </w:r>
    </w:p>
    <w:p>
      <w:pPr>
        <w:ind w:firstLine="420" w:firstLineChars="200"/>
        <w:rPr>
          <w:rFonts w:ascii="宋体" w:hAnsi="宋体" w:eastAsia="宋体" w:cs="宋体"/>
          <w:color w:val="FF0000"/>
          <w:szCs w:val="21"/>
          <w:highlight w:val="yellow"/>
        </w:rPr>
      </w:pPr>
      <w:r>
        <w:rPr>
          <w:rFonts w:hint="eastAsia" w:ascii="宋体" w:hAnsi="宋体" w:eastAsia="宋体" w:cs="宋体"/>
          <w:color w:val="FF0000"/>
          <w:szCs w:val="21"/>
          <w:highlight w:val="yellow"/>
        </w:rPr>
        <w:t>账户名：深圳交易集团有限公司</w:t>
      </w:r>
    </w:p>
    <w:p>
      <w:pPr>
        <w:ind w:firstLine="420" w:firstLineChars="200"/>
        <w:rPr>
          <w:rFonts w:ascii="宋体" w:hAnsi="宋体" w:eastAsia="宋体" w:cs="宋体"/>
          <w:color w:val="FF0000"/>
          <w:szCs w:val="21"/>
          <w:highlight w:val="yellow"/>
        </w:rPr>
      </w:pPr>
      <w:r>
        <w:rPr>
          <w:rFonts w:hint="eastAsia" w:ascii="宋体" w:hAnsi="宋体" w:eastAsia="宋体" w:cs="宋体"/>
          <w:color w:val="FF0000"/>
          <w:szCs w:val="21"/>
          <w:highlight w:val="yellow"/>
        </w:rPr>
        <w:t>账号：632765883</w:t>
      </w:r>
    </w:p>
    <w:p>
      <w:pPr>
        <w:ind w:firstLine="420" w:firstLineChars="200"/>
        <w:rPr>
          <w:rFonts w:ascii="宋体" w:hAnsi="宋体" w:eastAsia="宋体" w:cs="宋体"/>
          <w:color w:val="FF0000"/>
          <w:szCs w:val="21"/>
          <w:highlight w:val="yellow"/>
        </w:rPr>
      </w:pPr>
      <w:r>
        <w:rPr>
          <w:rFonts w:hint="eastAsia" w:ascii="宋体" w:hAnsi="宋体" w:eastAsia="宋体" w:cs="宋体"/>
          <w:color w:val="FF0000"/>
          <w:szCs w:val="21"/>
          <w:highlight w:val="yellow"/>
        </w:rPr>
        <w:t>开户行：民生银行深圳五洲支行</w:t>
      </w:r>
    </w:p>
    <w:p>
      <w:pPr>
        <w:ind w:firstLine="422" w:firstLineChars="200"/>
        <w:rPr>
          <w:rFonts w:ascii="宋体" w:hAnsi="宋体" w:eastAsia="宋体" w:cs="宋体"/>
          <w:bCs/>
          <w:color w:val="FF0000"/>
          <w:szCs w:val="21"/>
          <w:highlight w:val="yellow"/>
        </w:rPr>
      </w:pPr>
      <w:r>
        <w:rPr>
          <w:rFonts w:hint="eastAsia" w:ascii="宋体" w:hAnsi="宋体" w:eastAsia="宋体" w:cs="宋体"/>
          <w:b/>
          <w:bCs/>
          <w:color w:val="FF0000"/>
          <w:szCs w:val="21"/>
          <w:highlight w:val="yellow"/>
        </w:rPr>
        <w:t>转账备注：</w:t>
      </w:r>
    </w:p>
    <w:p>
      <w:pPr>
        <w:ind w:firstLine="420" w:firstLineChars="200"/>
        <w:rPr>
          <w:rFonts w:hint="eastAsia" w:ascii="宋体" w:hAnsi="宋体" w:eastAsia="宋体" w:cs="宋体"/>
          <w:bCs/>
          <w:color w:val="FF0000"/>
          <w:szCs w:val="21"/>
          <w:highlight w:val="yellow"/>
        </w:rPr>
      </w:pPr>
      <w:r>
        <w:rPr>
          <w:rFonts w:hint="eastAsia" w:ascii="宋体" w:hAnsi="宋体" w:eastAsia="宋体" w:cs="宋体"/>
          <w:bCs/>
          <w:color w:val="FF0000"/>
          <w:szCs w:val="21"/>
          <w:highlight w:val="yellow"/>
        </w:rPr>
        <w:t>项目编号+项目名称</w:t>
      </w:r>
    </w:p>
    <w:p>
      <w:pPr>
        <w:ind w:firstLine="420" w:firstLineChars="200"/>
        <w:jc w:val="left"/>
      </w:pPr>
    </w:p>
    <w:p>
      <w:pPr>
        <w:rPr>
          <w:rFonts w:ascii="宋体" w:hAnsi="宋体"/>
          <w:b/>
          <w:bCs/>
          <w:kern w:val="0"/>
          <w:sz w:val="28"/>
          <w:szCs w:val="28"/>
        </w:rPr>
      </w:pPr>
      <w:bookmarkStart w:id="34" w:name="_Toc128884461"/>
      <w:r>
        <w:rPr>
          <w:sz w:val="28"/>
          <w:szCs w:val="28"/>
        </w:rPr>
        <w:br w:type="page"/>
      </w:r>
    </w:p>
    <w:p>
      <w:pPr>
        <w:pStyle w:val="6"/>
        <w:rPr>
          <w:b/>
          <w:bCs/>
          <w:sz w:val="28"/>
          <w:szCs w:val="28"/>
        </w:rPr>
      </w:pPr>
      <w:r>
        <w:rPr>
          <w:rFonts w:hint="eastAsia"/>
          <w:b/>
          <w:bCs/>
          <w:sz w:val="28"/>
          <w:szCs w:val="28"/>
        </w:rPr>
        <w:t>第三章 用户需求书</w:t>
      </w:r>
    </w:p>
    <w:bookmarkEnd w:id="34"/>
    <w:p>
      <w:pPr>
        <w:pStyle w:val="6"/>
        <w:spacing w:before="156" w:beforeLines="50" w:after="156" w:afterLines="50"/>
        <w:rPr>
          <w:rFonts w:hint="eastAsia"/>
          <w:szCs w:val="24"/>
        </w:rPr>
      </w:pPr>
      <w:r>
        <w:rPr>
          <w:rFonts w:hint="eastAsia"/>
          <w:szCs w:val="24"/>
        </w:rPr>
        <w:t>一、项目基本信息</w:t>
      </w:r>
    </w:p>
    <w:tbl>
      <w:tblPr>
        <w:tblStyle w:val="4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222"/>
        <w:gridCol w:w="4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33" w:type="pct"/>
            <w:vAlign w:val="center"/>
          </w:tcPr>
          <w:p>
            <w:pPr>
              <w:jc w:val="center"/>
              <w:rPr>
                <w:bCs/>
                <w:szCs w:val="21"/>
              </w:rPr>
            </w:pPr>
            <w:r>
              <w:rPr>
                <w:rFonts w:hint="eastAsia"/>
                <w:bCs/>
                <w:szCs w:val="21"/>
              </w:rPr>
              <w:t>序号</w:t>
            </w:r>
          </w:p>
        </w:tc>
        <w:tc>
          <w:tcPr>
            <w:tcW w:w="1890" w:type="pct"/>
            <w:vAlign w:val="center"/>
          </w:tcPr>
          <w:p>
            <w:pPr>
              <w:jc w:val="center"/>
              <w:rPr>
                <w:bCs/>
                <w:szCs w:val="21"/>
              </w:rPr>
            </w:pPr>
            <w:r>
              <w:rPr>
                <w:rFonts w:hint="eastAsia"/>
                <w:bCs/>
                <w:szCs w:val="21"/>
              </w:rPr>
              <w:t>采购项目名称</w:t>
            </w:r>
          </w:p>
        </w:tc>
        <w:tc>
          <w:tcPr>
            <w:tcW w:w="2775" w:type="pct"/>
            <w:vAlign w:val="center"/>
          </w:tcPr>
          <w:p>
            <w:pPr>
              <w:jc w:val="center"/>
              <w:rPr>
                <w:b/>
                <w:bCs/>
                <w:color w:val="FF0000"/>
                <w:szCs w:val="21"/>
              </w:rPr>
            </w:pPr>
            <w:r>
              <w:rPr>
                <w:rFonts w:hint="eastAsia"/>
                <w:b/>
                <w:bCs/>
                <w:color w:val="FF0000"/>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33" w:type="pct"/>
            <w:vAlign w:val="center"/>
          </w:tcPr>
          <w:p>
            <w:pPr>
              <w:jc w:val="center"/>
              <w:rPr>
                <w:bCs/>
                <w:color w:val="FF0000"/>
                <w:szCs w:val="21"/>
              </w:rPr>
            </w:pPr>
            <w:r>
              <w:rPr>
                <w:rFonts w:hint="eastAsia"/>
                <w:bCs/>
                <w:color w:val="FF0000"/>
                <w:szCs w:val="21"/>
              </w:rPr>
              <w:t>1</w:t>
            </w:r>
          </w:p>
        </w:tc>
        <w:tc>
          <w:tcPr>
            <w:tcW w:w="1890" w:type="pct"/>
            <w:vAlign w:val="center"/>
          </w:tcPr>
          <w:p>
            <w:pPr>
              <w:jc w:val="center"/>
              <w:rPr>
                <w:b/>
                <w:bCs/>
                <w:color w:val="FF0000"/>
                <w:szCs w:val="21"/>
              </w:rPr>
            </w:pPr>
            <w:r>
              <w:rPr>
                <w:rFonts w:hint="eastAsia"/>
                <w:b/>
                <w:bCs/>
                <w:color w:val="FF0000"/>
                <w:szCs w:val="21"/>
                <w:lang w:val="en-US" w:eastAsia="zh-CN"/>
              </w:rPr>
              <w:t>深圳技师学院跨境供应链实训中心项目</w:t>
            </w:r>
          </w:p>
        </w:tc>
        <w:tc>
          <w:tcPr>
            <w:tcW w:w="2775" w:type="pct"/>
            <w:vAlign w:val="center"/>
          </w:tcPr>
          <w:p>
            <w:pPr>
              <w:jc w:val="center"/>
              <w:rPr>
                <w:bCs/>
                <w:color w:val="FF0000"/>
                <w:szCs w:val="21"/>
              </w:rPr>
            </w:pPr>
            <w:r>
              <w:rPr>
                <w:rFonts w:hint="eastAsia"/>
                <w:bCs/>
                <w:color w:val="FF0000"/>
                <w:szCs w:val="21"/>
                <w:lang w:val="en-US" w:eastAsia="zh-CN"/>
              </w:rPr>
              <w:t>854000</w:t>
            </w:r>
          </w:p>
        </w:tc>
      </w:tr>
    </w:tbl>
    <w:p/>
    <w:p>
      <w:pPr>
        <w:pStyle w:val="2"/>
      </w:pPr>
    </w:p>
    <w:p>
      <w:pPr>
        <w:pStyle w:val="6"/>
        <w:spacing w:before="156" w:beforeLines="50" w:after="156" w:afterLines="50"/>
        <w:rPr>
          <w:rFonts w:hint="eastAsia"/>
          <w:szCs w:val="24"/>
        </w:rPr>
      </w:pPr>
      <w:r>
        <w:rPr>
          <w:rFonts w:hint="eastAsia"/>
          <w:szCs w:val="24"/>
        </w:rPr>
        <w:t>二、货物需求明细</w:t>
      </w:r>
    </w:p>
    <w:tbl>
      <w:tblPr>
        <w:tblStyle w:val="42"/>
        <w:tblW w:w="50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842"/>
        <w:gridCol w:w="571"/>
        <w:gridCol w:w="571"/>
        <w:gridCol w:w="1644"/>
        <w:gridCol w:w="2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jc w:val="center"/>
              <w:rPr>
                <w:bCs/>
                <w:szCs w:val="21"/>
              </w:rPr>
            </w:pPr>
            <w:r>
              <w:rPr>
                <w:rFonts w:hint="eastAsia"/>
                <w:bCs/>
                <w:szCs w:val="21"/>
              </w:rPr>
              <w:t>序号</w:t>
            </w:r>
          </w:p>
        </w:tc>
        <w:tc>
          <w:tcPr>
            <w:tcW w:w="1661" w:type="pct"/>
            <w:vAlign w:val="center"/>
          </w:tcPr>
          <w:p>
            <w:pPr>
              <w:jc w:val="center"/>
              <w:rPr>
                <w:bCs/>
                <w:szCs w:val="21"/>
              </w:rPr>
            </w:pPr>
            <w:r>
              <w:rPr>
                <w:rFonts w:hint="eastAsia"/>
                <w:bCs/>
                <w:szCs w:val="21"/>
              </w:rPr>
              <w:t>货物名称（标的名称）</w:t>
            </w:r>
          </w:p>
        </w:tc>
        <w:tc>
          <w:tcPr>
            <w:tcW w:w="333" w:type="pct"/>
            <w:vAlign w:val="center"/>
          </w:tcPr>
          <w:p>
            <w:pPr>
              <w:jc w:val="center"/>
              <w:rPr>
                <w:bCs/>
                <w:szCs w:val="21"/>
              </w:rPr>
            </w:pPr>
            <w:r>
              <w:rPr>
                <w:rFonts w:hint="eastAsia"/>
                <w:bCs/>
                <w:szCs w:val="21"/>
              </w:rPr>
              <w:t>数量</w:t>
            </w:r>
          </w:p>
        </w:tc>
        <w:tc>
          <w:tcPr>
            <w:tcW w:w="333" w:type="pct"/>
            <w:vAlign w:val="center"/>
          </w:tcPr>
          <w:p>
            <w:pPr>
              <w:jc w:val="center"/>
              <w:rPr>
                <w:bCs/>
                <w:szCs w:val="21"/>
              </w:rPr>
            </w:pPr>
            <w:r>
              <w:rPr>
                <w:rFonts w:hint="eastAsia"/>
                <w:bCs/>
                <w:szCs w:val="21"/>
              </w:rPr>
              <w:t>单位</w:t>
            </w:r>
          </w:p>
        </w:tc>
        <w:tc>
          <w:tcPr>
            <w:tcW w:w="961" w:type="pct"/>
            <w:vAlign w:val="center"/>
          </w:tcPr>
          <w:p>
            <w:pPr>
              <w:jc w:val="center"/>
              <w:rPr>
                <w:b/>
                <w:bCs/>
                <w:color w:val="FF0000"/>
                <w:szCs w:val="21"/>
              </w:rPr>
            </w:pPr>
            <w:r>
              <w:rPr>
                <w:rFonts w:hint="eastAsia"/>
                <w:b/>
                <w:bCs/>
                <w:color w:val="FF0000"/>
                <w:szCs w:val="21"/>
              </w:rPr>
              <w:t>备注</w:t>
            </w:r>
          </w:p>
        </w:tc>
        <w:tc>
          <w:tcPr>
            <w:tcW w:w="1359" w:type="pct"/>
            <w:vAlign w:val="center"/>
          </w:tcPr>
          <w:p>
            <w:pPr>
              <w:jc w:val="center"/>
              <w:rPr>
                <w:b/>
                <w:bCs/>
                <w:color w:val="FF0000"/>
                <w:szCs w:val="21"/>
              </w:rPr>
            </w:pPr>
            <w:r>
              <w:rPr>
                <w:rFonts w:hint="eastAsia" w:ascii="宋体" w:hAnsi="宋体" w:cs="宋体"/>
                <w:b/>
                <w:bCs/>
                <w:color w:val="FF0000"/>
                <w:kern w:val="0"/>
                <w:szCs w:val="21"/>
              </w:rPr>
              <w:t>最高单价限额</w:t>
            </w:r>
            <w:r>
              <w:rPr>
                <w:rFonts w:ascii="宋体" w:hAnsi="宋体" w:cs="宋体"/>
                <w:b/>
                <w:bCs/>
                <w:color w:val="FF0000"/>
                <w:kern w:val="0"/>
                <w:szCs w:val="21"/>
              </w:rPr>
              <w:t>(元/单位)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jc w:val="center"/>
              <w:rPr>
                <w:bCs/>
                <w:szCs w:val="21"/>
              </w:rPr>
            </w:pPr>
            <w:r>
              <w:rPr>
                <w:rFonts w:hint="eastAsia"/>
                <w:bCs/>
                <w:szCs w:val="21"/>
              </w:rPr>
              <w:t>1</w:t>
            </w:r>
          </w:p>
        </w:tc>
        <w:tc>
          <w:tcPr>
            <w:tcW w:w="1661" w:type="pct"/>
            <w:vAlign w:val="top"/>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lang w:val="en-US" w:eastAsia="zh-CN"/>
              </w:rPr>
              <w:t>跨境</w:t>
            </w:r>
            <w:r>
              <w:rPr>
                <w:rFonts w:hint="eastAsia" w:ascii="Times New Roman" w:hAnsi="Times New Roman" w:eastAsia="宋体" w:cs="Times New Roman"/>
                <w:bCs/>
                <w:szCs w:val="21"/>
                <w:lang w:eastAsia="zh-CN"/>
              </w:rPr>
              <w:t>供应链服务实战平台</w:t>
            </w:r>
          </w:p>
        </w:tc>
        <w:tc>
          <w:tcPr>
            <w:tcW w:w="333" w:type="pct"/>
            <w:vAlign w:val="top"/>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lang w:val="en-US" w:eastAsia="zh-CN"/>
              </w:rPr>
              <w:t>1</w:t>
            </w:r>
          </w:p>
        </w:tc>
        <w:tc>
          <w:tcPr>
            <w:tcW w:w="333" w:type="pct"/>
            <w:vAlign w:val="top"/>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lang w:val="en-US" w:eastAsia="zh-CN"/>
              </w:rPr>
              <w:t>套</w:t>
            </w:r>
          </w:p>
        </w:tc>
        <w:tc>
          <w:tcPr>
            <w:tcW w:w="961" w:type="pct"/>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拒绝进口</w:t>
            </w:r>
          </w:p>
        </w:tc>
        <w:tc>
          <w:tcPr>
            <w:tcW w:w="2326" w:type="dxa"/>
            <w:vAlign w:val="top"/>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lang w:val="en-US" w:eastAsia="zh-CN"/>
              </w:rPr>
              <w:t>438000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jc w:val="center"/>
              <w:rPr>
                <w:bCs/>
                <w:szCs w:val="21"/>
              </w:rPr>
            </w:pPr>
            <w:r>
              <w:rPr>
                <w:rFonts w:hint="eastAsia"/>
                <w:bCs/>
                <w:szCs w:val="21"/>
              </w:rPr>
              <w:t>2</w:t>
            </w:r>
          </w:p>
        </w:tc>
        <w:tc>
          <w:tcPr>
            <w:tcW w:w="1661" w:type="pct"/>
            <w:vAlign w:val="top"/>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外贸实务教学系统软件</w:t>
            </w:r>
          </w:p>
        </w:tc>
        <w:tc>
          <w:tcPr>
            <w:tcW w:w="333" w:type="pct"/>
            <w:vAlign w:val="top"/>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lang w:val="en-US" w:eastAsia="zh-CN"/>
              </w:rPr>
              <w:t>1</w:t>
            </w:r>
          </w:p>
        </w:tc>
        <w:tc>
          <w:tcPr>
            <w:tcW w:w="333" w:type="pct"/>
            <w:vAlign w:val="top"/>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lang w:val="en-US" w:eastAsia="zh-CN"/>
              </w:rPr>
              <w:t>套</w:t>
            </w:r>
          </w:p>
        </w:tc>
        <w:tc>
          <w:tcPr>
            <w:tcW w:w="961" w:type="pct"/>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拒绝进口</w:t>
            </w:r>
          </w:p>
        </w:tc>
        <w:tc>
          <w:tcPr>
            <w:tcW w:w="2326" w:type="dxa"/>
            <w:vAlign w:val="top"/>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lang w:val="en-US" w:eastAsia="zh-CN"/>
              </w:rPr>
              <w:t>165000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jc w:val="center"/>
              <w:rPr>
                <w:bCs/>
                <w:szCs w:val="21"/>
              </w:rPr>
            </w:pPr>
            <w:r>
              <w:rPr>
                <w:rFonts w:hint="eastAsia"/>
                <w:bCs/>
                <w:szCs w:val="21"/>
              </w:rPr>
              <w:t>3</w:t>
            </w:r>
          </w:p>
        </w:tc>
        <w:tc>
          <w:tcPr>
            <w:tcW w:w="1661" w:type="pct"/>
            <w:vAlign w:val="top"/>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国际贸易单一窗口实训系统软件</w:t>
            </w:r>
          </w:p>
        </w:tc>
        <w:tc>
          <w:tcPr>
            <w:tcW w:w="333" w:type="pct"/>
            <w:vAlign w:val="top"/>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lang w:val="en-US" w:eastAsia="zh-CN"/>
              </w:rPr>
              <w:t>1</w:t>
            </w:r>
          </w:p>
        </w:tc>
        <w:tc>
          <w:tcPr>
            <w:tcW w:w="333" w:type="pct"/>
            <w:vAlign w:val="top"/>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lang w:val="en-US" w:eastAsia="zh-CN"/>
              </w:rPr>
              <w:t>套</w:t>
            </w:r>
          </w:p>
        </w:tc>
        <w:tc>
          <w:tcPr>
            <w:tcW w:w="961" w:type="pct"/>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拒绝进口</w:t>
            </w:r>
          </w:p>
        </w:tc>
        <w:tc>
          <w:tcPr>
            <w:tcW w:w="2326" w:type="dxa"/>
            <w:vAlign w:val="top"/>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lang w:val="en-US" w:eastAsia="zh-CN"/>
              </w:rPr>
              <w:t>251000</w:t>
            </w:r>
          </w:p>
        </w:tc>
      </w:tr>
    </w:tbl>
    <w:p>
      <w:pPr>
        <w:ind w:firstLine="422" w:firstLineChars="200"/>
        <w:rPr>
          <w:rFonts w:hint="eastAsia"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ind w:firstLine="422" w:firstLineChars="200"/>
        <w:rPr>
          <w:rFonts w:hint="eastAsia"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r>
        <w:rPr>
          <w:rFonts w:hint="eastAsia" w:ascii="宋体" w:hAnsi="宋体"/>
          <w:b/>
          <w:color w:val="FF0000"/>
          <w:szCs w:val="21"/>
        </w:rPr>
        <w:t>3、本项目核心产品为：</w:t>
      </w:r>
      <w:r>
        <w:rPr>
          <w:rFonts w:hint="eastAsia" w:ascii="宋体" w:hAnsi="宋体"/>
          <w:b/>
          <w:color w:val="FF0000"/>
          <w:szCs w:val="21"/>
          <w:u w:val="single"/>
        </w:rPr>
        <w:t xml:space="preserve">   </w:t>
      </w:r>
      <w:r>
        <w:rPr>
          <w:rFonts w:hint="eastAsia" w:ascii="Times New Roman" w:hAnsi="Times New Roman" w:eastAsia="宋体" w:cs="Times New Roman"/>
          <w:bCs/>
          <w:szCs w:val="21"/>
          <w:u w:val="single"/>
          <w:lang w:val="en-US" w:eastAsia="zh-CN"/>
        </w:rPr>
        <w:t>跨境</w:t>
      </w:r>
      <w:r>
        <w:rPr>
          <w:rFonts w:hint="eastAsia" w:ascii="Times New Roman" w:hAnsi="Times New Roman" w:eastAsia="宋体" w:cs="Times New Roman"/>
          <w:bCs/>
          <w:szCs w:val="21"/>
          <w:u w:val="single"/>
          <w:lang w:eastAsia="zh-CN"/>
        </w:rPr>
        <w:t>供应链服务实战平台</w:t>
      </w:r>
      <w:r>
        <w:rPr>
          <w:rFonts w:hint="eastAsia" w:ascii="宋体" w:hAnsi="宋体"/>
          <w:b/>
          <w:color w:val="FF0000"/>
          <w:szCs w:val="21"/>
          <w:u w:val="single"/>
        </w:rPr>
        <w:t xml:space="preserve">   </w:t>
      </w:r>
    </w:p>
    <w:p>
      <w:pPr>
        <w:pStyle w:val="35"/>
        <w:rPr>
          <w:rFonts w:hint="default" w:ascii="宋体" w:hAnsi="宋体" w:eastAsia="宋体" w:cs="Times New Roman"/>
          <w:b/>
          <w:color w:val="FF0000"/>
          <w:kern w:val="2"/>
          <w:sz w:val="21"/>
          <w:szCs w:val="21"/>
          <w:lang w:val="en-US" w:eastAsia="zh-CN" w:bidi="ar-SA"/>
        </w:rPr>
      </w:pPr>
      <w:r>
        <w:rPr>
          <w:rFonts w:hint="eastAsia" w:ascii="宋体" w:hAnsi="宋体" w:eastAsia="宋体" w:cs="Times New Roman"/>
          <w:b/>
          <w:color w:val="FF0000"/>
          <w:kern w:val="2"/>
          <w:sz w:val="21"/>
          <w:szCs w:val="21"/>
          <w:lang w:val="en-US" w:eastAsia="zh-CN" w:bidi="ar-SA"/>
        </w:rPr>
        <w:t>★4、投标供应商分项报价（元）不得高于相应最高单价限额(元/单位)。</w:t>
      </w:r>
    </w:p>
    <w:p>
      <w:pPr>
        <w:pStyle w:val="6"/>
        <w:spacing w:before="156" w:beforeLines="50" w:after="156" w:afterLines="50"/>
        <w:rPr>
          <w:rFonts w:hint="eastAsia"/>
          <w:szCs w:val="24"/>
        </w:rPr>
      </w:pPr>
      <w:r>
        <w:rPr>
          <w:rFonts w:hint="eastAsia"/>
          <w:szCs w:val="24"/>
        </w:rPr>
        <w:t>三、实质性条款</w:t>
      </w:r>
    </w:p>
    <w:tbl>
      <w:tblPr>
        <w:tblStyle w:val="4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jc w:val="center"/>
              <w:rPr>
                <w:rFonts w:hint="eastAsia" w:ascii="宋体" w:hAnsi="宋体"/>
                <w:kern w:val="0"/>
                <w:szCs w:val="21"/>
              </w:rPr>
            </w:pPr>
            <w:r>
              <w:rPr>
                <w:rFonts w:hint="eastAsia" w:ascii="宋体" w:hAnsi="宋体"/>
                <w:kern w:val="0"/>
                <w:szCs w:val="21"/>
              </w:rPr>
              <w:t>序号</w:t>
            </w:r>
          </w:p>
        </w:tc>
        <w:tc>
          <w:tcPr>
            <w:tcW w:w="7654" w:type="dxa"/>
          </w:tcPr>
          <w:p>
            <w:pPr>
              <w:adjustRightInd w:val="0"/>
              <w:snapToGrid w:val="0"/>
              <w:spacing w:line="360" w:lineRule="auto"/>
              <w:jc w:val="center"/>
              <w:rPr>
                <w:rFonts w:hint="eastAsia" w:ascii="宋体" w:hAnsi="宋体"/>
                <w:kern w:val="0"/>
                <w:szCs w:val="21"/>
              </w:rPr>
            </w:pPr>
            <w:r>
              <w:rPr>
                <w:rFonts w:hint="eastAsia" w:ascii="宋体" w:hAnsi="宋体"/>
                <w:kern w:val="0"/>
                <w:szCs w:val="21"/>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jc w:val="center"/>
              <w:rPr>
                <w:rFonts w:hint="eastAsia" w:ascii="宋体" w:hAnsi="宋体"/>
                <w:kern w:val="0"/>
                <w:szCs w:val="21"/>
              </w:rPr>
            </w:pPr>
            <w:r>
              <w:rPr>
                <w:rFonts w:hint="eastAsia" w:ascii="宋体" w:hAnsi="宋体"/>
                <w:kern w:val="0"/>
                <w:szCs w:val="21"/>
              </w:rPr>
              <w:t>1</w:t>
            </w:r>
          </w:p>
        </w:tc>
        <w:tc>
          <w:tcPr>
            <w:tcW w:w="7654" w:type="dxa"/>
          </w:tcPr>
          <w:p>
            <w:pPr>
              <w:rPr>
                <w:rFonts w:hint="eastAsia" w:hAnsi="宋体" w:eastAsiaTheme="minorEastAsia"/>
                <w:kern w:val="0"/>
                <w:szCs w:val="21"/>
              </w:rPr>
            </w:pPr>
            <w:r>
              <w:rPr>
                <w:rFonts w:hint="eastAsia"/>
              </w:rPr>
              <w:t>满足本项目标★的条款要求</w:t>
            </w:r>
          </w:p>
        </w:tc>
      </w:tr>
    </w:tbl>
    <w:p>
      <w:pPr>
        <w:rPr>
          <w:rFonts w:ascii="宋体"/>
          <w:b/>
          <w:kern w:val="0"/>
          <w:sz w:val="24"/>
          <w:szCs w:val="20"/>
        </w:rPr>
      </w:pPr>
      <w:r>
        <w:rPr>
          <w:rFonts w:ascii="宋体"/>
          <w:b/>
          <w:kern w:val="0"/>
          <w:sz w:val="24"/>
          <w:szCs w:val="20"/>
        </w:rPr>
        <w:t>注：上表所列内容为不可负偏离条款，负偏离将视为未实质性满足</w:t>
      </w:r>
      <w:r>
        <w:rPr>
          <w:rFonts w:hint="eastAsia" w:ascii="宋体"/>
          <w:b/>
          <w:kern w:val="0"/>
          <w:sz w:val="24"/>
          <w:szCs w:val="20"/>
        </w:rPr>
        <w:t>招标</w:t>
      </w:r>
      <w:r>
        <w:rPr>
          <w:rFonts w:ascii="宋体"/>
          <w:b/>
          <w:kern w:val="0"/>
          <w:sz w:val="24"/>
          <w:szCs w:val="20"/>
        </w:rPr>
        <w:t>文件要求和条件作投标无效处理。</w:t>
      </w:r>
    </w:p>
    <w:p>
      <w:pPr>
        <w:pStyle w:val="2"/>
        <w:rPr>
          <w:rFonts w:ascii="宋体"/>
          <w:kern w:val="0"/>
          <w:szCs w:val="20"/>
        </w:rPr>
      </w:pPr>
    </w:p>
    <w:p>
      <w:pPr>
        <w:pStyle w:val="6"/>
        <w:spacing w:before="156" w:beforeLines="50" w:after="156" w:afterLines="50"/>
        <w:rPr>
          <w:rFonts w:hint="eastAsia"/>
          <w:sz w:val="28"/>
          <w:szCs w:val="28"/>
        </w:rPr>
      </w:pPr>
      <w:r>
        <w:rPr>
          <w:rFonts w:hint="eastAsia"/>
          <w:sz w:val="28"/>
          <w:szCs w:val="28"/>
        </w:rPr>
        <w:t>四、技术要求</w:t>
      </w:r>
    </w:p>
    <w:p>
      <w:pPr>
        <w:ind w:firstLine="422" w:firstLineChars="200"/>
        <w:rPr>
          <w:b/>
        </w:rPr>
      </w:pPr>
      <w:r>
        <w:rPr>
          <w:rFonts w:hint="eastAsia"/>
          <w:b/>
          <w:szCs w:val="21"/>
        </w:rPr>
        <w:t>说明：</w:t>
      </w:r>
      <w:r>
        <w:rPr>
          <w:b/>
          <w:szCs w:val="21"/>
        </w:rPr>
        <w:t xml:space="preserve"> </w:t>
      </w:r>
      <w:r>
        <w:rPr>
          <w:b/>
        </w:rPr>
        <w:t>1</w:t>
      </w:r>
      <w:r>
        <w:rPr>
          <w:rFonts w:hint="eastAsia"/>
          <w:b/>
        </w:rPr>
        <w:t>、评分时，如对一项招标技术要求（以划分框为准）中的内容存在两处（或以上）负偏离的，在评分时只作一项负偏离扣分。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、带★号条款为不可负偏离条款，不作为评分准则中的评分内容，如未响应或出现负偏离的，将作投标无效处理；带“</w:t>
      </w:r>
      <w:r>
        <w:t>▲</w:t>
      </w:r>
      <w:r>
        <w:rPr>
          <w:rFonts w:hint="eastAsia"/>
          <w:b/>
          <w:szCs w:val="21"/>
        </w:rPr>
        <w:t>”指标项为重要参数条款，负偏离时依相关评分准则内容作重点扣分处理。</w:t>
      </w:r>
    </w:p>
    <w:p>
      <w:pPr>
        <w:ind w:firstLine="422" w:firstLineChars="200"/>
        <w:rPr>
          <w:b/>
          <w:szCs w:val="21"/>
        </w:rPr>
      </w:pPr>
      <w:r>
        <w:rPr>
          <w:b/>
          <w:szCs w:val="21"/>
        </w:rPr>
        <w:t>3</w:t>
      </w:r>
      <w:r>
        <w:rPr>
          <w:rFonts w:hint="eastAsia"/>
          <w:b/>
          <w:szCs w:val="21"/>
        </w:rPr>
        <w:t>、</w:t>
      </w:r>
      <w:bookmarkStart w:id="35" w:name="_Hlk72585069"/>
      <w:r>
        <w:rPr>
          <w:rFonts w:hint="eastAsia"/>
          <w:b/>
          <w:szCs w:val="21"/>
        </w:rPr>
        <w:t>招标技术要求中，要求提供证明资料</w:t>
      </w:r>
      <w:r>
        <w:rPr>
          <w:rFonts w:hint="eastAsia"/>
          <w:b/>
          <w:szCs w:val="21"/>
          <w:lang w:val="en-US" w:eastAsia="zh-CN"/>
        </w:rPr>
        <w:t>的投标人按要求提供</w:t>
      </w:r>
      <w:r>
        <w:rPr>
          <w:rFonts w:hint="eastAsia"/>
          <w:b/>
          <w:szCs w:val="21"/>
        </w:rPr>
        <w:t>；其余指标项未要求提供证明资料，无需提供相关证明资料。</w:t>
      </w:r>
    </w:p>
    <w:p>
      <w:pPr>
        <w:ind w:firstLine="422" w:firstLineChars="200"/>
        <w:rPr>
          <w:b/>
          <w:szCs w:val="21"/>
        </w:rPr>
      </w:pPr>
      <w:r>
        <w:rPr>
          <w:rFonts w:hint="eastAsia"/>
          <w:b/>
          <w:color w:val="FF0000"/>
        </w:rPr>
        <w:t>4</w:t>
      </w:r>
      <w:r>
        <w:rPr>
          <w:b/>
          <w:color w:val="FF0000"/>
        </w:rPr>
        <w:t>、涉及区间的参数，除特别注明以外，</w:t>
      </w:r>
      <w:bookmarkStart w:id="36" w:name="_Hlk75447406"/>
      <w:r>
        <w:rPr>
          <w:b/>
          <w:color w:val="FF0000"/>
        </w:rPr>
        <w:t>产品参数区间与招标要求不一致的均视为负偏离。</w:t>
      </w:r>
      <w:bookmarkEnd w:id="36"/>
      <w:r>
        <w:rPr>
          <w:rFonts w:hint="eastAsia"/>
          <w:b/>
          <w:color w:val="FF0000"/>
        </w:rPr>
        <w:t>例：区间要求为0-20ML,只要响应的不是“0-20ML”，如投标文件响应为 0-15ML 、0-21ML 、1-12ML 、 9-20ML 、6-21ML 、9ML等情形均视为负偏离。</w:t>
      </w:r>
    </w:p>
    <w:bookmarkEnd w:id="35"/>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02"/>
        <w:gridCol w:w="1004"/>
        <w:gridCol w:w="6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88" w:type="pct"/>
            <w:vMerge w:val="restart"/>
            <w:shd w:val="clear" w:color="auto" w:fill="auto"/>
            <w:noWrap/>
            <w:vAlign w:val="center"/>
          </w:tcPr>
          <w:p>
            <w:pPr>
              <w:keepNext w:val="0"/>
              <w:keepLines w:val="0"/>
              <w:widowControl/>
              <w:suppressLineNumbers w:val="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589"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货物</w:t>
            </w:r>
          </w:p>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名称</w:t>
            </w:r>
          </w:p>
        </w:tc>
        <w:tc>
          <w:tcPr>
            <w:tcW w:w="3822"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4" w:hRule="atLeast"/>
        </w:trPr>
        <w:tc>
          <w:tcPr>
            <w:tcW w:w="588"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89" w:type="pct"/>
            <w:vMerge w:val="restart"/>
            <w:shd w:val="clear" w:color="auto" w:fill="auto"/>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跨境供应链服务实战平台</w:t>
            </w: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一、基础功能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1.提供教师及学生账号的设置及密码修改功能；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2.采用即时战略的模式进行模拟演练，模拟进度以天为单位自动演进，在模拟过程中提供实时的团队数据分析以及团队内部的实时数据共享。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3.▲实现团队之间竞争与合作的模拟，各参与团队间基于业务环节进行相互委托业务、执行结算操作等相关工作；（提供软件界面截图）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4.实时展示模拟过程中出现的例如船期变更、航班变更、无法通关等业务异常消息，以及违约、欠款等消息的提醒。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二、教师功能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5.根据教学计划及参训学生人数，选择参与竞赛的团队、设置竞赛场次和竞赛时间、竞赛模拟周期等；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6.▲根据课时安排设置模拟的暂停及启动模式，内容包括：按季度暂停、不暂停、手动启动、自动启动（可设置启动时间及间隔时长）等，其中自动启动还可设置启动时间和启动间隔；（提供软件界面截图）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三、实训功能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提供单证实训功能，包括海运报价单、空运报价单、海运提单、空运单证、装箱清单、商业发票、报关单，以及中欧班列专属运输单据等单据的制作，为学生了解国际供应链服务的基本内容提供基础实训；（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8.以企业真实案例数据为基础，提供包括市场热图、城市资料、承运商资料等相关内容；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FF0000"/>
                <w:kern w:val="0"/>
                <w:sz w:val="21"/>
                <w:szCs w:val="21"/>
                <w:highlight w:val="yellow"/>
                <w:u w:val="none"/>
                <w:lang w:val="en-US" w:eastAsia="zh-CN" w:bidi="ar"/>
              </w:rPr>
              <w:t>9.★具有基于真实的全球电子地图进行市场分析、公司选址及选择合作伙伴等相关操作；（提供软件界面截图）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10.基于多币种进行自动汇率结算，包括人民币、美元、欧元、卢布等主要货币；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11.可实现公司的扩建功能，学生可以根据市场需求和公司发展目标，制定扩建计划和战略；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12.▲展示不同城市设立公司后的人员薪资测算。（提供软件界面截图）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13.实现各参与团队通过报价参与订单的竞争，并根据价格分数、负债分数、服务分数三项评价指标模拟营销过程中的市场竞争场景；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14.▲实现在订单竞标阶段，支持学生提交相应服务，包括：干线运输、装卸服务、报关服务等增值服务方案，系统自动生成综合报价单；（提供软件界面截图）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15.▲基于投资回报率、市场份额、服务准时率、现金周转率等供应链服务考核指标进行考核及评分，同时提供实时的指标看板；（提供软件界面截图）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实现在模拟过程中与船公司、航空公司、铁路货运公司等大型承运商签署服务协议过程，协议内容包括：协议期限、最低订舱量、结算周期等协议条款，在教学过程中指导学生了解与船公司、航空公司、铁路货运公司等大型承运商的合作内容、协议条款以及相关限制条件；（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17.▲基于真实的全球电子地图，展现中欧班列铁路网络、国际海运路线、空运枢纽航线，真实模拟铁路运行周期、海运航程时效等关键物流参数；（提供软件界面截图）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18.模拟供应链服务的全过程，包括：订舱、拖车、报关、末端运输等，帮助学生更全面地了解整个服务的流程；并提供服务跟踪功能，以流程图的方式提供基于订单的全流程跟踪；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四、分析功能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19.提供收入成本分析，帮助学生实时分析模拟企业在对抗中的收入、成本、利润等财务数据；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20.提供市场营销分析；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21.提供业务订单分析；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22.提供成本结构分析</w:t>
            </w:r>
            <w:r>
              <w:rPr>
                <w:rStyle w:val="203"/>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五、其它要求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23.平台为B／S架构，免客户端安装，仅需浏览器即可使用，教师在使用过程中不受实训场地的限制；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24.使用免费数据库MySQL；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25.为保证产品质量应拥有软件著作权和软件测试报告；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82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26.提供完整的用户手册、操作视频，并提供配套的培训服务。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89"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外贸实务教学系统软件</w:t>
            </w: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学生端功能：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1.采用B/S 架构。可架构于Internet/Intranet（互联网/局域网），通过浏览器均可实现实习操作。安装维护升级只需在服务器端进行。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2.▲软件包含中文和英文两个版本，教师在教师端可以设置实训课程的语言版式（中文、英文），学生也可以在实训课程中选择课程的语言版式（中文、英文）。（提供软件界面截图）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系统内置选课系统，教师在教师端可以同时发布多个课程，课程列表中需要提供课程名称，课程简介，课程的起止时间，开课老师，课程密码等信息，学生在学生端自行选择需要的课程加入即可。学生可以同时加入多个课程。（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4.实训课程包含教学课程、经典案例、外贸常识、单证全库、综合实训五大模块。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教学课程内容为国际贸易实务的专题内容讲解，资源形式为多媒体视音频形式，内容至少包含了国际贸易实务概论、国际贸易岗位介绍、国际贸易术语、国际结算方式、交易磋商的流程、合同签订和合同履约等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6.经典案例模块包含了国际贸易合同的磋商和订立、SWIFT信用证审核及操作、汇率的决定及关税解析等专题案例讲解，其资源形式为多媒体视音频形式。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7.外贸常识模块包含了国际贸易的相关国际公约、相关法律、相关法规和相关常识等资源。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系统包含了《国际集装箱安全公约(CSC)》、《联合运输单证统一规则》、《联合国国际货物多式联运公约》、《联合国国际货物销售合同公约》、《联合国海上货物运输公约(汉堡规则)》、《统一提单的若干法律规则的国际公约（海牙规则）》、《修改统一提单的若干法律规则的国际公约（维斯比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系统包含的法律知识有：《中华人民共和国保险法》、《中华人民共和国对外贸易法》、《中华人民共和国国境卫生检疫法》、《中华人民共和国海关法》、《中华人民共和国海商法》、《中华人民共和国进出境动植物检疫法》、《中华人民共和国进出口商品检验法》、《中华人民共和国民法典》、《中华人民共和国票据法》、《中华人民共和国商业银行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系统包含的法规有：《残疾人专用品免征进口税收暂行规定》、《出入境检验检疫报检规定》、《进出口化妆品检验检疫监督管理办法》、《进出口肉类产品检验检疫监督管理办法》、《进出口商品免验办法》、《中华人民共和国进出口关税条例》、《中华人民共和国进出口货物原产地条例》、《中华人民共和国认证认可条例》、《中华人民共和国商标法实施条例》、《中华人民共和国食品安全法实施条例》、《中华人民共和国外汇管理条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系统包含国际贸易相关常识资源包，内容包含《OCP运输》、《管道运输》、《海洋运输》、《航空运输》、《集装箱运输》、《邮政运输》、《联合运输》、《国际多式联运》、《币别代码表》、《成交方式代码表》、《集装箱规格代码表》、《计量单位代码表》、《监管方式代码表》、《结汇方式代码表》、《运输方式代码表》、《征免性质代码表》、《见索即付保函统一规则》、《国际商会托收统一规则(URC522)》、《跟单信用证统一惯例(UCP600)》、《国际贸易术语解释通则2010版》、《国际贸易术语解释通则2020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12.系统提供单证全库，提供各种常见的单证样板，可一键下载至少200种单据模版。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13.▲系统包含10套以上案例，每套案例包含建立业务关系、询盘、发盘、还盘、缮制合同、保险、报检报关、装运、付款、索赔等10多个环节的练习。学生可根据案例要求进行模拟操作。（提供软件界面截图）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系统提供多套案例练习，至少包含：FOB+L/C即期（出口业务）案例练习，DAT+D/P远期（出口业务）案例练习，CIF+D/A（出口业务）案例练习，DDP+T/T预付（出口业务）案例练习，CFR+L/C远期（出口业务）案例练习，CPT+D/D（出口业务）案例练习，CPT+D/P即期（进口业务）案例练习，FOB+T/T（进口业务）案例练习，CIP+D/A（进口业务）案例练习，CFR+L/C即期（进口业务）案例练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软件采用沙盘式实训模式，系统结合当前业务的详情匹配贸易流程图，学生可练习从签订合同到出口退税等完整操作流程。且均采用先知识点讲解，再操作步骤详解，后具体实操的模式。（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制单过程中系统可自动显示每个填制栏位的中英文说明信息，可以同一页面上显示填写单据及填写帮助和相关联单据，并可以通过软件功能键快速定位到帮助制定栏位和关联单据的关联栏位。可修改制单界面跟关联单据界面比例。（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17.▲系统对学生填写单据内容每个栏位进行自动检查，对填写正确的单据打勾，填写错误的地方有红色提示，并给出正确答案；可一键导出填制的单据为图片形式。（提供软件界面截图）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软件提供辅助资料包含贸易公司资料不少于500家、银行资料不少于200家、工厂资料不少于50家、货代公司资料不少于200家、商品资料不少于260种、港口资料不少于50个；提供计算器功能，可自动计算商品包装数量、总毛重、总净重、总体积、金额大小写、汇率换算、海运费、空运费、保险费。提供软件该功能截图打印加盖开发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19.系统包含国际贸易实务百科知识，学生可在线查询。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r>
              <w:rPr>
                <w:rStyle w:val="204"/>
                <w:lang w:val="en-US" w:eastAsia="zh-CN" w:bidi="ar"/>
              </w:rPr>
              <w:t>.</w:t>
            </w:r>
            <w:r>
              <w:rPr>
                <w:rStyle w:val="205"/>
                <w:lang w:val="en-US" w:eastAsia="zh-CN" w:bidi="ar"/>
              </w:rPr>
              <w:t>系统提供30套题库，可直接复制2套模板课程使用。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实训过程中，老师可随时查看每个学生的练习进度，包含学生填写的单据、操作日志等，从而对学生进行针对性指导。教师端可实时监控学生的练习情况，包括学生的完成进度，正确率，每题的得分以及最终的总分，并可对学生的分数手动调整。（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22.多种账号管理方式，包含单个添加学生、批量添加、从excel导入、学生自己注册。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23.教师可针对不同的班级，不同的教学进度设置不同的课程，针对每个课程可设置不同的难易度，以满足不同的教学需求。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老师可对课程难度进行设置，包括设置是否允许查看填写帮助、是否允许使用自动检查功能、是否允许使用单据对照功能、是否允许查看答案、是否允许自动填写、单据通过分数等；并可针对每张单据进行分别设定。（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25.提供教学监控功能，教师后台可查看每道题每个学生的答题情况，包括学生提交时间、完成进度、最终得分、填写正确率、所用时间、使用检查次数等。（提供软件界面截图）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26.▲系统采用自动评分，教师可导出学生的成绩分数成excel表格，并自动统计各分数段人数、平均分、全距、中位数等；可一键打包下载所有学生的实习报告；可查看每个学生的停留记录。（提供软件界面截图）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教师可查看每个学生的答题情况，系统自动标注学生的填写错误。系统可计算班级中每个单据的所有学生的平均分，便于了解学生掌握情况，从而有针对性地指导。老师可导出学生的成绩成excel表格，并对学生的成绩进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28.软件需提供对应的著作权和检测报告。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29.提供完整的用户手册、操作视频，并提供配套的培训服务。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589"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国际贸易单一窗口实训系统软件</w:t>
            </w: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1.平台基于外贸业务处理过程中的典型工作任务，引入企业真实案例，涵盖进出口贸易中进出口货物的报验通关等核心内容。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2.采用B/S 架构。可架构于Internet/Intranet（互联网/局域网），通过浏览器均可实现实习操作。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系统内置选课系统，教师在教师端可以同时发布多个课程，课程列表中需要提供课程名称，课程简介，课程的起止时间，开课老师，课程密码等信息，学生在学生端自行选择需要的课程加入即可。学生可以同时加入多个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4.教师</w:t>
            </w:r>
            <w:r>
              <w:rPr>
                <w:rStyle w:val="205"/>
                <w:lang w:val="en-US" w:eastAsia="zh-CN" w:bidi="ar"/>
              </w:rPr>
              <w:t>可以同时开设3个班级课程</w:t>
            </w:r>
            <w:r>
              <w:rPr>
                <w:rFonts w:hint="eastAsia" w:ascii="仿宋" w:hAnsi="仿宋" w:eastAsia="仿宋" w:cs="仿宋"/>
                <w:i w:val="0"/>
                <w:iCs w:val="0"/>
                <w:color w:val="000000"/>
                <w:kern w:val="0"/>
                <w:sz w:val="21"/>
                <w:szCs w:val="21"/>
                <w:u w:val="none"/>
                <w:lang w:val="en-US" w:eastAsia="zh-CN" w:bidi="ar"/>
              </w:rPr>
              <w:t>，课程状态包含三种状态，“未开始”、“进行中”、“已结束”，学生可以查看课程的开始时间和结束时间。学生可以选择对应的课程加入。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至少包含一般出口货物、一般进口货物、保税加工货物、特定减免税货物、暂准进出境货物、综合实训等相关练习至少100套，并由教师选定是否开放。练习形式方面有视频、制单练习、实操练习。（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软件内置不少于10项视频动画讲解，内容至少包含出口许可证简介、产地证的概念及种类、产地证申报操作演示、出口货物申报概念及流程、货物申报操作讲解、进口报关录入讲解、保税加工的基本概念、保税加工的业务流程、特定减免税货物概述、特定减免税货物报关流程等。（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单一窗口（标准版）许可证件模块包含农药进出口登记管理放行通知单、野生动植物进出口证书、出口许可证、有毒化学品进出口环境管理放行通知单、机电产品自动进口许可证、非机电产品自动进口许可证、音像制品（成品）进口批准单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许可证申请，需要在单一窗口申报系统中完成基本数据、商品信息、规格型号信息的录入。需要填写年度、报关口岸、出口商代码、出口商统一社会信用代码、出口商名称、发货人代码、发货人统一社会信用代码、发货人名称、贸易方式、进口国(地区)、运输方式、有效截止日期、付款方式、合同号、商品代码、商品单位、商品名称、单价币别、合计数量、总金额、品牌、规格型号等栏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学生单一窗口申报操作过程中提供详细的帮助，录入画面每个栏位都要相应填写说明及填写示例。系统提供每个栏位一一对应的解释说明，学生可以查看。系统提供查看答案功能，自动填写功能和检查功能。（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10.▲原产地证申报系统包含一般原产地证、普惠制原产地证、东盟自贸区原产地证、亚太自贸区原产地证等申领流程。（提供软件界面截图）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3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在原产地证申报录入页面，需要完成基本信息申报和货物信息申报。基本信息申报内容包含产地证备案号、组织机构代码、公司中文名称、申报员姓名、申报员身份证号、申报员联系方式、统一编号、证书号、证书类别、单据状态、签证机关、领证机关、申请地址、发票号、发票日期、申请日期、目的地国家/地区、出口商、进口商、特殊条款、唛头、启运港、卸货港、运输方式、运输工具船名/航次、中转国家/地区、转运港、目的港、运输细节、出运日期、贸易方式、FOB值(以美元计)、申请书备注、合同号、信用证号、发票特殊条款、价格条款、总金额、货币单位等栏位。货物信息录入包含商品编号、HS编码、货物中文名称、货物英文名称、包装件数、包装单位、数/重量、数/重量单位、辅助数/重量、辅助单位、第二辅助数量、第二辅助单位、发票单价、发票金额、币别、FOB值(以美元计)、进口成分比例(%)、原产地标准辅助项、生产组织机构代码、生产企业名称、联系人、联系电话、货物描述等栏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系统提供进出口报关单据制作练习，包含出口许可证申请书、进出口报关单、报关委托书等。学生制单过程中，系统可自动显示每个栏位的中英文说明信息，方便学生查看。系统对学生填写内容进行检查，可显示每个栏位的错误信息，并给出正确值。制单过程中，系统可标注出不同单据之间有关联的栏位。（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货物申报模块采用关检融合录入，包括进口报关单整合申报、进口转关提前报关整合申报、出口报关单整合申报、出口转关提前报关整合申报等模块。录入画面需和中国国际贸易单一窗口标准版一致。（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14.货物申报练习案例至少包含肉类、乳品、水果、酒类、蔬菜、饮料、化妆品、木制品、服装、家用电器、医疗仪器、玩具等品类。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15.税费办理模块包含税费单查询、税费单支付、以及交易历史查询功能。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16.出口退税模块包含外部数据采集、数据申报、反馈处理及已申报数据查询。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17.▲系统至少提供申请加工贸易手册申请实训、料件进口申报实训、进口料件业务-食品加工实训，进口料件业务-服装加工实训，成品出口申报、加工贸易手册报核实训。（提供软件界面截图）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18.▲系统至少提供科教用品的减免税申请及申报业务实操、残疾人用品的减免税申请及申报业务实操。（提供软件界面截图）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19.软件采用理实一体化模式开展实训，系统将相关知识点进行细分，融入到各个实训环节中去，满足不同水平层次学生的需求。综合实训案例采用先知识点学习，再操作步骤详解，后具体实操的模式。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20.软件提供业务步骤流程图，自动处理各种外贸业务及报关业务的流程逻辑，自动判断履约流程的正确性，并流程图的每个步骤都提供知识点介绍和操作帮助。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21.软件提供学生业务操作日志，清楚记录每个时间点的操作内容和操作成功失败状态。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22.系统提供相关的报关工具，包括：商品编码查询、通过参数查询（包含贸易方式代码表、征免性质代码表、国别（地区）代码表、国内地区代码表等）。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23.系统提供相关资料查询，包含贸易公司、银行、报关行、报检行、工厂、货代、商品、港口、HS、汇率（可联网下自动更新）、费用、货柜规格等信息资料的查询。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24.系统内置报关百科知识系统，学生或老师可通过关键字进行在线检索。内容包含所有报关的相关知识。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25.可以添加教师账号，可以记录教师账号课程数，最后登录时间、登录次数；教师账号可以添加班级，添加学生实训账号。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26.教师可以根据班级教学进度创建不同的课程，可以给课程设置开始时间、结束时间和课程进入密码。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27.教师可以对课程内容和课程难度进行设置。课程内容方面可以删除或修改，可以设置练习开始时间、时长、总分、权重、是否允许重做，可以提交后直接计算成绩。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28.可以进行难度设置。可设置是否允许查看填写帮助、是否使用检查功能、是否允许使用单据对照功能、是否允许查看答案、是否允许自动填写等，另可设定所有单据填制通过分数或每张单据填制通过分数。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教师后台可以查看每个学生每个练习的提交时间、所用时长、是否完成、练习得分及操作详情等。操作详情可以看到业务的完整流程图，学生流程图上完成进度、步骤正确或错误，查看业务日志中步骤成功或失败，所有单据填写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30.系统可以自动计算成绩按成绩从高到低排序，可以自动统计各分数段人数并生成饼状图，可以导出成绩单及打包下载实训报告。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31.▲为了后续申报省级一流课程的需要，软件厂家结合该产品需有合作成功的经验，需提供加盖学校公章的申报文件以及省教育厅官网公示文件复印件。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88"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89"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82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w:t>
            </w:r>
            <w:r>
              <w:rPr>
                <w:rStyle w:val="206"/>
                <w:rFonts w:hAnsi="仿宋"/>
                <w:lang w:val="en-US" w:eastAsia="zh-CN" w:bidi="ar"/>
              </w:rPr>
              <w:t>提供完整的用户手册、操作视频，并提供配套的培训服务。</w:t>
            </w:r>
          </w:p>
        </w:tc>
      </w:tr>
    </w:tbl>
    <w:p>
      <w:pPr>
        <w:rPr>
          <w:b/>
          <w:szCs w:val="21"/>
        </w:rPr>
      </w:pPr>
    </w:p>
    <w:p>
      <w:pPr>
        <w:pStyle w:val="6"/>
        <w:spacing w:before="156" w:beforeLines="50" w:after="156" w:afterLines="50"/>
        <w:rPr>
          <w:rFonts w:hint="eastAsia"/>
          <w:sz w:val="28"/>
          <w:szCs w:val="28"/>
        </w:rPr>
      </w:pP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tbl>
      <w:tblPr>
        <w:tblStyle w:val="42"/>
        <w:tblW w:w="82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544"/>
        <w:gridCol w:w="5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vAlign w:val="center"/>
          </w:tcPr>
          <w:p>
            <w:pPr>
              <w:jc w:val="center"/>
              <w:rPr>
                <w:rFonts w:ascii="宋体" w:hAnsi="宋体"/>
                <w:b/>
                <w:szCs w:val="21"/>
              </w:rPr>
            </w:pPr>
            <w:r>
              <w:rPr>
                <w:rFonts w:hint="eastAsia" w:ascii="宋体" w:hAnsi="宋体"/>
                <w:b/>
                <w:szCs w:val="21"/>
              </w:rPr>
              <w:t>序号</w:t>
            </w:r>
          </w:p>
        </w:tc>
        <w:tc>
          <w:tcPr>
            <w:tcW w:w="1544" w:type="dxa"/>
            <w:vAlign w:val="center"/>
          </w:tcPr>
          <w:p>
            <w:pPr>
              <w:jc w:val="center"/>
              <w:rPr>
                <w:rFonts w:ascii="宋体" w:hAnsi="宋体"/>
                <w:b/>
                <w:szCs w:val="21"/>
              </w:rPr>
            </w:pPr>
            <w:r>
              <w:rPr>
                <w:rFonts w:hint="eastAsia" w:ascii="宋体" w:hAnsi="宋体"/>
                <w:b/>
                <w:szCs w:val="21"/>
              </w:rPr>
              <w:t>商务需求项</w:t>
            </w:r>
          </w:p>
        </w:tc>
        <w:tc>
          <w:tcPr>
            <w:tcW w:w="5867" w:type="dxa"/>
            <w:vAlign w:val="center"/>
          </w:tcPr>
          <w:p>
            <w:pPr>
              <w:jc w:val="center"/>
              <w:rPr>
                <w:rFonts w:ascii="宋体" w:hAnsi="宋体"/>
                <w:b/>
                <w:szCs w:val="21"/>
              </w:rPr>
            </w:pPr>
            <w:r>
              <w:rPr>
                <w:rFonts w:hint="eastAsia" w:ascii="宋体" w:hAnsi="宋体"/>
                <w:b/>
                <w:szCs w:val="21"/>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251" w:type="dxa"/>
            <w:gridSpan w:val="3"/>
          </w:tcPr>
          <w:p>
            <w:pPr>
              <w:rPr>
                <w:rFonts w:ascii="宋体" w:hAnsi="宋体"/>
                <w:b/>
                <w:szCs w:val="21"/>
              </w:rPr>
            </w:pPr>
            <w:r>
              <w:rPr>
                <w:rFonts w:hint="eastAsia" w:ascii="宋体" w:hAnsi="宋体"/>
                <w:b/>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40" w:type="dxa"/>
            <w:vAlign w:val="center"/>
          </w:tcPr>
          <w:p>
            <w:pPr>
              <w:jc w:val="center"/>
              <w:rPr>
                <w:rFonts w:ascii="宋体" w:hAnsi="宋体"/>
                <w:bCs/>
                <w:szCs w:val="21"/>
              </w:rPr>
            </w:pPr>
            <w:r>
              <w:rPr>
                <w:rFonts w:hint="eastAsia" w:ascii="宋体" w:hAnsi="宋体"/>
                <w:bCs/>
                <w:szCs w:val="21"/>
              </w:rPr>
              <w:t>1</w:t>
            </w:r>
          </w:p>
        </w:tc>
        <w:tc>
          <w:tcPr>
            <w:tcW w:w="1544" w:type="dxa"/>
          </w:tcPr>
          <w:p>
            <w:pPr>
              <w:jc w:val="center"/>
              <w:rPr>
                <w:rFonts w:ascii="宋体" w:hAnsi="宋体"/>
                <w:szCs w:val="21"/>
              </w:rPr>
            </w:pPr>
            <w:r>
              <w:rPr>
                <w:rFonts w:hint="eastAsia" w:ascii="宋体" w:hAnsi="宋体"/>
                <w:szCs w:val="21"/>
              </w:rPr>
              <w:t>维修响应及故障解决时间</w:t>
            </w:r>
          </w:p>
        </w:tc>
        <w:tc>
          <w:tcPr>
            <w:tcW w:w="5867" w:type="dxa"/>
          </w:tcPr>
          <w:p>
            <w:pPr>
              <w:rPr>
                <w:rFonts w:ascii="宋体" w:hAnsi="宋体"/>
                <w:b/>
                <w:szCs w:val="21"/>
              </w:rPr>
            </w:pPr>
            <w:r>
              <w:rPr>
                <w:rFonts w:hint="eastAsia" w:ascii="宋体" w:hAnsi="宋体"/>
                <w:bCs/>
                <w:szCs w:val="21"/>
              </w:rPr>
              <w:t>在免费保修期内，一旦发生质量问题，中标人保证在接到通知</w:t>
            </w:r>
            <w:r>
              <w:rPr>
                <w:rFonts w:hint="eastAsia" w:ascii="宋体" w:hAnsi="宋体"/>
                <w:bCs/>
                <w:szCs w:val="21"/>
                <w:lang w:val="en-US" w:eastAsia="zh-CN"/>
              </w:rPr>
              <w:t>24</w:t>
            </w:r>
            <w:r>
              <w:rPr>
                <w:rFonts w:hint="eastAsia" w:ascii="宋体" w:hAnsi="宋体"/>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840" w:type="dxa"/>
            <w:vMerge w:val="restart"/>
            <w:vAlign w:val="center"/>
          </w:tcPr>
          <w:p>
            <w:pPr>
              <w:jc w:val="center"/>
              <w:rPr>
                <w:rFonts w:ascii="宋体" w:hAnsi="宋体"/>
                <w:szCs w:val="21"/>
              </w:rPr>
            </w:pPr>
            <w:r>
              <w:rPr>
                <w:rFonts w:hint="eastAsia" w:ascii="宋体" w:hAnsi="宋体"/>
                <w:szCs w:val="21"/>
              </w:rPr>
              <w:t>2</w:t>
            </w:r>
          </w:p>
        </w:tc>
        <w:tc>
          <w:tcPr>
            <w:tcW w:w="1544" w:type="dxa"/>
            <w:vMerge w:val="restart"/>
            <w:vAlign w:val="center"/>
          </w:tcPr>
          <w:p>
            <w:pPr>
              <w:jc w:val="center"/>
              <w:rPr>
                <w:rFonts w:ascii="宋体" w:hAnsi="宋体"/>
                <w:szCs w:val="21"/>
              </w:rPr>
            </w:pPr>
            <w:r>
              <w:rPr>
                <w:rFonts w:hint="eastAsia" w:ascii="宋体" w:hAnsi="宋体"/>
                <w:szCs w:val="21"/>
              </w:rPr>
              <w:t>免费保修期</w:t>
            </w:r>
          </w:p>
        </w:tc>
        <w:tc>
          <w:tcPr>
            <w:tcW w:w="5867" w:type="dxa"/>
          </w:tcPr>
          <w:p>
            <w:pPr>
              <w:rPr>
                <w:rFonts w:ascii="宋体" w:hAnsi="宋体"/>
                <w:b/>
                <w:szCs w:val="21"/>
              </w:rPr>
            </w:pPr>
            <w:r>
              <w:rPr>
                <w:rFonts w:hint="eastAsia" w:ascii="宋体" w:hAnsi="宋体"/>
                <w:bCs/>
                <w:szCs w:val="21"/>
              </w:rPr>
              <w:t>★1</w:t>
            </w:r>
            <w:r>
              <w:rPr>
                <w:rFonts w:ascii="宋体" w:hAnsi="宋体"/>
                <w:bCs/>
                <w:szCs w:val="21"/>
              </w:rPr>
              <w:t>.</w:t>
            </w:r>
            <w:r>
              <w:rPr>
                <w:rFonts w:hint="eastAsia" w:ascii="宋体" w:hAnsi="宋体"/>
                <w:bCs/>
                <w:szCs w:val="21"/>
              </w:rPr>
              <w:t>货物免费保修期</w:t>
            </w:r>
            <w:r>
              <w:rPr>
                <w:rFonts w:hint="eastAsia" w:ascii="宋体" w:hAnsi="宋体"/>
                <w:bCs/>
                <w:color w:val="FF0000"/>
                <w:szCs w:val="21"/>
                <w:u w:val="single"/>
              </w:rPr>
              <w:t xml:space="preserve">  </w:t>
            </w:r>
            <w:r>
              <w:rPr>
                <w:rFonts w:hint="eastAsia" w:ascii="宋体" w:hAnsi="宋体"/>
                <w:bCs/>
                <w:color w:val="FF0000"/>
                <w:szCs w:val="21"/>
                <w:u w:val="single"/>
                <w:lang w:val="en-US" w:eastAsia="zh-CN"/>
              </w:rPr>
              <w:t xml:space="preserve">五 </w:t>
            </w:r>
            <w:r>
              <w:rPr>
                <w:rFonts w:hint="eastAsia" w:ascii="宋体" w:hAnsi="宋体"/>
                <w:bCs/>
                <w:color w:val="FF0000"/>
                <w:szCs w:val="21"/>
                <w:u w:val="single"/>
              </w:rPr>
              <w:t xml:space="preserve"> </w:t>
            </w:r>
            <w:r>
              <w:rPr>
                <w:rFonts w:hint="eastAsia" w:ascii="宋体" w:hAnsi="宋体"/>
                <w:bCs/>
                <w:color w:val="FF0000"/>
                <w:szCs w:val="21"/>
              </w:rPr>
              <w:t>年，</w:t>
            </w:r>
            <w:r>
              <w:rPr>
                <w:rFonts w:hint="eastAsia" w:ascii="宋体" w:hAnsi="宋体"/>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0" w:type="dxa"/>
            <w:vMerge w:val="continue"/>
            <w:vAlign w:val="center"/>
          </w:tcPr>
          <w:p>
            <w:pPr>
              <w:jc w:val="center"/>
              <w:rPr>
                <w:rFonts w:ascii="宋体" w:hAnsi="宋体"/>
                <w:b/>
                <w:szCs w:val="21"/>
              </w:rPr>
            </w:pPr>
          </w:p>
        </w:tc>
        <w:tc>
          <w:tcPr>
            <w:tcW w:w="1544" w:type="dxa"/>
            <w:vMerge w:val="continue"/>
            <w:vAlign w:val="center"/>
          </w:tcPr>
          <w:p>
            <w:pPr>
              <w:rPr>
                <w:rFonts w:ascii="宋体" w:hAnsi="宋体"/>
                <w:szCs w:val="21"/>
              </w:rPr>
            </w:pPr>
          </w:p>
        </w:tc>
        <w:tc>
          <w:tcPr>
            <w:tcW w:w="5867" w:type="dxa"/>
            <w:vAlign w:val="center"/>
          </w:tcPr>
          <w:p>
            <w:pPr>
              <w:rPr>
                <w:rFonts w:ascii="宋体" w:hAnsi="宋体"/>
                <w:bCs/>
                <w:szCs w:val="21"/>
              </w:rPr>
            </w:pPr>
            <w:r>
              <w:rPr>
                <w:rFonts w:hint="eastAsia" w:ascii="宋体" w:hAnsi="宋体"/>
                <w:bCs/>
                <w:szCs w:val="21"/>
              </w:rPr>
              <w:t>★2</w:t>
            </w:r>
            <w:r>
              <w:rPr>
                <w:rFonts w:ascii="宋体" w:hAnsi="宋体"/>
                <w:bCs/>
                <w:szCs w:val="21"/>
              </w:rPr>
              <w:t>.</w:t>
            </w:r>
            <w:r>
              <w:rPr>
                <w:rFonts w:hint="eastAsia" w:ascii="宋体" w:hAnsi="宋体"/>
                <w:bCs/>
                <w:szCs w:val="21"/>
              </w:rPr>
              <w:t>免费保修期内，</w:t>
            </w:r>
            <w:r>
              <w:rPr>
                <w:rFonts w:hint="eastAsia" w:ascii="宋体" w:hAnsi="宋体"/>
                <w:color w:val="000000"/>
                <w:szCs w:val="21"/>
              </w:rPr>
              <w:t>所有服务及配件全部免费。</w:t>
            </w:r>
            <w:r>
              <w:rPr>
                <w:rFonts w:hint="eastAsia" w:ascii="宋体" w:hAnsi="宋体"/>
                <w:szCs w:val="21"/>
              </w:rPr>
              <w:t>在质保期间，提供所有软件每年免费升级到最新版本，在保质期满以后，中标供应商为此设备应以优惠价格终生提供保障其正常运行的配件和维护并能提供送货上门服务（以设备正常使用年限为限）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rFonts w:ascii="宋体" w:hAnsi="宋体"/>
                <w:b/>
                <w:szCs w:val="21"/>
              </w:rPr>
            </w:pPr>
            <w:r>
              <w:rPr>
                <w:rFonts w:hint="eastAsia" w:ascii="宋体" w:hAnsi="宋体"/>
                <w:szCs w:val="21"/>
              </w:rPr>
              <w:t>3</w:t>
            </w:r>
          </w:p>
        </w:tc>
        <w:tc>
          <w:tcPr>
            <w:tcW w:w="1544" w:type="dxa"/>
            <w:vAlign w:val="center"/>
          </w:tcPr>
          <w:p>
            <w:pPr>
              <w:jc w:val="center"/>
              <w:rPr>
                <w:rFonts w:ascii="宋体" w:hAnsi="宋体"/>
                <w:b/>
                <w:szCs w:val="21"/>
              </w:rPr>
            </w:pPr>
            <w:r>
              <w:rPr>
                <w:rFonts w:hint="eastAsia" w:ascii="宋体" w:hAnsi="宋体"/>
                <w:szCs w:val="21"/>
              </w:rPr>
              <w:t>技术文件</w:t>
            </w:r>
          </w:p>
        </w:tc>
        <w:tc>
          <w:tcPr>
            <w:tcW w:w="5867" w:type="dxa"/>
            <w:vAlign w:val="center"/>
          </w:tcPr>
          <w:p>
            <w:pPr>
              <w:rPr>
                <w:rFonts w:ascii="宋体" w:hAnsi="宋体"/>
                <w:bCs/>
                <w:szCs w:val="21"/>
              </w:rPr>
            </w:pPr>
            <w:r>
              <w:rPr>
                <w:rFonts w:hint="eastAsia" w:ascii="宋体" w:hAnsi="宋体"/>
                <w:bCs/>
                <w:szCs w:val="21"/>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rFonts w:ascii="宋体" w:hAnsi="宋体"/>
                <w:bCs/>
                <w:szCs w:val="21"/>
              </w:rPr>
            </w:pPr>
            <w:r>
              <w:rPr>
                <w:rFonts w:hint="eastAsia" w:ascii="宋体" w:hAnsi="宋体"/>
                <w:bCs/>
                <w:szCs w:val="21"/>
              </w:rPr>
              <w:t>4</w:t>
            </w:r>
          </w:p>
        </w:tc>
        <w:tc>
          <w:tcPr>
            <w:tcW w:w="1544" w:type="dxa"/>
            <w:vAlign w:val="center"/>
          </w:tcPr>
          <w:p>
            <w:pPr>
              <w:jc w:val="center"/>
              <w:rPr>
                <w:rFonts w:ascii="宋体" w:hAnsi="宋体"/>
                <w:bCs/>
                <w:szCs w:val="21"/>
              </w:rPr>
            </w:pPr>
            <w:r>
              <w:rPr>
                <w:rFonts w:hint="eastAsia" w:ascii="宋体" w:hAnsi="宋体"/>
                <w:szCs w:val="21"/>
              </w:rPr>
              <w:t>安装调试</w:t>
            </w:r>
          </w:p>
        </w:tc>
        <w:tc>
          <w:tcPr>
            <w:tcW w:w="5867" w:type="dxa"/>
            <w:vAlign w:val="center"/>
          </w:tcPr>
          <w:p>
            <w:pPr>
              <w:rPr>
                <w:rFonts w:ascii="宋体" w:hAnsi="宋体"/>
                <w:bCs/>
                <w:szCs w:val="21"/>
              </w:rPr>
            </w:pPr>
            <w:r>
              <w:rPr>
                <w:rFonts w:hint="eastAsia" w:ascii="宋体" w:hAnsi="宋体"/>
                <w:szCs w:val="21"/>
              </w:rPr>
              <w:t>中标供应商应当派有经验的技术人员到现场进行安装、调试，直到设备正常使用。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1" w:type="dxa"/>
            <w:gridSpan w:val="3"/>
            <w:vAlign w:val="center"/>
          </w:tcPr>
          <w:p>
            <w:pPr>
              <w:rPr>
                <w:rFonts w:hint="eastAsia" w:ascii="宋体" w:hAnsi="宋体"/>
                <w:b/>
                <w:szCs w:val="21"/>
              </w:rPr>
            </w:pPr>
            <w:r>
              <w:rPr>
                <w:rFonts w:hint="eastAsia" w:ascii="宋体" w:hAnsi="宋体"/>
                <w:b/>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jc w:val="center"/>
              <w:rPr>
                <w:rFonts w:hint="eastAsia" w:ascii="宋体" w:hAnsi="宋体"/>
                <w:b/>
                <w:szCs w:val="21"/>
              </w:rPr>
            </w:pPr>
            <w:r>
              <w:rPr>
                <w:rFonts w:hint="eastAsia" w:ascii="宋体" w:hAnsi="宋体"/>
                <w:b/>
                <w:szCs w:val="21"/>
              </w:rPr>
              <w:t>1</w:t>
            </w:r>
          </w:p>
        </w:tc>
        <w:tc>
          <w:tcPr>
            <w:tcW w:w="1544" w:type="dxa"/>
            <w:vMerge w:val="restart"/>
            <w:vAlign w:val="center"/>
          </w:tcPr>
          <w:p>
            <w:pPr>
              <w:jc w:val="center"/>
              <w:rPr>
                <w:rFonts w:hint="eastAsia" w:ascii="宋体" w:hAnsi="宋体"/>
                <w:b/>
                <w:szCs w:val="21"/>
              </w:rPr>
            </w:pPr>
            <w:r>
              <w:rPr>
                <w:rFonts w:hint="eastAsia" w:ascii="宋体" w:hAnsi="宋体"/>
                <w:b/>
                <w:szCs w:val="21"/>
              </w:rPr>
              <w:t>违约责任</w:t>
            </w:r>
          </w:p>
        </w:tc>
        <w:tc>
          <w:tcPr>
            <w:tcW w:w="5867" w:type="dxa"/>
          </w:tcPr>
          <w:p>
            <w:pPr>
              <w:rPr>
                <w:rFonts w:hint="eastAsia" w:ascii="宋体" w:hAnsi="宋体" w:cs="宋体"/>
                <w:color w:val="000000"/>
                <w:szCs w:val="21"/>
              </w:rPr>
            </w:pPr>
            <w:r>
              <w:rPr>
                <w:rFonts w:hint="eastAsia" w:ascii="宋体" w:hAnsi="宋体" w:cs="宋体"/>
                <w:color w:val="000000"/>
                <w:szCs w:val="21"/>
              </w:rPr>
              <w:t>1.1中标人不能交货的，需偿付不能交货部分货款的</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10</w:t>
            </w:r>
            <w:r>
              <w:rPr>
                <w:rFonts w:hint="eastAsia" w:ascii="宋体" w:hAnsi="宋体" w:cs="宋体"/>
                <w:color w:val="000000"/>
                <w:szCs w:val="21"/>
                <w:u w:val="single"/>
              </w:rPr>
              <w:t xml:space="preserve"> </w:t>
            </w:r>
            <w:r>
              <w:rPr>
                <w:rFonts w:hint="eastAsia" w:ascii="宋体" w:hAnsi="宋体" w:cs="宋体"/>
                <w:color w:val="000000"/>
                <w:szCs w:val="21"/>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40" w:type="dxa"/>
            <w:vMerge w:val="continue"/>
            <w:vAlign w:val="center"/>
          </w:tcPr>
          <w:p>
            <w:pPr>
              <w:jc w:val="center"/>
              <w:rPr>
                <w:rFonts w:hint="eastAsia" w:ascii="宋体" w:hAnsi="宋体"/>
                <w:b/>
                <w:szCs w:val="21"/>
              </w:rPr>
            </w:pPr>
          </w:p>
        </w:tc>
        <w:tc>
          <w:tcPr>
            <w:tcW w:w="1544" w:type="dxa"/>
            <w:vMerge w:val="continue"/>
            <w:vAlign w:val="center"/>
          </w:tcPr>
          <w:p>
            <w:pPr>
              <w:jc w:val="center"/>
              <w:rPr>
                <w:rFonts w:hint="eastAsia" w:ascii="宋体" w:hAnsi="宋体"/>
                <w:b/>
                <w:szCs w:val="21"/>
              </w:rPr>
            </w:pPr>
          </w:p>
        </w:tc>
        <w:tc>
          <w:tcPr>
            <w:tcW w:w="5867" w:type="dxa"/>
          </w:tcPr>
          <w:p>
            <w:pPr>
              <w:rPr>
                <w:rFonts w:hint="eastAsia" w:ascii="宋体" w:hAnsi="宋体" w:cs="宋体"/>
                <w:color w:val="000000"/>
                <w:szCs w:val="21"/>
              </w:rPr>
            </w:pPr>
            <w:r>
              <w:rPr>
                <w:rFonts w:hint="eastAsia" w:ascii="宋体" w:hAnsi="宋体" w:cs="宋体"/>
                <w:color w:val="000000"/>
                <w:szCs w:val="21"/>
              </w:rPr>
              <w:t>1.2中标人逾期交货的，应当承担继续履行、采取补救措施或者赔偿损失等违约责任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jc w:val="center"/>
        </w:trPr>
        <w:tc>
          <w:tcPr>
            <w:tcW w:w="840" w:type="dxa"/>
            <w:vMerge w:val="continue"/>
            <w:vAlign w:val="center"/>
          </w:tcPr>
          <w:p>
            <w:pPr>
              <w:jc w:val="center"/>
              <w:rPr>
                <w:rFonts w:hint="eastAsia" w:ascii="宋体" w:hAnsi="宋体"/>
                <w:b/>
                <w:szCs w:val="21"/>
              </w:rPr>
            </w:pPr>
          </w:p>
        </w:tc>
        <w:tc>
          <w:tcPr>
            <w:tcW w:w="1544" w:type="dxa"/>
            <w:vMerge w:val="continue"/>
            <w:vAlign w:val="center"/>
          </w:tcPr>
          <w:p>
            <w:pPr>
              <w:jc w:val="center"/>
              <w:rPr>
                <w:rFonts w:hint="eastAsia" w:ascii="宋体" w:hAnsi="宋体"/>
                <w:b/>
                <w:szCs w:val="21"/>
              </w:rPr>
            </w:pPr>
          </w:p>
        </w:tc>
        <w:tc>
          <w:tcPr>
            <w:tcW w:w="5867" w:type="dxa"/>
          </w:tcPr>
          <w:p>
            <w:pPr>
              <w:rPr>
                <w:rFonts w:hint="eastAsia" w:ascii="宋体" w:hAnsi="宋体" w:cs="宋体"/>
                <w:color w:val="000000"/>
                <w:szCs w:val="21"/>
              </w:rPr>
            </w:pPr>
            <w:r>
              <w:rPr>
                <w:rFonts w:hint="eastAsia" w:ascii="宋体" w:hAnsi="宋体" w:cs="宋体"/>
                <w:color w:val="000000"/>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jc w:val="center"/>
              <w:rPr>
                <w:rFonts w:hint="eastAsia" w:ascii="宋体" w:hAnsi="宋体"/>
                <w:b/>
                <w:szCs w:val="21"/>
              </w:rPr>
            </w:pPr>
            <w:bookmarkStart w:id="37" w:name="_Hlk72260973"/>
            <w:r>
              <w:rPr>
                <w:rFonts w:hint="eastAsia" w:ascii="宋体" w:hAnsi="宋体"/>
                <w:b/>
                <w:szCs w:val="21"/>
              </w:rPr>
              <w:t>2</w:t>
            </w:r>
          </w:p>
        </w:tc>
        <w:tc>
          <w:tcPr>
            <w:tcW w:w="1544" w:type="dxa"/>
            <w:vMerge w:val="restart"/>
            <w:vAlign w:val="center"/>
          </w:tcPr>
          <w:p>
            <w:pPr>
              <w:jc w:val="center"/>
              <w:rPr>
                <w:rFonts w:hint="eastAsia" w:ascii="宋体" w:hAnsi="宋体"/>
                <w:b/>
                <w:szCs w:val="21"/>
              </w:rPr>
            </w:pPr>
            <w:r>
              <w:rPr>
                <w:rFonts w:hint="eastAsia" w:ascii="宋体" w:hAnsi="宋体"/>
                <w:b/>
                <w:szCs w:val="21"/>
              </w:rPr>
              <w:t>交货及付款要求</w:t>
            </w:r>
          </w:p>
        </w:tc>
        <w:tc>
          <w:tcPr>
            <w:tcW w:w="5867" w:type="dxa"/>
            <w:vAlign w:val="center"/>
          </w:tcPr>
          <w:p>
            <w:pPr>
              <w:rPr>
                <w:rFonts w:ascii="宋体" w:hAnsi="宋体"/>
                <w:szCs w:val="21"/>
              </w:rPr>
            </w:pPr>
            <w:r>
              <w:rPr>
                <w:rFonts w:hint="eastAsia" w:ascii="宋体" w:hAnsi="宋体"/>
                <w:szCs w:val="21"/>
              </w:rPr>
              <w:t>★2.1履约时间和地点：投标供应商在签订合同之日起</w:t>
            </w:r>
            <w:r>
              <w:rPr>
                <w:rFonts w:ascii="宋体" w:hAnsi="宋体"/>
                <w:szCs w:val="21"/>
              </w:rPr>
              <w:t>30</w:t>
            </w:r>
            <w:r>
              <w:rPr>
                <w:rFonts w:hint="eastAsia" w:ascii="宋体" w:hAnsi="宋体"/>
                <w:szCs w:val="21"/>
              </w:rPr>
              <w:t>天内交货，交货地点为</w:t>
            </w:r>
            <w:r>
              <w:rPr>
                <w:rFonts w:hint="eastAsia" w:ascii="宋体" w:hAnsi="宋体"/>
                <w:szCs w:val="21"/>
                <w:lang w:val="en-US" w:eastAsia="zh-CN"/>
              </w:rPr>
              <w:t>深圳技师学院天工楼406</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40" w:type="dxa"/>
            <w:vMerge w:val="continue"/>
            <w:vAlign w:val="center"/>
          </w:tcPr>
          <w:p>
            <w:pPr>
              <w:jc w:val="center"/>
              <w:rPr>
                <w:rFonts w:hint="eastAsia" w:ascii="宋体" w:hAnsi="宋体"/>
                <w:b/>
                <w:szCs w:val="21"/>
              </w:rPr>
            </w:pPr>
          </w:p>
        </w:tc>
        <w:tc>
          <w:tcPr>
            <w:tcW w:w="1544" w:type="dxa"/>
            <w:vMerge w:val="continue"/>
            <w:vAlign w:val="center"/>
          </w:tcPr>
          <w:p>
            <w:pPr>
              <w:jc w:val="center"/>
              <w:rPr>
                <w:rFonts w:hint="eastAsia" w:ascii="宋体" w:hAnsi="宋体"/>
                <w:b/>
                <w:szCs w:val="21"/>
              </w:rPr>
            </w:pPr>
          </w:p>
        </w:tc>
        <w:tc>
          <w:tcPr>
            <w:tcW w:w="5867" w:type="dxa"/>
            <w:vAlign w:val="center"/>
          </w:tcPr>
          <w:p>
            <w:pPr>
              <w:rPr>
                <w:rFonts w:hint="eastAsia" w:ascii="宋体" w:hAnsi="宋体"/>
                <w:szCs w:val="21"/>
              </w:rPr>
            </w:pPr>
            <w:r>
              <w:rPr>
                <w:rFonts w:hint="eastAsia" w:ascii="宋体" w:hAnsi="宋体"/>
                <w:szCs w:val="21"/>
              </w:rPr>
              <w:t>★2</w:t>
            </w:r>
            <w:r>
              <w:rPr>
                <w:rFonts w:ascii="宋体" w:hAnsi="宋体"/>
                <w:szCs w:val="21"/>
              </w:rPr>
              <w:t>.2</w:t>
            </w:r>
            <w:r>
              <w:rPr>
                <w:rFonts w:hint="eastAsia" w:ascii="宋体" w:hAnsi="宋体"/>
                <w:szCs w:val="21"/>
              </w:rPr>
              <w:t>付款期限和方式：</w:t>
            </w:r>
          </w:p>
          <w:p>
            <w:pPr>
              <w:pStyle w:val="2"/>
              <w:numPr>
                <w:ilvl w:val="0"/>
                <w:numId w:val="0"/>
              </w:numPr>
              <w:spacing w:line="240" w:lineRule="auto"/>
              <w:rPr>
                <w:rFonts w:hint="default" w:ascii="宋体" w:hAnsi="宋体" w:eastAsia="宋体" w:cs="Times New Roman"/>
                <w:b w:val="0"/>
                <w:bCs w:val="0"/>
                <w:kern w:val="2"/>
                <w:sz w:val="21"/>
                <w:szCs w:val="21"/>
                <w:lang w:val="en-US" w:eastAsia="zh-CN" w:bidi="ar-SA"/>
              </w:rPr>
            </w:pPr>
            <w:r>
              <w:rPr>
                <w:rFonts w:hint="eastAsia" w:ascii="宋体" w:hAnsi="宋体"/>
                <w:b w:val="0"/>
                <w:bCs w:val="0"/>
                <w:sz w:val="21"/>
                <w:szCs w:val="21"/>
              </w:rPr>
              <w:t>采购合同签订后支付合同总金额的30%，中标人需提供同等金额的货物给采购人；项目完成并经用户验收合格并收到中标人发票后10个工作日内支付合同总金额的70%。</w:t>
            </w:r>
          </w:p>
          <w:p>
            <w:pPr>
              <w:pStyle w:val="2"/>
              <w:spacing w:line="240" w:lineRule="auto"/>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jc w:val="center"/>
              <w:rPr>
                <w:rFonts w:hint="eastAsia" w:ascii="宋体" w:hAnsi="宋体"/>
                <w:b/>
                <w:szCs w:val="21"/>
              </w:rPr>
            </w:pPr>
            <w:r>
              <w:rPr>
                <w:rFonts w:hint="eastAsia" w:ascii="宋体" w:hAnsi="宋体"/>
                <w:b/>
                <w:szCs w:val="21"/>
              </w:rPr>
              <w:t>3</w:t>
            </w:r>
          </w:p>
        </w:tc>
        <w:tc>
          <w:tcPr>
            <w:tcW w:w="1544" w:type="dxa"/>
            <w:vMerge w:val="restart"/>
            <w:vAlign w:val="center"/>
          </w:tcPr>
          <w:p>
            <w:pPr>
              <w:jc w:val="center"/>
              <w:rPr>
                <w:rStyle w:val="45"/>
                <w:rFonts w:hint="eastAsia" w:ascii="宋体" w:hAnsi="宋体" w:cs="宋体"/>
                <w:bCs w:val="0"/>
                <w:color w:val="000000"/>
                <w:szCs w:val="21"/>
              </w:rPr>
            </w:pPr>
            <w:r>
              <w:rPr>
                <w:rFonts w:hint="eastAsia" w:ascii="宋体" w:hAnsi="宋体" w:cs="宋体"/>
                <w:b/>
                <w:color w:val="000000"/>
                <w:szCs w:val="21"/>
              </w:rPr>
              <w:t>验收条件</w:t>
            </w:r>
          </w:p>
        </w:tc>
        <w:tc>
          <w:tcPr>
            <w:tcW w:w="5867" w:type="dxa"/>
          </w:tcPr>
          <w:p>
            <w:pPr>
              <w:rPr>
                <w:rFonts w:hint="eastAsia" w:ascii="宋体" w:hAnsi="宋体" w:cs="宋体"/>
                <w:color w:val="000000"/>
                <w:szCs w:val="21"/>
              </w:rPr>
            </w:pPr>
            <w:r>
              <w:rPr>
                <w:rFonts w:hint="eastAsia" w:ascii="宋体" w:hAnsi="宋体"/>
                <w:bCs/>
                <w:szCs w:val="21"/>
              </w:rPr>
              <w:t>★3.1投标人货物经过双方检验认可后，签署验收报告，产品保修期自验收合格之日起算，由投标人提供产品保修文件。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dxa"/>
            <w:vMerge w:val="continue"/>
            <w:vAlign w:val="center"/>
          </w:tcPr>
          <w:p>
            <w:pPr>
              <w:jc w:val="center"/>
              <w:rPr>
                <w:rFonts w:hint="eastAsia" w:ascii="宋体" w:hAnsi="宋体"/>
                <w:b/>
                <w:szCs w:val="21"/>
              </w:rPr>
            </w:pPr>
          </w:p>
        </w:tc>
        <w:tc>
          <w:tcPr>
            <w:tcW w:w="1544" w:type="dxa"/>
            <w:vMerge w:val="continue"/>
            <w:vAlign w:val="center"/>
          </w:tcPr>
          <w:p>
            <w:pPr>
              <w:jc w:val="center"/>
              <w:rPr>
                <w:rFonts w:hint="eastAsia" w:ascii="宋体" w:hAnsi="宋体" w:cs="宋体"/>
                <w:b/>
                <w:color w:val="000000"/>
                <w:szCs w:val="21"/>
              </w:rPr>
            </w:pPr>
          </w:p>
        </w:tc>
        <w:tc>
          <w:tcPr>
            <w:tcW w:w="5867" w:type="dxa"/>
          </w:tcPr>
          <w:p>
            <w:pPr>
              <w:tabs>
                <w:tab w:val="left" w:pos="1260"/>
              </w:tabs>
              <w:rPr>
                <w:rFonts w:ascii="宋体" w:hAnsi="宋体"/>
                <w:bCs/>
                <w:szCs w:val="21"/>
              </w:rPr>
            </w:pPr>
            <w:r>
              <w:rPr>
                <w:rFonts w:hint="eastAsia" w:ascii="宋体" w:hAnsi="宋体"/>
                <w:bCs/>
                <w:szCs w:val="21"/>
              </w:rPr>
              <w:t>★3.2当满足以下条件时，采购人才向中标人签发货物验收报告：</w:t>
            </w:r>
          </w:p>
          <w:p>
            <w:pPr>
              <w:tabs>
                <w:tab w:val="left" w:pos="1260"/>
              </w:tabs>
              <w:rPr>
                <w:rFonts w:ascii="宋体" w:hAnsi="宋体"/>
                <w:bCs/>
                <w:szCs w:val="21"/>
              </w:rPr>
            </w:pPr>
            <w:r>
              <w:rPr>
                <w:rFonts w:ascii="宋体" w:hAnsi="宋体"/>
                <w:bCs/>
                <w:szCs w:val="21"/>
              </w:rPr>
              <w:t>a</w:t>
            </w:r>
            <w:r>
              <w:rPr>
                <w:rFonts w:hint="eastAsia" w:ascii="宋体" w:hAnsi="宋体"/>
                <w:bCs/>
                <w:szCs w:val="21"/>
              </w:rPr>
              <w:t>、中标人已按照合同规定提供了全部产品及完整的技术资料。</w:t>
            </w:r>
          </w:p>
          <w:p>
            <w:pPr>
              <w:tabs>
                <w:tab w:val="left" w:pos="1260"/>
              </w:tabs>
              <w:rPr>
                <w:rFonts w:ascii="宋体" w:hAnsi="宋体"/>
                <w:bCs/>
                <w:szCs w:val="21"/>
              </w:rPr>
            </w:pPr>
            <w:r>
              <w:rPr>
                <w:rFonts w:ascii="宋体" w:hAnsi="宋体"/>
                <w:bCs/>
                <w:szCs w:val="21"/>
              </w:rPr>
              <w:t>b</w:t>
            </w:r>
            <w:r>
              <w:rPr>
                <w:rFonts w:hint="eastAsia" w:ascii="宋体" w:hAnsi="宋体"/>
                <w:bCs/>
                <w:szCs w:val="21"/>
              </w:rPr>
              <w:t>、货物符合招标文件技术规格书的要求，性能满足要求。</w:t>
            </w:r>
          </w:p>
          <w:p>
            <w:pPr>
              <w:tabs>
                <w:tab w:val="left" w:pos="1260"/>
              </w:tabs>
              <w:rPr>
                <w:rFonts w:ascii="宋体" w:hAnsi="宋体"/>
                <w:bCs/>
                <w:szCs w:val="21"/>
              </w:rPr>
            </w:pPr>
            <w:r>
              <w:rPr>
                <w:rFonts w:ascii="宋体" w:hAnsi="宋体"/>
                <w:bCs/>
                <w:szCs w:val="21"/>
              </w:rPr>
              <w:t>c</w:t>
            </w:r>
            <w:r>
              <w:rPr>
                <w:rFonts w:hint="eastAsia" w:ascii="宋体" w:hAnsi="宋体"/>
                <w:bCs/>
                <w:szCs w:val="21"/>
              </w:rPr>
              <w:t>、货物具备产品合格证。</w:t>
            </w:r>
          </w:p>
          <w:p>
            <w:pPr>
              <w:tabs>
                <w:tab w:val="left" w:pos="1260"/>
              </w:tabs>
              <w:rPr>
                <w:rFonts w:hint="eastAsia" w:ascii="宋体" w:hAnsi="宋体"/>
                <w:bCs/>
                <w:szCs w:val="21"/>
              </w:rPr>
            </w:pPr>
            <w:r>
              <w:rPr>
                <w:rFonts w:hint="eastAsia" w:ascii="宋体" w:hAnsi="宋体"/>
                <w:bCs/>
                <w:szCs w:val="21"/>
              </w:rPr>
              <w:t>d、必须符合有关国标的规定。响应文件提供的技术数据经实测证实是真实的。检验及质量保证期内达到的性能指标与要求一致，达到或优于相应标准。</w:t>
            </w:r>
          </w:p>
          <w:p>
            <w:pPr>
              <w:tabs>
                <w:tab w:val="left" w:pos="1260"/>
              </w:tabs>
              <w:rPr>
                <w:rFonts w:hint="eastAsia" w:ascii="宋体" w:hAnsi="宋体"/>
                <w:bCs/>
                <w:szCs w:val="21"/>
              </w:rPr>
            </w:pPr>
            <w:r>
              <w:rPr>
                <w:rFonts w:hint="eastAsia" w:ascii="宋体" w:hAnsi="宋体"/>
                <w:bCs/>
                <w:szCs w:val="21"/>
                <w:lang w:val="en-US" w:eastAsia="zh-CN"/>
              </w:rPr>
              <w:t>e、</w:t>
            </w:r>
            <w:r>
              <w:rPr>
                <w:rFonts w:hint="eastAsia" w:ascii="宋体" w:hAnsi="宋体"/>
                <w:bCs/>
                <w:szCs w:val="21"/>
              </w:rPr>
              <w:t>技术文件资料、备件等已按规定数量移交完毕。</w:t>
            </w:r>
          </w:p>
          <w:p>
            <w:pPr>
              <w:tabs>
                <w:tab w:val="left" w:pos="1260"/>
              </w:tabs>
              <w:rPr>
                <w:rFonts w:hint="eastAsia" w:ascii="宋体" w:hAnsi="宋体"/>
                <w:bCs/>
                <w:szCs w:val="21"/>
              </w:rPr>
            </w:pPr>
            <w:r>
              <w:rPr>
                <w:rFonts w:hint="eastAsia" w:ascii="宋体" w:hAnsi="宋体"/>
                <w:bCs/>
                <w:szCs w:val="21"/>
                <w:lang w:val="en-US" w:eastAsia="zh-CN"/>
              </w:rPr>
              <w:t>f、</w:t>
            </w:r>
            <w:r>
              <w:rPr>
                <w:rFonts w:hint="eastAsia" w:ascii="宋体" w:hAnsi="宋体"/>
                <w:bCs/>
                <w:szCs w:val="21"/>
              </w:rPr>
              <w:t>按照采购文件要求及响应文件提供的技术参数验收必须合格。</w:t>
            </w:r>
          </w:p>
          <w:p>
            <w:pPr>
              <w:tabs>
                <w:tab w:val="left" w:pos="1260"/>
              </w:tabs>
              <w:rPr>
                <w:rFonts w:ascii="宋体" w:hAnsi="宋体"/>
                <w:szCs w:val="21"/>
              </w:rPr>
            </w:pPr>
            <w:r>
              <w:rPr>
                <w:rFonts w:hint="eastAsia" w:ascii="宋体" w:hAnsi="宋体"/>
                <w:bCs/>
                <w:szCs w:val="21"/>
                <w:lang w:val="en-US" w:eastAsia="zh-CN"/>
              </w:rPr>
              <w:t>g、</w:t>
            </w:r>
            <w:r>
              <w:rPr>
                <w:rFonts w:hint="eastAsia" w:ascii="宋体" w:hAnsi="宋体"/>
                <w:bCs/>
                <w:szCs w:val="21"/>
              </w:rPr>
              <w:t>在货物安装调试合格后，所有技术指标达到技术规范书要求，经验收合格后，双方共同签署验收报告。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Align w:val="center"/>
          </w:tcPr>
          <w:p>
            <w:pPr>
              <w:jc w:val="center"/>
              <w:rPr>
                <w:rFonts w:hint="eastAsia" w:ascii="宋体" w:hAnsi="宋体"/>
                <w:b/>
                <w:szCs w:val="21"/>
              </w:rPr>
            </w:pPr>
            <w:r>
              <w:rPr>
                <w:rFonts w:hint="eastAsia" w:ascii="宋体" w:hAnsi="宋体"/>
                <w:b/>
                <w:szCs w:val="21"/>
              </w:rPr>
              <w:t>4</w:t>
            </w:r>
          </w:p>
        </w:tc>
        <w:tc>
          <w:tcPr>
            <w:tcW w:w="1544" w:type="dxa"/>
            <w:vAlign w:val="center"/>
          </w:tcPr>
          <w:p>
            <w:pPr>
              <w:jc w:val="center"/>
              <w:rPr>
                <w:rStyle w:val="45"/>
                <w:rFonts w:hint="eastAsia" w:ascii="宋体" w:hAnsi="宋体" w:cs="宋体"/>
                <w:bCs w:val="0"/>
                <w:color w:val="000000"/>
                <w:szCs w:val="21"/>
              </w:rPr>
            </w:pPr>
            <w:r>
              <w:rPr>
                <w:rFonts w:hint="eastAsia" w:ascii="宋体" w:hAnsi="宋体" w:cs="宋体"/>
                <w:b/>
                <w:color w:val="000000"/>
                <w:szCs w:val="21"/>
              </w:rPr>
              <w:t>争议解决方法</w:t>
            </w:r>
          </w:p>
        </w:tc>
        <w:tc>
          <w:tcPr>
            <w:tcW w:w="5867" w:type="dxa"/>
            <w:vAlign w:val="center"/>
          </w:tcPr>
          <w:p>
            <w:pPr>
              <w:autoSpaceDE w:val="0"/>
              <w:autoSpaceDN w:val="0"/>
              <w:adjustRightInd w:val="0"/>
              <w:spacing w:line="240" w:lineRule="auto"/>
              <w:rPr>
                <w:rFonts w:hint="eastAsia" w:ascii="宋体" w:hAnsi="宋体" w:cs="宋体"/>
                <w:color w:val="000000"/>
                <w:szCs w:val="21"/>
              </w:rPr>
            </w:pPr>
            <w:r>
              <w:rPr>
                <w:rFonts w:hint="eastAsia" w:ascii="宋体" w:hAnsi="宋体" w:cs="宋体"/>
                <w:color w:val="000000"/>
                <w:szCs w:val="21"/>
              </w:rPr>
              <w:t>因本合同及合同有关事项发生的争议，由甲乙双方友好协商解决。协商不成时，可以向有关组织申请调解。合同一方或双方不愿调解或调解不成的，可以通过仲裁或诉讼的方式解决争议。</w:t>
            </w:r>
          </w:p>
        </w:tc>
      </w:tr>
      <w:bookmarkEnd w:id="3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40" w:type="dxa"/>
            <w:vMerge w:val="restart"/>
            <w:vAlign w:val="center"/>
          </w:tcPr>
          <w:p>
            <w:pPr>
              <w:jc w:val="center"/>
              <w:rPr>
                <w:rFonts w:hint="eastAsia" w:ascii="宋体" w:hAnsi="宋体"/>
                <w:b/>
                <w:szCs w:val="21"/>
              </w:rPr>
            </w:pPr>
            <w:r>
              <w:rPr>
                <w:rFonts w:hint="eastAsia" w:ascii="宋体" w:hAnsi="宋体"/>
                <w:b/>
                <w:szCs w:val="21"/>
              </w:rPr>
              <w:t>5</w:t>
            </w:r>
          </w:p>
        </w:tc>
        <w:tc>
          <w:tcPr>
            <w:tcW w:w="1544" w:type="dxa"/>
            <w:vMerge w:val="restart"/>
            <w:vAlign w:val="center"/>
          </w:tcPr>
          <w:p>
            <w:pPr>
              <w:jc w:val="center"/>
              <w:rPr>
                <w:rFonts w:hint="eastAsia" w:ascii="宋体" w:hAnsi="宋体"/>
                <w:color w:val="000000"/>
                <w:szCs w:val="21"/>
              </w:rPr>
            </w:pPr>
            <w:r>
              <w:rPr>
                <w:rStyle w:val="45"/>
                <w:rFonts w:hint="eastAsia" w:ascii="宋体" w:hAnsi="宋体" w:cs="宋体"/>
                <w:color w:val="000000"/>
                <w:szCs w:val="21"/>
              </w:rPr>
              <w:t>运输、安装条件</w:t>
            </w:r>
          </w:p>
        </w:tc>
        <w:tc>
          <w:tcPr>
            <w:tcW w:w="5867" w:type="dxa"/>
            <w:vAlign w:val="center"/>
          </w:tcPr>
          <w:p>
            <w:pPr>
              <w:rPr>
                <w:rFonts w:hint="eastAsia" w:ascii="宋体" w:hAnsi="宋体"/>
                <w:bCs/>
                <w:color w:val="000000"/>
                <w:szCs w:val="21"/>
              </w:rPr>
            </w:pPr>
            <w:r>
              <w:rPr>
                <w:rFonts w:hint="eastAsia" w:ascii="宋体" w:hAnsi="宋体" w:cs="宋体"/>
                <w:color w:val="000000"/>
                <w:szCs w:val="21"/>
              </w:rPr>
              <w:t>5.1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jc w:val="center"/>
              <w:rPr>
                <w:rFonts w:hint="eastAsia" w:ascii="宋体" w:hAnsi="宋体"/>
                <w:b/>
                <w:szCs w:val="21"/>
              </w:rPr>
            </w:pPr>
            <w:r>
              <w:rPr>
                <w:rFonts w:hint="eastAsia" w:ascii="宋体" w:hAnsi="宋体"/>
                <w:b/>
                <w:szCs w:val="21"/>
              </w:rPr>
              <w:t>6</w:t>
            </w:r>
          </w:p>
        </w:tc>
        <w:tc>
          <w:tcPr>
            <w:tcW w:w="1544" w:type="dxa"/>
            <w:vMerge w:val="restart"/>
            <w:vAlign w:val="center"/>
          </w:tcPr>
          <w:p>
            <w:pPr>
              <w:jc w:val="center"/>
              <w:rPr>
                <w:rFonts w:hint="eastAsia" w:ascii="宋体" w:hAnsi="宋体"/>
                <w:b/>
                <w:szCs w:val="21"/>
              </w:rPr>
            </w:pPr>
            <w:r>
              <w:rPr>
                <w:rFonts w:ascii="宋体" w:hAnsi="宋体"/>
                <w:b/>
                <w:szCs w:val="21"/>
              </w:rPr>
              <w:t>培训</w:t>
            </w:r>
          </w:p>
        </w:tc>
        <w:tc>
          <w:tcPr>
            <w:tcW w:w="5867" w:type="dxa"/>
          </w:tcPr>
          <w:p>
            <w:pPr>
              <w:widowControl/>
              <w:jc w:val="left"/>
              <w:rPr>
                <w:rFonts w:hint="eastAsia" w:ascii="宋体" w:hAnsi="宋体" w:cs="宋体"/>
                <w:color w:val="000000"/>
                <w:szCs w:val="21"/>
              </w:rPr>
            </w:pPr>
            <w:r>
              <w:rPr>
                <w:rFonts w:hint="eastAsia" w:ascii="宋体" w:hAnsi="宋体" w:cs="宋体"/>
                <w:color w:val="000000"/>
                <w:szCs w:val="21"/>
              </w:rPr>
              <w:t>6.1投标供应商应派专业技术人员免费对采购单位指定人员进行定期培训及指导，直至其完全掌握设备的基本故障处理技术。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jc w:val="center"/>
              <w:rPr>
                <w:rFonts w:hint="eastAsia" w:ascii="宋体" w:hAnsi="宋体"/>
                <w:b/>
                <w:szCs w:val="21"/>
              </w:rPr>
            </w:pPr>
          </w:p>
        </w:tc>
        <w:tc>
          <w:tcPr>
            <w:tcW w:w="1544" w:type="dxa"/>
            <w:vMerge w:val="continue"/>
            <w:vAlign w:val="center"/>
          </w:tcPr>
          <w:p>
            <w:pPr>
              <w:rPr>
                <w:rFonts w:hint="eastAsia" w:ascii="宋体" w:hAnsi="宋体"/>
                <w:b/>
                <w:szCs w:val="21"/>
              </w:rPr>
            </w:pPr>
          </w:p>
        </w:tc>
        <w:tc>
          <w:tcPr>
            <w:tcW w:w="5867" w:type="dxa"/>
          </w:tcPr>
          <w:p>
            <w:pPr>
              <w:widowControl/>
              <w:jc w:val="left"/>
              <w:rPr>
                <w:rFonts w:hint="eastAsia" w:ascii="宋体" w:hAnsi="宋体" w:cs="宋体"/>
                <w:color w:val="000000"/>
                <w:szCs w:val="21"/>
              </w:rPr>
            </w:pPr>
            <w:r>
              <w:rPr>
                <w:rFonts w:hint="eastAsia" w:ascii="宋体" w:hAnsi="宋体" w:cs="宋体"/>
                <w:color w:val="000000"/>
                <w:szCs w:val="21"/>
              </w:rPr>
              <w:t>6.2 现场培训：投标供应商应提供现场技术培训，保证使用人员正常操作设备的各种功能。</w:t>
            </w:r>
            <w:r>
              <w:rPr>
                <w:rFonts w:hint="eastAsia" w:ascii="宋体" w:hAnsi="宋体"/>
                <w:szCs w:val="21"/>
              </w:rPr>
              <w:t>中标人对设施设备和软件的使用分别提供不少于2次的培训，并提供相关操作规程或操作视频或用户手册。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jc w:val="center"/>
              <w:rPr>
                <w:rFonts w:hint="eastAsia" w:ascii="宋体" w:hAnsi="宋体"/>
                <w:b/>
                <w:szCs w:val="21"/>
              </w:rPr>
            </w:pPr>
            <w:r>
              <w:rPr>
                <w:rFonts w:hint="eastAsia" w:ascii="宋体" w:hAnsi="宋体"/>
                <w:b/>
                <w:szCs w:val="21"/>
              </w:rPr>
              <w:t>7</w:t>
            </w:r>
          </w:p>
        </w:tc>
        <w:tc>
          <w:tcPr>
            <w:tcW w:w="1544" w:type="dxa"/>
            <w:vMerge w:val="restart"/>
            <w:vAlign w:val="center"/>
          </w:tcPr>
          <w:p>
            <w:pPr>
              <w:jc w:val="center"/>
              <w:rPr>
                <w:rFonts w:hint="eastAsia" w:ascii="宋体" w:hAnsi="宋体"/>
                <w:b/>
                <w:szCs w:val="21"/>
              </w:rPr>
            </w:pPr>
            <w:r>
              <w:rPr>
                <w:rFonts w:ascii="宋体" w:hAnsi="宋体"/>
                <w:b/>
                <w:szCs w:val="21"/>
              </w:rPr>
              <w:t>知识产权</w:t>
            </w:r>
          </w:p>
        </w:tc>
        <w:tc>
          <w:tcPr>
            <w:tcW w:w="5867" w:type="dxa"/>
          </w:tcPr>
          <w:p>
            <w:pPr>
              <w:rPr>
                <w:rFonts w:ascii="宋体" w:hAnsi="宋体"/>
                <w:szCs w:val="21"/>
              </w:rPr>
            </w:pPr>
            <w:r>
              <w:rPr>
                <w:rFonts w:hint="eastAsia" w:ascii="宋体" w:hAnsi="宋体" w:cs="宋体"/>
                <w:color w:val="000000"/>
                <w:szCs w:val="21"/>
              </w:rPr>
              <w:t>7.1涉及采购标的的知识产权归属、处理的，应约定知识产权的归属和处理方式。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jc w:val="center"/>
              <w:rPr>
                <w:rFonts w:hint="eastAsia" w:ascii="宋体" w:hAnsi="宋体"/>
                <w:b/>
                <w:szCs w:val="21"/>
              </w:rPr>
            </w:pPr>
          </w:p>
        </w:tc>
        <w:tc>
          <w:tcPr>
            <w:tcW w:w="1544" w:type="dxa"/>
            <w:vMerge w:val="continue"/>
            <w:vAlign w:val="center"/>
          </w:tcPr>
          <w:p>
            <w:pPr>
              <w:rPr>
                <w:rFonts w:hint="eastAsia" w:ascii="宋体" w:hAnsi="宋体"/>
                <w:b/>
                <w:szCs w:val="21"/>
              </w:rPr>
            </w:pPr>
          </w:p>
        </w:tc>
        <w:tc>
          <w:tcPr>
            <w:tcW w:w="5867" w:type="dxa"/>
          </w:tcPr>
          <w:p>
            <w:pPr>
              <w:widowControl/>
              <w:jc w:val="left"/>
              <w:rPr>
                <w:rFonts w:hint="eastAsia" w:ascii="宋体" w:hAnsi="宋体" w:cs="宋体"/>
                <w:color w:val="000000"/>
                <w:szCs w:val="21"/>
              </w:rPr>
            </w:pPr>
            <w:r>
              <w:rPr>
                <w:rFonts w:hint="eastAsia" w:ascii="宋体" w:hAnsi="宋体" w:cs="宋体"/>
                <w:color w:val="000000"/>
                <w:szCs w:val="21"/>
              </w:rPr>
              <w:t>7.2采购人购买产品后，有权对该产品与其他设备进行配套、整合或适当改进，而免受侵犯专利权的起诉。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jc w:val="center"/>
              <w:rPr>
                <w:rFonts w:ascii="宋体" w:hAnsi="宋体"/>
                <w:b/>
                <w:szCs w:val="21"/>
              </w:rPr>
            </w:pPr>
            <w:r>
              <w:rPr>
                <w:rFonts w:hint="eastAsia" w:ascii="宋体" w:hAnsi="宋体"/>
                <w:b/>
                <w:szCs w:val="21"/>
              </w:rPr>
              <w:t>8</w:t>
            </w:r>
          </w:p>
        </w:tc>
        <w:tc>
          <w:tcPr>
            <w:tcW w:w="1544" w:type="dxa"/>
            <w:vMerge w:val="restart"/>
            <w:vAlign w:val="center"/>
          </w:tcPr>
          <w:p>
            <w:pPr>
              <w:jc w:val="center"/>
              <w:rPr>
                <w:rFonts w:hint="eastAsia" w:ascii="宋体" w:hAnsi="宋体"/>
                <w:b/>
                <w:color w:val="000000"/>
                <w:szCs w:val="21"/>
              </w:rPr>
            </w:pPr>
            <w:r>
              <w:rPr>
                <w:rFonts w:hint="eastAsia" w:ascii="宋体" w:hAnsi="宋体"/>
                <w:b/>
                <w:szCs w:val="21"/>
              </w:rPr>
              <w:t>关于违约</w:t>
            </w:r>
          </w:p>
        </w:tc>
        <w:tc>
          <w:tcPr>
            <w:tcW w:w="5867" w:type="dxa"/>
          </w:tcPr>
          <w:p>
            <w:pPr>
              <w:rPr>
                <w:rFonts w:hint="eastAsia" w:ascii="宋体" w:hAnsi="宋体" w:cs="宋体"/>
                <w:bCs/>
                <w:color w:val="000000"/>
                <w:szCs w:val="21"/>
              </w:rPr>
            </w:pPr>
            <w:r>
              <w:rPr>
                <w:rFonts w:hint="eastAsia" w:ascii="宋体" w:hAnsi="宋体"/>
                <w:bCs/>
                <w:szCs w:val="21"/>
              </w:rPr>
              <w:t>8.1中标人不能交货的，需偿付不能交货部分货款的</w:t>
            </w:r>
            <w:r>
              <w:rPr>
                <w:rFonts w:hint="eastAsia" w:ascii="宋体" w:hAnsi="宋体"/>
                <w:bCs/>
                <w:szCs w:val="21"/>
                <w:u w:val="single"/>
              </w:rPr>
              <w:t xml:space="preserve"> </w:t>
            </w:r>
            <w:r>
              <w:rPr>
                <w:rFonts w:hint="eastAsia" w:ascii="宋体" w:hAnsi="宋体"/>
                <w:bCs/>
                <w:szCs w:val="21"/>
                <w:u w:val="single"/>
                <w:lang w:val="en-US" w:eastAsia="zh-CN"/>
              </w:rPr>
              <w:t>10</w:t>
            </w:r>
            <w:r>
              <w:rPr>
                <w:rFonts w:hint="eastAsia" w:ascii="宋体" w:hAnsi="宋体"/>
                <w:bCs/>
                <w:szCs w:val="21"/>
                <w:u w:val="single"/>
              </w:rPr>
              <w:t xml:space="preserve"> </w:t>
            </w:r>
            <w:r>
              <w:rPr>
                <w:rFonts w:hint="eastAsia" w:ascii="宋体" w:hAnsi="宋体"/>
                <w:bCs/>
                <w:szCs w:val="21"/>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jc w:val="center"/>
              <w:rPr>
                <w:rFonts w:ascii="宋体" w:hAnsi="宋体"/>
                <w:b/>
                <w:szCs w:val="21"/>
              </w:rPr>
            </w:pPr>
          </w:p>
        </w:tc>
        <w:tc>
          <w:tcPr>
            <w:tcW w:w="1544" w:type="dxa"/>
            <w:vMerge w:val="continue"/>
            <w:vAlign w:val="center"/>
          </w:tcPr>
          <w:p>
            <w:pPr>
              <w:jc w:val="center"/>
              <w:rPr>
                <w:rFonts w:hint="eastAsia" w:ascii="宋体" w:hAnsi="宋体"/>
                <w:b/>
                <w:color w:val="000000"/>
                <w:szCs w:val="21"/>
              </w:rPr>
            </w:pPr>
          </w:p>
        </w:tc>
        <w:tc>
          <w:tcPr>
            <w:tcW w:w="5867" w:type="dxa"/>
          </w:tcPr>
          <w:p>
            <w:pPr>
              <w:rPr>
                <w:rFonts w:hint="eastAsia" w:ascii="宋体" w:hAnsi="宋体" w:cs="宋体"/>
                <w:bCs/>
                <w:color w:val="000000"/>
                <w:szCs w:val="21"/>
              </w:rPr>
            </w:pPr>
            <w:r>
              <w:rPr>
                <w:rFonts w:hint="eastAsia" w:ascii="宋体" w:hAnsi="宋体"/>
                <w:bCs/>
                <w:szCs w:val="21"/>
              </w:rPr>
              <w:t>8.2中标人逾期交货的，将被没收履约保证金并按主管部门相关规定处理。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jc w:val="center"/>
              <w:rPr>
                <w:rFonts w:ascii="宋体" w:hAnsi="宋体"/>
                <w:b/>
                <w:szCs w:val="21"/>
              </w:rPr>
            </w:pPr>
          </w:p>
        </w:tc>
        <w:tc>
          <w:tcPr>
            <w:tcW w:w="1544" w:type="dxa"/>
            <w:vMerge w:val="continue"/>
            <w:vAlign w:val="center"/>
          </w:tcPr>
          <w:p>
            <w:pPr>
              <w:jc w:val="center"/>
              <w:rPr>
                <w:rFonts w:hint="eastAsia" w:ascii="宋体" w:hAnsi="宋体"/>
                <w:b/>
                <w:color w:val="000000"/>
                <w:szCs w:val="21"/>
              </w:rPr>
            </w:pPr>
          </w:p>
        </w:tc>
        <w:tc>
          <w:tcPr>
            <w:tcW w:w="5867" w:type="dxa"/>
          </w:tcPr>
          <w:p>
            <w:pPr>
              <w:rPr>
                <w:rFonts w:hint="eastAsia" w:ascii="宋体" w:hAnsi="宋体" w:cs="宋体"/>
                <w:bCs/>
                <w:color w:val="000000"/>
                <w:szCs w:val="21"/>
              </w:rPr>
            </w:pPr>
            <w:r>
              <w:rPr>
                <w:rFonts w:hint="eastAsia" w:ascii="宋体" w:hAnsi="宋体"/>
                <w:bCs/>
                <w:szCs w:val="21"/>
              </w:rPr>
              <w:t>8.3中标人所交付产品、工程或服务不符合其投标承诺的，或在投标阶段为了中标而盲目虚假承诺、低价恶性竞争，在履约阶段则通过偷工减料、以次充好而获取利润的，将被没收履约保证金，并被履约评价工作实施机构评为履约等级“差”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jc w:val="center"/>
              <w:rPr>
                <w:rFonts w:ascii="宋体" w:hAnsi="宋体"/>
                <w:b/>
                <w:szCs w:val="21"/>
              </w:rPr>
            </w:pPr>
          </w:p>
        </w:tc>
        <w:tc>
          <w:tcPr>
            <w:tcW w:w="1544" w:type="dxa"/>
            <w:vMerge w:val="continue"/>
            <w:vAlign w:val="center"/>
          </w:tcPr>
          <w:p>
            <w:pPr>
              <w:jc w:val="center"/>
              <w:rPr>
                <w:rFonts w:hint="eastAsia" w:ascii="宋体" w:hAnsi="宋体"/>
                <w:b/>
                <w:color w:val="000000"/>
                <w:szCs w:val="21"/>
              </w:rPr>
            </w:pPr>
          </w:p>
        </w:tc>
        <w:tc>
          <w:tcPr>
            <w:tcW w:w="5867" w:type="dxa"/>
          </w:tcPr>
          <w:p>
            <w:pPr>
              <w:rPr>
                <w:rFonts w:hint="default" w:ascii="宋体" w:hAnsi="宋体" w:eastAsia="宋体"/>
                <w:bCs/>
                <w:szCs w:val="21"/>
                <w:lang w:val="en-US" w:eastAsia="zh-CN"/>
              </w:rPr>
            </w:pPr>
            <w:r>
              <w:rPr>
                <w:rFonts w:hint="eastAsia" w:ascii="宋体" w:hAnsi="宋体"/>
                <w:bCs/>
                <w:szCs w:val="21"/>
                <w:lang w:val="en-US" w:eastAsia="zh-CN"/>
              </w:rPr>
              <w:t>8.4</w:t>
            </w:r>
            <w:r>
              <w:rPr>
                <w:rFonts w:hint="eastAsia" w:ascii="宋体" w:hAnsi="宋体"/>
                <w:szCs w:val="21"/>
              </w:rPr>
              <w:t>乙方逾期交付产品的，每逾期1日按照合同总额5‰向甲方支付逾期违约金。乙方逾期超过10日，甲方有权要求乙方按合同总额10%支付违约金，并有权解除合同，要求乙方返还甲方已支付的合同款项。若因此造成甲方损失的，乙方应承担相应的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jc w:val="center"/>
              <w:rPr>
                <w:rFonts w:ascii="宋体" w:hAnsi="宋体"/>
                <w:b/>
                <w:szCs w:val="21"/>
              </w:rPr>
            </w:pPr>
          </w:p>
        </w:tc>
        <w:tc>
          <w:tcPr>
            <w:tcW w:w="1544" w:type="dxa"/>
            <w:vMerge w:val="continue"/>
            <w:vAlign w:val="center"/>
          </w:tcPr>
          <w:p>
            <w:pPr>
              <w:jc w:val="center"/>
              <w:rPr>
                <w:rFonts w:hint="eastAsia" w:ascii="宋体" w:hAnsi="宋体"/>
                <w:b/>
                <w:color w:val="000000"/>
                <w:szCs w:val="21"/>
              </w:rPr>
            </w:pPr>
          </w:p>
        </w:tc>
        <w:tc>
          <w:tcPr>
            <w:tcW w:w="5867" w:type="dxa"/>
          </w:tcPr>
          <w:p>
            <w:pPr>
              <w:pStyle w:val="8"/>
              <w:spacing w:before="78" w:beforeLines="25" w:after="78" w:afterLines="25"/>
              <w:ind w:firstLine="0" w:firstLineChars="0"/>
              <w:rPr>
                <w:rFonts w:hint="eastAsia" w:ascii="宋体" w:hAnsi="宋体"/>
                <w:bCs/>
                <w:szCs w:val="21"/>
              </w:rPr>
            </w:pPr>
            <w:r>
              <w:rPr>
                <w:rFonts w:hint="eastAsia" w:ascii="宋体" w:hAnsi="宋体"/>
                <w:szCs w:val="21"/>
                <w:lang w:val="en-US" w:eastAsia="zh-CN"/>
              </w:rPr>
              <w:t>8.5</w:t>
            </w:r>
            <w:r>
              <w:rPr>
                <w:rFonts w:hint="eastAsia" w:ascii="宋体" w:hAnsi="宋体"/>
                <w:szCs w:val="21"/>
              </w:rPr>
              <w:t>乙方所提供的产品经验收不合格，经修理或者更换后仍不合格的，甲方有权要求乙方按合同总额10%支付违约金，并有权解除合同，要求乙方返还甲方已支付的合同款项。若因此造成甲方损失的，乙方应承担相应的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jc w:val="center"/>
              <w:rPr>
                <w:rFonts w:ascii="宋体" w:hAnsi="宋体"/>
                <w:b/>
                <w:szCs w:val="21"/>
              </w:rPr>
            </w:pPr>
          </w:p>
        </w:tc>
        <w:tc>
          <w:tcPr>
            <w:tcW w:w="1544" w:type="dxa"/>
            <w:vMerge w:val="continue"/>
            <w:vAlign w:val="center"/>
          </w:tcPr>
          <w:p>
            <w:pPr>
              <w:jc w:val="center"/>
              <w:rPr>
                <w:rFonts w:hint="eastAsia" w:ascii="宋体" w:hAnsi="宋体"/>
                <w:b/>
                <w:color w:val="000000"/>
                <w:szCs w:val="21"/>
              </w:rPr>
            </w:pPr>
          </w:p>
        </w:tc>
        <w:tc>
          <w:tcPr>
            <w:tcW w:w="5867" w:type="dxa"/>
          </w:tcPr>
          <w:p>
            <w:pPr>
              <w:pStyle w:val="8"/>
              <w:spacing w:before="78" w:beforeLines="25" w:after="78" w:afterLines="25"/>
              <w:ind w:firstLine="0" w:firstLineChars="0"/>
              <w:rPr>
                <w:rFonts w:hint="eastAsia" w:ascii="宋体" w:hAnsi="宋体"/>
                <w:bCs/>
                <w:szCs w:val="21"/>
              </w:rPr>
            </w:pPr>
            <w:r>
              <w:rPr>
                <w:rFonts w:hint="eastAsia" w:ascii="宋体" w:hAnsi="宋体"/>
                <w:szCs w:val="21"/>
                <w:lang w:val="en-US" w:eastAsia="zh-CN"/>
              </w:rPr>
              <w:t>8.6</w:t>
            </w:r>
            <w:r>
              <w:rPr>
                <w:rFonts w:hint="eastAsia" w:ascii="宋体" w:hAnsi="宋体"/>
                <w:szCs w:val="21"/>
              </w:rPr>
              <w:t>质保期内，乙方超过2次未按合同第十二条约定履行质保义务的，甲方有权要求乙方按合同总额10%支付违约金，并有权解除合同。若因此造成甲方损失的，乙方应承担相应的赔偿责任。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jc w:val="center"/>
              <w:rPr>
                <w:rFonts w:ascii="宋体" w:hAnsi="宋体"/>
                <w:b/>
                <w:szCs w:val="21"/>
              </w:rPr>
            </w:pPr>
          </w:p>
        </w:tc>
        <w:tc>
          <w:tcPr>
            <w:tcW w:w="1544" w:type="dxa"/>
            <w:vMerge w:val="continue"/>
            <w:vAlign w:val="center"/>
          </w:tcPr>
          <w:p>
            <w:pPr>
              <w:jc w:val="center"/>
              <w:rPr>
                <w:rFonts w:hint="eastAsia" w:ascii="宋体" w:hAnsi="宋体"/>
                <w:b/>
                <w:color w:val="000000"/>
                <w:szCs w:val="21"/>
              </w:rPr>
            </w:pPr>
          </w:p>
        </w:tc>
        <w:tc>
          <w:tcPr>
            <w:tcW w:w="5867" w:type="dxa"/>
          </w:tcPr>
          <w:p>
            <w:pPr>
              <w:pStyle w:val="8"/>
              <w:spacing w:before="78" w:beforeLines="25" w:after="78" w:afterLines="25"/>
              <w:ind w:firstLine="0" w:firstLineChars="0"/>
              <w:rPr>
                <w:rFonts w:hint="eastAsia" w:ascii="宋体" w:hAnsi="宋体"/>
                <w:bCs/>
                <w:szCs w:val="21"/>
              </w:rPr>
            </w:pPr>
            <w:r>
              <w:rPr>
                <w:rFonts w:hint="eastAsia" w:ascii="宋体" w:hAnsi="宋体"/>
                <w:szCs w:val="21"/>
                <w:lang w:val="en-US" w:eastAsia="zh-CN"/>
              </w:rPr>
              <w:t>8.7</w:t>
            </w:r>
            <w:r>
              <w:rPr>
                <w:rFonts w:hint="eastAsia" w:ascii="宋体" w:hAnsi="宋体"/>
                <w:szCs w:val="21"/>
              </w:rPr>
              <w:t>因乙方提供的产品受到侵权指控或者引发法律纠纷，影响甲方正常使用或者导致合同目的不能实现的，甲方有权要求乙方按合同总额10%支付违约金，并有权解除合同，要求乙方返还甲方已支付的合同款项。若因此造成甲方损失的，乙方应承担相应的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jc w:val="center"/>
              <w:rPr>
                <w:rFonts w:ascii="宋体" w:hAnsi="宋体"/>
                <w:b/>
                <w:szCs w:val="21"/>
              </w:rPr>
            </w:pPr>
          </w:p>
        </w:tc>
        <w:tc>
          <w:tcPr>
            <w:tcW w:w="1544" w:type="dxa"/>
            <w:vMerge w:val="continue"/>
            <w:vAlign w:val="center"/>
          </w:tcPr>
          <w:p>
            <w:pPr>
              <w:jc w:val="center"/>
              <w:rPr>
                <w:rFonts w:hint="eastAsia" w:ascii="宋体" w:hAnsi="宋体"/>
                <w:b/>
                <w:color w:val="000000"/>
                <w:szCs w:val="21"/>
              </w:rPr>
            </w:pPr>
          </w:p>
        </w:tc>
        <w:tc>
          <w:tcPr>
            <w:tcW w:w="5867" w:type="dxa"/>
          </w:tcPr>
          <w:p>
            <w:pPr>
              <w:pStyle w:val="8"/>
              <w:spacing w:before="78" w:beforeLines="25" w:after="78" w:afterLines="25"/>
              <w:ind w:firstLine="0" w:firstLineChars="0"/>
              <w:rPr>
                <w:rFonts w:hint="eastAsia" w:ascii="宋体" w:hAnsi="宋体"/>
                <w:bCs/>
                <w:szCs w:val="21"/>
              </w:rPr>
            </w:pPr>
            <w:r>
              <w:rPr>
                <w:rFonts w:hint="eastAsia" w:ascii="宋体" w:hAnsi="宋体"/>
                <w:szCs w:val="21"/>
                <w:lang w:val="en-US" w:eastAsia="zh-CN"/>
              </w:rPr>
              <w:t>8.8</w:t>
            </w:r>
            <w:r>
              <w:rPr>
                <w:rFonts w:hint="eastAsia" w:ascii="宋体" w:hAnsi="宋体"/>
                <w:szCs w:val="21"/>
              </w:rPr>
              <w:t>乙方违反合同约定，擅自将合同义务的全部或者部分转让给第三人，甲方有权要求乙方按合同总额10%支付违约金，并有权解除合同，要求乙方返还甲方已支付的合同款项。若因此造成甲方损失的，乙方应承担相应的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jc w:val="center"/>
              <w:rPr>
                <w:rFonts w:ascii="宋体" w:hAnsi="宋体"/>
                <w:b/>
                <w:szCs w:val="21"/>
              </w:rPr>
            </w:pPr>
          </w:p>
        </w:tc>
        <w:tc>
          <w:tcPr>
            <w:tcW w:w="1544" w:type="dxa"/>
            <w:vMerge w:val="continue"/>
            <w:vAlign w:val="center"/>
          </w:tcPr>
          <w:p>
            <w:pPr>
              <w:jc w:val="center"/>
              <w:rPr>
                <w:rFonts w:hint="eastAsia" w:ascii="宋体" w:hAnsi="宋体"/>
                <w:b/>
                <w:color w:val="000000"/>
                <w:szCs w:val="21"/>
              </w:rPr>
            </w:pPr>
          </w:p>
        </w:tc>
        <w:tc>
          <w:tcPr>
            <w:tcW w:w="5867" w:type="dxa"/>
          </w:tcPr>
          <w:p>
            <w:pPr>
              <w:pStyle w:val="8"/>
              <w:spacing w:before="78" w:beforeLines="25" w:after="78" w:afterLines="25"/>
              <w:ind w:firstLine="0" w:firstLineChars="0"/>
              <w:rPr>
                <w:rFonts w:hint="eastAsia" w:ascii="宋体" w:hAnsi="宋体"/>
                <w:bCs/>
                <w:szCs w:val="21"/>
              </w:rPr>
            </w:pPr>
            <w:r>
              <w:rPr>
                <w:rFonts w:hint="eastAsia" w:ascii="宋体" w:hAnsi="宋体"/>
                <w:szCs w:val="21"/>
                <w:lang w:val="en-US" w:eastAsia="zh-CN"/>
              </w:rPr>
              <w:t>8.9</w:t>
            </w:r>
            <w:r>
              <w:rPr>
                <w:rFonts w:hint="eastAsia" w:ascii="宋体" w:hAnsi="宋体"/>
                <w:szCs w:val="21"/>
              </w:rPr>
              <w:t>乙方违反本合同约定的保密义务，甲方有权要求乙方按合同总额10%支付违约金；造成不良影响或对甲方造成损失的，甲方有权要求乙方消除影响，承担赔偿责任，并有权解除合同。乙方与甲方另行签订本项目《保密协议》的，其中就违反保密义务的责任亦有约定的，视为本条的补充条款，两者可同时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jc w:val="center"/>
              <w:rPr>
                <w:rFonts w:ascii="宋体" w:hAnsi="宋体"/>
                <w:b/>
                <w:szCs w:val="21"/>
              </w:rPr>
            </w:pPr>
          </w:p>
        </w:tc>
        <w:tc>
          <w:tcPr>
            <w:tcW w:w="1544" w:type="dxa"/>
            <w:vMerge w:val="continue"/>
            <w:vAlign w:val="center"/>
          </w:tcPr>
          <w:p>
            <w:pPr>
              <w:jc w:val="center"/>
              <w:rPr>
                <w:rFonts w:hint="eastAsia" w:ascii="宋体" w:hAnsi="宋体"/>
                <w:b/>
                <w:color w:val="000000"/>
                <w:szCs w:val="21"/>
              </w:rPr>
            </w:pPr>
          </w:p>
        </w:tc>
        <w:tc>
          <w:tcPr>
            <w:tcW w:w="5867" w:type="dxa"/>
          </w:tcPr>
          <w:p>
            <w:pPr>
              <w:pStyle w:val="8"/>
              <w:spacing w:before="78" w:beforeLines="25" w:after="78" w:afterLines="25"/>
              <w:ind w:firstLine="0" w:firstLineChars="0"/>
              <w:rPr>
                <w:rFonts w:hint="eastAsia" w:ascii="宋体" w:hAnsi="宋体"/>
                <w:bCs/>
                <w:szCs w:val="21"/>
              </w:rPr>
            </w:pPr>
            <w:r>
              <w:rPr>
                <w:rFonts w:hint="eastAsia" w:ascii="宋体" w:hAnsi="宋体"/>
                <w:szCs w:val="21"/>
                <w:lang w:val="en-US" w:eastAsia="zh-CN"/>
              </w:rPr>
              <w:t>8.10</w:t>
            </w:r>
            <w:r>
              <w:rPr>
                <w:rFonts w:hint="eastAsia" w:ascii="宋体" w:hAnsi="宋体"/>
                <w:szCs w:val="21"/>
              </w:rPr>
              <w:t>合同任何一方明确表示或者以其行为表明不履行合同主要义务，或无正当理由擅自解除合同的，应当向另一方支付合同总额10%违约金。若因此造成另一方损失的，应承担相应的赔偿责任。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jc w:val="center"/>
              <w:rPr>
                <w:rFonts w:ascii="宋体" w:hAnsi="宋体"/>
                <w:b/>
                <w:szCs w:val="21"/>
              </w:rPr>
            </w:pPr>
          </w:p>
        </w:tc>
        <w:tc>
          <w:tcPr>
            <w:tcW w:w="1544" w:type="dxa"/>
            <w:vMerge w:val="continue"/>
            <w:vAlign w:val="center"/>
          </w:tcPr>
          <w:p>
            <w:pPr>
              <w:jc w:val="center"/>
              <w:rPr>
                <w:rFonts w:hint="eastAsia" w:ascii="宋体" w:hAnsi="宋体"/>
                <w:b/>
                <w:color w:val="000000"/>
                <w:szCs w:val="21"/>
              </w:rPr>
            </w:pPr>
          </w:p>
        </w:tc>
        <w:tc>
          <w:tcPr>
            <w:tcW w:w="5867" w:type="dxa"/>
          </w:tcPr>
          <w:p>
            <w:pPr>
              <w:pStyle w:val="8"/>
              <w:spacing w:before="78" w:beforeLines="25" w:after="78" w:afterLines="25"/>
              <w:ind w:firstLine="0" w:firstLineChars="0"/>
              <w:rPr>
                <w:rFonts w:hint="eastAsia" w:ascii="宋体" w:hAnsi="宋体"/>
                <w:bCs/>
                <w:szCs w:val="21"/>
              </w:rPr>
            </w:pPr>
            <w:r>
              <w:rPr>
                <w:rFonts w:hint="eastAsia" w:ascii="宋体" w:hAnsi="宋体"/>
                <w:szCs w:val="21"/>
                <w:lang w:val="en-US" w:eastAsia="zh-CN"/>
              </w:rPr>
              <w:t>8.11</w:t>
            </w:r>
            <w:r>
              <w:rPr>
                <w:rFonts w:hint="eastAsia" w:ascii="宋体" w:hAnsi="宋体"/>
                <w:szCs w:val="21"/>
              </w:rPr>
              <w:t>如果乙方破产导致合同无法履行的，甲方可以解除合同且不按照本合同支付乙方违约金以及给予乙方其他任何补偿和赔偿，但合同的解除不影响甲方任何要求乙方支付违约金、赔偿损失等的权利。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jc w:val="center"/>
              <w:rPr>
                <w:rFonts w:ascii="宋体" w:hAnsi="宋体"/>
                <w:b/>
                <w:szCs w:val="21"/>
              </w:rPr>
            </w:pPr>
          </w:p>
        </w:tc>
        <w:tc>
          <w:tcPr>
            <w:tcW w:w="1544" w:type="dxa"/>
            <w:vMerge w:val="continue"/>
            <w:vAlign w:val="center"/>
          </w:tcPr>
          <w:p>
            <w:pPr>
              <w:jc w:val="center"/>
              <w:rPr>
                <w:rFonts w:hint="eastAsia" w:ascii="宋体" w:hAnsi="宋体"/>
                <w:b/>
                <w:color w:val="000000"/>
                <w:szCs w:val="21"/>
              </w:rPr>
            </w:pPr>
          </w:p>
        </w:tc>
        <w:tc>
          <w:tcPr>
            <w:tcW w:w="5867" w:type="dxa"/>
          </w:tcPr>
          <w:p>
            <w:pPr>
              <w:pStyle w:val="8"/>
              <w:numPr>
                <w:ilvl w:val="0"/>
                <w:numId w:val="0"/>
              </w:numPr>
              <w:spacing w:before="78" w:beforeLines="25" w:after="78" w:afterLines="25"/>
              <w:rPr>
                <w:rFonts w:hint="eastAsia" w:ascii="宋体" w:hAnsi="宋体" w:cs="宋体"/>
                <w:bCs/>
                <w:color w:val="000000"/>
                <w:szCs w:val="21"/>
              </w:rPr>
            </w:pPr>
            <w:r>
              <w:rPr>
                <w:rFonts w:hint="eastAsia" w:ascii="宋体" w:hAnsi="宋体"/>
                <w:szCs w:val="21"/>
                <w:lang w:val="en-US" w:eastAsia="zh-CN"/>
              </w:rPr>
              <w:t>8.12</w:t>
            </w:r>
            <w:r>
              <w:rPr>
                <w:rFonts w:hint="eastAsia" w:ascii="宋体" w:hAnsi="宋体"/>
                <w:szCs w:val="21"/>
              </w:rPr>
              <w:t>本合同约定的违约金总额不超过合同总额的30%。乙方的赔偿范围还应包括甲方直接损失及间接损失、公证费、担保费、律师费、诉讼费、仲裁费、鉴定费等全部款项。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40" w:type="dxa"/>
            <w:vAlign w:val="center"/>
          </w:tcPr>
          <w:p>
            <w:pPr>
              <w:jc w:val="center"/>
              <w:rPr>
                <w:rFonts w:hint="eastAsia" w:ascii="宋体" w:hAnsi="宋体"/>
                <w:b/>
                <w:szCs w:val="21"/>
              </w:rPr>
            </w:pPr>
            <w:r>
              <w:rPr>
                <w:rFonts w:hint="eastAsia" w:ascii="宋体" w:hAnsi="宋体"/>
                <w:b/>
                <w:szCs w:val="21"/>
              </w:rPr>
              <w:t>9</w:t>
            </w:r>
          </w:p>
        </w:tc>
        <w:tc>
          <w:tcPr>
            <w:tcW w:w="1544" w:type="dxa"/>
            <w:vAlign w:val="center"/>
          </w:tcPr>
          <w:p>
            <w:pPr>
              <w:jc w:val="center"/>
              <w:rPr>
                <w:rFonts w:hint="eastAsia" w:ascii="宋体" w:hAnsi="宋体"/>
                <w:b/>
                <w:szCs w:val="21"/>
              </w:rPr>
            </w:pPr>
            <w:r>
              <w:rPr>
                <w:rFonts w:ascii="宋体" w:hAnsi="宋体"/>
                <w:b/>
                <w:color w:val="000000"/>
                <w:szCs w:val="21"/>
              </w:rPr>
              <w:t>其他</w:t>
            </w:r>
          </w:p>
        </w:tc>
        <w:tc>
          <w:tcPr>
            <w:tcW w:w="5867" w:type="dxa"/>
          </w:tcPr>
          <w:p>
            <w:pPr>
              <w:widowControl/>
              <w:jc w:val="left"/>
              <w:rPr>
                <w:rFonts w:hint="eastAsia" w:ascii="宋体" w:hAnsi="宋体" w:cs="宋体"/>
                <w:color w:val="000000"/>
                <w:szCs w:val="21"/>
              </w:rPr>
            </w:pPr>
            <w:r>
              <w:rPr>
                <w:rFonts w:hint="eastAsia" w:ascii="宋体" w:hAnsi="宋体" w:cs="宋体"/>
                <w:color w:val="000000"/>
                <w:szCs w:val="21"/>
              </w:rPr>
              <w:t>9.1投标供应商应按其投标文件中的承诺，进行其他售后服务工作。</w:t>
            </w:r>
          </w:p>
        </w:tc>
      </w:tr>
    </w:tbl>
    <w:p>
      <w:pPr>
        <w:pStyle w:val="6"/>
        <w:spacing w:before="120" w:beforeLines="50" w:after="120" w:afterLines="50"/>
        <w:rPr>
          <w:sz w:val="28"/>
          <w:szCs w:val="28"/>
        </w:rPr>
      </w:pPr>
      <w:r>
        <w:rPr>
          <w:rFonts w:hint="eastAsia"/>
          <w:sz w:val="28"/>
          <w:szCs w:val="28"/>
        </w:rPr>
        <w:t>六、其他重要条款</w:t>
      </w:r>
    </w:p>
    <w:p>
      <w:pPr>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2、投标人应充分了解项目的位置、情况、道路及任何其他足以影响投标报价的情况，任何因忽视或误解项目情况而导致的索赔或服务期限延长申请将不获批准。</w:t>
      </w:r>
    </w:p>
    <w:p>
      <w:pPr>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3、投标人不得期望通过索赔等方式获取补偿，否则，除可能遭到拒绝外，还可能将被作为不良行为记录在案，并可能影响其以后参加政府采购的项目投标。各投标人在投标报价时，应充分考虑投标报价的风险。</w:t>
      </w:r>
    </w:p>
    <w:p>
      <w:pPr>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鼓励采购人积极运用公共信用信息，明确对信用记录良好的供应商（特别是中小微企业）免收履约保证金，确需收取履约保证金的，列明通过保函等非现金方式收取。在采购合同中明确对上述企业加大首付款或预付款比例，具体由采购人根据项目实际情况确定。</w:t>
      </w:r>
    </w:p>
    <w:p>
      <w:pPr>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5、除采购合同继续履行将损害国家利益和社会公共利益外，双方当事人不得擅自变更、中止或者终止合同。</w:t>
      </w:r>
    </w:p>
    <w:p>
      <w:pPr>
        <w:pStyle w:val="2"/>
        <w:rPr>
          <w:rFonts w:ascii="宋体" w:hAnsi="宋体"/>
        </w:rPr>
      </w:pPr>
    </w:p>
    <w:p>
      <w:pPr>
        <w:widowControl/>
        <w:ind w:firstLine="420" w:firstLineChars="200"/>
        <w:jc w:val="left"/>
        <w:rPr>
          <w:rFonts w:ascii="宋体" w:hAnsi="宋体"/>
          <w:b/>
          <w:bCs/>
          <w:sz w:val="24"/>
          <w:szCs w:val="20"/>
        </w:rPr>
      </w:pPr>
      <w:r>
        <w:br w:type="page"/>
      </w:r>
    </w:p>
    <w:p>
      <w:pPr>
        <w:pStyle w:val="6"/>
        <w:rPr>
          <w:rFonts w:hint="eastAsia" w:eastAsia="宋体"/>
          <w:b/>
          <w:bCs/>
          <w:sz w:val="28"/>
          <w:szCs w:val="28"/>
          <w:lang w:eastAsia="zh-CN"/>
        </w:rPr>
      </w:pPr>
      <w:r>
        <w:rPr>
          <w:rFonts w:hint="eastAsia"/>
          <w:b/>
          <w:bCs/>
          <w:sz w:val="28"/>
          <w:szCs w:val="28"/>
        </w:rPr>
        <w:t xml:space="preserve">第四章 </w:t>
      </w:r>
      <w:r>
        <w:rPr>
          <w:rFonts w:hint="eastAsia"/>
          <w:b/>
          <w:bCs/>
          <w:sz w:val="28"/>
          <w:szCs w:val="28"/>
          <w:lang w:eastAsia="zh-CN"/>
        </w:rPr>
        <w:t>投标文件组成要求及格式</w:t>
      </w:r>
    </w:p>
    <w:p>
      <w:pPr>
        <w:rPr>
          <w:rStyle w:val="64"/>
          <w:sz w:val="24"/>
        </w:rPr>
      </w:pPr>
      <w:r>
        <w:rPr>
          <w:rStyle w:val="64"/>
          <w:rFonts w:hint="eastAsia"/>
          <w:sz w:val="24"/>
        </w:rPr>
        <w:t>特别提醒：</w:t>
      </w:r>
    </w:p>
    <w:p>
      <w:pPr>
        <w:tabs>
          <w:tab w:val="left" w:pos="1470"/>
        </w:tabs>
        <w:snapToGrid w:val="0"/>
        <w:spacing w:line="320" w:lineRule="atLeast"/>
        <w:ind w:firstLine="482" w:firstLineChars="200"/>
        <w:rPr>
          <w:rFonts w:ascii="宋体" w:hAnsi="宋体" w:cs="宋体"/>
          <w:b/>
          <w:color w:val="FF0000"/>
          <w:sz w:val="24"/>
        </w:rPr>
      </w:pPr>
      <w:r>
        <w:rPr>
          <w:rFonts w:hint="eastAsia" w:ascii="宋体" w:hAnsi="宋体" w:cs="宋体"/>
          <w:b/>
          <w:color w:val="FF0000"/>
          <w:sz w:val="24"/>
        </w:rPr>
        <w:t>1、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tabs>
          <w:tab w:val="left" w:pos="1470"/>
        </w:tabs>
        <w:snapToGrid w:val="0"/>
        <w:spacing w:line="320" w:lineRule="atLeast"/>
        <w:ind w:firstLine="482" w:firstLineChars="200"/>
        <w:rPr>
          <w:rFonts w:ascii="宋体" w:hAnsi="宋体" w:cs="宋体"/>
          <w:b/>
          <w:color w:val="FF0000"/>
          <w:sz w:val="24"/>
        </w:rPr>
      </w:pPr>
      <w:r>
        <w:rPr>
          <w:rFonts w:hint="eastAsia" w:ascii="宋体" w:hAnsi="宋体" w:cs="宋体"/>
          <w:b/>
          <w:color w:val="FF0000"/>
          <w:sz w:val="24"/>
        </w:rPr>
        <w:t>2、投标文件正文（信息公开部分）必须编制于“正文（公开部分）”部分，投标文件附件（非信息公开部分）必须编制于“附件（不公开部分）”部分。</w:t>
      </w:r>
    </w:p>
    <w:p>
      <w:pPr>
        <w:tabs>
          <w:tab w:val="left" w:pos="1470"/>
        </w:tabs>
        <w:snapToGrid w:val="0"/>
        <w:spacing w:line="320" w:lineRule="atLeast"/>
        <w:ind w:firstLine="482" w:firstLineChars="200"/>
        <w:rPr>
          <w:rFonts w:hint="eastAsia" w:ascii="宋体" w:hAnsi="宋体" w:cs="宋体"/>
          <w:b/>
          <w:color w:val="FF0000"/>
          <w:sz w:val="24"/>
        </w:rPr>
      </w:pPr>
      <w:r>
        <w:rPr>
          <w:rFonts w:hint="eastAsia" w:ascii="宋体" w:hAnsi="宋体" w:cs="宋体"/>
          <w:b/>
          <w:color w:val="FF0000"/>
          <w:sz w:val="24"/>
        </w:rPr>
        <w:t>3、政府集中采购机构公布投标文件正文（信息公开部分）时，如投标人误将涉及个人隐私的信息放入投标文件正文，相关后果由投标人自负；如投标人将必须放于投标文件正文（信息公开部分）的内容放入投标文件附件（非信息公开部分），将作投标无效处理。</w:t>
      </w:r>
    </w:p>
    <w:p>
      <w:pPr>
        <w:widowControl/>
        <w:jc w:val="left"/>
        <w:rPr>
          <w:rFonts w:ascii="宋体" w:hAnsi="宋体"/>
          <w:sz w:val="24"/>
        </w:rPr>
      </w:pPr>
    </w:p>
    <w:p>
      <w:pPr>
        <w:rPr>
          <w:rFonts w:ascii="宋体" w:hAnsi="宋体"/>
          <w:b/>
          <w:bCs/>
          <w:sz w:val="24"/>
        </w:rPr>
      </w:pPr>
      <w:r>
        <w:rPr>
          <w:rFonts w:hint="eastAsia" w:ascii="宋体" w:hAnsi="宋体"/>
          <w:b/>
          <w:bCs/>
          <w:sz w:val="24"/>
        </w:rPr>
        <w:t>投标文件组成：</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0"/>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szCs w:val="21"/>
        </w:rPr>
      </w:pPr>
      <w:r>
        <w:rPr>
          <w:rFonts w:hint="eastAsia"/>
          <w:szCs w:val="21"/>
        </w:rPr>
        <w:t>（1）</w:t>
      </w:r>
      <w:bookmarkStart w:id="38" w:name="_Hlk72070784"/>
      <w:r>
        <w:rPr>
          <w:rFonts w:hint="eastAsia"/>
          <w:szCs w:val="21"/>
        </w:rPr>
        <w:t>投标函</w:t>
      </w:r>
      <w:bookmarkEnd w:id="38"/>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eastAsia="宋体"/>
          <w:szCs w:val="21"/>
          <w:lang w:eastAsia="zh-CN"/>
        </w:rPr>
      </w:pPr>
      <w:r>
        <w:rPr>
          <w:rFonts w:hint="eastAsia"/>
          <w:szCs w:val="21"/>
        </w:rPr>
        <w:t>（2）</w:t>
      </w:r>
      <w:r>
        <w:rPr>
          <w:rFonts w:hint="eastAsia"/>
          <w:szCs w:val="21"/>
          <w:lang w:eastAsia="zh-CN"/>
        </w:rPr>
        <w:t>采购投标及履约承诺函</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szCs w:val="21"/>
        </w:rPr>
      </w:pPr>
      <w:r>
        <w:rPr>
          <w:rFonts w:hint="eastAsia"/>
          <w:szCs w:val="21"/>
        </w:rPr>
        <w:t>（</w:t>
      </w:r>
      <w:r>
        <w:rPr>
          <w:szCs w:val="21"/>
        </w:rPr>
        <w:t>3</w:t>
      </w:r>
      <w:r>
        <w:rPr>
          <w:rFonts w:hint="eastAsia"/>
          <w:szCs w:val="21"/>
        </w:rPr>
        <w:t>）投标人情况及资格证明文件</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szCs w:val="21"/>
        </w:rPr>
      </w:pPr>
      <w:bookmarkStart w:id="39" w:name="_Hlk72257201"/>
      <w:r>
        <w:rPr>
          <w:rFonts w:hint="eastAsia"/>
          <w:szCs w:val="21"/>
        </w:rPr>
        <w:t>（</w:t>
      </w:r>
      <w:r>
        <w:rPr>
          <w:szCs w:val="21"/>
        </w:rPr>
        <w:t>4</w:t>
      </w:r>
      <w:r>
        <w:rPr>
          <w:rFonts w:hint="eastAsia"/>
          <w:szCs w:val="21"/>
        </w:rPr>
        <w:t>）项目详细报价</w:t>
      </w:r>
    </w:p>
    <w:p>
      <w:pPr>
        <w:ind w:left="0" w:leftChars="0" w:firstLine="420" w:firstLineChars="200"/>
        <w:rPr>
          <w:rFonts w:hint="eastAsia" w:eastAsia="宋体"/>
          <w:szCs w:val="21"/>
          <w:lang w:eastAsia="zh-CN"/>
        </w:rPr>
      </w:pPr>
      <w:r>
        <w:rPr>
          <w:rFonts w:hint="eastAsia"/>
          <w:szCs w:val="21"/>
        </w:rPr>
        <w:t>（5）投标人近三年同类业绩</w:t>
      </w:r>
      <w:r>
        <w:rPr>
          <w:rFonts w:hint="eastAsia" w:eastAsia="宋体"/>
          <w:szCs w:val="21"/>
          <w:lang w:eastAsia="zh-CN"/>
        </w:rPr>
        <w:t>（格式自定）</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szCs w:val="21"/>
        </w:rPr>
      </w:pPr>
    </w:p>
    <w:bookmarkEnd w:id="39"/>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0"/>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szCs w:val="21"/>
        </w:rPr>
      </w:pPr>
      <w:r>
        <w:rPr>
          <w:rFonts w:hint="eastAsia"/>
          <w:szCs w:val="21"/>
        </w:rPr>
        <w:t>（1）供应商基本情况表</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szCs w:val="21"/>
        </w:rPr>
      </w:pPr>
      <w:r>
        <w:rPr>
          <w:rFonts w:hint="eastAsia"/>
          <w:szCs w:val="21"/>
          <w:lang w:eastAsia="zh-CN"/>
        </w:rPr>
        <w:t>（</w:t>
      </w:r>
      <w:r>
        <w:rPr>
          <w:rFonts w:hint="eastAsia"/>
          <w:szCs w:val="21"/>
          <w:lang w:val="en-US" w:eastAsia="zh-CN"/>
        </w:rPr>
        <w:t>2</w:t>
      </w:r>
      <w:r>
        <w:rPr>
          <w:rFonts w:hint="eastAsia"/>
          <w:szCs w:val="21"/>
          <w:lang w:eastAsia="zh-CN"/>
        </w:rPr>
        <w:t>）</w:t>
      </w:r>
      <w:r>
        <w:rPr>
          <w:rFonts w:hint="eastAsia"/>
          <w:szCs w:val="21"/>
        </w:rPr>
        <w:t>法定代表人（负责人）证明书</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szCs w:val="21"/>
        </w:rPr>
      </w:pPr>
      <w:r>
        <w:rPr>
          <w:rFonts w:hint="eastAsia"/>
          <w:szCs w:val="21"/>
        </w:rPr>
        <w:t>（</w:t>
      </w:r>
      <w:r>
        <w:rPr>
          <w:rFonts w:hint="eastAsia"/>
          <w:szCs w:val="21"/>
          <w:lang w:val="en-US" w:eastAsia="zh-CN"/>
        </w:rPr>
        <w:t>3</w:t>
      </w:r>
      <w:r>
        <w:rPr>
          <w:rFonts w:hint="eastAsia"/>
          <w:szCs w:val="21"/>
        </w:rPr>
        <w:t>）投标文件签署授权委托书</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cs="Times New Roman"/>
          <w:szCs w:val="21"/>
          <w:lang w:val="en-US" w:eastAsia="zh-CN"/>
        </w:rPr>
        <w:t>4</w:t>
      </w:r>
      <w:r>
        <w:rPr>
          <w:rFonts w:hint="eastAsia" w:ascii="Times New Roman" w:hAnsi="Times New Roman" w:eastAsia="宋体" w:cs="Times New Roman"/>
          <w:szCs w:val="21"/>
        </w:rPr>
        <w:t>）实质性条款响应情况表</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cs="Times New Roman"/>
          <w:szCs w:val="21"/>
          <w:lang w:val="en-US" w:eastAsia="zh-CN"/>
        </w:rPr>
        <w:t>5</w:t>
      </w:r>
      <w:r>
        <w:rPr>
          <w:rFonts w:hint="eastAsia" w:ascii="Times New Roman" w:hAnsi="Times New Roman" w:eastAsia="宋体" w:cs="Times New Roman"/>
          <w:szCs w:val="21"/>
        </w:rPr>
        <w:t>）技术要求偏离表</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cs="Times New Roman"/>
          <w:szCs w:val="21"/>
          <w:lang w:val="en-US" w:eastAsia="zh-CN"/>
        </w:rPr>
        <w:t>6</w:t>
      </w:r>
      <w:r>
        <w:rPr>
          <w:rFonts w:hint="eastAsia" w:ascii="Times New Roman" w:hAnsi="Times New Roman" w:eastAsia="宋体" w:cs="Times New Roman"/>
          <w:szCs w:val="21"/>
        </w:rPr>
        <w:t>）商务要求偏离表</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cs="Times New Roman"/>
          <w:szCs w:val="21"/>
          <w:lang w:val="en-US" w:eastAsia="zh-CN"/>
        </w:rPr>
        <w:t>7</w:t>
      </w:r>
      <w:r>
        <w:rPr>
          <w:rFonts w:hint="eastAsia" w:ascii="Times New Roman" w:hAnsi="Times New Roman" w:eastAsia="宋体" w:cs="Times New Roman"/>
          <w:szCs w:val="21"/>
        </w:rPr>
        <w:t>）</w:t>
      </w:r>
      <w:r>
        <w:rPr>
          <w:rFonts w:hint="eastAsia" w:asciiTheme="minorEastAsia" w:hAnsiTheme="minorEastAsia" w:eastAsiaTheme="minorEastAsia" w:cstheme="minorEastAsia"/>
          <w:color w:val="auto"/>
          <w:sz w:val="21"/>
          <w:szCs w:val="21"/>
          <w:highlight w:val="none"/>
        </w:rPr>
        <w:t>实施团队人员情况</w:t>
      </w:r>
      <w:r>
        <w:rPr>
          <w:rFonts w:hint="eastAsia" w:ascii="Times New Roman" w:hAnsi="Times New Roman" w:eastAsia="宋体" w:cs="Times New Roman"/>
          <w:szCs w:val="21"/>
        </w:rPr>
        <w:t>（格式自定）</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cs="Times New Roman"/>
          <w:szCs w:val="21"/>
          <w:lang w:val="en-US" w:eastAsia="zh-CN"/>
        </w:rPr>
        <w:t>8</w:t>
      </w:r>
      <w:r>
        <w:rPr>
          <w:rFonts w:hint="eastAsia" w:ascii="Times New Roman" w:hAnsi="Times New Roman" w:eastAsia="宋体" w:cs="Times New Roman"/>
          <w:szCs w:val="21"/>
        </w:rPr>
        <w:t>）投标人认为需要加以说明的其他内容（格式自定）</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Times New Roman" w:hAnsi="Times New Roman" w:eastAsia="宋体" w:cs="Times New Roman"/>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1.本项目为网上电子投标项目，投标文件不需法人或授权委托人另行签字，无需加盖单位公章，招标文件专用条款另有规定的除外。</w:t>
      </w:r>
    </w:p>
    <w:p>
      <w:pPr>
        <w:ind w:firstLine="426" w:firstLineChars="202"/>
        <w:rPr>
          <w:rFonts w:ascii="宋体" w:hAnsi="宋体"/>
          <w:b/>
          <w:szCs w:val="21"/>
        </w:rPr>
      </w:pPr>
      <w:r>
        <w:rPr>
          <w:rFonts w:hint="eastAsia" w:ascii="宋体" w:hAnsi="宋体"/>
          <w:b/>
          <w:szCs w:val="21"/>
        </w:rPr>
        <w:t>2.关于填写“开标一览表”的说明：“开标一览表”中除“投标报价”外，其他信息不作评审依据。</w:t>
      </w:r>
    </w:p>
    <w:p>
      <w:pPr>
        <w:jc w:val="left"/>
        <w:rPr>
          <w:rFonts w:ascii="宋体" w:hAnsi="宋体"/>
          <w:b/>
          <w:color w:val="FF0000"/>
          <w:sz w:val="36"/>
          <w:szCs w:val="36"/>
        </w:rPr>
      </w:pPr>
      <w:r>
        <w:rPr>
          <w:rFonts w:hint="eastAsia" w:ascii="宋体" w:hAnsi="宋体"/>
          <w:b/>
          <w:color w:val="FF0000"/>
          <w:sz w:val="36"/>
          <w:szCs w:val="36"/>
        </w:rPr>
        <w:br w:type="page"/>
      </w: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kern w:val="0"/>
          <w:sz w:val="24"/>
        </w:rPr>
      </w:pPr>
      <w:r>
        <w:rPr>
          <w:rFonts w:hint="eastAsia" w:ascii="黑体" w:eastAsia="黑体"/>
          <w:b w:val="0"/>
          <w:kern w:val="0"/>
          <w:sz w:val="24"/>
        </w:rPr>
        <w:t>一、投标函</w:t>
      </w:r>
    </w:p>
    <w:p>
      <w:pPr>
        <w:spacing w:line="360" w:lineRule="auto"/>
        <w:rPr>
          <w:rFonts w:ascii="宋体" w:hAnsi="宋体"/>
          <w:color w:val="000000" w:themeColor="text1"/>
          <w:szCs w:val="21"/>
          <w14:textFill>
            <w14:solidFill>
              <w14:schemeClr w14:val="tx1"/>
            </w14:solidFill>
          </w14:textFill>
        </w:rPr>
      </w:pPr>
      <w:r>
        <w:rPr>
          <w:rFonts w:hint="eastAsia" w:ascii="宋体" w:hAnsi="宋体"/>
          <w:szCs w:val="21"/>
        </w:rPr>
        <w:t>致：</w:t>
      </w:r>
      <w:r>
        <w:rPr>
          <w:rFonts w:hint="eastAsia" w:ascii="宋体" w:hAnsi="宋体"/>
          <w:szCs w:val="21"/>
          <w:u w:val="single"/>
        </w:rPr>
        <w:t xml:space="preserve"> </w:t>
      </w:r>
      <w:r>
        <w:rPr>
          <w:rFonts w:hint="eastAsia" w:ascii="宋体" w:hAnsi="宋体"/>
          <w:color w:val="000000" w:themeColor="text1"/>
          <w:szCs w:val="21"/>
          <w:u w:val="single"/>
          <w14:textFill>
            <w14:solidFill>
              <w14:schemeClr w14:val="tx1"/>
            </w14:solidFill>
          </w14:textFill>
        </w:rPr>
        <w:t xml:space="preserve"> 深圳公共资源交易中心  </w:t>
      </w:r>
    </w:p>
    <w:p>
      <w:pPr>
        <w:ind w:firstLine="420" w:firstLineChars="200"/>
        <w:rPr>
          <w:rFonts w:ascii="宋体" w:hAnsi="宋体"/>
          <w:szCs w:val="21"/>
        </w:rPr>
      </w:pPr>
      <w:bookmarkStart w:id="40" w:name="_Hlk73818812"/>
      <w:r>
        <w:rPr>
          <w:rFonts w:hint="eastAsia"/>
          <w:szCs w:val="21"/>
        </w:rPr>
        <w:t>1、根据已收到贵单位的项目编号为</w:t>
      </w:r>
      <w:r>
        <w:rPr>
          <w:szCs w:val="21"/>
          <w:u w:val="single"/>
        </w:rPr>
        <w:t xml:space="preserve">   </w:t>
      </w:r>
      <w:r>
        <w:rPr>
          <w:rFonts w:hint="eastAsia"/>
          <w:szCs w:val="21"/>
          <w:u w:val="single"/>
        </w:rPr>
        <w:t xml:space="preserve">     </w:t>
      </w:r>
      <w:r>
        <w:rPr>
          <w:rFonts w:hint="eastAsia"/>
          <w:szCs w:val="21"/>
        </w:rPr>
        <w:t>的</w:t>
      </w:r>
      <w:r>
        <w:rPr>
          <w:rFonts w:hint="eastAsia"/>
          <w:szCs w:val="21"/>
          <w:u w:val="single"/>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41" w:name="_Hlk72263588"/>
      <w:r>
        <w:rPr>
          <w:rFonts w:hint="eastAsia"/>
          <w:szCs w:val="21"/>
        </w:rPr>
        <w:t>愿意按照招标文件要求承包上述项目并修补其任何缺陷。</w:t>
      </w:r>
      <w:bookmarkEnd w:id="41"/>
    </w:p>
    <w:p>
      <w:pPr>
        <w:ind w:firstLine="420" w:firstLineChars="200"/>
        <w:rPr>
          <w:rFonts w:ascii="宋体" w:hAnsi="宋体"/>
          <w:szCs w:val="21"/>
        </w:rPr>
      </w:pPr>
      <w:r>
        <w:rPr>
          <w:rFonts w:ascii="宋体" w:hAnsi="宋体"/>
          <w:szCs w:val="21"/>
        </w:rPr>
        <w:t>2</w:t>
      </w:r>
      <w:r>
        <w:rPr>
          <w:rFonts w:hint="eastAsia" w:ascii="宋体" w:hAnsi="宋体"/>
          <w:szCs w:val="21"/>
        </w:rPr>
        <w:t>、投标价格见</w:t>
      </w:r>
      <w:r>
        <w:rPr>
          <w:rFonts w:hint="eastAsia"/>
          <w:szCs w:val="21"/>
        </w:rPr>
        <w:t>投标书编制软件中《开标一览表》中填写的投标报价。</w:t>
      </w:r>
    </w:p>
    <w:p>
      <w:pPr>
        <w:ind w:firstLine="420" w:firstLineChars="200"/>
        <w:rPr>
          <w:rFonts w:ascii="宋体" w:hAnsi="宋体"/>
          <w:szCs w:val="21"/>
        </w:rPr>
      </w:pPr>
      <w:r>
        <w:rPr>
          <w:rFonts w:hint="eastAsia" w:ascii="宋体" w:hAnsi="宋体"/>
          <w:szCs w:val="21"/>
        </w:rPr>
        <w:t>3、如果我单位中标，我单位将按照招标文件的要求提交履约担保。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525" w:leftChars="200" w:hanging="105" w:hangingChars="50"/>
        <w:rPr>
          <w:rFonts w:ascii="宋体" w:hAnsi="宋体"/>
          <w:szCs w:val="21"/>
        </w:rPr>
      </w:pPr>
      <w:r>
        <w:rPr>
          <w:rFonts w:hint="eastAsia" w:ascii="宋体" w:hAnsi="宋体"/>
          <w:szCs w:val="21"/>
        </w:rPr>
        <w:t>6、我单位理解贵单位将不受必须接受所收到的最低报价或其它任何投标文件的约束。</w:t>
      </w:r>
      <w:bookmarkEnd w:id="40"/>
    </w:p>
    <w:p>
      <w:pPr>
        <w:ind w:firstLine="420" w:firstLineChars="200"/>
        <w:rPr>
          <w:rFonts w:ascii="宋体" w:hAnsi="宋体"/>
          <w:szCs w:val="21"/>
        </w:rPr>
      </w:pPr>
      <w:r>
        <w:rPr>
          <w:rFonts w:hint="eastAsia" w:ascii="宋体" w:hAnsi="宋体"/>
          <w:szCs w:val="21"/>
        </w:rPr>
        <w:t>7、如我单位按项目要求提供样品，且未在规定时间内取回样品的，视同放弃取回，同意深圳公共资源交易中心对样品进行清理。</w:t>
      </w:r>
    </w:p>
    <w:p>
      <w:pPr>
        <w:ind w:left="540" w:leftChars="257"/>
        <w:rPr>
          <w:szCs w:val="21"/>
          <w:u w:val="single"/>
        </w:rPr>
      </w:pPr>
      <w:r>
        <w:rPr>
          <w:rFonts w:hint="eastAsia"/>
          <w:szCs w:val="21"/>
        </w:rPr>
        <w:t>投标人：</w:t>
      </w:r>
      <w:r>
        <w:rPr>
          <w:rFonts w:hint="eastAsia"/>
          <w:szCs w:val="21"/>
          <w:u w:val="single"/>
        </w:rPr>
        <w:t xml:space="preserve">                   </w:t>
      </w:r>
      <w:r>
        <w:rPr>
          <w:rFonts w:hint="eastAsia"/>
          <w:szCs w:val="21"/>
        </w:rPr>
        <w:t xml:space="preserve">    单位地址：</w:t>
      </w:r>
      <w:r>
        <w:rPr>
          <w:rFonts w:hint="eastAsia"/>
          <w:szCs w:val="21"/>
          <w:u w:val="single"/>
        </w:rPr>
        <w:t xml:space="preserve">               </w:t>
      </w:r>
    </w:p>
    <w:p>
      <w:pPr>
        <w:ind w:left="540" w:leftChars="257"/>
        <w:rPr>
          <w:szCs w:val="21"/>
          <w:u w:val="single"/>
        </w:rPr>
      </w:pPr>
      <w:r>
        <w:rPr>
          <w:rFonts w:hint="eastAsia"/>
          <w:szCs w:val="21"/>
        </w:rPr>
        <w:t>法定代表人（负责人）或其委托代理人：</w:t>
      </w:r>
      <w:r>
        <w:rPr>
          <w:rFonts w:hint="eastAsia"/>
          <w:szCs w:val="21"/>
          <w:u w:val="single"/>
        </w:rPr>
        <w:t xml:space="preserve">                   </w:t>
      </w:r>
    </w:p>
    <w:p>
      <w:pPr>
        <w:ind w:left="540" w:leftChars="257"/>
        <w:rPr>
          <w:szCs w:val="21"/>
          <w:u w:val="single"/>
        </w:rPr>
      </w:pPr>
      <w:r>
        <w:rPr>
          <w:rFonts w:hint="eastAsia"/>
          <w:szCs w:val="21"/>
        </w:rPr>
        <w:t>邮政编码：</w:t>
      </w:r>
      <w:r>
        <w:rPr>
          <w:rFonts w:hint="eastAsia"/>
          <w:szCs w:val="21"/>
          <w:u w:val="single"/>
        </w:rPr>
        <w:t xml:space="preserve">          </w:t>
      </w:r>
      <w:r>
        <w:rPr>
          <w:rFonts w:hint="eastAsia"/>
          <w:szCs w:val="21"/>
        </w:rPr>
        <w:t xml:space="preserve">  电话：</w:t>
      </w:r>
      <w:r>
        <w:rPr>
          <w:rFonts w:hint="eastAsia"/>
          <w:szCs w:val="21"/>
          <w:u w:val="single"/>
        </w:rPr>
        <w:t xml:space="preserve">          </w:t>
      </w:r>
      <w:r>
        <w:rPr>
          <w:rFonts w:hint="eastAsia"/>
          <w:szCs w:val="21"/>
        </w:rPr>
        <w:t xml:space="preserve">  邮箱：</w:t>
      </w:r>
      <w:r>
        <w:rPr>
          <w:rFonts w:hint="eastAsia"/>
          <w:szCs w:val="21"/>
          <w:u w:val="single"/>
        </w:rPr>
        <w:t xml:space="preserve">            </w:t>
      </w:r>
    </w:p>
    <w:p>
      <w:pPr>
        <w:ind w:left="540" w:leftChars="257"/>
        <w:rPr>
          <w:szCs w:val="21"/>
        </w:rPr>
      </w:pPr>
      <w:r>
        <w:rPr>
          <w:rFonts w:hint="eastAsia"/>
          <w:szCs w:val="21"/>
        </w:rPr>
        <w:t>开户银行名称：</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ab/>
      </w:r>
      <w:r>
        <w:rPr>
          <w:rFonts w:hint="eastAsia"/>
          <w:szCs w:val="21"/>
        </w:rPr>
        <w:t>开户银行账号：</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pPr>
        <w:ind w:left="540" w:leftChars="257"/>
        <w:rPr>
          <w:szCs w:val="21"/>
        </w:rPr>
      </w:pPr>
      <w:r>
        <w:rPr>
          <w:rFonts w:hint="eastAsia"/>
          <w:szCs w:val="21"/>
        </w:rPr>
        <w:t>开户银行地址：</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ab/>
      </w:r>
      <w:r>
        <w:rPr>
          <w:rFonts w:hint="eastAsia"/>
          <w:szCs w:val="21"/>
        </w:rPr>
        <w:t>开户银行电话：</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pPr>
        <w:ind w:firstLine="539" w:firstLineChars="257"/>
        <w:rPr>
          <w:sz w:val="24"/>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r>
        <w:rPr>
          <w:rFonts w:hint="eastAsia"/>
          <w:sz w:val="24"/>
        </w:rPr>
        <w:t xml:space="preserve">                                </w:t>
      </w:r>
    </w:p>
    <w:p>
      <w:pPr>
        <w:rPr>
          <w:rFonts w:ascii="黑体" w:hAnsi="宋体" w:eastAsia="黑体"/>
        </w:rPr>
      </w:pPr>
    </w:p>
    <w:p>
      <w:pPr>
        <w:rPr>
          <w:rFonts w:ascii="黑体" w:hAnsi="宋体" w:eastAsia="黑体"/>
        </w:rPr>
      </w:pPr>
    </w:p>
    <w:p>
      <w:pPr>
        <w:pStyle w:val="4"/>
        <w:jc w:val="center"/>
        <w:rPr>
          <w:rFonts w:ascii="黑体" w:eastAsia="黑体"/>
          <w:b w:val="0"/>
          <w:kern w:val="0"/>
          <w:sz w:val="24"/>
        </w:rPr>
      </w:pPr>
      <w:r>
        <w:rPr>
          <w:rFonts w:hint="eastAsia" w:ascii="黑体" w:eastAsia="黑体"/>
          <w:b w:val="0"/>
          <w:kern w:val="0"/>
          <w:sz w:val="24"/>
        </w:rPr>
        <w:t>二、采购投标及履约承诺函</w:t>
      </w:r>
    </w:p>
    <w:p>
      <w:pPr>
        <w:rPr>
          <w:rFonts w:ascii="宋体" w:hAnsi="宋体"/>
          <w:sz w:val="24"/>
        </w:rPr>
      </w:pP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致：</w:t>
      </w:r>
      <w:r>
        <w:rPr>
          <w:rFonts w:hint="eastAsia" w:ascii="宋体" w:hAnsi="宋体"/>
          <w:color w:val="000000" w:themeColor="text1"/>
          <w:szCs w:val="21"/>
          <w:u w:val="single"/>
          <w14:textFill>
            <w14:solidFill>
              <w14:schemeClr w14:val="tx1"/>
            </w14:solidFill>
          </w14:textFill>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ascii="宋体" w:hAnsi="宋体"/>
          <w:szCs w:val="21"/>
        </w:rPr>
      </w:pPr>
      <w:r>
        <w:rPr>
          <w:rFonts w:hint="eastAsia" w:ascii="宋体" w:hAnsi="宋体"/>
          <w:szCs w:val="21"/>
        </w:rPr>
        <w:t>1.我单位参与本项目</w:t>
      </w:r>
      <w:r>
        <w:rPr>
          <w:rFonts w:hint="eastAsia" w:ascii="宋体" w:hAnsi="宋体"/>
        </w:rPr>
        <w:t>所投标（响应）的货物、工程或服务，不存在侵犯知识产权的情况。</w:t>
      </w:r>
    </w:p>
    <w:p>
      <w:pPr>
        <w:ind w:firstLine="420" w:firstLineChars="200"/>
        <w:rPr>
          <w:rFonts w:ascii="宋体" w:hAnsi="宋体"/>
          <w:szCs w:val="21"/>
          <w:highlight w:val="yellow"/>
        </w:rPr>
      </w:pPr>
      <w:r>
        <w:rPr>
          <w:rFonts w:hint="eastAsia" w:ascii="宋体" w:hAnsi="宋体"/>
          <w:szCs w:val="21"/>
        </w:rPr>
        <w:t>2.我单位参与本项目</w:t>
      </w:r>
      <w:r>
        <w:rPr>
          <w:rFonts w:hint="eastAsia"/>
        </w:rPr>
        <w:t>采购活动时不存在被有关部门禁止参与政府采购活动且在有效期内的情况。</w:t>
      </w:r>
      <w:r>
        <w:rPr>
          <w:rFonts w:hint="eastAsia"/>
          <w:highlight w:val="yellow"/>
        </w:rPr>
        <w:t>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3.我单位具备《中华人民共和国政府采购法》第二十二条第一款的条件。</w:t>
      </w:r>
    </w:p>
    <w:p>
      <w:pPr>
        <w:ind w:firstLine="420" w:firstLineChars="200"/>
        <w:rPr>
          <w:rFonts w:hint="eastAsia"/>
          <w:lang w:eastAsia="zh-CN"/>
        </w:rPr>
      </w:pPr>
      <w:r>
        <w:rPr>
          <w:rFonts w:hint="eastAsia" w:ascii="宋体" w:hAnsi="宋体"/>
          <w:szCs w:val="21"/>
        </w:rPr>
        <w:t>4.我单位</w:t>
      </w:r>
      <w:r>
        <w:rPr>
          <w:rFonts w:hint="eastAsia"/>
        </w:rPr>
        <w:t>未被列入失信被执行人、重大税收违法案件当事人名单、政府采购严重违法失信行为记录名单</w:t>
      </w:r>
      <w:r>
        <w:rPr>
          <w:rFonts w:hint="eastAsia"/>
          <w:lang w:eastAsia="zh-CN"/>
        </w:rPr>
        <w:t>。</w:t>
      </w:r>
    </w:p>
    <w:p>
      <w:pPr>
        <w:ind w:firstLine="420" w:firstLineChars="200"/>
        <w:rPr>
          <w:rFonts w:hint="eastAsia"/>
          <w:lang w:eastAsia="zh-CN"/>
        </w:rPr>
      </w:pPr>
      <w:r>
        <w:rPr>
          <w:rFonts w:hint="eastAsia" w:ascii="Times New Roman" w:eastAsia="宋体"/>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w:t>
      </w:r>
      <w:r>
        <w:rPr>
          <w:rFonts w:hint="eastAsia" w:ascii="宋体" w:hAnsi="宋体"/>
          <w:szCs w:val="21"/>
          <w:lang w:eastAsia="zh-CN"/>
        </w:rPr>
        <w:t>采购</w:t>
      </w:r>
      <w:r>
        <w:rPr>
          <w:rFonts w:hint="eastAsia" w:ascii="宋体" w:hAnsi="宋体"/>
          <w:szCs w:val="21"/>
        </w:rPr>
        <w:t>主管部门给予一定年限内禁止参与政府采购活动或其他处罚。</w:t>
      </w:r>
    </w:p>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ascii="宋体" w:hAnsi="宋体" w:cs="宋体"/>
          <w:b/>
          <w:kern w:val="0"/>
          <w:szCs w:val="21"/>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eastAsia="宋体"/>
          <w:lang w:eastAsia="zh-CN"/>
        </w:rPr>
        <w:t>（</w:t>
      </w:r>
      <w:r>
        <w:rPr>
          <w:rFonts w:hint="eastAsia"/>
        </w:rPr>
        <w:t>财库〔2023〕7号）</w:t>
      </w:r>
      <w:r>
        <w:rPr>
          <w:rFonts w:hint="eastAsia" w:ascii="Times New Roman" w:eastAsia="宋体"/>
          <w:lang w:val="en-US" w:eastAsia="zh-CN"/>
        </w:rPr>
        <w:t>要求。若所投产品涉及国家强制性标准的，所投产品应符合国家强制性标准相关要求。</w:t>
      </w:r>
    </w:p>
    <w:p>
      <w:pPr>
        <w:ind w:firstLine="420" w:firstLineChars="200"/>
        <w:rPr>
          <w:rFonts w:hint="eastAsia"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b w:val="0"/>
          <w:bCs/>
        </w:rPr>
      </w:pPr>
      <w:r>
        <w:rPr>
          <w:rFonts w:hint="eastAsia" w:ascii="宋体" w:hAnsi="宋体"/>
          <w:b w:val="0"/>
          <w:bCs/>
        </w:rPr>
        <w:t>1</w:t>
      </w:r>
      <w:r>
        <w:rPr>
          <w:rFonts w:hint="eastAsia" w:ascii="宋体" w:hAnsi="宋体"/>
          <w:b w:val="0"/>
          <w:bCs/>
          <w:lang w:val="en-US" w:eastAsia="zh-CN"/>
        </w:rPr>
        <w:t>3</w:t>
      </w:r>
      <w:r>
        <w:rPr>
          <w:rFonts w:hint="eastAsia" w:ascii="宋体" w:hAnsi="宋体"/>
          <w:b w:val="0"/>
          <w:bCs/>
        </w:rPr>
        <w:t>.我单位保证，符合《中华人民共和国政府采购法实施条例》第十八条规定，与其他投标供应商不存在单位负责人为同一人或者存在直接控股、管理关系；</w:t>
      </w:r>
      <w:r>
        <w:rPr>
          <w:rFonts w:hint="eastAsia" w:ascii="宋体" w:hAnsi="宋体"/>
          <w:b w:val="0"/>
          <w:bCs/>
          <w:highlight w:val="yellow"/>
        </w:rPr>
        <w:t>未对本次采购项目提供整体设计、规范编制或者项目管理、监理、检测等服务的情形。</w:t>
      </w:r>
      <w:r>
        <w:rPr>
          <w:rFonts w:hint="eastAsia" w:ascii="宋体" w:hAnsi="宋体"/>
          <w:b w:val="0"/>
          <w:bCs/>
          <w:color w:val="FF0000"/>
          <w:lang w:val="en-US" w:eastAsia="zh-CN"/>
        </w:rPr>
        <w:t>若</w:t>
      </w:r>
      <w:r>
        <w:rPr>
          <w:rFonts w:hint="eastAsia" w:ascii="宋体" w:hAnsi="宋体"/>
          <w:b w:val="0"/>
          <w:bCs/>
          <w:color w:val="FF0000"/>
        </w:rPr>
        <w:t>存在“不同供应商的董事、股东或其他高级管理人员为同一人的”情形的，</w:t>
      </w:r>
      <w:r>
        <w:rPr>
          <w:rFonts w:hint="eastAsia" w:ascii="宋体" w:hAnsi="宋体"/>
          <w:b w:val="0"/>
          <w:bCs/>
          <w:color w:val="FF0000"/>
          <w:lang w:val="en-US" w:eastAsia="zh-CN"/>
        </w:rPr>
        <w:t>我单位保证</w:t>
      </w:r>
      <w:r>
        <w:rPr>
          <w:rFonts w:hint="eastAsia" w:ascii="宋体" w:hAnsi="宋体"/>
          <w:b w:val="0"/>
          <w:bCs/>
          <w:color w:val="FF0000"/>
        </w:rPr>
        <w:t>不存在串通投标、恶意串通或者视为串通投标的情形</w:t>
      </w:r>
      <w:r>
        <w:rPr>
          <w:rFonts w:hint="eastAsia" w:ascii="宋体" w:hAnsi="宋体"/>
          <w:b w:val="0"/>
          <w:bCs/>
          <w:color w:val="FF0000"/>
          <w:lang w:eastAsia="zh-CN"/>
        </w:rPr>
        <w:t>。</w:t>
      </w:r>
    </w:p>
    <w:p>
      <w:pPr>
        <w:ind w:firstLine="422" w:firstLineChars="200"/>
        <w:rPr>
          <w:rFonts w:hint="eastAsia" w:ascii="宋体" w:hAnsi="宋体"/>
          <w:b/>
          <w:bCs w:val="0"/>
          <w:sz w:val="21"/>
          <w:lang w:val="en-US" w:eastAsia="zh-CN"/>
        </w:rPr>
      </w:pPr>
      <w:r>
        <w:rPr>
          <w:rFonts w:hint="eastAsia" w:ascii="宋体" w:hAnsi="宋体"/>
          <w:b/>
          <w:bCs w:val="0"/>
          <w:sz w:val="21"/>
          <w:lang w:val="en-US" w:eastAsia="zh-CN"/>
        </w:rPr>
        <w:t>14.我单位清楚，如存在违反投标承诺行为情节严重的，将根据《深圳市财政局关于印发&lt;深圳市财政局政府采购供应商信用信息管理办法&gt;的通知》，依法被列入失信信息。</w:t>
      </w:r>
    </w:p>
    <w:p>
      <w:pPr>
        <w:ind w:firstLine="420" w:firstLineChars="200"/>
        <w:rPr>
          <w:rFonts w:hint="eastAsia" w:ascii="宋体" w:hAnsi="宋体"/>
          <w:bCs/>
          <w:highlight w:val="yellow"/>
          <w:lang w:val="en-US"/>
        </w:rPr>
      </w:pPr>
      <w:r>
        <w:rPr>
          <w:rFonts w:hint="eastAsia" w:ascii="宋体" w:hAnsi="宋体"/>
          <w:b w:val="0"/>
          <w:bCs/>
          <w:sz w:val="21"/>
          <w:highlight w:val="yellow"/>
          <w:lang w:val="en-US" w:eastAsia="zh-CN"/>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ind w:firstLine="420" w:firstLineChars="200"/>
        <w:rPr>
          <w:rFonts w:ascii="宋体" w:hAnsi="宋体"/>
          <w:szCs w:val="21"/>
        </w:rPr>
      </w:pPr>
    </w:p>
    <w:p>
      <w:pPr>
        <w:spacing w:before="60" w:beforeLines="25" w:after="60" w:afterLines="25"/>
        <w:ind w:firstLine="5460" w:firstLineChars="2600"/>
        <w:rPr>
          <w:rFonts w:ascii="宋体" w:hAnsi="宋体"/>
          <w:szCs w:val="21"/>
        </w:rPr>
      </w:pPr>
      <w:r>
        <w:rPr>
          <w:rFonts w:hint="eastAsia" w:ascii="宋体" w:hAnsi="宋体"/>
          <w:szCs w:val="21"/>
        </w:rPr>
        <w:t xml:space="preserve">                                    </w:t>
      </w:r>
    </w:p>
    <w:p>
      <w:pPr>
        <w:spacing w:before="60" w:beforeLines="25" w:after="60" w:afterLines="25"/>
        <w:ind w:firstLine="5460" w:firstLineChars="26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投标人：</w:t>
      </w:r>
      <w:r>
        <w:rPr>
          <w:rFonts w:hint="eastAsia"/>
          <w:color w:val="000000" w:themeColor="text1"/>
          <w:szCs w:val="21"/>
          <w:u w:val="single"/>
          <w14:textFill>
            <w14:solidFill>
              <w14:schemeClr w14:val="tx1"/>
            </w14:solidFill>
          </w14:textFill>
        </w:rPr>
        <w:t xml:space="preserve">              </w:t>
      </w:r>
    </w:p>
    <w:p>
      <w:pPr>
        <w:ind w:firstLine="645"/>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日期：</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年</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日</w:t>
      </w:r>
    </w:p>
    <w:p/>
    <w:p/>
    <w:p>
      <w:pPr>
        <w:pStyle w:val="4"/>
        <w:spacing w:before="120" w:after="120"/>
        <w:jc w:val="center"/>
        <w:rPr>
          <w:rFonts w:ascii="黑体" w:eastAsia="黑体"/>
          <w:b w:val="0"/>
          <w:kern w:val="0"/>
          <w:sz w:val="24"/>
        </w:rPr>
      </w:pPr>
      <w:r>
        <w:rPr>
          <w:rFonts w:hint="eastAsia" w:ascii="黑体" w:eastAsia="黑体"/>
          <w:b w:val="0"/>
          <w:kern w:val="0"/>
          <w:sz w:val="24"/>
        </w:rPr>
        <w:t>三、投标人情况及资格证明文件</w:t>
      </w:r>
    </w:p>
    <w:p>
      <w:pPr>
        <w:outlineLvl w:val="3"/>
        <w:rPr>
          <w:rFonts w:ascii="黑体" w:hAnsi="宋体" w:eastAsia="黑体"/>
          <w:bCs/>
          <w:kern w:val="0"/>
          <w:sz w:val="24"/>
          <w:szCs w:val="32"/>
        </w:rPr>
      </w:pPr>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w:t>
      </w:r>
      <w:r>
        <w:rPr>
          <w:rFonts w:hint="eastAsia"/>
          <w:b/>
          <w:bCs/>
          <w:color w:val="FF0000"/>
          <w:lang w:eastAsia="zh-CN"/>
        </w:rPr>
        <w:t>投标人的资格要求</w:t>
      </w:r>
      <w:r>
        <w:rPr>
          <w:rFonts w:hint="eastAsia"/>
          <w:b/>
          <w:bCs/>
          <w:color w:val="FF0000"/>
        </w:rPr>
        <w:t>”（即投标人资格要求）提供相关的资格证明资料，未提供或提供不完整、不符合要求的，将作投标无效处理，其中要求提供</w:t>
      </w:r>
      <w:r>
        <w:rPr>
          <w:rFonts w:hint="eastAsia"/>
          <w:b/>
          <w:bCs/>
          <w:color w:val="FF0000"/>
          <w:highlight w:val="yellow"/>
        </w:rPr>
        <w:t>《采购投标及履约承诺函》</w:t>
      </w:r>
      <w:r>
        <w:rPr>
          <w:rFonts w:hint="eastAsia"/>
          <w:b/>
          <w:bCs/>
          <w:color w:val="FF0000"/>
        </w:rPr>
        <w:t>且已在“二、采购投标及履约承诺函”章节中提供了，此处可不重复提供。）</w:t>
      </w:r>
    </w:p>
    <w:p>
      <w:pPr>
        <w:ind w:firstLine="0" w:firstLineChars="0"/>
        <w:outlineLvl w:val="9"/>
      </w:pPr>
    </w:p>
    <w:p>
      <w:pPr>
        <w:outlineLvl w:val="3"/>
        <w:rPr>
          <w:rFonts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填写指引：</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2、该部分内容填写需要参考的相关文件：</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(1)财政部《政府采购促进中小企业发展管理办法》（财库〔2020〕46号）</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(2)</w:t>
      </w:r>
      <w:bookmarkStart w:id="42" w:name="_Hlk71925120"/>
      <w:r>
        <w:rPr>
          <w:rFonts w:hint="eastAsia" w:ascii="黑体" w:hAnsi="黑体" w:eastAsia="黑体" w:cs="黑体"/>
          <w:color w:val="FF0000"/>
        </w:rPr>
        <w:t>《工业和信息化部、国家统计局、国家发展和改革委员会、财政部关于印发中小企业划型标准规定的通知》（工信部联企业〔2011〕300 号</w:t>
      </w:r>
      <w:bookmarkEnd w:id="42"/>
      <w:r>
        <w:rPr>
          <w:rFonts w:hint="eastAsia" w:ascii="黑体" w:hAnsi="黑体" w:eastAsia="黑体" w:cs="黑体"/>
          <w:color w:val="FF0000"/>
        </w:rPr>
        <w:t>，以下简称300号文）</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(3)《统计上大中小微型企业划分办法(2017)》（国统字〔2017〕213 号）</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(4)《关于促进残疾人就业政府采购政策的通知》（财库〔2017〕141号）</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(5)《关于政府采购支持监狱企业发展有关问题的通知》（财库〔2014〕68号）</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3、请依照提供的格式和内容填写声明函，不要随意变更格式；声明函不需要盖章或签字；满足多项优惠政策的投标人，不重复享受多项价格扣除政策。</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4、声明函具体填写要求：</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（1）声明是中小企业须填写《中小企业声明函》的以下内容：</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第一处，在“单位名称”下划线处如实填写采购人名称（深圳公共资源交易中心不是本项目的采购人，而是组织实施机构）；</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第二处，在“项目名称”下划线处如实填写采购项目名称；</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第四处，在“招标文件中明确的所属行业”下划线处填写采购标的对应的中小企业划分标准所属行业（所属行业可在招标文件第一册第二章“对通用条款的补充内容及其他关键信息”章节查看）；</w:t>
      </w:r>
    </w:p>
    <w:p>
      <w:pPr>
        <w:ind w:firstLine="420" w:firstLineChars="200"/>
        <w:outlineLvl w:val="9"/>
        <w:rPr>
          <w:rFonts w:hint="eastAsia" w:ascii="黑体" w:hAnsi="黑体" w:eastAsia="黑体" w:cs="黑体"/>
          <w:color w:val="FF0000"/>
          <w:lang w:eastAsia="zh-CN"/>
        </w:rPr>
      </w:pPr>
      <w:r>
        <w:rPr>
          <w:rFonts w:hint="eastAsia" w:ascii="黑体" w:hAnsi="黑体" w:eastAsia="黑体" w:cs="黑体"/>
          <w:color w:val="FF0000"/>
        </w:rPr>
        <w:t>第五处，在“企业名称”下划线处如实填写制造商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中小企业声明函》中制造商所属行业应当与招标文件要求的行业相一致，供应商如有疑问，可根据《国民经济行业分类》（GB/T 4754-2017），结合《关于印发中小企业划型标准规定的通知》（工信部联企业〔2011〕300号）进行判断。事业单位、社会组织等非企业主体不享受中小企业扶持政策，但事业单位、社会组织等非企业主体提供全部由中小企业制造的货物参加货物采购项目的除外</w:t>
      </w:r>
      <w:r>
        <w:rPr>
          <w:rFonts w:hint="eastAsia" w:ascii="黑体" w:hAnsi="黑体" w:eastAsia="黑体" w:cs="黑体"/>
          <w:color w:val="FF0000"/>
          <w:lang w:eastAsia="zh-CN"/>
        </w:rPr>
        <w:t>。</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（2）声明是残疾人福利性单位须填写《残疾人福利性单位声明函》的相关内容，具体参照以上《中小企业声明函》填写要求执行。</w:t>
      </w:r>
    </w:p>
    <w:p>
      <w:pPr>
        <w:ind w:firstLine="420" w:firstLineChars="200"/>
        <w:outlineLvl w:val="9"/>
        <w:rPr>
          <w:rFonts w:hint="eastAsia" w:ascii="黑体" w:hAnsi="黑体" w:eastAsia="黑体" w:cs="黑体"/>
          <w:color w:val="FF0000"/>
        </w:rPr>
      </w:pPr>
      <w:r>
        <w:rPr>
          <w:rFonts w:hint="eastAsia" w:ascii="黑体" w:hAnsi="黑体" w:eastAsia="黑体" w:cs="黑体"/>
          <w:color w:val="FF0000"/>
        </w:rPr>
        <w:t>（3）声明是监狱企业须填写《监狱企业声明函》的三项内容（填写位置的字体已加粗），具体参照以上《中小企业声明函》填写要求执行。</w:t>
      </w:r>
    </w:p>
    <w:p>
      <w:pPr>
        <w:ind w:firstLine="420" w:firstLineChars="200"/>
        <w:rPr>
          <w:rFonts w:hint="eastAsia" w:ascii="黑体" w:hAnsi="黑体" w:eastAsia="黑体" w:cs="黑体"/>
          <w:color w:val="FF0000"/>
        </w:rPr>
      </w:pPr>
      <w:r>
        <w:rPr>
          <w:rFonts w:hint="eastAsia" w:ascii="黑体" w:hAnsi="黑体" w:eastAsia="黑体" w:cs="黑体"/>
          <w:color w:val="FF0000"/>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rPr>
          <w:rFonts w:hint="eastAsia" w:ascii="黑体" w:hAnsi="黑体" w:eastAsia="黑体" w:cs="黑体"/>
          <w:color w:val="FF0000"/>
        </w:rPr>
      </w:pPr>
    </w:p>
    <w:p>
      <w:pPr>
        <w:ind w:firstLine="420" w:firstLineChars="200"/>
      </w:pPr>
    </w:p>
    <w:p>
      <w:pPr>
        <w:jc w:val="center"/>
        <w:outlineLvl w:val="3"/>
        <w:rPr>
          <w:b/>
          <w:sz w:val="24"/>
        </w:rPr>
      </w:pPr>
      <w:r>
        <w:rPr>
          <w:rFonts w:hint="eastAsia"/>
          <w:b/>
          <w:sz w:val="24"/>
        </w:rPr>
        <w:t>1、</w:t>
      </w:r>
      <w:r>
        <w:rPr>
          <w:b/>
          <w:sz w:val="24"/>
        </w:rPr>
        <w:t>中小企业声明函</w:t>
      </w:r>
      <w:r>
        <w:rPr>
          <w:rFonts w:hint="eastAsia"/>
          <w:b/>
          <w:sz w:val="24"/>
        </w:rPr>
        <w:t>（货物）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宋体" w:hAnsi="宋体"/>
          <w:szCs w:val="21"/>
        </w:rPr>
      </w:pPr>
      <w:r>
        <w:rPr>
          <w:rFonts w:ascii="宋体" w:hAnsi="宋体"/>
          <w:szCs w:val="21"/>
        </w:rPr>
        <w:t>本</w:t>
      </w:r>
      <w:r>
        <w:rPr>
          <w:rFonts w:hint="eastAsia" w:ascii="宋体" w:hAnsi="宋体"/>
          <w:szCs w:val="21"/>
        </w:rPr>
        <w:t>公司（联合体）</w:t>
      </w:r>
      <w:r>
        <w:rPr>
          <w:rFonts w:ascii="宋体" w:hAnsi="宋体"/>
          <w:szCs w:val="21"/>
        </w:rPr>
        <w:t>郑重声明，根据《政府采购促进中小企业发展管理办法》（财库</w:t>
      </w:r>
      <w:r>
        <w:rPr>
          <w:rFonts w:hint="eastAsia" w:ascii="宋体" w:hAnsi="宋体" w:cs="微软雅黑"/>
          <w:szCs w:val="21"/>
        </w:rPr>
        <w:t>﹝</w:t>
      </w:r>
      <w:r>
        <w:rPr>
          <w:rFonts w:ascii="宋体" w:hAnsi="宋体"/>
          <w:szCs w:val="21"/>
        </w:rPr>
        <w:t>2020</w:t>
      </w:r>
      <w:r>
        <w:rPr>
          <w:rFonts w:hint="eastAsia" w:ascii="宋体" w:hAnsi="宋体" w:cs="微软雅黑"/>
          <w:szCs w:val="21"/>
        </w:rPr>
        <w:t>﹞</w:t>
      </w:r>
      <w:r>
        <w:rPr>
          <w:rFonts w:ascii="宋体" w:hAnsi="宋体"/>
          <w:szCs w:val="21"/>
        </w:rPr>
        <w:t>46号）的规定，本</w:t>
      </w:r>
      <w:r>
        <w:rPr>
          <w:rFonts w:hint="eastAsia" w:ascii="宋体" w:hAnsi="宋体"/>
          <w:szCs w:val="21"/>
        </w:rPr>
        <w:t>公司（联合体）</w:t>
      </w:r>
      <w:r>
        <w:rPr>
          <w:rFonts w:ascii="宋体" w:hAnsi="宋体"/>
          <w:szCs w:val="21"/>
        </w:rPr>
        <w:t>参加</w:t>
      </w:r>
      <w:r>
        <w:rPr>
          <w:rFonts w:hint="eastAsia" w:ascii="宋体" w:hAnsi="宋体"/>
          <w:szCs w:val="21"/>
          <w:u w:val="single"/>
          <w:lang w:val="en-US" w:eastAsia="zh-CN"/>
        </w:rPr>
        <w:t xml:space="preserve">       </w:t>
      </w:r>
      <w:r>
        <w:rPr>
          <w:rFonts w:ascii="宋体" w:hAnsi="宋体"/>
          <w:b/>
          <w:bCs/>
          <w:i/>
          <w:iCs/>
          <w:szCs w:val="21"/>
          <w:u w:val="single"/>
        </w:rPr>
        <w:t>（</w:t>
      </w:r>
      <w:r>
        <w:rPr>
          <w:rFonts w:hint="eastAsia" w:ascii="宋体" w:hAnsi="宋体"/>
          <w:b/>
          <w:bCs/>
          <w:i/>
          <w:iCs/>
          <w:szCs w:val="21"/>
          <w:u w:val="single"/>
        </w:rPr>
        <w:t>单位</w:t>
      </w:r>
      <w:r>
        <w:rPr>
          <w:rFonts w:ascii="宋体" w:hAnsi="宋体"/>
          <w:b/>
          <w:bCs/>
          <w:i/>
          <w:iCs/>
          <w:szCs w:val="21"/>
          <w:u w:val="single"/>
        </w:rPr>
        <w:t>名称）</w:t>
      </w:r>
      <w:r>
        <w:rPr>
          <w:rFonts w:ascii="宋体" w:hAnsi="宋体"/>
          <w:szCs w:val="21"/>
        </w:rPr>
        <w:t>的</w:t>
      </w:r>
      <w:r>
        <w:rPr>
          <w:rFonts w:hint="eastAsia" w:ascii="宋体" w:hAnsi="宋体"/>
          <w:b/>
          <w:bCs/>
          <w:szCs w:val="21"/>
          <w:u w:val="single"/>
          <w:lang w:val="en-US" w:eastAsia="zh-CN"/>
        </w:rPr>
        <w:t xml:space="preserve">     </w:t>
      </w:r>
      <w:r>
        <w:rPr>
          <w:rFonts w:hint="eastAsia" w:ascii="宋体" w:hAnsi="宋体"/>
          <w:b/>
          <w:bCs/>
          <w:i/>
          <w:iCs/>
          <w:szCs w:val="21"/>
          <w:u w:val="single"/>
          <w:lang w:val="en-US" w:eastAsia="zh-CN"/>
        </w:rPr>
        <w:t xml:space="preserve"> </w:t>
      </w:r>
      <w:r>
        <w:rPr>
          <w:rFonts w:ascii="宋体" w:hAnsi="宋体"/>
          <w:b/>
          <w:bCs/>
          <w:i/>
          <w:iCs/>
          <w:szCs w:val="21"/>
          <w:u w:val="single"/>
        </w:rPr>
        <w:t>（项目名称）</w:t>
      </w:r>
      <w:r>
        <w:rPr>
          <w:rFonts w:hint="eastAsia" w:ascii="宋体" w:hAnsi="宋体"/>
          <w:szCs w:val="21"/>
        </w:rPr>
        <w:t>采购活动，提供的货物全部由符合政策要求的中小企业制造。相关企业（含联合体中的中小企业、签订分包意向协议的中小企业）的具体情况如下</w:t>
      </w:r>
      <w:r>
        <w:rPr>
          <w:rFonts w:ascii="宋体" w:hAnsi="宋体"/>
          <w:szCs w:val="21"/>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以上</w:t>
      </w:r>
      <w:r>
        <w:rPr>
          <w:rFonts w:hint="eastAsia" w:asciiTheme="minorEastAsia" w:hAnsiTheme="minorEastAsia" w:eastAsiaTheme="minorEastAsia" w:cstheme="minorEastAsia"/>
          <w:kern w:val="2"/>
          <w:sz w:val="21"/>
          <w:szCs w:val="21"/>
          <w:lang w:val="en-US" w:eastAsia="zh-CN" w:bidi="ar-SA"/>
        </w:rPr>
        <w:t>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43"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w:t>
      </w:r>
      <w:r>
        <w:rPr>
          <w:rFonts w:hint="eastAsia" w:asciiTheme="minorEastAsia" w:hAnsiTheme="minorEastAsia" w:eastAsiaTheme="minorEastAsia" w:cstheme="minorEastAsia"/>
          <w:sz w:val="21"/>
          <w:szCs w:val="21"/>
          <w:lang w:val="en-US" w:eastAsia="zh-CN"/>
        </w:rPr>
        <w:t>相应</w:t>
      </w:r>
      <w:r>
        <w:rPr>
          <w:rFonts w:hint="eastAsia" w:asciiTheme="minorEastAsia" w:hAnsiTheme="minorEastAsia" w:eastAsiaTheme="minorEastAsia" w:cstheme="minorEastAsia"/>
          <w:kern w:val="2"/>
          <w:sz w:val="21"/>
          <w:szCs w:val="21"/>
          <w:lang w:val="en-US" w:eastAsia="zh-CN" w:bidi="ar-SA"/>
        </w:rPr>
        <w:t>责任。</w:t>
      </w:r>
      <w:bookmarkEnd w:id="43"/>
    </w:p>
    <w:p>
      <w:pPr>
        <w:bidi w:val="0"/>
        <w:rPr>
          <w:rFonts w:ascii="宋体" w:hAnsi="宋体"/>
          <w:bCs/>
          <w:color w:val="FF0000"/>
          <w:kern w:val="0"/>
          <w:szCs w:val="21"/>
        </w:rPr>
      </w:pPr>
    </w:p>
    <w:p/>
    <w:p>
      <w:pPr>
        <w:ind w:firstLine="420" w:firstLineChars="200"/>
      </w:pPr>
    </w:p>
    <w:p>
      <w:pPr>
        <w:jc w:val="center"/>
        <w:outlineLvl w:val="3"/>
        <w:rPr>
          <w:b/>
          <w:sz w:val="24"/>
        </w:rPr>
      </w:pPr>
      <w:r>
        <w:rPr>
          <w:rFonts w:hint="eastAsia"/>
          <w:b/>
          <w:sz w:val="24"/>
        </w:rPr>
        <w:t>2、残疾人福利性单位声明函（货物类）</w:t>
      </w:r>
    </w:p>
    <w:p>
      <w:pPr>
        <w:bidi w:val="0"/>
        <w:rPr>
          <w:b/>
          <w:bCs/>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44" w:name="_Hlk73562331"/>
      <w:bookmarkStart w:id="45" w:name="_Hlk73562245"/>
      <w:r>
        <w:rPr>
          <w:rFonts w:hint="eastAsia" w:asciiTheme="minorEastAsia" w:hAnsiTheme="minorEastAsia" w:eastAsiaTheme="minorEastAsia" w:cstheme="minorEastAsia"/>
          <w:kern w:val="2"/>
          <w:sz w:val="21"/>
          <w:szCs w:val="21"/>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44"/>
    </w:p>
    <w:bookmarkEnd w:id="45"/>
    <w:p>
      <w:pPr>
        <w:ind w:firstLine="420" w:firstLineChars="200"/>
        <w:rPr>
          <w:rFonts w:ascii="宋体" w:hAnsi="宋体"/>
          <w:szCs w:val="21"/>
        </w:rPr>
      </w:pPr>
    </w:p>
    <w:p>
      <w:pPr>
        <w:ind w:firstLine="420" w:firstLineChars="200"/>
        <w:rPr>
          <w:rFonts w:ascii="宋体" w:hAnsi="宋体"/>
          <w:szCs w:val="21"/>
        </w:rPr>
      </w:pPr>
    </w:p>
    <w:p>
      <w:pPr>
        <w:jc w:val="center"/>
        <w:outlineLvl w:val="3"/>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宋体" w:hAnsi="宋体"/>
          <w:sz w:val="21"/>
          <w:szCs w:val="21"/>
        </w:rPr>
      </w:pPr>
      <w:r>
        <w:rPr>
          <w:rFonts w:hint="eastAsia" w:ascii="宋体" w:hAnsi="宋体"/>
          <w:sz w:val="21"/>
          <w:szCs w:val="21"/>
        </w:rPr>
        <w:t>本投标人郑重声明，根据《财政部司法部关于政府采购支持监狱企业发展有关问题的通知》（财库〔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宋体" w:hAnsi="宋体"/>
          <w:szCs w:val="21"/>
        </w:rPr>
      </w:pPr>
      <w:r>
        <w:rPr>
          <w:rFonts w:hint="eastAsia" w:ascii="宋体" w:hAnsi="宋体"/>
          <w:sz w:val="21"/>
          <w:szCs w:val="21"/>
        </w:rPr>
        <w:t>附：省级以上监狱管理局、戒毒管理局（含新疆生产建设兵团）出具的监狱企业证明文件。</w:t>
      </w:r>
      <w:r>
        <w:rPr>
          <w:rFonts w:hint="eastAsia" w:ascii="宋体" w:hAnsi="宋体"/>
          <w:szCs w:val="21"/>
        </w:rPr>
        <w:t xml:space="preserve">    </w:t>
      </w:r>
    </w:p>
    <w:p>
      <w:pPr>
        <w:ind w:left="723" w:hanging="723" w:hangingChars="300"/>
        <w:rPr>
          <w:b/>
          <w:sz w:val="24"/>
        </w:rPr>
      </w:pPr>
    </w:p>
    <w:p>
      <w:pPr>
        <w:pStyle w:val="4"/>
        <w:jc w:val="center"/>
        <w:rPr>
          <w:rFonts w:ascii="黑体" w:eastAsia="黑体"/>
          <w:b w:val="0"/>
          <w:sz w:val="24"/>
          <w:szCs w:val="24"/>
        </w:rPr>
      </w:pPr>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42"/>
        <w:tblW w:w="8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920"/>
        <w:gridCol w:w="635"/>
        <w:gridCol w:w="715"/>
        <w:gridCol w:w="697"/>
        <w:gridCol w:w="838"/>
        <w:gridCol w:w="538"/>
        <w:gridCol w:w="512"/>
        <w:gridCol w:w="944"/>
        <w:gridCol w:w="971"/>
        <w:gridCol w:w="556"/>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pPr>
              <w:jc w:val="center"/>
              <w:rPr>
                <w:bCs/>
                <w:szCs w:val="21"/>
              </w:rPr>
            </w:pPr>
            <w:r>
              <w:rPr>
                <w:rFonts w:hint="eastAsia"/>
                <w:bCs/>
                <w:szCs w:val="21"/>
              </w:rPr>
              <w:t>序号</w:t>
            </w:r>
          </w:p>
        </w:tc>
        <w:tc>
          <w:tcPr>
            <w:tcW w:w="920" w:type="dxa"/>
            <w:vAlign w:val="center"/>
          </w:tcPr>
          <w:p>
            <w:pPr>
              <w:jc w:val="center"/>
              <w:rPr>
                <w:bCs/>
                <w:szCs w:val="21"/>
              </w:rPr>
            </w:pPr>
            <w:r>
              <w:rPr>
                <w:rFonts w:hint="eastAsia"/>
                <w:bCs/>
                <w:szCs w:val="21"/>
              </w:rPr>
              <w:t>货物名称</w:t>
            </w:r>
          </w:p>
        </w:tc>
        <w:tc>
          <w:tcPr>
            <w:tcW w:w="635" w:type="dxa"/>
            <w:vAlign w:val="center"/>
          </w:tcPr>
          <w:p>
            <w:pPr>
              <w:jc w:val="center"/>
              <w:rPr>
                <w:bCs/>
                <w:szCs w:val="21"/>
              </w:rPr>
            </w:pPr>
            <w:r>
              <w:rPr>
                <w:rFonts w:hint="eastAsia"/>
                <w:szCs w:val="21"/>
              </w:rPr>
              <w:t>品牌</w:t>
            </w:r>
          </w:p>
        </w:tc>
        <w:tc>
          <w:tcPr>
            <w:tcW w:w="715" w:type="dxa"/>
            <w:vAlign w:val="center"/>
          </w:tcPr>
          <w:p>
            <w:pPr>
              <w:jc w:val="center"/>
              <w:rPr>
                <w:bCs/>
                <w:szCs w:val="21"/>
              </w:rPr>
            </w:pPr>
            <w:r>
              <w:rPr>
                <w:rFonts w:hint="eastAsia"/>
                <w:szCs w:val="21"/>
              </w:rPr>
              <w:t>规格/型号</w:t>
            </w:r>
          </w:p>
        </w:tc>
        <w:tc>
          <w:tcPr>
            <w:tcW w:w="697" w:type="dxa"/>
            <w:vAlign w:val="center"/>
          </w:tcPr>
          <w:p>
            <w:pPr>
              <w:jc w:val="center"/>
              <w:rPr>
                <w:bCs/>
                <w:szCs w:val="21"/>
              </w:rPr>
            </w:pPr>
            <w:r>
              <w:rPr>
                <w:rFonts w:hint="eastAsia"/>
                <w:b/>
                <w:color w:val="FF0000"/>
                <w:szCs w:val="21"/>
              </w:rPr>
              <w:t>原产地</w:t>
            </w:r>
          </w:p>
        </w:tc>
        <w:tc>
          <w:tcPr>
            <w:tcW w:w="838" w:type="dxa"/>
            <w:vAlign w:val="center"/>
          </w:tcPr>
          <w:p>
            <w:pPr>
              <w:jc w:val="center"/>
              <w:rPr>
                <w:bCs/>
                <w:szCs w:val="21"/>
              </w:rPr>
            </w:pPr>
            <w:r>
              <w:rPr>
                <w:rFonts w:hint="eastAsia"/>
                <w:szCs w:val="21"/>
              </w:rPr>
              <w:t>制造商名称</w:t>
            </w:r>
          </w:p>
        </w:tc>
        <w:tc>
          <w:tcPr>
            <w:tcW w:w="538" w:type="dxa"/>
            <w:vAlign w:val="center"/>
          </w:tcPr>
          <w:p>
            <w:pPr>
              <w:jc w:val="center"/>
              <w:rPr>
                <w:bCs/>
                <w:szCs w:val="21"/>
              </w:rPr>
            </w:pPr>
            <w:r>
              <w:rPr>
                <w:rFonts w:hint="eastAsia"/>
                <w:bCs/>
                <w:szCs w:val="21"/>
              </w:rPr>
              <w:t>数量</w:t>
            </w:r>
          </w:p>
        </w:tc>
        <w:tc>
          <w:tcPr>
            <w:tcW w:w="512" w:type="dxa"/>
            <w:vAlign w:val="center"/>
          </w:tcPr>
          <w:p>
            <w:pPr>
              <w:jc w:val="center"/>
              <w:rPr>
                <w:bCs/>
                <w:szCs w:val="21"/>
              </w:rPr>
            </w:pPr>
            <w:r>
              <w:rPr>
                <w:rFonts w:hint="eastAsia"/>
                <w:bCs/>
                <w:szCs w:val="21"/>
              </w:rPr>
              <w:t>单位</w:t>
            </w:r>
          </w:p>
        </w:tc>
        <w:tc>
          <w:tcPr>
            <w:tcW w:w="944" w:type="dxa"/>
            <w:vAlign w:val="center"/>
          </w:tcPr>
          <w:p>
            <w:pPr>
              <w:jc w:val="center"/>
              <w:rPr>
                <w:rFonts w:hint="eastAsia"/>
                <w:szCs w:val="21"/>
              </w:rPr>
            </w:pPr>
            <w:r>
              <w:rPr>
                <w:rFonts w:hint="eastAsia" w:ascii="宋体" w:hAnsi="宋体" w:cs="宋体"/>
                <w:b/>
                <w:bCs/>
                <w:color w:val="FF0000"/>
                <w:kern w:val="0"/>
                <w:szCs w:val="21"/>
              </w:rPr>
              <w:t>最高单价限额</w:t>
            </w:r>
            <w:r>
              <w:rPr>
                <w:rFonts w:ascii="宋体" w:hAnsi="宋体" w:cs="宋体"/>
                <w:b/>
                <w:bCs/>
                <w:color w:val="FF0000"/>
                <w:kern w:val="0"/>
                <w:szCs w:val="21"/>
              </w:rPr>
              <w:t>(元/单位)</w:t>
            </w:r>
          </w:p>
        </w:tc>
        <w:tc>
          <w:tcPr>
            <w:tcW w:w="971" w:type="dxa"/>
            <w:vAlign w:val="center"/>
          </w:tcPr>
          <w:p>
            <w:pPr>
              <w:jc w:val="center"/>
              <w:rPr>
                <w:bCs/>
                <w:szCs w:val="21"/>
              </w:rPr>
            </w:pPr>
            <w:r>
              <w:rPr>
                <w:rFonts w:hint="eastAsia"/>
                <w:bCs/>
                <w:szCs w:val="21"/>
                <w:lang w:val="en-US" w:eastAsia="zh-CN"/>
              </w:rPr>
              <w:t>投标供应商分项报价（元）</w:t>
            </w:r>
          </w:p>
        </w:tc>
        <w:tc>
          <w:tcPr>
            <w:tcW w:w="556" w:type="dxa"/>
            <w:vAlign w:val="center"/>
          </w:tcPr>
          <w:p>
            <w:pPr>
              <w:jc w:val="center"/>
              <w:rPr>
                <w:bCs/>
                <w:szCs w:val="21"/>
              </w:rPr>
            </w:pPr>
            <w:r>
              <w:rPr>
                <w:rFonts w:hint="eastAsia"/>
                <w:szCs w:val="21"/>
              </w:rPr>
              <w:t>合价(元)</w:t>
            </w:r>
          </w:p>
        </w:tc>
        <w:tc>
          <w:tcPr>
            <w:tcW w:w="581" w:type="dxa"/>
            <w:vAlign w:val="center"/>
          </w:tcPr>
          <w:p>
            <w:pPr>
              <w:jc w:val="center"/>
              <w:rPr>
                <w:szCs w:val="21"/>
              </w:rPr>
            </w:pPr>
            <w:r>
              <w:rPr>
                <w:rFonts w:hint="eastAsia"/>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pPr>
              <w:jc w:val="center"/>
              <w:rPr>
                <w:bCs/>
                <w:szCs w:val="21"/>
              </w:rPr>
            </w:pPr>
            <w:r>
              <w:rPr>
                <w:rFonts w:hint="eastAsia"/>
                <w:bCs/>
                <w:szCs w:val="21"/>
              </w:rPr>
              <w:t>1</w:t>
            </w:r>
          </w:p>
        </w:tc>
        <w:tc>
          <w:tcPr>
            <w:tcW w:w="920" w:type="dxa"/>
            <w:vAlign w:val="top"/>
          </w:tcPr>
          <w:p>
            <w:pPr>
              <w:jc w:val="center"/>
              <w:rPr>
                <w:bCs/>
                <w:szCs w:val="21"/>
              </w:rPr>
            </w:pPr>
            <w:r>
              <w:rPr>
                <w:rFonts w:hint="eastAsia" w:ascii="Times New Roman" w:hAnsi="Times New Roman" w:eastAsia="宋体" w:cs="Times New Roman"/>
                <w:bCs/>
                <w:szCs w:val="21"/>
                <w:lang w:val="en-US" w:eastAsia="zh-CN"/>
              </w:rPr>
              <w:t>跨境</w:t>
            </w:r>
            <w:r>
              <w:rPr>
                <w:rFonts w:hint="eastAsia" w:ascii="Times New Roman" w:hAnsi="Times New Roman" w:eastAsia="宋体" w:cs="Times New Roman"/>
                <w:bCs/>
                <w:szCs w:val="21"/>
                <w:lang w:eastAsia="zh-CN"/>
              </w:rPr>
              <w:t>供应链服务实战平台</w:t>
            </w:r>
          </w:p>
        </w:tc>
        <w:tc>
          <w:tcPr>
            <w:tcW w:w="635" w:type="dxa"/>
            <w:vAlign w:val="top"/>
          </w:tcPr>
          <w:p>
            <w:pPr>
              <w:jc w:val="center"/>
              <w:rPr>
                <w:bCs/>
                <w:szCs w:val="21"/>
              </w:rPr>
            </w:pPr>
          </w:p>
        </w:tc>
        <w:tc>
          <w:tcPr>
            <w:tcW w:w="715" w:type="dxa"/>
            <w:vAlign w:val="top"/>
          </w:tcPr>
          <w:p>
            <w:pPr>
              <w:jc w:val="center"/>
              <w:rPr>
                <w:bCs/>
                <w:szCs w:val="21"/>
              </w:rPr>
            </w:pPr>
          </w:p>
        </w:tc>
        <w:tc>
          <w:tcPr>
            <w:tcW w:w="697" w:type="dxa"/>
            <w:vAlign w:val="center"/>
          </w:tcPr>
          <w:p>
            <w:pPr>
              <w:jc w:val="center"/>
              <w:rPr>
                <w:bCs/>
                <w:szCs w:val="21"/>
              </w:rPr>
            </w:pPr>
          </w:p>
        </w:tc>
        <w:tc>
          <w:tcPr>
            <w:tcW w:w="838" w:type="dxa"/>
            <w:vAlign w:val="top"/>
          </w:tcPr>
          <w:p>
            <w:pPr>
              <w:jc w:val="center"/>
              <w:rPr>
                <w:bCs/>
                <w:szCs w:val="21"/>
              </w:rPr>
            </w:pPr>
          </w:p>
        </w:tc>
        <w:tc>
          <w:tcPr>
            <w:tcW w:w="538" w:type="dxa"/>
            <w:vAlign w:val="top"/>
          </w:tcPr>
          <w:p>
            <w:pPr>
              <w:jc w:val="center"/>
              <w:rPr>
                <w:bCs/>
                <w:szCs w:val="21"/>
              </w:rPr>
            </w:pPr>
            <w:r>
              <w:rPr>
                <w:rFonts w:hint="eastAsia" w:ascii="Times New Roman" w:hAnsi="Times New Roman" w:eastAsia="宋体" w:cs="Times New Roman"/>
                <w:bCs/>
                <w:szCs w:val="21"/>
                <w:lang w:val="en-US" w:eastAsia="zh-CN"/>
              </w:rPr>
              <w:t>1</w:t>
            </w:r>
          </w:p>
        </w:tc>
        <w:tc>
          <w:tcPr>
            <w:tcW w:w="512" w:type="dxa"/>
            <w:vAlign w:val="top"/>
          </w:tcPr>
          <w:p>
            <w:pPr>
              <w:jc w:val="center"/>
              <w:rPr>
                <w:bCs/>
                <w:szCs w:val="21"/>
              </w:rPr>
            </w:pPr>
            <w:r>
              <w:rPr>
                <w:rFonts w:hint="eastAsia" w:ascii="Times New Roman" w:hAnsi="Times New Roman" w:eastAsia="宋体" w:cs="Times New Roman"/>
                <w:bCs/>
                <w:szCs w:val="21"/>
                <w:lang w:val="en-US" w:eastAsia="zh-CN"/>
              </w:rPr>
              <w:t>套</w:t>
            </w:r>
          </w:p>
        </w:tc>
        <w:tc>
          <w:tcPr>
            <w:tcW w:w="944" w:type="dxa"/>
            <w:vAlign w:val="top"/>
          </w:tcPr>
          <w:p>
            <w:pPr>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438000</w:t>
            </w:r>
          </w:p>
        </w:tc>
        <w:tc>
          <w:tcPr>
            <w:tcW w:w="971" w:type="dxa"/>
            <w:vAlign w:val="center"/>
          </w:tcPr>
          <w:p>
            <w:pPr>
              <w:jc w:val="center"/>
              <w:rPr>
                <w:bCs/>
                <w:szCs w:val="21"/>
              </w:rPr>
            </w:pPr>
          </w:p>
        </w:tc>
        <w:tc>
          <w:tcPr>
            <w:tcW w:w="556" w:type="dxa"/>
            <w:vAlign w:val="center"/>
          </w:tcPr>
          <w:p>
            <w:pPr>
              <w:jc w:val="center"/>
              <w:rPr>
                <w:bCs/>
                <w:szCs w:val="21"/>
              </w:rPr>
            </w:pPr>
          </w:p>
        </w:tc>
        <w:tc>
          <w:tcPr>
            <w:tcW w:w="581" w:type="dxa"/>
            <w:vMerge w:val="restart"/>
            <w:vAlign w:val="center"/>
          </w:tcPr>
          <w:p>
            <w:pPr>
              <w:jc w:val="center"/>
              <w:rPr>
                <w:b/>
                <w:bCs/>
                <w:szCs w:val="21"/>
              </w:rPr>
            </w:pPr>
            <w:r>
              <w:rPr>
                <w:rFonts w:hint="eastAsia"/>
                <w:b/>
                <w:bCs/>
                <w:szCs w:val="21"/>
                <w:lang w:val="en-US" w:eastAsia="zh-CN"/>
              </w:rPr>
              <w:t>854000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pPr>
              <w:jc w:val="center"/>
              <w:rPr>
                <w:bCs/>
                <w:szCs w:val="21"/>
              </w:rPr>
            </w:pPr>
            <w:r>
              <w:rPr>
                <w:rFonts w:hint="eastAsia"/>
                <w:bCs/>
                <w:szCs w:val="21"/>
              </w:rPr>
              <w:t>2</w:t>
            </w:r>
          </w:p>
        </w:tc>
        <w:tc>
          <w:tcPr>
            <w:tcW w:w="920" w:type="dxa"/>
            <w:vAlign w:val="top"/>
          </w:tcPr>
          <w:p>
            <w:pPr>
              <w:jc w:val="center"/>
              <w:rPr>
                <w:bCs/>
                <w:szCs w:val="21"/>
              </w:rPr>
            </w:pPr>
            <w:r>
              <w:rPr>
                <w:rFonts w:hint="eastAsia" w:ascii="Times New Roman" w:hAnsi="Times New Roman" w:eastAsia="宋体" w:cs="Times New Roman"/>
                <w:bCs/>
                <w:szCs w:val="21"/>
              </w:rPr>
              <w:t>外贸实务教学系统软件</w:t>
            </w:r>
          </w:p>
        </w:tc>
        <w:tc>
          <w:tcPr>
            <w:tcW w:w="635" w:type="dxa"/>
            <w:vAlign w:val="top"/>
          </w:tcPr>
          <w:p>
            <w:pPr>
              <w:jc w:val="center"/>
              <w:rPr>
                <w:bCs/>
                <w:szCs w:val="21"/>
              </w:rPr>
            </w:pPr>
          </w:p>
        </w:tc>
        <w:tc>
          <w:tcPr>
            <w:tcW w:w="715" w:type="dxa"/>
            <w:vAlign w:val="top"/>
          </w:tcPr>
          <w:p>
            <w:pPr>
              <w:jc w:val="center"/>
              <w:rPr>
                <w:bCs/>
                <w:szCs w:val="21"/>
              </w:rPr>
            </w:pPr>
          </w:p>
        </w:tc>
        <w:tc>
          <w:tcPr>
            <w:tcW w:w="697" w:type="dxa"/>
            <w:vAlign w:val="center"/>
          </w:tcPr>
          <w:p>
            <w:pPr>
              <w:jc w:val="center"/>
              <w:rPr>
                <w:bCs/>
                <w:szCs w:val="21"/>
              </w:rPr>
            </w:pPr>
          </w:p>
        </w:tc>
        <w:tc>
          <w:tcPr>
            <w:tcW w:w="838" w:type="dxa"/>
            <w:vAlign w:val="top"/>
          </w:tcPr>
          <w:p>
            <w:pPr>
              <w:jc w:val="center"/>
              <w:rPr>
                <w:bCs/>
                <w:szCs w:val="21"/>
              </w:rPr>
            </w:pPr>
          </w:p>
        </w:tc>
        <w:tc>
          <w:tcPr>
            <w:tcW w:w="538" w:type="dxa"/>
            <w:vAlign w:val="top"/>
          </w:tcPr>
          <w:p>
            <w:pPr>
              <w:jc w:val="center"/>
              <w:rPr>
                <w:bCs/>
                <w:szCs w:val="21"/>
              </w:rPr>
            </w:pPr>
            <w:r>
              <w:rPr>
                <w:rFonts w:hint="eastAsia" w:ascii="Times New Roman" w:hAnsi="Times New Roman" w:eastAsia="宋体" w:cs="Times New Roman"/>
                <w:bCs/>
                <w:szCs w:val="21"/>
                <w:lang w:val="en-US" w:eastAsia="zh-CN"/>
              </w:rPr>
              <w:t>1</w:t>
            </w:r>
          </w:p>
        </w:tc>
        <w:tc>
          <w:tcPr>
            <w:tcW w:w="512" w:type="dxa"/>
            <w:vAlign w:val="top"/>
          </w:tcPr>
          <w:p>
            <w:pPr>
              <w:jc w:val="center"/>
              <w:rPr>
                <w:bCs/>
                <w:szCs w:val="21"/>
              </w:rPr>
            </w:pPr>
            <w:r>
              <w:rPr>
                <w:rFonts w:hint="eastAsia" w:ascii="Times New Roman" w:hAnsi="Times New Roman" w:eastAsia="宋体" w:cs="Times New Roman"/>
                <w:bCs/>
                <w:szCs w:val="21"/>
                <w:lang w:val="en-US" w:eastAsia="zh-CN"/>
              </w:rPr>
              <w:t>套</w:t>
            </w:r>
          </w:p>
        </w:tc>
        <w:tc>
          <w:tcPr>
            <w:tcW w:w="944" w:type="dxa"/>
            <w:vAlign w:val="top"/>
          </w:tcPr>
          <w:p>
            <w:pPr>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165000</w:t>
            </w:r>
          </w:p>
        </w:tc>
        <w:tc>
          <w:tcPr>
            <w:tcW w:w="971" w:type="dxa"/>
            <w:vAlign w:val="center"/>
          </w:tcPr>
          <w:p>
            <w:pPr>
              <w:jc w:val="center"/>
              <w:rPr>
                <w:bCs/>
                <w:szCs w:val="21"/>
              </w:rPr>
            </w:pPr>
          </w:p>
        </w:tc>
        <w:tc>
          <w:tcPr>
            <w:tcW w:w="556" w:type="dxa"/>
            <w:vAlign w:val="center"/>
          </w:tcPr>
          <w:p>
            <w:pPr>
              <w:jc w:val="center"/>
              <w:rPr>
                <w:bCs/>
                <w:szCs w:val="21"/>
              </w:rPr>
            </w:pPr>
          </w:p>
        </w:tc>
        <w:tc>
          <w:tcPr>
            <w:tcW w:w="581" w:type="dxa"/>
            <w:vMerge w:val="continue"/>
            <w:vAlign w:val="center"/>
          </w:tcPr>
          <w:p>
            <w:pPr>
              <w:jc w:val="center"/>
              <w:rPr>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pPr>
              <w:jc w:val="center"/>
              <w:rPr>
                <w:bCs/>
                <w:szCs w:val="21"/>
              </w:rPr>
            </w:pPr>
            <w:r>
              <w:rPr>
                <w:rFonts w:hint="eastAsia"/>
                <w:bCs/>
                <w:szCs w:val="21"/>
              </w:rPr>
              <w:t>3</w:t>
            </w:r>
          </w:p>
        </w:tc>
        <w:tc>
          <w:tcPr>
            <w:tcW w:w="920" w:type="dxa"/>
            <w:vAlign w:val="top"/>
          </w:tcPr>
          <w:p>
            <w:pPr>
              <w:jc w:val="center"/>
              <w:rPr>
                <w:bCs/>
                <w:szCs w:val="21"/>
              </w:rPr>
            </w:pPr>
            <w:r>
              <w:rPr>
                <w:rFonts w:hint="eastAsia" w:ascii="Times New Roman" w:hAnsi="Times New Roman" w:eastAsia="宋体" w:cs="Times New Roman"/>
                <w:bCs/>
                <w:szCs w:val="21"/>
              </w:rPr>
              <w:t>国际贸易单一窗口实训系统软件</w:t>
            </w:r>
          </w:p>
        </w:tc>
        <w:tc>
          <w:tcPr>
            <w:tcW w:w="635" w:type="dxa"/>
            <w:vAlign w:val="top"/>
          </w:tcPr>
          <w:p>
            <w:pPr>
              <w:jc w:val="center"/>
              <w:rPr>
                <w:bCs/>
                <w:szCs w:val="21"/>
              </w:rPr>
            </w:pPr>
          </w:p>
        </w:tc>
        <w:tc>
          <w:tcPr>
            <w:tcW w:w="715" w:type="dxa"/>
            <w:vAlign w:val="top"/>
          </w:tcPr>
          <w:p>
            <w:pPr>
              <w:jc w:val="center"/>
              <w:rPr>
                <w:bCs/>
                <w:szCs w:val="21"/>
              </w:rPr>
            </w:pPr>
          </w:p>
        </w:tc>
        <w:tc>
          <w:tcPr>
            <w:tcW w:w="697" w:type="dxa"/>
            <w:vAlign w:val="center"/>
          </w:tcPr>
          <w:p>
            <w:pPr>
              <w:jc w:val="center"/>
              <w:rPr>
                <w:bCs/>
                <w:szCs w:val="21"/>
              </w:rPr>
            </w:pPr>
          </w:p>
        </w:tc>
        <w:tc>
          <w:tcPr>
            <w:tcW w:w="838" w:type="dxa"/>
            <w:vAlign w:val="top"/>
          </w:tcPr>
          <w:p>
            <w:pPr>
              <w:jc w:val="center"/>
              <w:rPr>
                <w:bCs/>
                <w:szCs w:val="21"/>
              </w:rPr>
            </w:pPr>
          </w:p>
        </w:tc>
        <w:tc>
          <w:tcPr>
            <w:tcW w:w="538" w:type="dxa"/>
            <w:vAlign w:val="top"/>
          </w:tcPr>
          <w:p>
            <w:pPr>
              <w:jc w:val="center"/>
              <w:rPr>
                <w:bCs/>
                <w:szCs w:val="21"/>
              </w:rPr>
            </w:pPr>
            <w:r>
              <w:rPr>
                <w:rFonts w:hint="eastAsia" w:ascii="Times New Roman" w:hAnsi="Times New Roman" w:eastAsia="宋体" w:cs="Times New Roman"/>
                <w:bCs/>
                <w:szCs w:val="21"/>
                <w:lang w:val="en-US" w:eastAsia="zh-CN"/>
              </w:rPr>
              <w:t>1</w:t>
            </w:r>
          </w:p>
        </w:tc>
        <w:tc>
          <w:tcPr>
            <w:tcW w:w="512" w:type="dxa"/>
            <w:vAlign w:val="top"/>
          </w:tcPr>
          <w:p>
            <w:pPr>
              <w:jc w:val="center"/>
              <w:rPr>
                <w:bCs/>
                <w:szCs w:val="21"/>
              </w:rPr>
            </w:pPr>
            <w:r>
              <w:rPr>
                <w:rFonts w:hint="eastAsia" w:ascii="Times New Roman" w:hAnsi="Times New Roman" w:eastAsia="宋体" w:cs="Times New Roman"/>
                <w:bCs/>
                <w:szCs w:val="21"/>
                <w:lang w:val="en-US" w:eastAsia="zh-CN"/>
              </w:rPr>
              <w:t>套</w:t>
            </w:r>
          </w:p>
        </w:tc>
        <w:tc>
          <w:tcPr>
            <w:tcW w:w="944" w:type="dxa"/>
            <w:vAlign w:val="top"/>
          </w:tcPr>
          <w:p>
            <w:pPr>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251000</w:t>
            </w:r>
          </w:p>
        </w:tc>
        <w:tc>
          <w:tcPr>
            <w:tcW w:w="971" w:type="dxa"/>
            <w:vAlign w:val="center"/>
          </w:tcPr>
          <w:p>
            <w:pPr>
              <w:jc w:val="center"/>
              <w:rPr>
                <w:bCs/>
                <w:szCs w:val="21"/>
              </w:rPr>
            </w:pPr>
          </w:p>
        </w:tc>
        <w:tc>
          <w:tcPr>
            <w:tcW w:w="556" w:type="dxa"/>
            <w:vAlign w:val="center"/>
          </w:tcPr>
          <w:p>
            <w:pPr>
              <w:jc w:val="center"/>
              <w:rPr>
                <w:bCs/>
                <w:szCs w:val="21"/>
              </w:rPr>
            </w:pPr>
          </w:p>
        </w:tc>
        <w:tc>
          <w:tcPr>
            <w:tcW w:w="581" w:type="dxa"/>
            <w:vMerge w:val="continue"/>
            <w:vAlign w:val="center"/>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7" w:type="dxa"/>
            <w:gridSpan w:val="12"/>
            <w:vAlign w:val="center"/>
          </w:tcPr>
          <w:p>
            <w:pPr>
              <w:jc w:val="center"/>
              <w:rPr>
                <w:b/>
                <w:bCs/>
                <w:color w:val="FF0000"/>
                <w:szCs w:val="21"/>
              </w:rPr>
            </w:pPr>
            <w:r>
              <w:rPr>
                <w:rFonts w:hint="eastAsia"/>
                <w:bCs/>
                <w:szCs w:val="21"/>
              </w:rPr>
              <w:t>合计（即投标总价；币种：人民币；单位：元） 小写：            大写：</w:t>
            </w:r>
          </w:p>
        </w:tc>
      </w:tr>
    </w:tbl>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46"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46"/>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w:t>
      </w:r>
      <w:r>
        <w:rPr>
          <w:rFonts w:hint="eastAsia" w:ascii="宋体" w:hAnsi="宋体"/>
          <w:b/>
          <w:sz w:val="24"/>
          <w:highlight w:val="yellow"/>
          <w:lang w:eastAsia="zh-CN"/>
        </w:rPr>
        <w:t>预算金额（或设定的预算金额下的最高限价）</w:t>
      </w:r>
      <w:r>
        <w:rPr>
          <w:rFonts w:hint="eastAsia" w:ascii="宋体" w:hAnsi="宋体"/>
          <w:b/>
          <w:sz w:val="24"/>
        </w:rPr>
        <w:t>，否则将导致投标无效。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tabs>
          <w:tab w:val="left" w:pos="720"/>
        </w:tabs>
        <w:jc w:val="center"/>
        <w:rPr>
          <w:b/>
          <w:sz w:val="24"/>
        </w:rPr>
      </w:pPr>
      <w:r>
        <w:rPr>
          <w:rFonts w:hint="eastAsia"/>
          <w:b/>
          <w:sz w:val="24"/>
        </w:rPr>
        <w:t>（四）</w:t>
      </w:r>
      <w:bookmarkStart w:id="47" w:name="_Hlk72073235"/>
      <w:r>
        <w:rPr>
          <w:rFonts w:hint="eastAsia"/>
          <w:b/>
          <w:sz w:val="24"/>
        </w:rPr>
        <w:t>投标人认为需要涉及的其他内容报价清单</w:t>
      </w:r>
      <w:bookmarkEnd w:id="47"/>
    </w:p>
    <w:p>
      <w:pPr>
        <w:rPr>
          <w:highlight w:val="yellow"/>
        </w:rPr>
      </w:pPr>
    </w:p>
    <w:p>
      <w:pPr>
        <w:pStyle w:val="4"/>
        <w:jc w:val="center"/>
        <w:rPr>
          <w:rFonts w:hint="eastAsia" w:ascii="黑体" w:hAnsi="宋体" w:eastAsia="黑体" w:cs="Times New Roman"/>
          <w:b w:val="0"/>
          <w:sz w:val="24"/>
          <w:szCs w:val="24"/>
        </w:rPr>
      </w:pPr>
      <w:r>
        <w:rPr>
          <w:rFonts w:hint="eastAsia" w:ascii="黑体" w:hAnsi="宋体" w:eastAsia="黑体" w:cs="Times New Roman"/>
          <w:b w:val="0"/>
          <w:sz w:val="24"/>
          <w:szCs w:val="24"/>
          <w:lang w:val="en-US" w:eastAsia="zh-CN"/>
        </w:rPr>
        <w:t>五、</w:t>
      </w:r>
      <w:r>
        <w:rPr>
          <w:rFonts w:hint="eastAsia" w:ascii="黑体" w:hAnsi="宋体" w:eastAsia="黑体" w:cs="Times New Roman"/>
          <w:b w:val="0"/>
          <w:sz w:val="24"/>
          <w:szCs w:val="24"/>
        </w:rPr>
        <w:t>投标人近三年同类业绩</w:t>
      </w:r>
    </w:p>
    <w:p>
      <w:pPr>
        <w:ind w:firstLine="1446" w:firstLineChars="600"/>
        <w:rPr>
          <w:b/>
          <w:color w:val="FF0000"/>
          <w:sz w:val="24"/>
        </w:rPr>
      </w:pPr>
      <w:r>
        <w:rPr>
          <w:rFonts w:hint="eastAsia"/>
          <w:b/>
          <w:color w:val="FF0000"/>
          <w:sz w:val="24"/>
        </w:rPr>
        <w:t>（信息公开部分的内容到此为止！以下为信息不公开部分。）</w:t>
      </w:r>
    </w:p>
    <w:p>
      <w:pPr>
        <w:rPr>
          <w:rFonts w:hint="eastAsia" w:ascii="宋体" w:hAnsi="宋体"/>
          <w:b/>
          <w:color w:val="FF0000"/>
          <w:sz w:val="28"/>
          <w:szCs w:val="28"/>
        </w:rPr>
      </w:pPr>
      <w:r>
        <w:rPr>
          <w:rFonts w:hint="eastAsia" w:ascii="宋体" w:hAnsi="宋体"/>
          <w:b/>
          <w:color w:val="FF0000"/>
          <w:sz w:val="28"/>
          <w:szCs w:val="28"/>
        </w:rPr>
        <w:br w:type="page"/>
      </w:r>
    </w:p>
    <w:p>
      <w:pPr>
        <w:outlineLvl w:val="1"/>
        <w:rPr>
          <w:rFonts w:hint="eastAsia" w:ascii="宋体" w:hAnsi="宋体"/>
          <w:b/>
          <w:color w:val="FF0000"/>
          <w:sz w:val="28"/>
          <w:szCs w:val="28"/>
        </w:rPr>
      </w:pPr>
      <w:r>
        <w:rPr>
          <w:rFonts w:hint="eastAsia" w:ascii="宋体" w:hAnsi="宋体"/>
          <w:b/>
          <w:color w:val="FF0000"/>
          <w:sz w:val="28"/>
          <w:szCs w:val="28"/>
        </w:rPr>
        <w:t>投标文件附件（信息不公开部分）</w:t>
      </w:r>
    </w:p>
    <w:p>
      <w:pPr>
        <w:widowControl w:val="0"/>
        <w:ind w:firstLine="2640" w:firstLineChars="1100"/>
        <w:jc w:val="both"/>
        <w:outlineLvl w:val="3"/>
        <w:rPr>
          <w:rFonts w:hint="eastAsia" w:ascii="黑体" w:hAnsi="宋体" w:eastAsia="黑体" w:cs="Times New Roman"/>
          <w:b w:val="0"/>
          <w:bCs/>
          <w:kern w:val="2"/>
          <w:sz w:val="24"/>
          <w:szCs w:val="32"/>
          <w:lang w:val="en-US" w:eastAsia="zh-CN" w:bidi="ar-SA"/>
        </w:rPr>
      </w:pPr>
      <w:r>
        <w:rPr>
          <w:rFonts w:hint="eastAsia" w:ascii="黑体" w:hAnsi="宋体" w:eastAsia="黑体" w:cs="Times New Roman"/>
          <w:b w:val="0"/>
          <w:bCs/>
          <w:kern w:val="2"/>
          <w:sz w:val="24"/>
          <w:szCs w:val="32"/>
          <w:lang w:val="en-US" w:eastAsia="zh-CN" w:bidi="ar-SA"/>
        </w:rPr>
        <w:t>一、供应商基本情况表</w:t>
      </w:r>
    </w:p>
    <w:p>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43"/>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53"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53"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82" w:type="dxa"/>
            <w:gridSpan w:val="2"/>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7" w:type="dxa"/>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91" w:type="dxa"/>
            <w:gridSpan w:val="2"/>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82" w:type="dxa"/>
            <w:gridSpan w:val="2"/>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947"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82"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947"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82" w:type="dxa"/>
            <w:gridSpan w:val="2"/>
            <w:noWrap w:val="0"/>
            <w:vAlign w:val="center"/>
          </w:tcPr>
          <w:p>
            <w:pPr>
              <w:pStyle w:val="8"/>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947"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pPr>
              <w:jc w:val="left"/>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82" w:type="dxa"/>
            <w:gridSpan w:val="2"/>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pStyle w:val="4"/>
        <w:jc w:val="center"/>
        <w:rPr>
          <w:rFonts w:ascii="黑体" w:eastAsia="黑体"/>
          <w:b w:val="0"/>
          <w:sz w:val="24"/>
        </w:rPr>
      </w:pPr>
      <w:r>
        <w:rPr>
          <w:rFonts w:hint="eastAsia" w:ascii="黑体" w:eastAsia="黑体"/>
          <w:b w:val="0"/>
          <w:sz w:val="24"/>
          <w:lang w:val="en-US" w:eastAsia="zh-CN"/>
        </w:rPr>
        <w:t>二</w:t>
      </w:r>
      <w:r>
        <w:rPr>
          <w:rFonts w:hint="eastAsia" w:ascii="黑体" w:eastAsia="黑体"/>
          <w:b w:val="0"/>
          <w:sz w:val="24"/>
        </w:rPr>
        <w:t>、</w:t>
      </w:r>
      <w:bookmarkStart w:id="48" w:name="_Hlk72092499"/>
      <w:r>
        <w:rPr>
          <w:rFonts w:hint="eastAsia" w:ascii="黑体" w:eastAsia="黑体"/>
          <w:b w:val="0"/>
          <w:sz w:val="24"/>
        </w:rPr>
        <w:t>法定代表人（负责人）证明书</w:t>
      </w:r>
      <w:bookmarkEnd w:id="48"/>
    </w:p>
    <w:p>
      <w:pPr>
        <w:rPr>
          <w:sz w:val="24"/>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eastAsia="宋体"/>
          <w:szCs w:val="21"/>
          <w:lang w:val="en-US" w:eastAsia="zh-CN"/>
        </w:rPr>
      </w:pPr>
      <w:r>
        <w:rPr>
          <w:rFonts w:hint="eastAsia"/>
          <w:szCs w:val="21"/>
        </w:rPr>
        <w:t xml:space="preserve">  </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eastAsia="宋体"/>
          <w:szCs w:val="21"/>
          <w:u w:val="none"/>
          <w:lang w:eastAsia="zh-CN"/>
        </w:rPr>
        <w:t>（</w:t>
      </w:r>
      <w:r>
        <w:rPr>
          <w:rFonts w:hint="eastAsia" w:ascii="Times New Roman" w:eastAsia="宋体"/>
          <w:szCs w:val="21"/>
          <w:u w:val="none"/>
          <w:lang w:val="en-US" w:eastAsia="zh-CN"/>
        </w:rPr>
        <w:t>姓名</w:t>
      </w:r>
      <w:r>
        <w:rPr>
          <w:rFonts w:hint="eastAsia" w:eastAsia="宋体"/>
          <w:szCs w:val="21"/>
          <w:u w:val="none"/>
          <w:lang w:eastAsia="zh-CN"/>
        </w:rPr>
        <w:t>）</w:t>
      </w:r>
      <w:r>
        <w:rPr>
          <w:rFonts w:hint="eastAsia"/>
          <w:szCs w:val="21"/>
        </w:rPr>
        <w:t>，现任我单位</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ascii="Times New Roman" w:eastAsia="宋体"/>
          <w:szCs w:val="21"/>
          <w:lang w:val="en-US" w:eastAsia="zh-CN"/>
        </w:rPr>
        <w:t>身份证件</w:t>
      </w:r>
      <w:r>
        <w:rPr>
          <w:rFonts w:hint="eastAsia"/>
          <w:szCs w:val="21"/>
        </w:rPr>
        <w:t>号</w:t>
      </w:r>
      <w:r>
        <w:rPr>
          <w:rFonts w:hint="eastAsia" w:ascii="Times New Roman" w:eastAsia="宋体"/>
          <w:szCs w:val="21"/>
          <w:lang w:val="en-US" w:eastAsia="zh-CN"/>
        </w:rPr>
        <w:t>为</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联系电话：</w:t>
      </w:r>
      <w:r>
        <w:rPr>
          <w:rFonts w:hint="eastAsia" w:ascii="Times New Roman" w:eastAsia="宋体"/>
          <w:szCs w:val="21"/>
          <w:u w:val="single"/>
          <w:lang w:val="en-US" w:eastAsia="zh-CN"/>
        </w:rPr>
        <w:t xml:space="preserve">                </w:t>
      </w:r>
      <w:r>
        <w:rPr>
          <w:rFonts w:hint="eastAsia" w:ascii="Times New Roman" w:eastAsia="宋体"/>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rFonts w:hint="eastAsia"/>
          <w:szCs w:val="21"/>
        </w:rPr>
        <w:t>特此证明。</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Cs w:val="21"/>
        </w:rPr>
      </w:pPr>
      <w:r>
        <w:rPr>
          <w:rFonts w:hint="eastAsia"/>
          <w:szCs w:val="21"/>
        </w:rPr>
        <w:t>说明：1、法定代表人为投标人（企业事业单位、国家机关、社会团体）的主要行政负责人。</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firstLine="420" w:firstLineChars="200"/>
        <w:textAlignment w:val="auto"/>
        <w:rPr>
          <w:rFonts w:hint="eastAsia"/>
          <w:color w:val="auto"/>
          <w:szCs w:val="21"/>
          <w:lang w:val="en-US" w:eastAsia="zh-CN"/>
        </w:rPr>
      </w:pPr>
      <w:r>
        <w:rPr>
          <w:rFonts w:hint="eastAsia" w:eastAsia="宋体"/>
          <w:color w:val="auto"/>
          <w:szCs w:val="21"/>
          <w:lang w:eastAsia="zh-Hans"/>
        </w:rPr>
        <w:t>本证明书要供法定代表人（负责人）</w:t>
      </w:r>
      <w:r>
        <w:rPr>
          <w:rFonts w:hint="eastAsia" w:ascii="Times New Roman" w:eastAsia="宋体"/>
          <w:color w:val="auto"/>
          <w:szCs w:val="21"/>
          <w:lang w:val="en-US" w:eastAsia="zh-CN"/>
        </w:rPr>
        <w:t>相关身份证明文件：身份证扫描件（正反两面）；港澳台居民可提供来往通行证扫描件；非中国国籍管辖范围人员，可提供公安部门认可的身份证明材料扫描件。</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firstLine="420" w:firstLineChars="200"/>
        <w:textAlignment w:val="auto"/>
        <w:rPr>
          <w:szCs w:val="21"/>
        </w:rPr>
      </w:pPr>
      <w:r>
        <w:rPr>
          <w:rFonts w:hint="eastAsia" w:eastAsia="宋体"/>
          <w:color w:val="auto"/>
          <w:szCs w:val="21"/>
          <w:lang w:eastAsia="zh-Hans"/>
        </w:rPr>
        <w:t>本项目投标授权代表为法定代表人（负责人）的，无需提供</w:t>
      </w:r>
      <w:r>
        <w:rPr>
          <w:rFonts w:hint="eastAsia"/>
          <w:color w:val="auto"/>
          <w:szCs w:val="21"/>
        </w:rPr>
        <w:t>《投标文件签署授权委托书》</w:t>
      </w:r>
      <w:r>
        <w:rPr>
          <w:rFonts w:hint="eastAsia" w:eastAsia="宋体"/>
          <w:color w:val="auto"/>
          <w:szCs w:val="21"/>
          <w:lang w:eastAsia="zh-Hans"/>
        </w:rPr>
        <w:t>。</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firstLine="420" w:firstLineChars="200"/>
        <w:textAlignment w:val="auto"/>
        <w:rPr>
          <w:szCs w:val="21"/>
        </w:rPr>
      </w:pPr>
      <w:r>
        <w:rPr>
          <w:rFonts w:hint="eastAsia"/>
          <w:szCs w:val="21"/>
        </w:rPr>
        <w:t>内容必须填写真实、清楚，涂改无效，不得转让、买卖。</w:t>
      </w:r>
    </w:p>
    <w:tbl>
      <w:tblPr>
        <w:tblStyle w:val="43"/>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Times New Roman" w:eastAsia="宋体"/>
                <w:lang w:val="en-US" w:eastAsia="zh-CN"/>
              </w:rPr>
              <w:t>证件扫描件正面</w:t>
            </w:r>
          </w:p>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p>
        </w:tc>
        <w:tc>
          <w:tcPr>
            <w:tcW w:w="426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Times New Roman" w:eastAsia="宋体"/>
                <w:lang w:val="en-US" w:eastAsia="zh-CN"/>
              </w:rPr>
              <w:t>证件扫描件反面</w:t>
            </w:r>
          </w:p>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vertAlign w:val="baseline"/>
                <w:lang w:val="en-US" w:eastAsia="zh-CN"/>
              </w:rPr>
            </w:pPr>
          </w:p>
        </w:tc>
      </w:tr>
    </w:tbl>
    <w:p>
      <w:pPr>
        <w:ind w:firstLine="480" w:firstLineChars="200"/>
        <w:rPr>
          <w:sz w:val="24"/>
        </w:rPr>
      </w:pPr>
    </w:p>
    <w:p>
      <w:pPr>
        <w:rPr>
          <w:b/>
          <w:bCs/>
          <w:sz w:val="24"/>
        </w:rPr>
      </w:pPr>
    </w:p>
    <w:p>
      <w:pPr>
        <w:pStyle w:val="4"/>
        <w:spacing w:before="120" w:after="120"/>
        <w:jc w:val="center"/>
        <w:rPr>
          <w:rFonts w:ascii="黑体" w:eastAsia="黑体"/>
          <w:b w:val="0"/>
          <w:sz w:val="24"/>
        </w:rPr>
      </w:pPr>
      <w:r>
        <w:rPr>
          <w:rFonts w:hint="eastAsia" w:ascii="黑体" w:eastAsia="黑体"/>
          <w:b w:val="0"/>
          <w:sz w:val="24"/>
          <w:lang w:val="en-US" w:eastAsia="zh-CN"/>
        </w:rPr>
        <w:t>三</w:t>
      </w:r>
      <w:r>
        <w:rPr>
          <w:rFonts w:hint="eastAsia" w:ascii="黑体" w:eastAsia="黑体"/>
          <w:b w:val="0"/>
          <w:sz w:val="24"/>
        </w:rPr>
        <w:t>、投标文件签署授权委托书</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Cs w:val="21"/>
        </w:rPr>
      </w:pPr>
      <w:r>
        <w:rPr>
          <w:rFonts w:hint="eastAsia"/>
          <w:szCs w:val="21"/>
        </w:rPr>
        <w:t>代理人无转委托权，特此委托。</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Cs w:val="21"/>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Cs w:val="21"/>
          <w:u w:val="none"/>
          <w:lang w:eastAsia="zh-CN"/>
        </w:rPr>
      </w:pPr>
      <w:r>
        <w:rPr>
          <w:rFonts w:hint="eastAsia"/>
          <w:szCs w:val="21"/>
        </w:rPr>
        <w:t>代理人</w:t>
      </w:r>
      <w:r>
        <w:rPr>
          <w:rFonts w:hint="eastAsia" w:eastAsia="宋体"/>
          <w:szCs w:val="21"/>
          <w:lang w:eastAsia="zh-CN"/>
        </w:rPr>
        <w:t>：</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Cs w:val="21"/>
          <w:u w:val="none"/>
          <w:lang w:eastAsia="zh-CN"/>
        </w:rPr>
      </w:pPr>
      <w:r>
        <w:rPr>
          <w:rFonts w:hint="eastAsia"/>
          <w:szCs w:val="21"/>
        </w:rPr>
        <w:t>身份</w:t>
      </w:r>
      <w:r>
        <w:rPr>
          <w:rFonts w:hint="eastAsia" w:ascii="Times New Roman" w:eastAsia="宋体"/>
          <w:szCs w:val="21"/>
          <w:lang w:val="en-US" w:eastAsia="zh-CN"/>
        </w:rPr>
        <w:t>证件号</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职务：</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szCs w:val="21"/>
          <w:u w:val="none"/>
          <w:lang w:val="en-US" w:eastAsia="zh-CN"/>
        </w:rPr>
      </w:pPr>
      <w:r>
        <w:rPr>
          <w:rFonts w:hint="eastAsia"/>
          <w:szCs w:val="21"/>
        </w:rPr>
        <w:t>联系电话：</w:t>
      </w:r>
      <w:r>
        <w:rPr>
          <w:rFonts w:hint="eastAsia"/>
          <w:szCs w:val="21"/>
          <w:u w:val="single"/>
        </w:rPr>
        <w:t xml:space="preserve">         </w:t>
      </w:r>
      <w:r>
        <w:rPr>
          <w:rFonts w:hint="eastAsia" w:eastAsia="宋体"/>
          <w:szCs w:val="21"/>
          <w:lang w:eastAsia="zh-CN"/>
        </w:rPr>
        <w:t>，</w:t>
      </w:r>
      <w:r>
        <w:rPr>
          <w:rFonts w:hint="eastAsia"/>
          <w:szCs w:val="21"/>
        </w:rPr>
        <w:t>手机：</w:t>
      </w:r>
      <w:r>
        <w:rPr>
          <w:rFonts w:hint="eastAsia"/>
          <w:szCs w:val="21"/>
          <w:u w:val="single"/>
        </w:rPr>
        <w:t xml:space="preserve">                </w:t>
      </w:r>
      <w:r>
        <w:rPr>
          <w:rFonts w:hint="eastAsia" w:eastAsia="宋体"/>
          <w:szCs w:val="21"/>
          <w:u w:val="none"/>
          <w:lang w:eastAsia="zh-CN"/>
        </w:rPr>
        <w:t>，</w:t>
      </w:r>
      <w:r>
        <w:rPr>
          <w:rFonts w:hint="eastAsia" w:ascii="Times New Roman" w:eastAsia="宋体"/>
          <w:szCs w:val="21"/>
          <w:u w:val="none"/>
          <w:lang w:val="en-US" w:eastAsia="zh-CN"/>
        </w:rPr>
        <w:t>电子邮箱：</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eastAsia="宋体"/>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b/>
          <w:color w:val="FF0000"/>
          <w:szCs w:val="21"/>
        </w:rPr>
      </w:pPr>
      <w:r>
        <w:rPr>
          <w:rFonts w:hint="eastAsia"/>
          <w:b/>
          <w:color w:val="FF0000"/>
          <w:szCs w:val="21"/>
        </w:rPr>
        <w:t>附：</w:t>
      </w:r>
      <w:r>
        <w:rPr>
          <w:rFonts w:hint="eastAsia"/>
          <w:b/>
          <w:color w:val="FF0000"/>
          <w:szCs w:val="21"/>
          <w:lang w:val="en-US" w:eastAsia="zh-CN"/>
        </w:rPr>
        <w:t>1.</w:t>
      </w:r>
      <w:r>
        <w:rPr>
          <w:rFonts w:hint="eastAsia"/>
          <w:b/>
          <w:color w:val="FF0000"/>
          <w:szCs w:val="21"/>
        </w:rPr>
        <w:t>请提供代理人身份证扫描件（正反两面）；港澳台居民可提供来往通行证扫描件；非中国国籍管辖范围人员，可提供公安部门认可的身份证明材料扫描件。</w:t>
      </w:r>
    </w:p>
    <w:p>
      <w:pPr>
        <w:pStyle w:val="2"/>
        <w:numPr>
          <w:ilvl w:val="0"/>
          <w:numId w:val="11"/>
        </w:numPr>
        <w:ind w:left="600" w:leftChars="0" w:firstLine="0" w:firstLineChars="0"/>
        <w:rPr>
          <w:rFonts w:hint="eastAsia" w:ascii="Times New Roman" w:hAnsi="Times New Roman" w:eastAsia="宋体" w:cs="Times New Roman"/>
          <w:b/>
          <w:bCs w:val="0"/>
          <w:color w:val="FF0000"/>
          <w:kern w:val="2"/>
          <w:sz w:val="21"/>
          <w:szCs w:val="21"/>
          <w:highlight w:val="yellow"/>
          <w:lang w:val="en-US" w:eastAsia="zh-CN" w:bidi="ar-SA"/>
        </w:rPr>
      </w:pPr>
      <w:r>
        <w:rPr>
          <w:rFonts w:hint="eastAsia" w:ascii="Times New Roman" w:hAnsi="Times New Roman" w:eastAsia="宋体" w:cs="Times New Roman"/>
          <w:b/>
          <w:bCs w:val="0"/>
          <w:color w:val="FF0000"/>
          <w:kern w:val="2"/>
          <w:sz w:val="21"/>
          <w:szCs w:val="21"/>
          <w:highlight w:val="yellow"/>
          <w:lang w:val="en-US" w:eastAsia="zh-CN" w:bidi="ar-SA"/>
        </w:rPr>
        <w:t>提供</w:t>
      </w:r>
      <w:r>
        <w:rPr>
          <w:rFonts w:hint="eastAsia" w:ascii="Times New Roman" w:hAnsi="Times New Roman" w:eastAsia="宋体" w:cs="Times New Roman"/>
          <w:b/>
          <w:color w:val="FF0000"/>
          <w:kern w:val="2"/>
          <w:sz w:val="21"/>
          <w:szCs w:val="21"/>
          <w:highlight w:val="yellow"/>
          <w:lang w:val="en-US" w:eastAsia="zh-CN" w:bidi="ar-SA"/>
        </w:rPr>
        <w:t>法定代表人</w:t>
      </w:r>
      <w:r>
        <w:rPr>
          <w:rFonts w:hint="eastAsia" w:ascii="Times New Roman" w:hAnsi="Times New Roman" w:eastAsia="宋体" w:cs="Times New Roman"/>
          <w:b/>
          <w:bCs w:val="0"/>
          <w:color w:val="FF0000"/>
          <w:kern w:val="2"/>
          <w:sz w:val="21"/>
          <w:szCs w:val="21"/>
          <w:highlight w:val="yellow"/>
          <w:lang w:val="en-US" w:eastAsia="zh-CN" w:bidi="ar-SA"/>
        </w:rPr>
        <w:t>近一个月的社保证明材料</w:t>
      </w:r>
      <w:r>
        <w:rPr>
          <w:rFonts w:hint="eastAsia" w:cs="Times New Roman"/>
          <w:b/>
          <w:bCs w:val="0"/>
          <w:color w:val="FF0000"/>
          <w:kern w:val="2"/>
          <w:sz w:val="21"/>
          <w:szCs w:val="21"/>
          <w:highlight w:val="yellow"/>
          <w:lang w:val="en-US" w:eastAsia="zh-CN" w:bidi="ar-SA"/>
        </w:rPr>
        <w:t>，以及</w:t>
      </w:r>
      <w:r>
        <w:rPr>
          <w:rFonts w:hint="eastAsia" w:ascii="Times New Roman" w:hAnsi="Times New Roman" w:eastAsia="宋体" w:cs="Times New Roman"/>
          <w:b/>
          <w:bCs w:val="0"/>
          <w:color w:val="FF0000"/>
          <w:kern w:val="2"/>
          <w:sz w:val="21"/>
          <w:szCs w:val="21"/>
          <w:highlight w:val="yellow"/>
          <w:lang w:val="en-US" w:eastAsia="zh-CN" w:bidi="ar-SA"/>
        </w:rPr>
        <w:t>投标人为授权代表缴纳的近一个月的社保证明材料</w:t>
      </w:r>
    </w:p>
    <w:p>
      <w:pPr>
        <w:pStyle w:val="35"/>
        <w:numPr>
          <w:ilvl w:val="0"/>
          <w:numId w:val="11"/>
        </w:numPr>
        <w:ind w:left="600" w:leftChars="0" w:firstLine="0" w:firstLineChars="0"/>
        <w:rPr>
          <w:rFonts w:hint="default" w:ascii="Times New Roman" w:hAnsi="Times New Roman" w:eastAsia="宋体" w:cs="Times New Roman"/>
          <w:b/>
          <w:color w:val="FF0000"/>
          <w:kern w:val="2"/>
          <w:sz w:val="21"/>
          <w:szCs w:val="21"/>
          <w:highlight w:val="yellow"/>
          <w:lang w:val="en-US" w:eastAsia="zh-CN" w:bidi="ar-SA"/>
        </w:rPr>
      </w:pPr>
      <w:r>
        <w:rPr>
          <w:rFonts w:hint="eastAsia" w:ascii="Times New Roman" w:hAnsi="Times New Roman" w:eastAsia="宋体" w:cs="Times New Roman"/>
          <w:b/>
          <w:color w:val="FF0000"/>
          <w:kern w:val="2"/>
          <w:sz w:val="21"/>
          <w:szCs w:val="21"/>
          <w:highlight w:val="yellow"/>
          <w:lang w:val="en-US" w:eastAsia="zh-CN" w:bidi="ar-SA"/>
        </w:rPr>
        <w:t>若供应商成立不足一个月，需提供成立情况说明函（格式自拟），无需提供相关人员社保</w:t>
      </w:r>
    </w:p>
    <w:p>
      <w:pPr>
        <w:pStyle w:val="2"/>
      </w:pPr>
    </w:p>
    <w:tbl>
      <w:tblPr>
        <w:tblStyle w:val="43"/>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Times New Roman" w:eastAsia="宋体"/>
                <w:lang w:val="en-US" w:eastAsia="zh-CN"/>
              </w:rPr>
              <w:t>证件扫描件正面</w:t>
            </w:r>
          </w:p>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p>
        </w:tc>
        <w:tc>
          <w:tcPr>
            <w:tcW w:w="426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Times New Roman" w:eastAsia="宋体"/>
                <w:lang w:val="en-US" w:eastAsia="zh-CN"/>
              </w:rPr>
              <w:t>证件扫描件反面</w:t>
            </w:r>
          </w:p>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vertAlign w:val="baseline"/>
                <w:lang w:val="en-US" w:eastAsia="zh-CN"/>
              </w:rPr>
            </w:pPr>
          </w:p>
        </w:tc>
      </w:tr>
    </w:tbl>
    <w:p>
      <w:pPr>
        <w:pStyle w:val="4"/>
        <w:jc w:val="center"/>
        <w:rPr>
          <w:rFonts w:ascii="黑体" w:eastAsia="黑体"/>
          <w:b w:val="0"/>
          <w:kern w:val="0"/>
          <w:sz w:val="24"/>
          <w:szCs w:val="24"/>
        </w:rPr>
      </w:pPr>
      <w:r>
        <w:rPr>
          <w:rFonts w:hint="eastAsia" w:ascii="黑体" w:eastAsia="黑体"/>
          <w:b w:val="0"/>
          <w:kern w:val="0"/>
          <w:sz w:val="24"/>
          <w:szCs w:val="24"/>
          <w:lang w:val="en-US" w:eastAsia="zh-CN"/>
        </w:rPr>
        <w:t>四</w:t>
      </w:r>
      <w:r>
        <w:rPr>
          <w:rFonts w:hint="eastAsia" w:ascii="黑体" w:eastAsia="黑体"/>
          <w:b w:val="0"/>
          <w:kern w:val="0"/>
          <w:sz w:val="24"/>
          <w:szCs w:val="24"/>
        </w:rPr>
        <w:t>、</w:t>
      </w:r>
      <w:bookmarkStart w:id="49" w:name="_Hlk72092634"/>
      <w:r>
        <w:rPr>
          <w:rFonts w:hint="eastAsia" w:ascii="黑体" w:eastAsia="黑体"/>
          <w:b w:val="0"/>
          <w:kern w:val="0"/>
          <w:sz w:val="24"/>
          <w:szCs w:val="24"/>
        </w:rPr>
        <w:t>实质性条款响应情况表</w:t>
      </w:r>
      <w:bookmarkEnd w:id="49"/>
    </w:p>
    <w:tbl>
      <w:tblPr>
        <w:tblStyle w:val="4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3514"/>
        <w:gridCol w:w="1559"/>
        <w:gridCol w:w="1276"/>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50" w:name="_Hlk72092651"/>
            <w:r>
              <w:rPr>
                <w:rFonts w:hint="eastAsia" w:ascii="宋体" w:hAnsi="宋体"/>
                <w:kern w:val="0"/>
                <w:szCs w:val="21"/>
              </w:rPr>
              <w:t>序号</w:t>
            </w:r>
          </w:p>
        </w:tc>
        <w:tc>
          <w:tcPr>
            <w:tcW w:w="351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59"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276"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163"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5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3514" w:type="dxa"/>
          </w:tcPr>
          <w:p>
            <w:pPr>
              <w:adjustRightInd w:val="0"/>
              <w:snapToGrid w:val="0"/>
              <w:spacing w:line="360" w:lineRule="auto"/>
              <w:jc w:val="left"/>
              <w:rPr>
                <w:rFonts w:hAnsi="宋体"/>
                <w:kern w:val="0"/>
                <w:szCs w:val="21"/>
              </w:rPr>
            </w:pPr>
            <w:r>
              <w:rPr>
                <w:rFonts w:hint="eastAsia"/>
              </w:rPr>
              <w:t>满足本项目标★的条款要求</w:t>
            </w:r>
          </w:p>
        </w:tc>
        <w:tc>
          <w:tcPr>
            <w:tcW w:w="1559" w:type="dxa"/>
          </w:tcPr>
          <w:p>
            <w:pPr>
              <w:adjustRightInd w:val="0"/>
              <w:snapToGrid w:val="0"/>
              <w:spacing w:line="360" w:lineRule="auto"/>
              <w:rPr>
                <w:rFonts w:ascii="宋体" w:hAnsi="宋体"/>
                <w:kern w:val="0"/>
                <w:szCs w:val="21"/>
              </w:rPr>
            </w:pPr>
          </w:p>
        </w:tc>
        <w:tc>
          <w:tcPr>
            <w:tcW w:w="1276" w:type="dxa"/>
          </w:tcPr>
          <w:p>
            <w:pPr>
              <w:adjustRightInd w:val="0"/>
              <w:snapToGrid w:val="0"/>
              <w:spacing w:line="360" w:lineRule="auto"/>
              <w:rPr>
                <w:rFonts w:ascii="宋体" w:hAnsi="宋体"/>
                <w:kern w:val="0"/>
                <w:szCs w:val="21"/>
              </w:rPr>
            </w:pPr>
          </w:p>
        </w:tc>
        <w:tc>
          <w:tcPr>
            <w:tcW w:w="1163" w:type="dxa"/>
          </w:tcPr>
          <w:p>
            <w:pPr>
              <w:adjustRightInd w:val="0"/>
              <w:snapToGrid w:val="0"/>
              <w:spacing w:line="360" w:lineRule="auto"/>
              <w:rPr>
                <w:rFonts w:ascii="宋体" w:hAnsi="宋体"/>
                <w:kern w:val="0"/>
                <w:szCs w:val="21"/>
              </w:rPr>
            </w:pPr>
          </w:p>
        </w:tc>
      </w:tr>
    </w:tbl>
    <w:p>
      <w:pPr>
        <w:ind w:firstLine="482" w:firstLineChars="200"/>
        <w:rPr>
          <w:rFonts w:hint="eastAsia"/>
          <w:b/>
          <w:sz w:val="24"/>
          <w:szCs w:val="22"/>
        </w:rPr>
      </w:pPr>
      <w:r>
        <w:rPr>
          <w:rFonts w:hint="eastAsia"/>
          <w:b/>
          <w:sz w:val="24"/>
          <w:szCs w:val="22"/>
        </w:rPr>
        <w:t>注：1.上表所列各项均为不可负偏离条款。</w:t>
      </w:r>
    </w:p>
    <w:p>
      <w:pPr>
        <w:ind w:firstLine="482" w:firstLineChars="200"/>
        <w:rPr>
          <w:rFonts w:hint="eastAsia"/>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rFonts w:hint="eastAsia"/>
          <w:b/>
          <w:sz w:val="24"/>
          <w:szCs w:val="22"/>
        </w:rPr>
      </w:pPr>
      <w:r>
        <w:rPr>
          <w:rFonts w:hint="eastAsia"/>
          <w:b/>
          <w:sz w:val="24"/>
          <w:szCs w:val="22"/>
        </w:rPr>
        <w:t>3.“偏离情况”一栏应填写“正偏离”、“负偏离”或“无偏离”，“正偏离”表示“投标响应优于实质性条款具体内容要求”，“负偏离”表示“投标响应不满足实质性条款具体内容要求”，“无偏离”表示“投标响应与实质性条款具体内容要求一致”。</w:t>
      </w:r>
    </w:p>
    <w:p>
      <w:pPr>
        <w:ind w:firstLine="482" w:firstLineChars="200"/>
        <w:rPr>
          <w:rFonts w:hint="eastAsia"/>
          <w:b/>
          <w:sz w:val="24"/>
          <w:szCs w:val="22"/>
        </w:rPr>
      </w:pPr>
      <w:r>
        <w:rPr>
          <w:rFonts w:hint="eastAsia"/>
          <w:b/>
          <w:sz w:val="24"/>
          <w:szCs w:val="22"/>
        </w:rPr>
        <w:t>4.评审委员会有权对投标响应情况作出判断（作出评审结论）。</w:t>
      </w:r>
    </w:p>
    <w:p>
      <w:pPr>
        <w:ind w:firstLine="482" w:firstLineChars="200"/>
        <w:rPr>
          <w:rFonts w:hint="eastAsia"/>
          <w:b/>
          <w:sz w:val="24"/>
          <w:szCs w:val="22"/>
        </w:rPr>
      </w:pPr>
      <w:r>
        <w:rPr>
          <w:rFonts w:hint="eastAsia"/>
          <w:b/>
          <w:sz w:val="24"/>
          <w:szCs w:val="22"/>
        </w:rPr>
        <w:t>5.实质性响应条款“投标响应情况”与投标文件其它内容冲突的，以实质性响应条款“投标响应情况”为准。</w:t>
      </w:r>
    </w:p>
    <w:p>
      <w:pPr>
        <w:ind w:firstLine="482" w:firstLineChars="200"/>
        <w:rPr>
          <w:b/>
          <w:sz w:val="24"/>
        </w:rPr>
      </w:pPr>
      <w:r>
        <w:rPr>
          <w:rFonts w:hint="eastAsia"/>
          <w:b/>
          <w:sz w:val="24"/>
          <w:szCs w:val="22"/>
        </w:rPr>
        <w:t>6.要求提供证明资料，在“说明”一栏中列明证明资料的位置,以便评审；未要求提供证明材料的，投标人可以不提供</w:t>
      </w:r>
      <w:r>
        <w:rPr>
          <w:rFonts w:hint="eastAsia"/>
          <w:b/>
          <w:sz w:val="24"/>
        </w:rPr>
        <w:t>。</w:t>
      </w:r>
    </w:p>
    <w:p>
      <w:r>
        <w:rPr>
          <w:rFonts w:hint="eastAsia"/>
          <w:b/>
          <w:bCs/>
          <w:color w:val="FF0000"/>
          <w:sz w:val="24"/>
          <w:highlight w:val="yellow"/>
          <w:lang w:val="en-US" w:eastAsia="zh-CN"/>
        </w:rPr>
        <w:t xml:space="preserve"> 7、投标人须提供“9.★具有基于真实的全球电子地图进行市场分析、公司选址及选择合作伙伴等相关操作；（提供软件界面截图）”要求的证明材料，否则做投标无效处理。</w:t>
      </w:r>
    </w:p>
    <w:p>
      <w:pPr>
        <w:rPr>
          <w:b/>
          <w:bCs/>
          <w:sz w:val="24"/>
        </w:rPr>
      </w:pPr>
    </w:p>
    <w:p>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38"/>
        <w:gridCol w:w="977"/>
        <w:gridCol w:w="5198"/>
        <w:gridCol w:w="566"/>
        <w:gridCol w:w="566"/>
        <w:gridCol w:w="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4" w:hRule="atLeast"/>
        </w:trPr>
        <w:tc>
          <w:tcPr>
            <w:tcW w:w="374" w:type="pct"/>
            <w:shd w:val="clear" w:color="auto" w:fill="auto"/>
            <w:noWrap/>
            <w:vAlign w:val="center"/>
          </w:tcPr>
          <w:p>
            <w:pPr>
              <w:keepNext w:val="0"/>
              <w:keepLines w:val="0"/>
              <w:widowControl/>
              <w:suppressLineNumbers w:val="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574"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货物</w:t>
            </w:r>
          </w:p>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名称</w:t>
            </w:r>
          </w:p>
        </w:tc>
        <w:tc>
          <w:tcPr>
            <w:tcW w:w="3050" w:type="pct"/>
            <w:shd w:val="clear" w:color="auto" w:fill="auto"/>
            <w:vAlign w:val="center"/>
          </w:tcPr>
          <w:p>
            <w:pPr>
              <w:jc w:val="center"/>
              <w:rPr>
                <w:rFonts w:hint="eastAsia" w:ascii="仿宋" w:hAnsi="仿宋" w:eastAsia="仿宋" w:cs="仿宋"/>
                <w:b/>
                <w:bCs/>
                <w:i w:val="0"/>
                <w:iCs w:val="0"/>
                <w:color w:val="000000"/>
                <w:sz w:val="21"/>
                <w:szCs w:val="21"/>
                <w:u w:val="none"/>
              </w:rPr>
            </w:pPr>
            <w:r>
              <w:rPr>
                <w:rFonts w:hint="eastAsia"/>
                <w:sz w:val="24"/>
              </w:rPr>
              <w:t>招标技术要求</w:t>
            </w:r>
          </w:p>
        </w:tc>
        <w:tc>
          <w:tcPr>
            <w:tcW w:w="332" w:type="pct"/>
            <w:shd w:val="clear" w:color="auto" w:fill="auto"/>
            <w:vAlign w:val="center"/>
          </w:tcPr>
          <w:p>
            <w:pPr>
              <w:jc w:val="center"/>
              <w:rPr>
                <w:rFonts w:hint="eastAsia"/>
                <w:color w:val="000000" w:themeColor="text1"/>
                <w:szCs w:val="21"/>
                <w14:textFill>
                  <w14:solidFill>
                    <w14:schemeClr w14:val="tx1"/>
                  </w14:solidFill>
                </w14:textFill>
              </w:rPr>
            </w:pPr>
            <w:r>
              <w:rPr>
                <w:rFonts w:hint="eastAsia"/>
                <w:sz w:val="24"/>
              </w:rPr>
              <w:t>投标技术响应</w:t>
            </w:r>
          </w:p>
        </w:tc>
        <w:tc>
          <w:tcPr>
            <w:tcW w:w="332" w:type="pct"/>
            <w:shd w:val="clear" w:color="auto" w:fill="auto"/>
            <w:vAlign w:val="center"/>
          </w:tcPr>
          <w:p>
            <w:pPr>
              <w:jc w:val="center"/>
              <w:rPr>
                <w:rFonts w:hint="eastAsia"/>
                <w:color w:val="000000" w:themeColor="text1"/>
                <w:szCs w:val="21"/>
                <w14:textFill>
                  <w14:solidFill>
                    <w14:schemeClr w14:val="tx1"/>
                  </w14:solidFill>
                </w14:textFill>
              </w:rPr>
            </w:pPr>
            <w:r>
              <w:rPr>
                <w:rFonts w:hint="eastAsia"/>
                <w:sz w:val="24"/>
              </w:rPr>
              <w:t>偏离情况</w:t>
            </w:r>
          </w:p>
        </w:tc>
        <w:tc>
          <w:tcPr>
            <w:tcW w:w="336" w:type="pct"/>
            <w:shd w:val="clear" w:color="auto" w:fill="auto"/>
            <w:vAlign w:val="center"/>
          </w:tcPr>
          <w:p>
            <w:pPr>
              <w:jc w:val="center"/>
              <w:rPr>
                <w:rFonts w:hint="eastAsia"/>
                <w:color w:val="000000" w:themeColor="text1"/>
                <w:szCs w:val="21"/>
                <w14:textFill>
                  <w14:solidFill>
                    <w14:schemeClr w14:val="tx1"/>
                  </w14:solidFill>
                </w14:textFill>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4" w:hRule="atLeast"/>
        </w:trPr>
        <w:tc>
          <w:tcPr>
            <w:tcW w:w="374"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74" w:type="pct"/>
            <w:vMerge w:val="restart"/>
            <w:shd w:val="clear" w:color="auto" w:fill="auto"/>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跨境供应链服务实战平台</w:t>
            </w:r>
          </w:p>
        </w:tc>
        <w:tc>
          <w:tcPr>
            <w:tcW w:w="4051" w:type="pct"/>
            <w:gridSpan w:val="4"/>
            <w:shd w:val="clear" w:color="auto" w:fill="auto"/>
            <w:vAlign w:val="center"/>
          </w:tcPr>
          <w:p>
            <w:pPr>
              <w:keepNext w:val="0"/>
              <w:keepLines w:val="0"/>
              <w:widowControl/>
              <w:suppressLineNumbers w:val="0"/>
              <w:jc w:val="both"/>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一、基础功能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1.提供教师及学生账号的设置及密码修改功能；</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2.采用即时战略的模式进行模拟演练，模拟进度以天为单位自动演进，在模拟过程中提供实时的团队数据分析以及团队内部的实时数据共享。</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3.▲实现团队之间竞争与合作的模拟，各参与团队间基于业务环节进行相互委托业务、执行结算操作等相关工作；（提供软件界面截图）</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4.实时展示模拟过程中出现的例如船期变更、航班变更、无法通关等业务异常消息，以及违约、欠款等消息的提醒。</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4051" w:type="pct"/>
            <w:gridSpan w:val="4"/>
            <w:shd w:val="clear" w:color="auto" w:fill="auto"/>
            <w:vAlign w:val="center"/>
          </w:tcPr>
          <w:p>
            <w:pPr>
              <w:keepNext w:val="0"/>
              <w:keepLines w:val="0"/>
              <w:widowControl/>
              <w:suppressLineNumbers w:val="0"/>
              <w:jc w:val="both"/>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二、教师功能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5.根据教学计划及参训学生人数，选择参与竞赛的团队、设置竞赛场次和竞赛时间、竞赛模拟周期等；</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6.▲根据课时安排设置模拟的暂停及启动模式，内容包括：按季度暂停、不暂停、手动启动、自动启动（可设置启动时间及间隔时长）等，其中自动启动还可设置启动时间和启动间隔；（提供软件界面截图）</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4051" w:type="pct"/>
            <w:gridSpan w:val="4"/>
            <w:shd w:val="clear" w:color="auto" w:fill="auto"/>
            <w:vAlign w:val="center"/>
          </w:tcPr>
          <w:p>
            <w:pPr>
              <w:keepNext w:val="0"/>
              <w:keepLines w:val="0"/>
              <w:widowControl/>
              <w:suppressLineNumbers w:val="0"/>
              <w:jc w:val="both"/>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三、实训功能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提供单证实训功能，包括海运报价单、空运报价单、海运提单、空运单证、装箱清单、商业发票、报关单，以及中欧班列专属运输单据等单据的制作，为学生了解国际供应链服务的基本内容提供基础实训；（提供软件界面截图）</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4"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8.以企业真实案例数据为基础，提供包括市场热图、城市资料、承运商资料等相关内容；</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10.基于多币种进行自动汇率结算，包括人民币、美元、欧元、卢布等主要货币；</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11.可实现公司的扩建功能，学生可以根据市场需求和公司发展目标，制定扩建计划和战略；</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12.▲展示不同城市设立公司后的人员薪资测算。（提供软件界面截图）</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13.实现各参与团队通过报价参与订单的竞争，并根据价格分数、负债分数、服务分数三项评价指标模拟营销过程中的市场竞争场景；</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14.▲实现在订单竞标阶段，支持学生提交相应服务，包括：干线运输、装卸服务、报关服务等增值服务方案，系统自动生成综合报价单；（提供软件界面截图）</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15.▲基于投资回报率、市场份额、服务准时率、现金周转率等供应链服务考核指标进行考核及评分，同时提供实时的指标看板；（提供软件界面截图）</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实现在模拟过程中与船公司、航空公司、铁路货运公司等大型承运商签署服务协议过程，协议内容包括：协议期限、最低订舱量、结算周期等协议条款，在教学过程中指导学生了解与船公司、航空公司、铁路货运公司等大型承运商的合作内容、协议条款以及相关限制条件；（提供软件界面截图）</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17.▲基于真实的全球电子地图，展现中欧班列铁路网络、国际海运路线、空运枢纽航线，真实模拟铁路运行周期、海运航程时效等关键物流参数；（提供软件界面截图）</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18.模拟供应链服务的全过程，包括：订舱、拖车、报关、末端运输等，帮助学生更全面地了解整个服务的流程；并提供服务跟踪功能，以流程图的方式提供基于订单的全流程跟踪；</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4051" w:type="pct"/>
            <w:gridSpan w:val="4"/>
            <w:shd w:val="clear" w:color="auto" w:fill="auto"/>
            <w:vAlign w:val="center"/>
          </w:tcPr>
          <w:p>
            <w:pPr>
              <w:keepNext w:val="0"/>
              <w:keepLines w:val="0"/>
              <w:widowControl/>
              <w:suppressLineNumbers w:val="0"/>
              <w:jc w:val="both"/>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四、分析功能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19.提供收入成本分析，帮助学生实时分析模拟企业在对抗中的收入、成本、利润等财务数据；</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20.提供市场营销分析；</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21.提供业务订单分析；</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22.提供成本结构分析</w:t>
            </w:r>
            <w:r>
              <w:rPr>
                <w:rStyle w:val="203"/>
                <w:lang w:val="en-US" w:eastAsia="zh-CN" w:bidi="ar"/>
              </w:rPr>
              <w:t>。</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4051" w:type="pct"/>
            <w:gridSpan w:val="4"/>
            <w:shd w:val="clear" w:color="auto" w:fill="auto"/>
            <w:vAlign w:val="center"/>
          </w:tcPr>
          <w:p>
            <w:pPr>
              <w:keepNext w:val="0"/>
              <w:keepLines w:val="0"/>
              <w:widowControl/>
              <w:suppressLineNumbers w:val="0"/>
              <w:jc w:val="both"/>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五、其它要求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23.平台为B／S架构，免客户端安装，仅需浏览器即可使用，教师在使用过程中不受实训场地的限制；</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24.使用免费数据库MySQL；</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25.为保证产品质量应拥有软件著作权和软件测试报告；</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050"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26.提供完整的用户手册、操作视频，并提供配套的培训服务。</w:t>
            </w: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74"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外贸实务教学系统软件</w:t>
            </w:r>
          </w:p>
        </w:tc>
        <w:tc>
          <w:tcPr>
            <w:tcW w:w="4051" w:type="pct"/>
            <w:gridSpan w:val="4"/>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学生端功能：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1.采用B/S 架构。可架构于Internet/Intranet（互联网/局域网），通过浏览器均可实现实习操作。安装维护升级只需在服务器端进行。</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2.▲软件包含中文和英文两个版本，教师在教师端可以设置实训课程的语言版式（中文、英文），学生也可以在实训课程中选择课程的语言版式（中文、英文）。（提供软件界面截图）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系统内置选课系统，教师在教师端可以同时发布多个课程，课程列表中需要提供课程名称，课程简介，课程的起止时间，开课老师，课程密码等信息，学生在学生端自行选择需要的课程加入即可。学生可以同时加入多个课程。（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4.实训课程包含教学课程、经典案例、外贸常识、单证全库、综合实训五大模块。</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教学课程内容为国际贸易实务的专题内容讲解，资源形式为多媒体视音频形式，内容至少包含了国际贸易实务概论、国际贸易岗位介绍、国际贸易术语、国际结算方式、交易磋商的流程、合同签订和合同履约等专题。</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6.经典案例模块包含了国际贸易合同的磋商和订立、SWIFT信用证审核及操作、汇率的决定及关税解析等专题案例讲解，其资源形式为多媒体视音频形式。</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7.外贸常识模块包含了国际贸易的相关国际公约、相关法律、相关法规和相关常识等资源。</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系统包含了《国际集装箱安全公约(CSC)》、《联合运输单证统一规则》、《联合国国际货物多式联运公约》、《联合国国际货物销售合同公约》、《联合国海上货物运输公约(汉堡规则)》、《统一提单的若干法律规则的国际公约（海牙规则）》、《修改统一提单的若干法律规则的国际公约（维斯比规则）》。</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系统包含的法律知识有：《中华人民共和国保险法》、《中华人民共和国对外贸易法》、《中华人民共和国国境卫生检疫法》、《中华人民共和国海关法》、《中华人民共和国海商法》、《中华人民共和国进出境动植物检疫法》、《中华人民共和国进出口商品检验法》、《中华人民共和国民法典》、《中华人民共和国票据法》、《中华人民共和国商业银行法》。</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系统包含的法规有：《残疾人专用品免征进口税收暂行规定》、《出入境检验检疫报检规定》、《进出口化妆品检验检疫监督管理办法》、《进出口肉类产品检验检疫监督管理办法》、《进出口商品免验办法》、《中华人民共和国进出口关税条例》、《中华人民共和国进出口货物原产地条例》、《中华人民共和国认证认可条例》、《中华人民共和国商标法实施条例》、《中华人民共和国食品安全法实施条例》、《中华人民共和国外汇管理条例》等。</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系统包含国际贸易相关常识资源包，内容包含《OCP运输》、《管道运输》、《海洋运输》、《航空运输》、《集装箱运输》、《邮政运输》、《联合运输》、《国际多式联运》、《币别代码表》、《成交方式代码表》、《集装箱规格代码表》、《计量单位代码表》、《监管方式代码表》、《结汇方式代码表》、《运输方式代码表》、《征免性质代码表》、《见索即付保函统一规则》、《国际商会托收统一规则(URC522)》、《跟单信用证统一惯例(UCP600)》、《国际贸易术语解释通则2010版》、《国际贸易术语解释通则2020版》。</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12.系统提供单证全库，提供各种常见的单证样板，可一键下载至少200种单据模版。</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13.▲系统包含10套以上案例，每套案例包含建立业务关系、询盘、发盘、还盘、缮制合同、保险、报检报关、装运、付款、索赔等10多个环节的练习。学生可根据案例要求进行模拟操作。（提供软件界面截图）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系统提供多套案例练习，至少包含：FOB+L/C即期（出口业务）案例练习，DAT+D/P远期（出口业务）案例练习，CIF+D/A（出口业务）案例练习，DDP+T/T预付（出口业务）案例练习，CFR+L/C远期（出口业务）案例练习，CPT+D/D（出口业务）案例练习，CPT+D/P即期（进口业务）案例练习，FOB+T/T（进口业务）案例练习，CIP+D/A（进口业务）案例练习，CFR+L/C即期（进口业务）案例练习等。</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软件采用沙盘式实训模式，系统结合当前业务的详情匹配贸易流程图，学生可练习从签订合同到出口退税等完整操作流程。且均采用先知识点讲解，再操作步骤详解，后具体实操的模式。（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制单过程中系统可自动显示每个填制栏位的中英文说明信息，可以同一页面上显示填写单据及填写帮助和相关联单据，并可以通过软件功能键快速定位到帮助制定栏位和关联单据的关联栏位。可修改制单界面跟关联单据界面比例。（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17.▲系统对学生填写单据内容每个栏位进行自动检查，对填写正确的单据打勾，填写错误的地方有红色提示，并给出正确答案；可一键导出填制的单据为图片形式。（提供软件界面截图）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软件提供辅助资料包含贸易公司资料不少于500家、银行资料不少于200家、工厂资料不少于50家、货代公司资料不少于200家、商品资料不少于260种、港口资料不少于50个；提供计算器功能，可自动计算商品包装数量、总毛重、总净重、总体积、金额大小写、汇率换算、海运费、空运费、保险费。提供软件该功能截图打印加盖开发商公章。</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19.系统包含国际贸易实务百科知识，学生可在线查询。</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r>
              <w:rPr>
                <w:rStyle w:val="204"/>
                <w:lang w:val="en-US" w:eastAsia="zh-CN" w:bidi="ar"/>
              </w:rPr>
              <w:t>.</w:t>
            </w:r>
            <w:r>
              <w:rPr>
                <w:rStyle w:val="205"/>
                <w:lang w:val="en-US" w:eastAsia="zh-CN" w:bidi="ar"/>
              </w:rPr>
              <w:t>系统提供30套题库，可直接复制2套模板课程使用。</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实训过程中，老师可随时查看每个学生的练习进度，包含学生填写的单据、操作日志等，从而对学生进行针对性指导。教师端可实时监控学生的练习情况，包括学生的完成进度，正确率，每题的得分以及最终的总分，并可对学生的分数手动调整。（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22.多种账号管理方式，包含单个添加学生、批量添加、从excel导入、学生自己注册。</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23.教师可针对不同的班级，不同的教学进度设置不同的课程，针对每个课程可设置不同的难易度，以满足不同的教学需求。</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老师可对课程难度进行设置，包括设置是否允许查看填写帮助、是否允许使用自动检查功能、是否允许使用单据对照功能、是否允许查看答案、是否允许自动填写、单据通过分数等；并可针对每张单据进行分别设定。（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25.提供教学监控功能，教师后台可查看每道题每个学生的答题情况，包括学生提交时间、完成进度、最终得分、填写正确率、所用时间、使用检查次数等。（提供软件界面截图）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26.▲系统采用自动评分，教师可导出学生的成绩分数成excel表格，并自动统计各分数段人数、平均分、全距、中位数等；可一键打包下载所有学生的实习报告；可查看每个学生的停留记录。（提供软件界面截图）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教师可查看每个学生的答题情况，系统自动标注学生的填写错误。系统可计算班级中每个单据的所有学生的平均分，便于了解学生掌握情况，从而有针对性地指导。老师可导出学生的成绩成excel表格，并对学生的成绩进行分析。</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28.软件需提供对应的著作权和检测报告。</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29.提供完整的用户手册、操作视频，并提供配套的培训服务。</w:t>
            </w:r>
          </w:p>
        </w:tc>
        <w:tc>
          <w:tcPr>
            <w:tcW w:w="332" w:type="pct"/>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574"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国际贸易单一窗口实训系统软件</w:t>
            </w: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1.平台基于外贸业务处理过程中的典型工作任务，引入企业真实案例，涵盖进出口贸易中进出口货物的报验通关等核心内容。</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2.采用B/S 架构。可架构于Internet/Intranet（互联网/局域网），通过浏览器均可实现实习操作。</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系统内置选课系统，教师在教师端可以同时发布多个课程，课程列表中需要提供课程名称，课程简介，课程的起止时间，开课老师，课程密码等信息，学生在学生端自行选择需要的课程加入即可。学生可以同时加入多个课程。</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4.教师</w:t>
            </w:r>
            <w:r>
              <w:rPr>
                <w:rStyle w:val="205"/>
                <w:lang w:val="en-US" w:eastAsia="zh-CN" w:bidi="ar"/>
              </w:rPr>
              <w:t>可以同时开设3个班级课程</w:t>
            </w:r>
            <w:r>
              <w:rPr>
                <w:rFonts w:hint="eastAsia" w:ascii="仿宋" w:hAnsi="仿宋" w:eastAsia="仿宋" w:cs="仿宋"/>
                <w:i w:val="0"/>
                <w:iCs w:val="0"/>
                <w:color w:val="000000"/>
                <w:kern w:val="0"/>
                <w:sz w:val="21"/>
                <w:szCs w:val="21"/>
                <w:u w:val="none"/>
                <w:lang w:val="en-US" w:eastAsia="zh-CN" w:bidi="ar"/>
              </w:rPr>
              <w:t>，课程状态包含三种状态，“未开始”、“进行中”、“已结束”，学生可以查看课程的开始时间和结束时间。学生可以选择对应的课程加入。</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至少包含一般出口货物、一般进口货物、保税加工货物、特定减免税货物、暂准进出境货物、综合实训等相关练习至少100套，并由教师选定是否开放。练习形式方面有视频、制单练习、实操练习。（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软件内置不少于10项视频动画讲解，内容至少包含出口许可证简介、产地证的概念及种类、产地证申报操作演示、出口货物申报概念及流程、货物申报操作讲解、进口报关录入讲解、保税加工的基本概念、保税加工的业务流程、特定减免税货物概述、特定减免税货物报关流程等。（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单一窗口（标准版）许可证件模块包含农药进出口登记管理放行通知单、野生动植物进出口证书、出口许可证、有毒化学品进出口环境管理放行通知单、机电产品自动进口许可证、非机电产品自动进口许可证、音像制品（成品）进口批准单申请。</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许可证申请，需要在单一窗口申报系统中完成基本数据、商品信息、规格型号信息的录入。需要填写年度、报关口岸、出口商代码、出口商统一社会信用代码、出口商名称、发货人代码、发货人统一社会信用代码、发货人名称、贸易方式、进口国(地区)、运输方式、有效截止日期、付款方式、合同号、商品代码、商品单位、商品名称、单价币别、合计数量、总金额、品牌、规格型号等栏位。</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学生单一窗口申报操作过程中提供详细的帮助，录入画面每个栏位都要相应填写说明及填写示例。系统提供每个栏位一一对应的解释说明，学生可以查看。系统提供查看答案功能，自动填写功能和检查功能。（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10.▲原产地证申报系统包含一般原产地证、普惠制原产地证、东盟自贸区原产地证、亚太自贸区原产地证等申领流程。（提供软件界面截图）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3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在原产地证申报录入页面，需要完成基本信息申报和货物信息申报。基本信息申报内容包含产地证备案号、组织机构代码、公司中文名称、申报员姓名、申报员身份证号、申报员联系方式、统一编号、证书号、证书类别、单据状态、签证机关、领证机关、申请地址、发票号、发票日期、申请日期、目的地国家/地区、出口商、进口商、特殊条款、唛头、启运港、卸货港、运输方式、运输工具船名/航次、中转国家/地区、转运港、目的港、运输细节、出运日期、贸易方式、FOB值(以美元计)、申请书备注、合同号、信用证号、发票特殊条款、价格条款、总金额、货币单位等栏位。货物信息录入包含商品编号、HS编码、货物中文名称、货物英文名称、包装件数、包装单位、数/重量、数/重量单位、辅助数/重量、辅助单位、第二辅助数量、第二辅助单位、发票单价、发票金额、币别、FOB值(以美元计)、进口成分比例(%)、原产地标准辅助项、生产组织机构代码、生产企业名称、联系人、联系电话、货物描述等栏位。</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系统提供进出口报关单据制作练习，包含出口许可证申请书、进出口报关单、报关委托书等。学生制单过程中，系统可自动显示每个栏位的中英文说明信息，方便学生查看。系统对学生填写内容进行检查，可显示每个栏位的错误信息，并给出正确值。制单过程中，系统可标注出不同单据之间有关联的栏位。（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货物申报模块采用关检融合录入，包括进口报关单整合申报、进口转关提前报关整合申报、出口报关单整合申报、出口转关提前报关整合申报等模块。录入画面需和中国国际贸易单一窗口标准版一致。（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14.货物申报练习案例至少包含肉类、乳品、水果、酒类、蔬菜、饮料、化妆品、木制品、服装、家用电器、医疗仪器、玩具等品类。</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15.税费办理模块包含税费单查询、税费单支付、以及交易历史查询功能。</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16.出口退税模块包含外部数据采集、数据申报、反馈处理及已申报数据查询。</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17.▲系统至少提供申请加工贸易手册申请实训、料件进口申报实训、进口料件业务-食品加工实训，进口料件业务-服装加工实训，成品出口申报、加工贸易手册报核实训。（提供软件界面截图）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18.▲系统至少提供科教用品的减免税申请及申报业务实操、残疾人用品的减免税申请及申报业务实操。（提供软件界面截图）</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19.软件采用理实一体化模式开展实训，系统将相关知识点进行细分，融入到各个实训环节中去，满足不同水平层次学生的需求。综合实训案例采用先知识点学习，再操作步骤详解，后具体实操的模式。</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20.软件提供业务步骤流程图，自动处理各种外贸业务及报关业务的流程逻辑，自动判断履约流程的正确性，并流程图的每个步骤都提供知识点介绍和操作帮助。</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21.软件提供学生业务操作日志，清楚记录每个时间点的操作内容和操作成功失败状态。</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22.系统提供相关的报关工具，包括：商品编码查询、通过参数查询（包含贸易方式代码表、征免性质代码表、国别（地区）代码表、国内地区代码表等）。</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23.系统提供相关资料查询，包含贸易公司、银行、报关行、报检行、工厂、货代、商品、港口、HS、汇率（可联网下自动更新）、费用、货柜规格等信息资料的查询。</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24.系统内置报关百科知识系统，学生或老师可通过关键字进行在线检索。内容包含所有报关的相关知识。</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25.可以添加教师账号，可以记录教师账号课程数，最后登录时间、登录次数；教师账号可以添加班级，添加学生实训账号。</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26.教师可以根据班级教学进度创建不同的课程，可以给课程设置开始时间、结束时间和课程进入密码。</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27.教师可以对课程内容和课程难度进行设置。课程内容方面可以删除或修改，可以设置练习开始时间、时长、总分、权重、是否允许重做，可以提交后直接计算成绩。</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28.可以进行难度设置。可设置是否允许查看填写帮助、是否使用检查功能、是否允许使用单据对照功能、是否允许查看答案、是否允许自动填写等，另可设定所有单据填制通过分数或每张单据填制通过分数。</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教师后台可以查看每个学生每个练习的提交时间、所用时长、是否完成、练习得分及操作详情等。操作详情可以看到业务的完整流程图，学生流程图上完成进度、步骤正确或错误，查看业务日志中步骤成功或失败，所有单据填写情况。</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30.系统可以自动计算成绩按成绩从高到低排序，可以自动统计各分数段人数并生成饼状图，可以导出成绩单及打包下载实训报告。</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31.▲为了后续申报省级一流课程的需要，软件厂家结合该产品需有合作成功的经验，需提供加盖学校公章的申报文件以及省教育厅官网公示文件复印件。</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4"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74" w:type="pct"/>
            <w:vMerge w:val="continue"/>
            <w:shd w:val="clear" w:color="auto" w:fill="auto"/>
            <w:vAlign w:val="center"/>
          </w:tcPr>
          <w:p>
            <w:pPr>
              <w:jc w:val="center"/>
              <w:rPr>
                <w:rFonts w:hint="eastAsia" w:ascii="仿宋" w:hAnsi="仿宋" w:eastAsia="仿宋" w:cs="仿宋"/>
                <w:i w:val="0"/>
                <w:iCs w:val="0"/>
                <w:color w:val="000000"/>
                <w:sz w:val="21"/>
                <w:szCs w:val="21"/>
                <w:u w:val="none"/>
              </w:rPr>
            </w:pPr>
          </w:p>
        </w:tc>
        <w:tc>
          <w:tcPr>
            <w:tcW w:w="3050"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w:t>
            </w:r>
            <w:r>
              <w:rPr>
                <w:rStyle w:val="206"/>
                <w:rFonts w:hAnsi="仿宋"/>
                <w:lang w:val="en-US" w:eastAsia="zh-CN" w:bidi="ar"/>
              </w:rPr>
              <w:t>提供完整的用户手册、操作视频，并提供配套的培训服务。</w:t>
            </w: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2"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336" w:type="pc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51" w:name="_Hlk72095977"/>
      <w:r>
        <w:rPr>
          <w:rFonts w:hint="eastAsia"/>
          <w:sz w:val="21"/>
          <w:szCs w:val="21"/>
        </w:rPr>
        <w:t>证明资料【如有的话，提供的证明资料应统一编号（排序），格式自定】</w:t>
      </w:r>
      <w:bookmarkEnd w:id="51"/>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b w:val="0"/>
          <w:bCs/>
          <w:sz w:val="21"/>
          <w:szCs w:val="21"/>
        </w:rPr>
      </w:pPr>
      <w:r>
        <w:rPr>
          <w:rFonts w:hint="eastAsia"/>
          <w:b w:val="0"/>
          <w:bCs/>
          <w:sz w:val="21"/>
          <w:szCs w:val="21"/>
        </w:rPr>
        <w:t>1、技术要求偏离表的序号、货物名称、招标技术要求等栏目</w:t>
      </w:r>
      <w:bookmarkStart w:id="52" w:name="_Hlk72094407"/>
      <w:r>
        <w:rPr>
          <w:rFonts w:hint="eastAsia"/>
          <w:b w:val="0"/>
          <w:bCs/>
          <w:sz w:val="21"/>
          <w:szCs w:val="21"/>
        </w:rPr>
        <w:t>对应“用户需求书”中的“技术要求”章节</w:t>
      </w:r>
      <w:bookmarkEnd w:id="52"/>
      <w:r>
        <w:rPr>
          <w:rFonts w:hint="eastAsia"/>
          <w:b w:val="0"/>
          <w:bCs/>
          <w:sz w:val="21"/>
          <w:szCs w:val="21"/>
        </w:rPr>
        <w:t>相关内容。</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lang w:val="en-US" w:eastAsia="zh-CN"/>
        </w:rPr>
      </w:pPr>
      <w:r>
        <w:rPr>
          <w:rFonts w:hint="eastAsia"/>
          <w:b w:val="0"/>
          <w:bCs/>
          <w:sz w:val="21"/>
          <w:szCs w:val="21"/>
        </w:rPr>
        <w:t>2、“投标技术响应”一栏必须一一对照“招标技术要求”，详细填写投标人自身投标货物的具体参数，而不能不合理照搬照抄招标文件的技术要求，以体现具体响应情况。</w:t>
      </w:r>
      <w:r>
        <w:rPr>
          <w:rFonts w:hint="eastAsia"/>
          <w:b w:val="0"/>
          <w:bCs/>
          <w:color w:val="FF0000"/>
          <w:sz w:val="21"/>
          <w:szCs w:val="21"/>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53" w:name="_Hlk72158270"/>
      <w:r>
        <w:rPr>
          <w:rFonts w:hint="eastAsia"/>
          <w:b w:val="0"/>
          <w:bCs/>
          <w:sz w:val="21"/>
          <w:szCs w:val="21"/>
        </w:rPr>
        <w:t>“偏离情况”</w:t>
      </w:r>
      <w:bookmarkEnd w:id="53"/>
      <w:r>
        <w:rPr>
          <w:rFonts w:hint="eastAsia"/>
          <w:b w:val="0"/>
          <w:bCs/>
          <w:sz w:val="21"/>
          <w:szCs w:val="21"/>
        </w:rPr>
        <w:t>一栏填写如实填写“正偏离”、“负偏离”或“无偏离”，其中：</w:t>
      </w:r>
      <w:bookmarkStart w:id="54" w:name="_Hlk72093866"/>
      <w:r>
        <w:rPr>
          <w:rFonts w:hint="eastAsia"/>
          <w:b w:val="0"/>
          <w:bCs/>
          <w:sz w:val="21"/>
          <w:szCs w:val="21"/>
        </w:rPr>
        <w:t>“正偏离”表示“投标响应优于招标技术要求”，“负偏离”表示“投标响应不满足招标技术要求”，“无偏离”表示“投标响应与招标技术要求一致”</w:t>
      </w:r>
      <w:bookmarkEnd w:id="54"/>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55" w:name="_Hlk72096106"/>
      <w:r>
        <w:rPr>
          <w:rFonts w:hint="eastAsia"/>
          <w:b w:val="0"/>
          <w:bCs/>
          <w:sz w:val="21"/>
          <w:szCs w:val="21"/>
        </w:rPr>
        <w:t>证明资料条款响应要求</w:t>
      </w:r>
      <w:bookmarkEnd w:id="55"/>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56"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57" w:name="_Hlk73558164"/>
      <w:r>
        <w:rPr>
          <w:rFonts w:hint="eastAsia"/>
          <w:b w:val="0"/>
          <w:bCs/>
          <w:sz w:val="21"/>
          <w:szCs w:val="21"/>
        </w:rPr>
        <w:t>且投标人在“偏离情况”一栏响应为“正偏离”或“无偏离”的，经评审委员会认定，将判定为负偏离。</w:t>
      </w:r>
      <w:bookmarkEnd w:id="56"/>
      <w:bookmarkEnd w:id="57"/>
    </w:p>
    <w:p>
      <w:pPr>
        <w:ind w:firstLine="420" w:firstLineChars="200"/>
        <w:rPr>
          <w:b w:val="0"/>
          <w:bCs/>
          <w:sz w:val="21"/>
          <w:szCs w:val="21"/>
        </w:rPr>
      </w:pPr>
      <w:r>
        <w:rPr>
          <w:rFonts w:hint="eastAsia"/>
          <w:b w:val="0"/>
          <w:bCs/>
          <w:sz w:val="21"/>
          <w:szCs w:val="21"/>
        </w:rPr>
        <w:t>6、</w:t>
      </w:r>
      <w:bookmarkStart w:id="58" w:name="_Hlk72096137"/>
      <w:r>
        <w:rPr>
          <w:rFonts w:hint="eastAsia"/>
          <w:b w:val="0"/>
          <w:bCs/>
          <w:sz w:val="21"/>
          <w:szCs w:val="21"/>
        </w:rPr>
        <w:t>表后“证明资料”部分内容的编制</w:t>
      </w:r>
      <w:bookmarkEnd w:id="58"/>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59" w:name="_Hlk73558180"/>
      <w:r>
        <w:rPr>
          <w:rFonts w:hint="eastAsia"/>
          <w:b w:val="0"/>
          <w:bCs/>
          <w:sz w:val="21"/>
          <w:szCs w:val="21"/>
        </w:rPr>
        <w:t>未按照招标文件要求在表后放置证明材料的供应商将承担不利后果，经评审委员会认定，相关技术要求将判定为负偏离。</w:t>
      </w:r>
      <w:bookmarkEnd w:id="59"/>
    </w:p>
    <w:p>
      <w:pPr>
        <w:ind w:firstLine="420" w:firstLineChars="200"/>
        <w:rPr>
          <w:b w:val="0"/>
          <w:bCs/>
          <w:sz w:val="21"/>
          <w:szCs w:val="21"/>
        </w:rPr>
      </w:pPr>
      <w:r>
        <w:rPr>
          <w:rFonts w:hint="eastAsia"/>
          <w:b w:val="0"/>
          <w:bCs/>
          <w:sz w:val="21"/>
          <w:szCs w:val="21"/>
        </w:rPr>
        <w:t>7、</w:t>
      </w:r>
      <w:bookmarkStart w:id="60" w:name="_Hlk72096176"/>
      <w:r>
        <w:rPr>
          <w:rFonts w:hint="eastAsia"/>
          <w:b w:val="0"/>
          <w:bCs/>
          <w:sz w:val="21"/>
          <w:szCs w:val="21"/>
        </w:rPr>
        <w:t>证明资料的形式及其它具体要求</w:t>
      </w:r>
      <w:bookmarkEnd w:id="60"/>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61"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61"/>
    </w:p>
    <w:p>
      <w:pPr>
        <w:ind w:firstLine="482" w:firstLineChars="200"/>
        <w:rPr>
          <w:b/>
          <w:sz w:val="24"/>
        </w:rPr>
      </w:pPr>
    </w:p>
    <w:p>
      <w:pPr>
        <w:rPr>
          <w:sz w:val="24"/>
        </w:rPr>
      </w:pPr>
    </w:p>
    <w:p>
      <w:pPr>
        <w:pStyle w:val="4"/>
        <w:jc w:val="center"/>
        <w:rPr>
          <w:sz w:val="24"/>
        </w:rPr>
      </w:pPr>
      <w:r>
        <w:rPr>
          <w:rFonts w:hint="eastAsia" w:ascii="黑体" w:eastAsia="黑体"/>
          <w:b w:val="0"/>
          <w:bCs w:val="0"/>
          <w:sz w:val="24"/>
          <w:szCs w:val="20"/>
          <w:lang w:val="en-US" w:eastAsia="zh-CN"/>
        </w:rPr>
        <w:t>六</w:t>
      </w:r>
      <w:r>
        <w:rPr>
          <w:rFonts w:hint="eastAsia" w:ascii="黑体" w:eastAsia="黑体"/>
          <w:b w:val="0"/>
          <w:bCs w:val="0"/>
          <w:sz w:val="24"/>
          <w:szCs w:val="20"/>
        </w:rPr>
        <w:t>、商务要求偏离表</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280"/>
        <w:gridCol w:w="4769"/>
        <w:gridCol w:w="624"/>
        <w:gridCol w:w="624"/>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0" w:type="pct"/>
            <w:vAlign w:val="center"/>
          </w:tcPr>
          <w:p>
            <w:pPr>
              <w:jc w:val="center"/>
              <w:rPr>
                <w:rFonts w:ascii="宋体" w:hAnsi="宋体"/>
                <w:b/>
                <w:szCs w:val="21"/>
              </w:rPr>
            </w:pPr>
            <w:r>
              <w:rPr>
                <w:rFonts w:hint="eastAsia" w:ascii="宋体" w:hAnsi="宋体"/>
                <w:b/>
                <w:szCs w:val="21"/>
              </w:rPr>
              <w:t>序号</w:t>
            </w:r>
          </w:p>
        </w:tc>
        <w:tc>
          <w:tcPr>
            <w:tcW w:w="751" w:type="pct"/>
            <w:vAlign w:val="center"/>
          </w:tcPr>
          <w:p>
            <w:pPr>
              <w:jc w:val="center"/>
              <w:rPr>
                <w:rFonts w:ascii="宋体" w:hAnsi="宋体"/>
                <w:b/>
                <w:szCs w:val="21"/>
              </w:rPr>
            </w:pPr>
            <w:r>
              <w:rPr>
                <w:rFonts w:hint="eastAsia" w:ascii="宋体" w:hAnsi="宋体"/>
                <w:b/>
                <w:szCs w:val="21"/>
              </w:rPr>
              <w:t>商务需求项</w:t>
            </w:r>
          </w:p>
        </w:tc>
        <w:tc>
          <w:tcPr>
            <w:tcW w:w="2799" w:type="pct"/>
            <w:vAlign w:val="center"/>
          </w:tcPr>
          <w:p>
            <w:pPr>
              <w:jc w:val="center"/>
              <w:rPr>
                <w:rFonts w:ascii="宋体" w:hAnsi="宋体"/>
                <w:b/>
                <w:szCs w:val="21"/>
              </w:rPr>
            </w:pPr>
            <w:r>
              <w:rPr>
                <w:rFonts w:hint="eastAsia" w:ascii="宋体" w:hAnsi="宋体"/>
                <w:b/>
                <w:szCs w:val="21"/>
              </w:rPr>
              <w:t>招标商务要求</w:t>
            </w:r>
          </w:p>
        </w:tc>
        <w:tc>
          <w:tcPr>
            <w:tcW w:w="366" w:type="pct"/>
            <w:vAlign w:val="center"/>
          </w:tcPr>
          <w:p>
            <w:pPr>
              <w:jc w:val="center"/>
              <w:rPr>
                <w:rFonts w:hint="eastAsia" w:ascii="宋体" w:hAnsi="宋体"/>
                <w:b/>
                <w:szCs w:val="21"/>
              </w:rPr>
            </w:pPr>
            <w:r>
              <w:rPr>
                <w:rFonts w:hint="eastAsia"/>
                <w:sz w:val="24"/>
              </w:rPr>
              <w:t>投标商务响应</w:t>
            </w:r>
          </w:p>
        </w:tc>
        <w:tc>
          <w:tcPr>
            <w:tcW w:w="366" w:type="pct"/>
            <w:vAlign w:val="center"/>
          </w:tcPr>
          <w:p>
            <w:pPr>
              <w:jc w:val="center"/>
              <w:rPr>
                <w:rFonts w:hint="eastAsia" w:ascii="宋体" w:hAnsi="宋体"/>
                <w:b/>
                <w:szCs w:val="21"/>
              </w:rPr>
            </w:pPr>
            <w:r>
              <w:rPr>
                <w:rFonts w:hint="eastAsia"/>
              </w:rPr>
              <w:t>偏离情况</w:t>
            </w:r>
          </w:p>
        </w:tc>
        <w:tc>
          <w:tcPr>
            <w:tcW w:w="376" w:type="pct"/>
            <w:vAlign w:val="center"/>
          </w:tcPr>
          <w:p>
            <w:pPr>
              <w:jc w:val="center"/>
              <w:rPr>
                <w:rFonts w:hint="eastAsia" w:ascii="宋体" w:hAnsi="宋体"/>
                <w:b/>
                <w:szCs w:val="21"/>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6"/>
          </w:tcPr>
          <w:p>
            <w:pPr>
              <w:rPr>
                <w:rFonts w:hint="eastAsia" w:ascii="宋体" w:hAnsi="宋体"/>
                <w:b/>
                <w:szCs w:val="21"/>
              </w:rPr>
            </w:pPr>
            <w:r>
              <w:rPr>
                <w:rFonts w:hint="eastAsia" w:ascii="宋体" w:hAnsi="宋体"/>
                <w:b/>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40" w:type="pct"/>
            <w:vAlign w:val="center"/>
          </w:tcPr>
          <w:p>
            <w:pPr>
              <w:jc w:val="center"/>
              <w:rPr>
                <w:rFonts w:ascii="宋体" w:hAnsi="宋体"/>
                <w:bCs/>
                <w:szCs w:val="21"/>
              </w:rPr>
            </w:pPr>
            <w:r>
              <w:rPr>
                <w:rFonts w:hint="eastAsia" w:ascii="宋体" w:hAnsi="宋体"/>
                <w:bCs/>
                <w:szCs w:val="21"/>
              </w:rPr>
              <w:t>1</w:t>
            </w:r>
          </w:p>
        </w:tc>
        <w:tc>
          <w:tcPr>
            <w:tcW w:w="751" w:type="pct"/>
          </w:tcPr>
          <w:p>
            <w:pPr>
              <w:jc w:val="center"/>
              <w:rPr>
                <w:rFonts w:ascii="宋体" w:hAnsi="宋体"/>
                <w:szCs w:val="21"/>
              </w:rPr>
            </w:pPr>
            <w:r>
              <w:rPr>
                <w:rFonts w:hint="eastAsia" w:ascii="宋体" w:hAnsi="宋体"/>
                <w:szCs w:val="21"/>
              </w:rPr>
              <w:t>维修响应及故障解决时间</w:t>
            </w:r>
          </w:p>
        </w:tc>
        <w:tc>
          <w:tcPr>
            <w:tcW w:w="2799" w:type="pct"/>
          </w:tcPr>
          <w:p>
            <w:pPr>
              <w:rPr>
                <w:rFonts w:ascii="宋体" w:hAnsi="宋体"/>
                <w:b/>
                <w:szCs w:val="21"/>
              </w:rPr>
            </w:pPr>
            <w:r>
              <w:rPr>
                <w:rFonts w:hint="eastAsia" w:ascii="宋体" w:hAnsi="宋体"/>
                <w:bCs/>
                <w:szCs w:val="21"/>
              </w:rPr>
              <w:t>在免费保修期内，一旦发生质量问题，中标人保证在接到通知</w:t>
            </w:r>
            <w:r>
              <w:rPr>
                <w:rFonts w:hint="eastAsia" w:ascii="宋体" w:hAnsi="宋体"/>
                <w:bCs/>
                <w:szCs w:val="21"/>
                <w:lang w:val="en-US" w:eastAsia="zh-CN"/>
              </w:rPr>
              <w:t>24</w:t>
            </w:r>
            <w:r>
              <w:rPr>
                <w:rFonts w:hint="eastAsia" w:ascii="宋体" w:hAnsi="宋体"/>
                <w:bCs/>
                <w:szCs w:val="21"/>
              </w:rPr>
              <w:t>小时内赶到现场进行修理或更换。</w:t>
            </w:r>
          </w:p>
        </w:tc>
        <w:tc>
          <w:tcPr>
            <w:tcW w:w="366" w:type="pct"/>
          </w:tcPr>
          <w:p>
            <w:pPr>
              <w:rPr>
                <w:rFonts w:hint="eastAsia" w:ascii="宋体" w:hAnsi="宋体"/>
                <w:bCs/>
                <w:szCs w:val="21"/>
              </w:rPr>
            </w:pPr>
          </w:p>
        </w:tc>
        <w:tc>
          <w:tcPr>
            <w:tcW w:w="366" w:type="pct"/>
          </w:tcPr>
          <w:p>
            <w:pPr>
              <w:rPr>
                <w:rFonts w:hint="eastAsia" w:ascii="宋体" w:hAnsi="宋体"/>
                <w:bCs/>
                <w:szCs w:val="21"/>
              </w:rPr>
            </w:pPr>
          </w:p>
        </w:tc>
        <w:tc>
          <w:tcPr>
            <w:tcW w:w="376" w:type="pct"/>
          </w:tcPr>
          <w:p>
            <w:pPr>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340" w:type="pct"/>
            <w:vAlign w:val="center"/>
          </w:tcPr>
          <w:p>
            <w:pPr>
              <w:jc w:val="center"/>
              <w:rPr>
                <w:rFonts w:ascii="宋体" w:hAnsi="宋体"/>
                <w:b/>
                <w:szCs w:val="21"/>
              </w:rPr>
            </w:pPr>
            <w:r>
              <w:rPr>
                <w:rFonts w:hint="eastAsia" w:ascii="宋体" w:hAnsi="宋体"/>
                <w:szCs w:val="21"/>
              </w:rPr>
              <w:t>3</w:t>
            </w:r>
          </w:p>
        </w:tc>
        <w:tc>
          <w:tcPr>
            <w:tcW w:w="751" w:type="pct"/>
            <w:vAlign w:val="center"/>
          </w:tcPr>
          <w:p>
            <w:pPr>
              <w:jc w:val="center"/>
              <w:rPr>
                <w:rFonts w:ascii="宋体" w:hAnsi="宋体"/>
                <w:b/>
                <w:szCs w:val="21"/>
              </w:rPr>
            </w:pPr>
            <w:r>
              <w:rPr>
                <w:rFonts w:hint="eastAsia" w:ascii="宋体" w:hAnsi="宋体"/>
                <w:szCs w:val="21"/>
              </w:rPr>
              <w:t>技术文件</w:t>
            </w:r>
          </w:p>
        </w:tc>
        <w:tc>
          <w:tcPr>
            <w:tcW w:w="2799" w:type="pct"/>
            <w:vAlign w:val="center"/>
          </w:tcPr>
          <w:p>
            <w:pPr>
              <w:rPr>
                <w:rFonts w:ascii="宋体" w:hAnsi="宋体"/>
                <w:bCs/>
                <w:szCs w:val="21"/>
              </w:rPr>
            </w:pPr>
            <w:r>
              <w:rPr>
                <w:rFonts w:hint="eastAsia" w:ascii="宋体" w:hAnsi="宋体"/>
                <w:bCs/>
                <w:szCs w:val="21"/>
              </w:rPr>
              <w:t>供应商应提供全套、完整的书面技术资料，包括仪器说明书、操作手册、简单维修说明、图纸等。</w:t>
            </w:r>
          </w:p>
        </w:tc>
        <w:tc>
          <w:tcPr>
            <w:tcW w:w="366" w:type="pct"/>
            <w:vAlign w:val="center"/>
          </w:tcPr>
          <w:p>
            <w:pPr>
              <w:rPr>
                <w:rFonts w:hint="eastAsia" w:ascii="宋体" w:hAnsi="宋体"/>
                <w:bCs/>
                <w:szCs w:val="21"/>
              </w:rPr>
            </w:pPr>
          </w:p>
        </w:tc>
        <w:tc>
          <w:tcPr>
            <w:tcW w:w="366" w:type="pct"/>
            <w:vAlign w:val="center"/>
          </w:tcPr>
          <w:p>
            <w:pPr>
              <w:rPr>
                <w:rFonts w:hint="eastAsia" w:ascii="宋体" w:hAnsi="宋体"/>
                <w:bCs/>
                <w:szCs w:val="21"/>
              </w:rPr>
            </w:pPr>
          </w:p>
        </w:tc>
        <w:tc>
          <w:tcPr>
            <w:tcW w:w="376" w:type="pct"/>
            <w:vAlign w:val="center"/>
          </w:tcPr>
          <w:p>
            <w:pPr>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atLeast"/>
        </w:trPr>
        <w:tc>
          <w:tcPr>
            <w:tcW w:w="340" w:type="pct"/>
            <w:vAlign w:val="center"/>
          </w:tcPr>
          <w:p>
            <w:pPr>
              <w:jc w:val="center"/>
              <w:rPr>
                <w:rFonts w:ascii="宋体" w:hAnsi="宋体"/>
                <w:bCs/>
                <w:szCs w:val="21"/>
              </w:rPr>
            </w:pPr>
            <w:r>
              <w:rPr>
                <w:rFonts w:hint="eastAsia" w:ascii="宋体" w:hAnsi="宋体"/>
                <w:bCs/>
                <w:szCs w:val="21"/>
              </w:rPr>
              <w:t>4</w:t>
            </w:r>
          </w:p>
        </w:tc>
        <w:tc>
          <w:tcPr>
            <w:tcW w:w="751" w:type="pct"/>
            <w:vAlign w:val="center"/>
          </w:tcPr>
          <w:p>
            <w:pPr>
              <w:jc w:val="center"/>
              <w:rPr>
                <w:rFonts w:ascii="宋体" w:hAnsi="宋体"/>
                <w:bCs/>
                <w:szCs w:val="21"/>
              </w:rPr>
            </w:pPr>
            <w:r>
              <w:rPr>
                <w:rFonts w:hint="eastAsia" w:ascii="宋体" w:hAnsi="宋体"/>
                <w:szCs w:val="21"/>
              </w:rPr>
              <w:t>安装调试</w:t>
            </w:r>
          </w:p>
        </w:tc>
        <w:tc>
          <w:tcPr>
            <w:tcW w:w="2799" w:type="pct"/>
            <w:vAlign w:val="center"/>
          </w:tcPr>
          <w:p>
            <w:pPr>
              <w:rPr>
                <w:rFonts w:ascii="宋体" w:hAnsi="宋体"/>
                <w:bCs/>
                <w:szCs w:val="21"/>
              </w:rPr>
            </w:pPr>
            <w:r>
              <w:rPr>
                <w:rFonts w:hint="eastAsia" w:ascii="宋体" w:hAnsi="宋体"/>
                <w:szCs w:val="21"/>
              </w:rPr>
              <w:t>中标供应商应当派有经验的技术人员到现场进行安装、调试，直到设备正常使用。</w:t>
            </w:r>
          </w:p>
        </w:tc>
        <w:tc>
          <w:tcPr>
            <w:tcW w:w="366" w:type="pct"/>
            <w:vAlign w:val="center"/>
          </w:tcPr>
          <w:p>
            <w:pPr>
              <w:rPr>
                <w:rFonts w:hint="eastAsia" w:ascii="宋体" w:hAnsi="宋体"/>
                <w:szCs w:val="21"/>
              </w:rPr>
            </w:pPr>
          </w:p>
        </w:tc>
        <w:tc>
          <w:tcPr>
            <w:tcW w:w="366" w:type="pct"/>
            <w:vAlign w:val="center"/>
          </w:tcPr>
          <w:p>
            <w:pPr>
              <w:rPr>
                <w:rFonts w:hint="eastAsia" w:ascii="宋体" w:hAnsi="宋体"/>
                <w:szCs w:val="21"/>
              </w:rPr>
            </w:pPr>
          </w:p>
        </w:tc>
        <w:tc>
          <w:tcPr>
            <w:tcW w:w="376" w:type="pct"/>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vAlign w:val="center"/>
          </w:tcPr>
          <w:p>
            <w:pPr>
              <w:rPr>
                <w:rFonts w:hint="eastAsia" w:ascii="宋体" w:hAnsi="宋体"/>
                <w:b/>
                <w:szCs w:val="21"/>
              </w:rPr>
            </w:pPr>
            <w:r>
              <w:rPr>
                <w:rFonts w:hint="eastAsia" w:ascii="宋体" w:hAnsi="宋体"/>
                <w:b/>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restart"/>
            <w:vAlign w:val="center"/>
          </w:tcPr>
          <w:p>
            <w:pPr>
              <w:jc w:val="center"/>
              <w:rPr>
                <w:rFonts w:hint="eastAsia" w:ascii="宋体" w:hAnsi="宋体"/>
                <w:b/>
                <w:szCs w:val="21"/>
              </w:rPr>
            </w:pPr>
            <w:r>
              <w:rPr>
                <w:rFonts w:hint="eastAsia" w:ascii="宋体" w:hAnsi="宋体"/>
                <w:b/>
                <w:szCs w:val="21"/>
              </w:rPr>
              <w:t>1</w:t>
            </w:r>
          </w:p>
        </w:tc>
        <w:tc>
          <w:tcPr>
            <w:tcW w:w="751" w:type="pct"/>
            <w:vMerge w:val="restart"/>
            <w:vAlign w:val="center"/>
          </w:tcPr>
          <w:p>
            <w:pPr>
              <w:jc w:val="center"/>
              <w:rPr>
                <w:rFonts w:hint="eastAsia" w:ascii="宋体" w:hAnsi="宋体"/>
                <w:b/>
                <w:szCs w:val="21"/>
              </w:rPr>
            </w:pPr>
            <w:r>
              <w:rPr>
                <w:rFonts w:hint="eastAsia" w:ascii="宋体" w:hAnsi="宋体"/>
                <w:b/>
                <w:szCs w:val="21"/>
              </w:rPr>
              <w:t>违约责任</w:t>
            </w:r>
          </w:p>
        </w:tc>
        <w:tc>
          <w:tcPr>
            <w:tcW w:w="2799" w:type="pct"/>
          </w:tcPr>
          <w:p>
            <w:pPr>
              <w:rPr>
                <w:rFonts w:hint="eastAsia" w:ascii="宋体" w:hAnsi="宋体" w:cs="宋体"/>
                <w:color w:val="000000"/>
                <w:szCs w:val="21"/>
              </w:rPr>
            </w:pPr>
            <w:r>
              <w:rPr>
                <w:rFonts w:hint="eastAsia" w:ascii="宋体" w:hAnsi="宋体" w:cs="宋体"/>
                <w:color w:val="000000"/>
                <w:szCs w:val="21"/>
              </w:rPr>
              <w:t>1.1中标人不能交货的，需偿付不能交货部分货款的</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10</w:t>
            </w:r>
            <w:r>
              <w:rPr>
                <w:rFonts w:hint="eastAsia" w:ascii="宋体" w:hAnsi="宋体" w:cs="宋体"/>
                <w:color w:val="000000"/>
                <w:szCs w:val="21"/>
                <w:u w:val="single"/>
              </w:rPr>
              <w:t xml:space="preserve"> </w:t>
            </w:r>
            <w:r>
              <w:rPr>
                <w:rFonts w:hint="eastAsia" w:ascii="宋体" w:hAnsi="宋体" w:cs="宋体"/>
                <w:color w:val="000000"/>
                <w:szCs w:val="21"/>
              </w:rPr>
              <w:t>%的违约金并按主管部门相关规定处理。</w:t>
            </w:r>
          </w:p>
        </w:tc>
        <w:tc>
          <w:tcPr>
            <w:tcW w:w="366" w:type="pct"/>
          </w:tcPr>
          <w:p>
            <w:pPr>
              <w:rPr>
                <w:rFonts w:hint="eastAsia" w:ascii="宋体" w:hAnsi="宋体" w:cs="宋体"/>
                <w:color w:val="000000"/>
                <w:szCs w:val="21"/>
              </w:rPr>
            </w:pPr>
          </w:p>
        </w:tc>
        <w:tc>
          <w:tcPr>
            <w:tcW w:w="366" w:type="pct"/>
          </w:tcPr>
          <w:p>
            <w:pPr>
              <w:rPr>
                <w:rFonts w:hint="eastAsia" w:ascii="宋体" w:hAnsi="宋体" w:cs="宋体"/>
                <w:color w:val="000000"/>
                <w:szCs w:val="21"/>
              </w:rPr>
            </w:pPr>
          </w:p>
        </w:tc>
        <w:tc>
          <w:tcPr>
            <w:tcW w:w="376" w:type="pct"/>
          </w:tcPr>
          <w:p>
            <w:pP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continue"/>
            <w:vAlign w:val="center"/>
          </w:tcPr>
          <w:p>
            <w:pPr>
              <w:jc w:val="center"/>
              <w:rPr>
                <w:rFonts w:hint="eastAsia" w:ascii="宋体" w:hAnsi="宋体"/>
                <w:b/>
                <w:szCs w:val="21"/>
              </w:rPr>
            </w:pPr>
          </w:p>
        </w:tc>
        <w:tc>
          <w:tcPr>
            <w:tcW w:w="751" w:type="pct"/>
            <w:vMerge w:val="continue"/>
            <w:vAlign w:val="center"/>
          </w:tcPr>
          <w:p>
            <w:pPr>
              <w:jc w:val="center"/>
              <w:rPr>
                <w:rFonts w:hint="eastAsia" w:ascii="宋体" w:hAnsi="宋体"/>
                <w:b/>
                <w:szCs w:val="21"/>
              </w:rPr>
            </w:pPr>
          </w:p>
        </w:tc>
        <w:tc>
          <w:tcPr>
            <w:tcW w:w="2799" w:type="pct"/>
          </w:tcPr>
          <w:p>
            <w:pPr>
              <w:rPr>
                <w:rFonts w:hint="eastAsia" w:ascii="宋体" w:hAnsi="宋体" w:cs="宋体"/>
                <w:color w:val="000000"/>
                <w:szCs w:val="21"/>
              </w:rPr>
            </w:pPr>
            <w:r>
              <w:rPr>
                <w:rFonts w:hint="eastAsia" w:ascii="宋体" w:hAnsi="宋体" w:cs="宋体"/>
                <w:color w:val="000000"/>
                <w:szCs w:val="21"/>
              </w:rPr>
              <w:t>1.2中标人逾期交货的，应当承担继续履行、采取补救措施或者赔偿损失等违约责任</w:t>
            </w:r>
          </w:p>
        </w:tc>
        <w:tc>
          <w:tcPr>
            <w:tcW w:w="366" w:type="pct"/>
          </w:tcPr>
          <w:p>
            <w:pPr>
              <w:rPr>
                <w:rFonts w:hint="eastAsia" w:ascii="宋体" w:hAnsi="宋体" w:cs="宋体"/>
                <w:color w:val="000000"/>
                <w:szCs w:val="21"/>
              </w:rPr>
            </w:pPr>
          </w:p>
        </w:tc>
        <w:tc>
          <w:tcPr>
            <w:tcW w:w="366" w:type="pct"/>
          </w:tcPr>
          <w:p>
            <w:pPr>
              <w:rPr>
                <w:rFonts w:hint="eastAsia" w:ascii="宋体" w:hAnsi="宋体" w:cs="宋体"/>
                <w:color w:val="000000"/>
                <w:szCs w:val="21"/>
              </w:rPr>
            </w:pPr>
          </w:p>
        </w:tc>
        <w:tc>
          <w:tcPr>
            <w:tcW w:w="376" w:type="pct"/>
          </w:tcPr>
          <w:p>
            <w:pP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jc w:val="center"/>
        </w:trPr>
        <w:tc>
          <w:tcPr>
            <w:tcW w:w="340" w:type="pct"/>
            <w:vMerge w:val="continue"/>
            <w:vAlign w:val="center"/>
          </w:tcPr>
          <w:p>
            <w:pPr>
              <w:jc w:val="center"/>
              <w:rPr>
                <w:rFonts w:hint="eastAsia" w:ascii="宋体" w:hAnsi="宋体"/>
                <w:b/>
                <w:szCs w:val="21"/>
              </w:rPr>
            </w:pPr>
          </w:p>
        </w:tc>
        <w:tc>
          <w:tcPr>
            <w:tcW w:w="751" w:type="pct"/>
            <w:vMerge w:val="continue"/>
            <w:vAlign w:val="center"/>
          </w:tcPr>
          <w:p>
            <w:pPr>
              <w:jc w:val="center"/>
              <w:rPr>
                <w:rFonts w:hint="eastAsia" w:ascii="宋体" w:hAnsi="宋体"/>
                <w:b/>
                <w:szCs w:val="21"/>
              </w:rPr>
            </w:pPr>
          </w:p>
        </w:tc>
        <w:tc>
          <w:tcPr>
            <w:tcW w:w="2799" w:type="pct"/>
          </w:tcPr>
          <w:p>
            <w:pPr>
              <w:rPr>
                <w:rFonts w:hint="eastAsia" w:ascii="宋体" w:hAnsi="宋体" w:cs="宋体"/>
                <w:color w:val="000000"/>
                <w:szCs w:val="21"/>
              </w:rPr>
            </w:pPr>
            <w:r>
              <w:rPr>
                <w:rFonts w:hint="eastAsia" w:ascii="宋体" w:hAnsi="宋体" w:cs="宋体"/>
                <w:color w:val="000000"/>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c>
          <w:tcPr>
            <w:tcW w:w="366" w:type="pct"/>
          </w:tcPr>
          <w:p>
            <w:pPr>
              <w:rPr>
                <w:rFonts w:hint="eastAsia" w:ascii="宋体" w:hAnsi="宋体" w:cs="宋体"/>
                <w:color w:val="000000"/>
                <w:szCs w:val="21"/>
              </w:rPr>
            </w:pPr>
          </w:p>
        </w:tc>
        <w:tc>
          <w:tcPr>
            <w:tcW w:w="366" w:type="pct"/>
          </w:tcPr>
          <w:p>
            <w:pPr>
              <w:rPr>
                <w:rFonts w:hint="eastAsia" w:ascii="宋体" w:hAnsi="宋体" w:cs="宋体"/>
                <w:color w:val="000000"/>
                <w:szCs w:val="21"/>
              </w:rPr>
            </w:pPr>
          </w:p>
        </w:tc>
        <w:tc>
          <w:tcPr>
            <w:tcW w:w="376" w:type="pct"/>
          </w:tcPr>
          <w:p>
            <w:pP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Align w:val="center"/>
          </w:tcPr>
          <w:p>
            <w:pPr>
              <w:jc w:val="center"/>
              <w:rPr>
                <w:rFonts w:hint="eastAsia" w:ascii="宋体" w:hAnsi="宋体"/>
                <w:b/>
                <w:szCs w:val="21"/>
              </w:rPr>
            </w:pPr>
            <w:r>
              <w:rPr>
                <w:rFonts w:hint="eastAsia" w:ascii="宋体" w:hAnsi="宋体"/>
                <w:b/>
                <w:szCs w:val="21"/>
              </w:rPr>
              <w:t>4</w:t>
            </w:r>
          </w:p>
        </w:tc>
        <w:tc>
          <w:tcPr>
            <w:tcW w:w="751" w:type="pct"/>
            <w:vAlign w:val="center"/>
          </w:tcPr>
          <w:p>
            <w:pPr>
              <w:jc w:val="center"/>
              <w:rPr>
                <w:rStyle w:val="45"/>
                <w:rFonts w:hint="eastAsia" w:ascii="宋体" w:hAnsi="宋体" w:cs="宋体"/>
                <w:bCs w:val="0"/>
                <w:color w:val="000000"/>
                <w:szCs w:val="21"/>
              </w:rPr>
            </w:pPr>
            <w:r>
              <w:rPr>
                <w:rFonts w:hint="eastAsia" w:ascii="宋体" w:hAnsi="宋体" w:cs="宋体"/>
                <w:b/>
                <w:color w:val="000000"/>
                <w:szCs w:val="21"/>
              </w:rPr>
              <w:t>争议解决方法</w:t>
            </w:r>
          </w:p>
        </w:tc>
        <w:tc>
          <w:tcPr>
            <w:tcW w:w="2799" w:type="pct"/>
            <w:vAlign w:val="center"/>
          </w:tcPr>
          <w:p>
            <w:pPr>
              <w:autoSpaceDE w:val="0"/>
              <w:autoSpaceDN w:val="0"/>
              <w:adjustRightInd w:val="0"/>
              <w:spacing w:line="240" w:lineRule="auto"/>
              <w:rPr>
                <w:rFonts w:hint="eastAsia" w:ascii="宋体" w:hAnsi="宋体" w:cs="宋体"/>
                <w:color w:val="000000"/>
                <w:szCs w:val="21"/>
              </w:rPr>
            </w:pPr>
            <w:r>
              <w:rPr>
                <w:rFonts w:hint="eastAsia" w:ascii="宋体" w:hAnsi="宋体" w:cs="宋体"/>
                <w:color w:val="000000"/>
                <w:szCs w:val="21"/>
              </w:rPr>
              <w:t>因本合同及合同有关事项发生的争议，由甲乙双方友好协商解决。协商不成时，可以向有关组织申请调解。合同一方或双方不愿调解或调解不成的，可以通过仲裁或诉讼的方式解决争议。</w:t>
            </w:r>
          </w:p>
        </w:tc>
        <w:tc>
          <w:tcPr>
            <w:tcW w:w="366" w:type="pct"/>
            <w:vAlign w:val="center"/>
          </w:tcPr>
          <w:p>
            <w:pPr>
              <w:autoSpaceDE w:val="0"/>
              <w:autoSpaceDN w:val="0"/>
              <w:adjustRightInd w:val="0"/>
              <w:spacing w:line="240" w:lineRule="auto"/>
              <w:rPr>
                <w:rFonts w:hint="eastAsia" w:ascii="宋体" w:hAnsi="宋体" w:cs="宋体"/>
                <w:color w:val="000000"/>
                <w:szCs w:val="21"/>
              </w:rPr>
            </w:pPr>
          </w:p>
        </w:tc>
        <w:tc>
          <w:tcPr>
            <w:tcW w:w="366" w:type="pct"/>
            <w:vAlign w:val="center"/>
          </w:tcPr>
          <w:p>
            <w:pPr>
              <w:autoSpaceDE w:val="0"/>
              <w:autoSpaceDN w:val="0"/>
              <w:adjustRightInd w:val="0"/>
              <w:spacing w:line="240" w:lineRule="auto"/>
              <w:rPr>
                <w:rFonts w:hint="eastAsia" w:ascii="宋体" w:hAnsi="宋体" w:cs="宋体"/>
                <w:color w:val="000000"/>
                <w:szCs w:val="21"/>
              </w:rPr>
            </w:pPr>
          </w:p>
        </w:tc>
        <w:tc>
          <w:tcPr>
            <w:tcW w:w="376" w:type="pct"/>
            <w:vAlign w:val="center"/>
          </w:tcPr>
          <w:p>
            <w:pPr>
              <w:autoSpaceDE w:val="0"/>
              <w:autoSpaceDN w:val="0"/>
              <w:adjustRightInd w:val="0"/>
              <w:spacing w:line="240" w:lineRule="auto"/>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340" w:type="pct"/>
            <w:vAlign w:val="center"/>
          </w:tcPr>
          <w:p>
            <w:pPr>
              <w:jc w:val="center"/>
              <w:rPr>
                <w:rFonts w:hint="eastAsia" w:ascii="宋体" w:hAnsi="宋体"/>
                <w:b/>
                <w:szCs w:val="21"/>
              </w:rPr>
            </w:pPr>
            <w:r>
              <w:rPr>
                <w:rFonts w:hint="eastAsia" w:ascii="宋体" w:hAnsi="宋体"/>
                <w:b/>
                <w:szCs w:val="21"/>
              </w:rPr>
              <w:t>5</w:t>
            </w:r>
          </w:p>
        </w:tc>
        <w:tc>
          <w:tcPr>
            <w:tcW w:w="751" w:type="pct"/>
            <w:vAlign w:val="center"/>
          </w:tcPr>
          <w:p>
            <w:pPr>
              <w:jc w:val="center"/>
              <w:rPr>
                <w:rFonts w:hint="eastAsia" w:ascii="宋体" w:hAnsi="宋体"/>
                <w:color w:val="000000"/>
                <w:szCs w:val="21"/>
              </w:rPr>
            </w:pPr>
            <w:r>
              <w:rPr>
                <w:rStyle w:val="45"/>
                <w:rFonts w:hint="eastAsia" w:ascii="宋体" w:hAnsi="宋体" w:cs="宋体"/>
                <w:color w:val="000000"/>
                <w:szCs w:val="21"/>
              </w:rPr>
              <w:t>运输、安装条件</w:t>
            </w:r>
          </w:p>
        </w:tc>
        <w:tc>
          <w:tcPr>
            <w:tcW w:w="2799" w:type="pct"/>
            <w:vAlign w:val="center"/>
          </w:tcPr>
          <w:p>
            <w:pPr>
              <w:rPr>
                <w:rFonts w:hint="eastAsia" w:ascii="宋体" w:hAnsi="宋体"/>
                <w:bCs/>
                <w:color w:val="000000"/>
                <w:szCs w:val="21"/>
              </w:rPr>
            </w:pPr>
            <w:r>
              <w:rPr>
                <w:rFonts w:hint="eastAsia" w:ascii="宋体" w:hAnsi="宋体" w:cs="宋体"/>
                <w:color w:val="000000"/>
                <w:szCs w:val="21"/>
              </w:rPr>
              <w:t>5.1 投标供应商须在签订合同之日起 3天内向采购人提供设备的运行、安装、使用环境要求。</w:t>
            </w:r>
          </w:p>
        </w:tc>
        <w:tc>
          <w:tcPr>
            <w:tcW w:w="366" w:type="pct"/>
            <w:vAlign w:val="center"/>
          </w:tcPr>
          <w:p>
            <w:pPr>
              <w:rPr>
                <w:rFonts w:hint="eastAsia" w:ascii="宋体" w:hAnsi="宋体" w:cs="宋体"/>
                <w:color w:val="000000"/>
                <w:szCs w:val="21"/>
              </w:rPr>
            </w:pPr>
          </w:p>
        </w:tc>
        <w:tc>
          <w:tcPr>
            <w:tcW w:w="366" w:type="pct"/>
            <w:vAlign w:val="center"/>
          </w:tcPr>
          <w:p>
            <w:pPr>
              <w:rPr>
                <w:rFonts w:hint="eastAsia" w:ascii="宋体" w:hAnsi="宋体" w:cs="宋体"/>
                <w:color w:val="000000"/>
                <w:szCs w:val="21"/>
              </w:rPr>
            </w:pPr>
          </w:p>
        </w:tc>
        <w:tc>
          <w:tcPr>
            <w:tcW w:w="376" w:type="pct"/>
            <w:vAlign w:val="center"/>
          </w:tcPr>
          <w:p>
            <w:pP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restart"/>
            <w:vAlign w:val="center"/>
          </w:tcPr>
          <w:p>
            <w:pPr>
              <w:jc w:val="center"/>
              <w:rPr>
                <w:rFonts w:hint="eastAsia" w:ascii="宋体" w:hAnsi="宋体"/>
                <w:b/>
                <w:szCs w:val="21"/>
              </w:rPr>
            </w:pPr>
            <w:r>
              <w:rPr>
                <w:rFonts w:hint="eastAsia" w:ascii="宋体" w:hAnsi="宋体"/>
                <w:b/>
                <w:szCs w:val="21"/>
              </w:rPr>
              <w:t>6</w:t>
            </w:r>
          </w:p>
        </w:tc>
        <w:tc>
          <w:tcPr>
            <w:tcW w:w="751" w:type="pct"/>
            <w:vMerge w:val="restart"/>
            <w:vAlign w:val="center"/>
          </w:tcPr>
          <w:p>
            <w:pPr>
              <w:jc w:val="center"/>
              <w:rPr>
                <w:rFonts w:hint="eastAsia" w:ascii="宋体" w:hAnsi="宋体"/>
                <w:b/>
                <w:szCs w:val="21"/>
              </w:rPr>
            </w:pPr>
            <w:r>
              <w:rPr>
                <w:rFonts w:ascii="宋体" w:hAnsi="宋体"/>
                <w:b/>
                <w:szCs w:val="21"/>
              </w:rPr>
              <w:t>培训</w:t>
            </w:r>
          </w:p>
        </w:tc>
        <w:tc>
          <w:tcPr>
            <w:tcW w:w="2799" w:type="pct"/>
          </w:tcPr>
          <w:p>
            <w:pPr>
              <w:widowControl/>
              <w:jc w:val="left"/>
              <w:rPr>
                <w:rFonts w:hint="eastAsia" w:ascii="宋体" w:hAnsi="宋体" w:cs="宋体"/>
                <w:color w:val="000000"/>
                <w:szCs w:val="21"/>
              </w:rPr>
            </w:pPr>
            <w:r>
              <w:rPr>
                <w:rFonts w:hint="eastAsia" w:ascii="宋体" w:hAnsi="宋体" w:cs="宋体"/>
                <w:color w:val="000000"/>
                <w:szCs w:val="21"/>
              </w:rPr>
              <w:t>6.1投标供应商应派专业技术人员免费对采购单位指定人员进行定期培训及指导，直至其完全掌握设备的基本故障处理技术。</w:t>
            </w:r>
          </w:p>
        </w:tc>
        <w:tc>
          <w:tcPr>
            <w:tcW w:w="366" w:type="pct"/>
          </w:tcPr>
          <w:p>
            <w:pPr>
              <w:widowControl/>
              <w:jc w:val="left"/>
              <w:rPr>
                <w:rFonts w:hint="eastAsia" w:ascii="宋体" w:hAnsi="宋体" w:cs="宋体"/>
                <w:color w:val="000000"/>
                <w:szCs w:val="21"/>
              </w:rPr>
            </w:pPr>
          </w:p>
        </w:tc>
        <w:tc>
          <w:tcPr>
            <w:tcW w:w="366" w:type="pct"/>
          </w:tcPr>
          <w:p>
            <w:pPr>
              <w:widowControl/>
              <w:jc w:val="left"/>
              <w:rPr>
                <w:rFonts w:hint="eastAsia" w:ascii="宋体" w:hAnsi="宋体" w:cs="宋体"/>
                <w:color w:val="000000"/>
                <w:szCs w:val="21"/>
              </w:rPr>
            </w:pPr>
          </w:p>
        </w:tc>
        <w:tc>
          <w:tcPr>
            <w:tcW w:w="376" w:type="pct"/>
          </w:tcPr>
          <w:p>
            <w:pPr>
              <w:widowControl/>
              <w:jc w:val="left"/>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continue"/>
            <w:vAlign w:val="center"/>
          </w:tcPr>
          <w:p>
            <w:pPr>
              <w:jc w:val="center"/>
              <w:rPr>
                <w:rFonts w:hint="eastAsia" w:ascii="宋体" w:hAnsi="宋体"/>
                <w:b/>
                <w:szCs w:val="21"/>
              </w:rPr>
            </w:pPr>
          </w:p>
        </w:tc>
        <w:tc>
          <w:tcPr>
            <w:tcW w:w="751" w:type="pct"/>
            <w:vMerge w:val="continue"/>
            <w:vAlign w:val="center"/>
          </w:tcPr>
          <w:p>
            <w:pPr>
              <w:rPr>
                <w:rFonts w:hint="eastAsia" w:ascii="宋体" w:hAnsi="宋体"/>
                <w:b/>
                <w:szCs w:val="21"/>
              </w:rPr>
            </w:pPr>
          </w:p>
        </w:tc>
        <w:tc>
          <w:tcPr>
            <w:tcW w:w="2799" w:type="pct"/>
          </w:tcPr>
          <w:p>
            <w:pPr>
              <w:widowControl/>
              <w:jc w:val="left"/>
              <w:rPr>
                <w:rFonts w:hint="eastAsia" w:ascii="宋体" w:hAnsi="宋体" w:cs="宋体"/>
                <w:color w:val="000000"/>
                <w:szCs w:val="21"/>
              </w:rPr>
            </w:pPr>
            <w:r>
              <w:rPr>
                <w:rFonts w:hint="eastAsia" w:ascii="宋体" w:hAnsi="宋体" w:cs="宋体"/>
                <w:color w:val="000000"/>
                <w:szCs w:val="21"/>
              </w:rPr>
              <w:t>6.2 现场培训：投标供应商应提供现场技术培训，保证使用人员正常操作设备的各种功能。</w:t>
            </w:r>
            <w:r>
              <w:rPr>
                <w:rFonts w:hint="eastAsia" w:ascii="宋体" w:hAnsi="宋体"/>
                <w:szCs w:val="21"/>
              </w:rPr>
              <w:t>中标人对设施设备和软件的使用分别提供不少于2次的培训，并提供相关操作规程或操作视频或用户手册。</w:t>
            </w:r>
          </w:p>
        </w:tc>
        <w:tc>
          <w:tcPr>
            <w:tcW w:w="366" w:type="pct"/>
          </w:tcPr>
          <w:p>
            <w:pPr>
              <w:widowControl/>
              <w:jc w:val="left"/>
              <w:rPr>
                <w:rFonts w:hint="eastAsia" w:ascii="宋体" w:hAnsi="宋体" w:cs="宋体"/>
                <w:color w:val="000000"/>
                <w:szCs w:val="21"/>
              </w:rPr>
            </w:pPr>
          </w:p>
        </w:tc>
        <w:tc>
          <w:tcPr>
            <w:tcW w:w="366" w:type="pct"/>
          </w:tcPr>
          <w:p>
            <w:pPr>
              <w:widowControl/>
              <w:jc w:val="left"/>
              <w:rPr>
                <w:rFonts w:hint="eastAsia" w:ascii="宋体" w:hAnsi="宋体" w:cs="宋体"/>
                <w:color w:val="000000"/>
                <w:szCs w:val="21"/>
              </w:rPr>
            </w:pPr>
          </w:p>
        </w:tc>
        <w:tc>
          <w:tcPr>
            <w:tcW w:w="376" w:type="pct"/>
          </w:tcPr>
          <w:p>
            <w:pPr>
              <w:widowControl/>
              <w:jc w:val="left"/>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restart"/>
            <w:vAlign w:val="center"/>
          </w:tcPr>
          <w:p>
            <w:pPr>
              <w:jc w:val="center"/>
              <w:rPr>
                <w:rFonts w:hint="eastAsia" w:ascii="宋体" w:hAnsi="宋体"/>
                <w:b/>
                <w:szCs w:val="21"/>
              </w:rPr>
            </w:pPr>
            <w:r>
              <w:rPr>
                <w:rFonts w:hint="eastAsia" w:ascii="宋体" w:hAnsi="宋体"/>
                <w:b/>
                <w:szCs w:val="21"/>
              </w:rPr>
              <w:t>7</w:t>
            </w:r>
          </w:p>
        </w:tc>
        <w:tc>
          <w:tcPr>
            <w:tcW w:w="751" w:type="pct"/>
            <w:vMerge w:val="restart"/>
            <w:vAlign w:val="center"/>
          </w:tcPr>
          <w:p>
            <w:pPr>
              <w:jc w:val="center"/>
              <w:rPr>
                <w:rFonts w:hint="eastAsia" w:ascii="宋体" w:hAnsi="宋体"/>
                <w:b/>
                <w:szCs w:val="21"/>
              </w:rPr>
            </w:pPr>
            <w:r>
              <w:rPr>
                <w:rFonts w:ascii="宋体" w:hAnsi="宋体"/>
                <w:b/>
                <w:szCs w:val="21"/>
              </w:rPr>
              <w:t>知识产权</w:t>
            </w:r>
          </w:p>
        </w:tc>
        <w:tc>
          <w:tcPr>
            <w:tcW w:w="2799" w:type="pct"/>
          </w:tcPr>
          <w:p>
            <w:pPr>
              <w:rPr>
                <w:rFonts w:ascii="宋体" w:hAnsi="宋体"/>
                <w:szCs w:val="21"/>
              </w:rPr>
            </w:pPr>
            <w:r>
              <w:rPr>
                <w:rFonts w:hint="eastAsia" w:ascii="宋体" w:hAnsi="宋体" w:cs="宋体"/>
                <w:color w:val="000000"/>
                <w:szCs w:val="21"/>
              </w:rPr>
              <w:t>7.1涉及采购标的的知识产权归属、处理的，应约定知识产权的归属和处理方式。</w:t>
            </w:r>
          </w:p>
        </w:tc>
        <w:tc>
          <w:tcPr>
            <w:tcW w:w="366" w:type="pct"/>
          </w:tcPr>
          <w:p>
            <w:pPr>
              <w:rPr>
                <w:rFonts w:hint="eastAsia" w:ascii="宋体" w:hAnsi="宋体" w:cs="宋体"/>
                <w:color w:val="000000"/>
                <w:szCs w:val="21"/>
              </w:rPr>
            </w:pPr>
          </w:p>
        </w:tc>
        <w:tc>
          <w:tcPr>
            <w:tcW w:w="366" w:type="pct"/>
          </w:tcPr>
          <w:p>
            <w:pPr>
              <w:rPr>
                <w:rFonts w:hint="eastAsia" w:ascii="宋体" w:hAnsi="宋体" w:cs="宋体"/>
                <w:color w:val="000000"/>
                <w:szCs w:val="21"/>
              </w:rPr>
            </w:pPr>
          </w:p>
        </w:tc>
        <w:tc>
          <w:tcPr>
            <w:tcW w:w="376" w:type="pct"/>
          </w:tcPr>
          <w:p>
            <w:pP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continue"/>
            <w:vAlign w:val="center"/>
          </w:tcPr>
          <w:p>
            <w:pPr>
              <w:jc w:val="center"/>
              <w:rPr>
                <w:rFonts w:hint="eastAsia" w:ascii="宋体" w:hAnsi="宋体"/>
                <w:b/>
                <w:szCs w:val="21"/>
              </w:rPr>
            </w:pPr>
          </w:p>
        </w:tc>
        <w:tc>
          <w:tcPr>
            <w:tcW w:w="751" w:type="pct"/>
            <w:vMerge w:val="continue"/>
            <w:vAlign w:val="center"/>
          </w:tcPr>
          <w:p>
            <w:pPr>
              <w:rPr>
                <w:rFonts w:hint="eastAsia" w:ascii="宋体" w:hAnsi="宋体"/>
                <w:b/>
                <w:szCs w:val="21"/>
              </w:rPr>
            </w:pPr>
          </w:p>
        </w:tc>
        <w:tc>
          <w:tcPr>
            <w:tcW w:w="2799" w:type="pct"/>
          </w:tcPr>
          <w:p>
            <w:pPr>
              <w:widowControl/>
              <w:jc w:val="left"/>
              <w:rPr>
                <w:rFonts w:hint="eastAsia" w:ascii="宋体" w:hAnsi="宋体" w:cs="宋体"/>
                <w:color w:val="000000"/>
                <w:szCs w:val="21"/>
              </w:rPr>
            </w:pPr>
            <w:r>
              <w:rPr>
                <w:rFonts w:hint="eastAsia" w:ascii="宋体" w:hAnsi="宋体" w:cs="宋体"/>
                <w:color w:val="000000"/>
                <w:szCs w:val="21"/>
              </w:rPr>
              <w:t>7.2采购人购买产品后，有权对该产品与其他设备进行配套、整合或适当改进，而免受侵犯专利权的起诉。</w:t>
            </w:r>
          </w:p>
        </w:tc>
        <w:tc>
          <w:tcPr>
            <w:tcW w:w="366" w:type="pct"/>
          </w:tcPr>
          <w:p>
            <w:pPr>
              <w:widowControl/>
              <w:jc w:val="left"/>
              <w:rPr>
                <w:rFonts w:hint="eastAsia" w:ascii="宋体" w:hAnsi="宋体" w:cs="宋体"/>
                <w:color w:val="000000"/>
                <w:szCs w:val="21"/>
              </w:rPr>
            </w:pPr>
          </w:p>
        </w:tc>
        <w:tc>
          <w:tcPr>
            <w:tcW w:w="366" w:type="pct"/>
          </w:tcPr>
          <w:p>
            <w:pPr>
              <w:widowControl/>
              <w:jc w:val="left"/>
              <w:rPr>
                <w:rFonts w:hint="eastAsia" w:ascii="宋体" w:hAnsi="宋体" w:cs="宋体"/>
                <w:color w:val="000000"/>
                <w:szCs w:val="21"/>
              </w:rPr>
            </w:pPr>
          </w:p>
        </w:tc>
        <w:tc>
          <w:tcPr>
            <w:tcW w:w="376" w:type="pct"/>
          </w:tcPr>
          <w:p>
            <w:pPr>
              <w:widowControl/>
              <w:jc w:val="left"/>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restart"/>
            <w:vAlign w:val="center"/>
          </w:tcPr>
          <w:p>
            <w:pPr>
              <w:jc w:val="center"/>
              <w:rPr>
                <w:rFonts w:ascii="宋体" w:hAnsi="宋体"/>
                <w:b/>
                <w:szCs w:val="21"/>
              </w:rPr>
            </w:pPr>
            <w:r>
              <w:rPr>
                <w:rFonts w:hint="eastAsia" w:ascii="宋体" w:hAnsi="宋体"/>
                <w:b/>
                <w:szCs w:val="21"/>
              </w:rPr>
              <w:t>8</w:t>
            </w:r>
          </w:p>
        </w:tc>
        <w:tc>
          <w:tcPr>
            <w:tcW w:w="751" w:type="pct"/>
            <w:vMerge w:val="restart"/>
            <w:vAlign w:val="center"/>
          </w:tcPr>
          <w:p>
            <w:pPr>
              <w:jc w:val="center"/>
              <w:rPr>
                <w:rFonts w:hint="eastAsia" w:ascii="宋体" w:hAnsi="宋体"/>
                <w:b/>
                <w:color w:val="000000"/>
                <w:szCs w:val="21"/>
              </w:rPr>
            </w:pPr>
            <w:r>
              <w:rPr>
                <w:rFonts w:hint="eastAsia" w:ascii="宋体" w:hAnsi="宋体"/>
                <w:b/>
                <w:szCs w:val="21"/>
              </w:rPr>
              <w:t>关于违约</w:t>
            </w:r>
          </w:p>
        </w:tc>
        <w:tc>
          <w:tcPr>
            <w:tcW w:w="2799" w:type="pct"/>
          </w:tcPr>
          <w:p>
            <w:pPr>
              <w:rPr>
                <w:rFonts w:hint="eastAsia" w:ascii="宋体" w:hAnsi="宋体" w:cs="宋体"/>
                <w:bCs/>
                <w:color w:val="000000"/>
                <w:szCs w:val="21"/>
              </w:rPr>
            </w:pPr>
            <w:r>
              <w:rPr>
                <w:rFonts w:hint="eastAsia" w:ascii="宋体" w:hAnsi="宋体"/>
                <w:bCs/>
                <w:szCs w:val="21"/>
              </w:rPr>
              <w:t>8.1中标人不能交货的，需偿付不能交货部分货款的</w:t>
            </w:r>
            <w:r>
              <w:rPr>
                <w:rFonts w:hint="eastAsia" w:ascii="宋体" w:hAnsi="宋体"/>
                <w:bCs/>
                <w:szCs w:val="21"/>
                <w:u w:val="single"/>
              </w:rPr>
              <w:t xml:space="preserve"> </w:t>
            </w:r>
            <w:r>
              <w:rPr>
                <w:rFonts w:hint="eastAsia" w:ascii="宋体" w:hAnsi="宋体"/>
                <w:bCs/>
                <w:szCs w:val="21"/>
                <w:u w:val="single"/>
                <w:lang w:val="en-US" w:eastAsia="zh-CN"/>
              </w:rPr>
              <w:t>10</w:t>
            </w:r>
            <w:r>
              <w:rPr>
                <w:rFonts w:hint="eastAsia" w:ascii="宋体" w:hAnsi="宋体"/>
                <w:bCs/>
                <w:szCs w:val="21"/>
                <w:u w:val="single"/>
              </w:rPr>
              <w:t xml:space="preserve"> </w:t>
            </w:r>
            <w:r>
              <w:rPr>
                <w:rFonts w:hint="eastAsia" w:ascii="宋体" w:hAnsi="宋体"/>
                <w:bCs/>
                <w:szCs w:val="21"/>
              </w:rPr>
              <w:t>%的违约金并按主管部门相关规定处理。</w:t>
            </w:r>
          </w:p>
        </w:tc>
        <w:tc>
          <w:tcPr>
            <w:tcW w:w="366" w:type="pct"/>
          </w:tcPr>
          <w:p>
            <w:pPr>
              <w:rPr>
                <w:rFonts w:hint="eastAsia" w:ascii="宋体" w:hAnsi="宋体"/>
                <w:bCs/>
                <w:szCs w:val="21"/>
              </w:rPr>
            </w:pPr>
          </w:p>
        </w:tc>
        <w:tc>
          <w:tcPr>
            <w:tcW w:w="366" w:type="pct"/>
          </w:tcPr>
          <w:p>
            <w:pPr>
              <w:rPr>
                <w:rFonts w:hint="eastAsia" w:ascii="宋体" w:hAnsi="宋体"/>
                <w:bCs/>
                <w:szCs w:val="21"/>
              </w:rPr>
            </w:pPr>
          </w:p>
        </w:tc>
        <w:tc>
          <w:tcPr>
            <w:tcW w:w="376" w:type="pct"/>
          </w:tcPr>
          <w:p>
            <w:pPr>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continue"/>
            <w:vAlign w:val="center"/>
          </w:tcPr>
          <w:p>
            <w:pPr>
              <w:jc w:val="center"/>
              <w:rPr>
                <w:rFonts w:ascii="宋体" w:hAnsi="宋体"/>
                <w:b/>
                <w:szCs w:val="21"/>
              </w:rPr>
            </w:pPr>
          </w:p>
        </w:tc>
        <w:tc>
          <w:tcPr>
            <w:tcW w:w="751" w:type="pct"/>
            <w:vMerge w:val="continue"/>
            <w:vAlign w:val="center"/>
          </w:tcPr>
          <w:p>
            <w:pPr>
              <w:jc w:val="center"/>
              <w:rPr>
                <w:rFonts w:hint="eastAsia" w:ascii="宋体" w:hAnsi="宋体"/>
                <w:b/>
                <w:color w:val="000000"/>
                <w:szCs w:val="21"/>
              </w:rPr>
            </w:pPr>
          </w:p>
        </w:tc>
        <w:tc>
          <w:tcPr>
            <w:tcW w:w="2799" w:type="pct"/>
          </w:tcPr>
          <w:p>
            <w:pPr>
              <w:rPr>
                <w:rFonts w:hint="eastAsia" w:ascii="宋体" w:hAnsi="宋体" w:cs="宋体"/>
                <w:bCs/>
                <w:color w:val="000000"/>
                <w:szCs w:val="21"/>
              </w:rPr>
            </w:pPr>
            <w:r>
              <w:rPr>
                <w:rFonts w:hint="eastAsia" w:ascii="宋体" w:hAnsi="宋体"/>
                <w:bCs/>
                <w:szCs w:val="21"/>
              </w:rPr>
              <w:t>8.2中标人逾期交货的，将被没收履约保证金并按主管部门相关规定处理。</w:t>
            </w:r>
          </w:p>
        </w:tc>
        <w:tc>
          <w:tcPr>
            <w:tcW w:w="366" w:type="pct"/>
          </w:tcPr>
          <w:p>
            <w:pPr>
              <w:rPr>
                <w:rFonts w:hint="eastAsia" w:ascii="宋体" w:hAnsi="宋体"/>
                <w:bCs/>
                <w:szCs w:val="21"/>
              </w:rPr>
            </w:pPr>
          </w:p>
        </w:tc>
        <w:tc>
          <w:tcPr>
            <w:tcW w:w="366" w:type="pct"/>
          </w:tcPr>
          <w:p>
            <w:pPr>
              <w:rPr>
                <w:rFonts w:hint="eastAsia" w:ascii="宋体" w:hAnsi="宋体"/>
                <w:bCs/>
                <w:szCs w:val="21"/>
              </w:rPr>
            </w:pPr>
          </w:p>
        </w:tc>
        <w:tc>
          <w:tcPr>
            <w:tcW w:w="376" w:type="pct"/>
          </w:tcPr>
          <w:p>
            <w:pPr>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continue"/>
            <w:vAlign w:val="center"/>
          </w:tcPr>
          <w:p>
            <w:pPr>
              <w:jc w:val="center"/>
              <w:rPr>
                <w:rFonts w:ascii="宋体" w:hAnsi="宋体"/>
                <w:b/>
                <w:szCs w:val="21"/>
              </w:rPr>
            </w:pPr>
          </w:p>
        </w:tc>
        <w:tc>
          <w:tcPr>
            <w:tcW w:w="751" w:type="pct"/>
            <w:vMerge w:val="continue"/>
            <w:vAlign w:val="center"/>
          </w:tcPr>
          <w:p>
            <w:pPr>
              <w:jc w:val="center"/>
              <w:rPr>
                <w:rFonts w:hint="eastAsia" w:ascii="宋体" w:hAnsi="宋体"/>
                <w:b/>
                <w:color w:val="000000"/>
                <w:szCs w:val="21"/>
              </w:rPr>
            </w:pPr>
          </w:p>
        </w:tc>
        <w:tc>
          <w:tcPr>
            <w:tcW w:w="2799" w:type="pct"/>
          </w:tcPr>
          <w:p>
            <w:pPr>
              <w:rPr>
                <w:rFonts w:hint="eastAsia" w:ascii="宋体" w:hAnsi="宋体" w:cs="宋体"/>
                <w:bCs/>
                <w:color w:val="000000"/>
                <w:szCs w:val="21"/>
              </w:rPr>
            </w:pPr>
            <w:r>
              <w:rPr>
                <w:rFonts w:hint="eastAsia" w:ascii="宋体" w:hAnsi="宋体"/>
                <w:bCs/>
                <w:szCs w:val="21"/>
              </w:rPr>
              <w:t>8.3中标人所交付产品、工程或服务不符合其投标承诺的，或在投标阶段为了中标而盲目虚假承诺、低价恶性竞争，在履约阶段则通过偷工减料、以次充好而获取利润的，将被没收履约保证金，并被履约评价工作实施机构评为履约等级“差”并按主管部门相关规定处理。</w:t>
            </w:r>
          </w:p>
        </w:tc>
        <w:tc>
          <w:tcPr>
            <w:tcW w:w="366" w:type="pct"/>
          </w:tcPr>
          <w:p>
            <w:pPr>
              <w:rPr>
                <w:rFonts w:hint="eastAsia" w:ascii="宋体" w:hAnsi="宋体"/>
                <w:bCs/>
                <w:szCs w:val="21"/>
              </w:rPr>
            </w:pPr>
          </w:p>
        </w:tc>
        <w:tc>
          <w:tcPr>
            <w:tcW w:w="366" w:type="pct"/>
          </w:tcPr>
          <w:p>
            <w:pPr>
              <w:rPr>
                <w:rFonts w:hint="eastAsia" w:ascii="宋体" w:hAnsi="宋体"/>
                <w:bCs/>
                <w:szCs w:val="21"/>
              </w:rPr>
            </w:pPr>
          </w:p>
        </w:tc>
        <w:tc>
          <w:tcPr>
            <w:tcW w:w="376" w:type="pct"/>
          </w:tcPr>
          <w:p>
            <w:pPr>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continue"/>
            <w:vAlign w:val="center"/>
          </w:tcPr>
          <w:p>
            <w:pPr>
              <w:jc w:val="center"/>
              <w:rPr>
                <w:rFonts w:ascii="宋体" w:hAnsi="宋体"/>
                <w:b/>
                <w:szCs w:val="21"/>
              </w:rPr>
            </w:pPr>
          </w:p>
        </w:tc>
        <w:tc>
          <w:tcPr>
            <w:tcW w:w="751" w:type="pct"/>
            <w:vMerge w:val="continue"/>
            <w:vAlign w:val="center"/>
          </w:tcPr>
          <w:p>
            <w:pPr>
              <w:jc w:val="center"/>
              <w:rPr>
                <w:rFonts w:hint="eastAsia" w:ascii="宋体" w:hAnsi="宋体"/>
                <w:b/>
                <w:color w:val="000000"/>
                <w:szCs w:val="21"/>
              </w:rPr>
            </w:pPr>
          </w:p>
        </w:tc>
        <w:tc>
          <w:tcPr>
            <w:tcW w:w="2799" w:type="pct"/>
          </w:tcPr>
          <w:p>
            <w:pPr>
              <w:rPr>
                <w:rFonts w:hint="default" w:ascii="宋体" w:hAnsi="宋体" w:eastAsia="宋体"/>
                <w:bCs/>
                <w:szCs w:val="21"/>
                <w:lang w:val="en-US" w:eastAsia="zh-CN"/>
              </w:rPr>
            </w:pPr>
            <w:r>
              <w:rPr>
                <w:rFonts w:hint="eastAsia" w:ascii="宋体" w:hAnsi="宋体"/>
                <w:bCs/>
                <w:szCs w:val="21"/>
                <w:lang w:val="en-US" w:eastAsia="zh-CN"/>
              </w:rPr>
              <w:t>8.4</w:t>
            </w:r>
            <w:r>
              <w:rPr>
                <w:rFonts w:hint="eastAsia" w:ascii="宋体" w:hAnsi="宋体"/>
                <w:szCs w:val="21"/>
              </w:rPr>
              <w:t>乙方逾期交付产品的，每逾期1日按照合同总额5‰向甲方支付逾期违约金。乙方逾期超过10日，甲方有权要求乙方按合同总额10%支付违约金，并有权解除合同，要求乙方返还甲方已支付的合同款项。若因此造成甲方损失的，乙方应承担相应的赔偿责任。</w:t>
            </w:r>
          </w:p>
        </w:tc>
        <w:tc>
          <w:tcPr>
            <w:tcW w:w="366" w:type="pct"/>
          </w:tcPr>
          <w:p>
            <w:pPr>
              <w:rPr>
                <w:rFonts w:hint="eastAsia" w:ascii="宋体" w:hAnsi="宋体"/>
                <w:bCs/>
                <w:szCs w:val="21"/>
                <w:lang w:val="en-US" w:eastAsia="zh-CN"/>
              </w:rPr>
            </w:pPr>
          </w:p>
        </w:tc>
        <w:tc>
          <w:tcPr>
            <w:tcW w:w="366" w:type="pct"/>
          </w:tcPr>
          <w:p>
            <w:pPr>
              <w:rPr>
                <w:rFonts w:hint="eastAsia" w:ascii="宋体" w:hAnsi="宋体"/>
                <w:bCs/>
                <w:szCs w:val="21"/>
                <w:lang w:val="en-US" w:eastAsia="zh-CN"/>
              </w:rPr>
            </w:pPr>
          </w:p>
        </w:tc>
        <w:tc>
          <w:tcPr>
            <w:tcW w:w="376" w:type="pct"/>
          </w:tcPr>
          <w:p>
            <w:pPr>
              <w:rPr>
                <w:rFonts w:hint="eastAsia" w:ascii="宋体" w:hAnsi="宋体"/>
                <w:bC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continue"/>
            <w:vAlign w:val="center"/>
          </w:tcPr>
          <w:p>
            <w:pPr>
              <w:jc w:val="center"/>
              <w:rPr>
                <w:rFonts w:ascii="宋体" w:hAnsi="宋体"/>
                <w:b/>
                <w:szCs w:val="21"/>
              </w:rPr>
            </w:pPr>
          </w:p>
        </w:tc>
        <w:tc>
          <w:tcPr>
            <w:tcW w:w="751" w:type="pct"/>
            <w:vMerge w:val="continue"/>
            <w:vAlign w:val="center"/>
          </w:tcPr>
          <w:p>
            <w:pPr>
              <w:jc w:val="center"/>
              <w:rPr>
                <w:rFonts w:hint="eastAsia" w:ascii="宋体" w:hAnsi="宋体"/>
                <w:b/>
                <w:color w:val="000000"/>
                <w:szCs w:val="21"/>
              </w:rPr>
            </w:pPr>
          </w:p>
        </w:tc>
        <w:tc>
          <w:tcPr>
            <w:tcW w:w="2799" w:type="pct"/>
          </w:tcPr>
          <w:p>
            <w:pPr>
              <w:pStyle w:val="8"/>
              <w:spacing w:before="78" w:beforeLines="25" w:after="78" w:afterLines="25"/>
              <w:ind w:firstLine="0" w:firstLineChars="0"/>
              <w:rPr>
                <w:rFonts w:hint="eastAsia" w:ascii="宋体" w:hAnsi="宋体"/>
                <w:bCs/>
                <w:szCs w:val="21"/>
              </w:rPr>
            </w:pPr>
            <w:r>
              <w:rPr>
                <w:rFonts w:hint="eastAsia" w:ascii="宋体" w:hAnsi="宋体"/>
                <w:szCs w:val="21"/>
                <w:lang w:val="en-US" w:eastAsia="zh-CN"/>
              </w:rPr>
              <w:t>8.5</w:t>
            </w:r>
            <w:r>
              <w:rPr>
                <w:rFonts w:hint="eastAsia" w:ascii="宋体" w:hAnsi="宋体"/>
                <w:szCs w:val="21"/>
              </w:rPr>
              <w:t>乙方所提供的产品经验收不合格，经修理或者更换后仍不合格的，甲方有权要求乙方按合同总额10%支付违约金，并有权解除合同，要求乙方返还甲方已支付的合同款项。若因此造成甲方损失的，乙方应承担相应的赔偿责任。</w:t>
            </w:r>
          </w:p>
        </w:tc>
        <w:tc>
          <w:tcPr>
            <w:tcW w:w="366" w:type="pct"/>
          </w:tcPr>
          <w:p>
            <w:pPr>
              <w:pStyle w:val="8"/>
              <w:spacing w:before="78" w:beforeLines="25" w:after="78" w:afterLines="25"/>
              <w:ind w:firstLine="0" w:firstLineChars="0"/>
              <w:rPr>
                <w:rFonts w:hint="eastAsia" w:ascii="宋体" w:hAnsi="宋体"/>
                <w:szCs w:val="21"/>
                <w:lang w:val="en-US" w:eastAsia="zh-CN"/>
              </w:rPr>
            </w:pPr>
          </w:p>
        </w:tc>
        <w:tc>
          <w:tcPr>
            <w:tcW w:w="366" w:type="pct"/>
          </w:tcPr>
          <w:p>
            <w:pPr>
              <w:pStyle w:val="8"/>
              <w:spacing w:before="78" w:beforeLines="25" w:after="78" w:afterLines="25"/>
              <w:ind w:firstLine="0" w:firstLineChars="0"/>
              <w:rPr>
                <w:rFonts w:hint="eastAsia" w:ascii="宋体" w:hAnsi="宋体"/>
                <w:szCs w:val="21"/>
                <w:lang w:val="en-US" w:eastAsia="zh-CN"/>
              </w:rPr>
            </w:pPr>
          </w:p>
        </w:tc>
        <w:tc>
          <w:tcPr>
            <w:tcW w:w="376" w:type="pct"/>
          </w:tcPr>
          <w:p>
            <w:pPr>
              <w:pStyle w:val="8"/>
              <w:spacing w:before="78" w:beforeLines="25" w:after="78" w:afterLines="25"/>
              <w:ind w:firstLine="0" w:firstLineChars="0"/>
              <w:rPr>
                <w:rFonts w:hint="eastAsia" w:ascii="宋体"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continue"/>
            <w:vAlign w:val="center"/>
          </w:tcPr>
          <w:p>
            <w:pPr>
              <w:jc w:val="center"/>
              <w:rPr>
                <w:rFonts w:ascii="宋体" w:hAnsi="宋体"/>
                <w:b/>
                <w:szCs w:val="21"/>
              </w:rPr>
            </w:pPr>
          </w:p>
        </w:tc>
        <w:tc>
          <w:tcPr>
            <w:tcW w:w="751" w:type="pct"/>
            <w:vMerge w:val="continue"/>
            <w:vAlign w:val="center"/>
          </w:tcPr>
          <w:p>
            <w:pPr>
              <w:jc w:val="center"/>
              <w:rPr>
                <w:rFonts w:hint="eastAsia" w:ascii="宋体" w:hAnsi="宋体"/>
                <w:b/>
                <w:color w:val="000000"/>
                <w:szCs w:val="21"/>
              </w:rPr>
            </w:pPr>
          </w:p>
        </w:tc>
        <w:tc>
          <w:tcPr>
            <w:tcW w:w="2799" w:type="pct"/>
          </w:tcPr>
          <w:p>
            <w:pPr>
              <w:pStyle w:val="8"/>
              <w:spacing w:before="78" w:beforeLines="25" w:after="78" w:afterLines="25"/>
              <w:ind w:firstLine="0" w:firstLineChars="0"/>
              <w:rPr>
                <w:rFonts w:hint="eastAsia" w:ascii="宋体" w:hAnsi="宋体"/>
                <w:bCs/>
                <w:szCs w:val="21"/>
              </w:rPr>
            </w:pPr>
            <w:r>
              <w:rPr>
                <w:rFonts w:hint="eastAsia" w:ascii="宋体" w:hAnsi="宋体"/>
                <w:szCs w:val="21"/>
                <w:lang w:val="en-US" w:eastAsia="zh-CN"/>
              </w:rPr>
              <w:t>8.6</w:t>
            </w:r>
            <w:r>
              <w:rPr>
                <w:rFonts w:hint="eastAsia" w:ascii="宋体" w:hAnsi="宋体"/>
                <w:szCs w:val="21"/>
              </w:rPr>
              <w:t>质保期内，乙方超过2次未按合同第十二条约定履行质保义务的，甲方有权要求乙方按合同总额10%支付违约金，并有权解除合同。若因此造成甲方损失的，乙方应承担相应的赔偿责任。</w:t>
            </w:r>
          </w:p>
        </w:tc>
        <w:tc>
          <w:tcPr>
            <w:tcW w:w="366" w:type="pct"/>
          </w:tcPr>
          <w:p>
            <w:pPr>
              <w:pStyle w:val="8"/>
              <w:spacing w:before="78" w:beforeLines="25" w:after="78" w:afterLines="25"/>
              <w:ind w:firstLine="0" w:firstLineChars="0"/>
              <w:rPr>
                <w:rFonts w:hint="eastAsia" w:ascii="宋体" w:hAnsi="宋体"/>
                <w:szCs w:val="21"/>
                <w:lang w:val="en-US" w:eastAsia="zh-CN"/>
              </w:rPr>
            </w:pPr>
          </w:p>
        </w:tc>
        <w:tc>
          <w:tcPr>
            <w:tcW w:w="366" w:type="pct"/>
          </w:tcPr>
          <w:p>
            <w:pPr>
              <w:pStyle w:val="8"/>
              <w:spacing w:before="78" w:beforeLines="25" w:after="78" w:afterLines="25"/>
              <w:ind w:firstLine="0" w:firstLineChars="0"/>
              <w:rPr>
                <w:rFonts w:hint="eastAsia" w:ascii="宋体" w:hAnsi="宋体"/>
                <w:szCs w:val="21"/>
                <w:lang w:val="en-US" w:eastAsia="zh-CN"/>
              </w:rPr>
            </w:pPr>
          </w:p>
        </w:tc>
        <w:tc>
          <w:tcPr>
            <w:tcW w:w="376" w:type="pct"/>
          </w:tcPr>
          <w:p>
            <w:pPr>
              <w:pStyle w:val="8"/>
              <w:spacing w:before="78" w:beforeLines="25" w:after="78" w:afterLines="25"/>
              <w:ind w:firstLine="0" w:firstLineChars="0"/>
              <w:rPr>
                <w:rFonts w:hint="eastAsia" w:ascii="宋体"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continue"/>
            <w:vAlign w:val="center"/>
          </w:tcPr>
          <w:p>
            <w:pPr>
              <w:jc w:val="center"/>
              <w:rPr>
                <w:rFonts w:ascii="宋体" w:hAnsi="宋体"/>
                <w:b/>
                <w:szCs w:val="21"/>
              </w:rPr>
            </w:pPr>
          </w:p>
        </w:tc>
        <w:tc>
          <w:tcPr>
            <w:tcW w:w="751" w:type="pct"/>
            <w:vMerge w:val="continue"/>
            <w:vAlign w:val="center"/>
          </w:tcPr>
          <w:p>
            <w:pPr>
              <w:jc w:val="center"/>
              <w:rPr>
                <w:rFonts w:hint="eastAsia" w:ascii="宋体" w:hAnsi="宋体"/>
                <w:b/>
                <w:color w:val="000000"/>
                <w:szCs w:val="21"/>
              </w:rPr>
            </w:pPr>
          </w:p>
        </w:tc>
        <w:tc>
          <w:tcPr>
            <w:tcW w:w="2799" w:type="pct"/>
          </w:tcPr>
          <w:p>
            <w:pPr>
              <w:pStyle w:val="8"/>
              <w:spacing w:before="78" w:beforeLines="25" w:after="78" w:afterLines="25"/>
              <w:ind w:firstLine="0" w:firstLineChars="0"/>
              <w:rPr>
                <w:rFonts w:hint="eastAsia" w:ascii="宋体" w:hAnsi="宋体"/>
                <w:bCs/>
                <w:szCs w:val="21"/>
              </w:rPr>
            </w:pPr>
            <w:r>
              <w:rPr>
                <w:rFonts w:hint="eastAsia" w:ascii="宋体" w:hAnsi="宋体"/>
                <w:szCs w:val="21"/>
                <w:lang w:val="en-US" w:eastAsia="zh-CN"/>
              </w:rPr>
              <w:t>8.7</w:t>
            </w:r>
            <w:r>
              <w:rPr>
                <w:rFonts w:hint="eastAsia" w:ascii="宋体" w:hAnsi="宋体"/>
                <w:szCs w:val="21"/>
              </w:rPr>
              <w:t>因乙方提供的产品受到侵权指控或者引发法律纠纷，影响甲方正常使用或者导致合同目的不能实现的，甲方有权要求乙方按合同总额10%支付违约金，并有权解除合同，要求乙方返还甲方已支付的合同款项。若因此造成甲方损失的，乙方应承担相应的赔偿责任。</w:t>
            </w:r>
          </w:p>
        </w:tc>
        <w:tc>
          <w:tcPr>
            <w:tcW w:w="366" w:type="pct"/>
          </w:tcPr>
          <w:p>
            <w:pPr>
              <w:pStyle w:val="8"/>
              <w:spacing w:before="78" w:beforeLines="25" w:after="78" w:afterLines="25"/>
              <w:ind w:firstLine="0" w:firstLineChars="0"/>
              <w:rPr>
                <w:rFonts w:hint="eastAsia" w:ascii="宋体" w:hAnsi="宋体"/>
                <w:szCs w:val="21"/>
                <w:lang w:val="en-US" w:eastAsia="zh-CN"/>
              </w:rPr>
            </w:pPr>
          </w:p>
        </w:tc>
        <w:tc>
          <w:tcPr>
            <w:tcW w:w="366" w:type="pct"/>
          </w:tcPr>
          <w:p>
            <w:pPr>
              <w:pStyle w:val="8"/>
              <w:spacing w:before="78" w:beforeLines="25" w:after="78" w:afterLines="25"/>
              <w:ind w:firstLine="0" w:firstLineChars="0"/>
              <w:rPr>
                <w:rFonts w:hint="eastAsia" w:ascii="宋体" w:hAnsi="宋体"/>
                <w:szCs w:val="21"/>
                <w:lang w:val="en-US" w:eastAsia="zh-CN"/>
              </w:rPr>
            </w:pPr>
          </w:p>
        </w:tc>
        <w:tc>
          <w:tcPr>
            <w:tcW w:w="376" w:type="pct"/>
          </w:tcPr>
          <w:p>
            <w:pPr>
              <w:pStyle w:val="8"/>
              <w:spacing w:before="78" w:beforeLines="25" w:after="78" w:afterLines="25"/>
              <w:ind w:firstLine="0" w:firstLineChars="0"/>
              <w:rPr>
                <w:rFonts w:hint="eastAsia" w:ascii="宋体"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continue"/>
            <w:vAlign w:val="center"/>
          </w:tcPr>
          <w:p>
            <w:pPr>
              <w:jc w:val="center"/>
              <w:rPr>
                <w:rFonts w:ascii="宋体" w:hAnsi="宋体"/>
                <w:b/>
                <w:szCs w:val="21"/>
              </w:rPr>
            </w:pPr>
          </w:p>
        </w:tc>
        <w:tc>
          <w:tcPr>
            <w:tcW w:w="751" w:type="pct"/>
            <w:vMerge w:val="continue"/>
            <w:vAlign w:val="center"/>
          </w:tcPr>
          <w:p>
            <w:pPr>
              <w:jc w:val="center"/>
              <w:rPr>
                <w:rFonts w:hint="eastAsia" w:ascii="宋体" w:hAnsi="宋体"/>
                <w:b/>
                <w:color w:val="000000"/>
                <w:szCs w:val="21"/>
              </w:rPr>
            </w:pPr>
          </w:p>
        </w:tc>
        <w:tc>
          <w:tcPr>
            <w:tcW w:w="2799" w:type="pct"/>
          </w:tcPr>
          <w:p>
            <w:pPr>
              <w:pStyle w:val="8"/>
              <w:spacing w:before="78" w:beforeLines="25" w:after="78" w:afterLines="25"/>
              <w:ind w:firstLine="0" w:firstLineChars="0"/>
              <w:rPr>
                <w:rFonts w:hint="eastAsia" w:ascii="宋体" w:hAnsi="宋体"/>
                <w:bCs/>
                <w:szCs w:val="21"/>
              </w:rPr>
            </w:pPr>
            <w:r>
              <w:rPr>
                <w:rFonts w:hint="eastAsia" w:ascii="宋体" w:hAnsi="宋体"/>
                <w:szCs w:val="21"/>
                <w:lang w:val="en-US" w:eastAsia="zh-CN"/>
              </w:rPr>
              <w:t>8.8</w:t>
            </w:r>
            <w:r>
              <w:rPr>
                <w:rFonts w:hint="eastAsia" w:ascii="宋体" w:hAnsi="宋体"/>
                <w:szCs w:val="21"/>
              </w:rPr>
              <w:t>乙方违反合同约定，擅自将合同义务的全部或者部分转让给第三人，甲方有权要求乙方按合同总额10%支付违约金，并有权解除合同，要求乙方返还甲方已支付的合同款项。若因此造成甲方损失的，乙方应承担相应的赔偿责任。</w:t>
            </w:r>
          </w:p>
        </w:tc>
        <w:tc>
          <w:tcPr>
            <w:tcW w:w="366" w:type="pct"/>
          </w:tcPr>
          <w:p>
            <w:pPr>
              <w:pStyle w:val="8"/>
              <w:spacing w:before="78" w:beforeLines="25" w:after="78" w:afterLines="25"/>
              <w:ind w:firstLine="0" w:firstLineChars="0"/>
              <w:rPr>
                <w:rFonts w:hint="eastAsia" w:ascii="宋体" w:hAnsi="宋体"/>
                <w:szCs w:val="21"/>
                <w:lang w:val="en-US" w:eastAsia="zh-CN"/>
              </w:rPr>
            </w:pPr>
          </w:p>
        </w:tc>
        <w:tc>
          <w:tcPr>
            <w:tcW w:w="366" w:type="pct"/>
          </w:tcPr>
          <w:p>
            <w:pPr>
              <w:pStyle w:val="8"/>
              <w:spacing w:before="78" w:beforeLines="25" w:after="78" w:afterLines="25"/>
              <w:ind w:firstLine="0" w:firstLineChars="0"/>
              <w:rPr>
                <w:rFonts w:hint="eastAsia" w:ascii="宋体" w:hAnsi="宋体"/>
                <w:szCs w:val="21"/>
                <w:lang w:val="en-US" w:eastAsia="zh-CN"/>
              </w:rPr>
            </w:pPr>
          </w:p>
        </w:tc>
        <w:tc>
          <w:tcPr>
            <w:tcW w:w="376" w:type="pct"/>
          </w:tcPr>
          <w:p>
            <w:pPr>
              <w:pStyle w:val="8"/>
              <w:spacing w:before="78" w:beforeLines="25" w:after="78" w:afterLines="25"/>
              <w:ind w:firstLine="0" w:firstLineChars="0"/>
              <w:rPr>
                <w:rFonts w:hint="eastAsia" w:ascii="宋体"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continue"/>
            <w:vAlign w:val="center"/>
          </w:tcPr>
          <w:p>
            <w:pPr>
              <w:jc w:val="center"/>
              <w:rPr>
                <w:rFonts w:ascii="宋体" w:hAnsi="宋体"/>
                <w:b/>
                <w:szCs w:val="21"/>
              </w:rPr>
            </w:pPr>
          </w:p>
        </w:tc>
        <w:tc>
          <w:tcPr>
            <w:tcW w:w="751" w:type="pct"/>
            <w:vMerge w:val="continue"/>
            <w:vAlign w:val="center"/>
          </w:tcPr>
          <w:p>
            <w:pPr>
              <w:jc w:val="center"/>
              <w:rPr>
                <w:rFonts w:hint="eastAsia" w:ascii="宋体" w:hAnsi="宋体"/>
                <w:b/>
                <w:color w:val="000000"/>
                <w:szCs w:val="21"/>
              </w:rPr>
            </w:pPr>
          </w:p>
        </w:tc>
        <w:tc>
          <w:tcPr>
            <w:tcW w:w="2799" w:type="pct"/>
          </w:tcPr>
          <w:p>
            <w:pPr>
              <w:pStyle w:val="8"/>
              <w:spacing w:before="78" w:beforeLines="25" w:after="78" w:afterLines="25"/>
              <w:ind w:firstLine="0" w:firstLineChars="0"/>
              <w:rPr>
                <w:rFonts w:hint="eastAsia" w:ascii="宋体" w:hAnsi="宋体"/>
                <w:bCs/>
                <w:szCs w:val="21"/>
              </w:rPr>
            </w:pPr>
            <w:r>
              <w:rPr>
                <w:rFonts w:hint="eastAsia" w:ascii="宋体" w:hAnsi="宋体"/>
                <w:szCs w:val="21"/>
                <w:lang w:val="en-US" w:eastAsia="zh-CN"/>
              </w:rPr>
              <w:t>8.9</w:t>
            </w:r>
            <w:r>
              <w:rPr>
                <w:rFonts w:hint="eastAsia" w:ascii="宋体" w:hAnsi="宋体"/>
                <w:szCs w:val="21"/>
              </w:rPr>
              <w:t>乙方违反本合同约定的保密义务，甲方有权要求乙方按合同总额10%支付违约金；造成不良影响或对甲方造成损失的，甲方有权要求乙方消除影响，承担赔偿责任，并有权解除合同。乙方与甲方另行签订本项目《保密协议》的，其中就违反保密义务的责任亦有约定的，视为本条的补充条款，两者可同时适用。</w:t>
            </w:r>
          </w:p>
        </w:tc>
        <w:tc>
          <w:tcPr>
            <w:tcW w:w="366" w:type="pct"/>
          </w:tcPr>
          <w:p>
            <w:pPr>
              <w:pStyle w:val="8"/>
              <w:spacing w:before="78" w:beforeLines="25" w:after="78" w:afterLines="25"/>
              <w:ind w:firstLine="0" w:firstLineChars="0"/>
              <w:rPr>
                <w:rFonts w:hint="eastAsia" w:ascii="宋体" w:hAnsi="宋体"/>
                <w:szCs w:val="21"/>
                <w:lang w:val="en-US" w:eastAsia="zh-CN"/>
              </w:rPr>
            </w:pPr>
          </w:p>
        </w:tc>
        <w:tc>
          <w:tcPr>
            <w:tcW w:w="366" w:type="pct"/>
          </w:tcPr>
          <w:p>
            <w:pPr>
              <w:pStyle w:val="8"/>
              <w:spacing w:before="78" w:beforeLines="25" w:after="78" w:afterLines="25"/>
              <w:ind w:firstLine="0" w:firstLineChars="0"/>
              <w:rPr>
                <w:rFonts w:hint="eastAsia" w:ascii="宋体" w:hAnsi="宋体"/>
                <w:szCs w:val="21"/>
                <w:lang w:val="en-US" w:eastAsia="zh-CN"/>
              </w:rPr>
            </w:pPr>
          </w:p>
        </w:tc>
        <w:tc>
          <w:tcPr>
            <w:tcW w:w="376" w:type="pct"/>
          </w:tcPr>
          <w:p>
            <w:pPr>
              <w:pStyle w:val="8"/>
              <w:spacing w:before="78" w:beforeLines="25" w:after="78" w:afterLines="25"/>
              <w:ind w:firstLine="0" w:firstLineChars="0"/>
              <w:rPr>
                <w:rFonts w:hint="eastAsia" w:ascii="宋体"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continue"/>
            <w:vAlign w:val="center"/>
          </w:tcPr>
          <w:p>
            <w:pPr>
              <w:jc w:val="center"/>
              <w:rPr>
                <w:rFonts w:ascii="宋体" w:hAnsi="宋体"/>
                <w:b/>
                <w:szCs w:val="21"/>
              </w:rPr>
            </w:pPr>
          </w:p>
        </w:tc>
        <w:tc>
          <w:tcPr>
            <w:tcW w:w="751" w:type="pct"/>
            <w:vMerge w:val="continue"/>
            <w:vAlign w:val="center"/>
          </w:tcPr>
          <w:p>
            <w:pPr>
              <w:jc w:val="center"/>
              <w:rPr>
                <w:rFonts w:hint="eastAsia" w:ascii="宋体" w:hAnsi="宋体"/>
                <w:b/>
                <w:color w:val="000000"/>
                <w:szCs w:val="21"/>
              </w:rPr>
            </w:pPr>
          </w:p>
        </w:tc>
        <w:tc>
          <w:tcPr>
            <w:tcW w:w="2799" w:type="pct"/>
          </w:tcPr>
          <w:p>
            <w:pPr>
              <w:pStyle w:val="8"/>
              <w:spacing w:before="78" w:beforeLines="25" w:after="78" w:afterLines="25"/>
              <w:ind w:firstLine="0" w:firstLineChars="0"/>
              <w:rPr>
                <w:rFonts w:hint="eastAsia" w:ascii="宋体" w:hAnsi="宋体"/>
                <w:bCs/>
                <w:szCs w:val="21"/>
              </w:rPr>
            </w:pPr>
            <w:r>
              <w:rPr>
                <w:rFonts w:hint="eastAsia" w:ascii="宋体" w:hAnsi="宋体"/>
                <w:szCs w:val="21"/>
                <w:lang w:val="en-US" w:eastAsia="zh-CN"/>
              </w:rPr>
              <w:t>8.10</w:t>
            </w:r>
            <w:r>
              <w:rPr>
                <w:rFonts w:hint="eastAsia" w:ascii="宋体" w:hAnsi="宋体"/>
                <w:szCs w:val="21"/>
              </w:rPr>
              <w:t>合同任何一方明确表示或者以其行为表明不履行合同主要义务，或无正当理由擅自解除合同的，应当向另一方支付合同总额10%违约金。若因此造成另一方损失的，应承担相应的赔偿责任。</w:t>
            </w:r>
          </w:p>
        </w:tc>
        <w:tc>
          <w:tcPr>
            <w:tcW w:w="366" w:type="pct"/>
          </w:tcPr>
          <w:p>
            <w:pPr>
              <w:pStyle w:val="8"/>
              <w:spacing w:before="78" w:beforeLines="25" w:after="78" w:afterLines="25"/>
              <w:ind w:firstLine="0" w:firstLineChars="0"/>
              <w:rPr>
                <w:rFonts w:hint="eastAsia" w:ascii="宋体" w:hAnsi="宋体"/>
                <w:szCs w:val="21"/>
                <w:lang w:val="en-US" w:eastAsia="zh-CN"/>
              </w:rPr>
            </w:pPr>
          </w:p>
        </w:tc>
        <w:tc>
          <w:tcPr>
            <w:tcW w:w="366" w:type="pct"/>
          </w:tcPr>
          <w:p>
            <w:pPr>
              <w:pStyle w:val="8"/>
              <w:spacing w:before="78" w:beforeLines="25" w:after="78" w:afterLines="25"/>
              <w:ind w:firstLine="0" w:firstLineChars="0"/>
              <w:rPr>
                <w:rFonts w:hint="eastAsia" w:ascii="宋体" w:hAnsi="宋体"/>
                <w:szCs w:val="21"/>
                <w:lang w:val="en-US" w:eastAsia="zh-CN"/>
              </w:rPr>
            </w:pPr>
          </w:p>
        </w:tc>
        <w:tc>
          <w:tcPr>
            <w:tcW w:w="376" w:type="pct"/>
          </w:tcPr>
          <w:p>
            <w:pPr>
              <w:pStyle w:val="8"/>
              <w:spacing w:before="78" w:beforeLines="25" w:after="78" w:afterLines="25"/>
              <w:ind w:firstLine="0" w:firstLineChars="0"/>
              <w:rPr>
                <w:rFonts w:hint="eastAsia" w:ascii="宋体"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 w:type="pct"/>
            <w:vMerge w:val="continue"/>
            <w:vAlign w:val="center"/>
          </w:tcPr>
          <w:p>
            <w:pPr>
              <w:jc w:val="center"/>
              <w:rPr>
                <w:rFonts w:ascii="宋体" w:hAnsi="宋体"/>
                <w:b/>
                <w:szCs w:val="21"/>
              </w:rPr>
            </w:pPr>
          </w:p>
        </w:tc>
        <w:tc>
          <w:tcPr>
            <w:tcW w:w="751" w:type="pct"/>
            <w:vMerge w:val="continue"/>
            <w:vAlign w:val="center"/>
          </w:tcPr>
          <w:p>
            <w:pPr>
              <w:jc w:val="center"/>
              <w:rPr>
                <w:rFonts w:hint="eastAsia" w:ascii="宋体" w:hAnsi="宋体"/>
                <w:b/>
                <w:color w:val="000000"/>
                <w:szCs w:val="21"/>
              </w:rPr>
            </w:pPr>
          </w:p>
        </w:tc>
        <w:tc>
          <w:tcPr>
            <w:tcW w:w="2799" w:type="pct"/>
          </w:tcPr>
          <w:p>
            <w:pPr>
              <w:pStyle w:val="8"/>
              <w:spacing w:before="78" w:beforeLines="25" w:after="78" w:afterLines="25"/>
              <w:ind w:firstLine="0" w:firstLineChars="0"/>
              <w:rPr>
                <w:rFonts w:hint="eastAsia" w:ascii="宋体" w:hAnsi="宋体"/>
                <w:bCs/>
                <w:szCs w:val="21"/>
              </w:rPr>
            </w:pPr>
            <w:r>
              <w:rPr>
                <w:rFonts w:hint="eastAsia" w:ascii="宋体" w:hAnsi="宋体"/>
                <w:szCs w:val="21"/>
                <w:lang w:val="en-US" w:eastAsia="zh-CN"/>
              </w:rPr>
              <w:t>8.11</w:t>
            </w:r>
            <w:r>
              <w:rPr>
                <w:rFonts w:hint="eastAsia" w:ascii="宋体" w:hAnsi="宋体"/>
                <w:szCs w:val="21"/>
              </w:rPr>
              <w:t>如果乙方破产导致合同无法履行的，甲方可以解除合同且不按照本合同支付乙方违约金以及给予乙方其他任何补偿和赔偿，但合同的解除不影响甲方任何要求乙方支付违约金、赔偿损失等的权利。</w:t>
            </w:r>
          </w:p>
        </w:tc>
        <w:tc>
          <w:tcPr>
            <w:tcW w:w="366" w:type="pct"/>
          </w:tcPr>
          <w:p>
            <w:pPr>
              <w:pStyle w:val="8"/>
              <w:spacing w:before="78" w:beforeLines="25" w:after="78" w:afterLines="25"/>
              <w:ind w:firstLine="0" w:firstLineChars="0"/>
              <w:rPr>
                <w:rFonts w:hint="eastAsia" w:ascii="宋体" w:hAnsi="宋体"/>
                <w:szCs w:val="21"/>
                <w:lang w:val="en-US" w:eastAsia="zh-CN"/>
              </w:rPr>
            </w:pPr>
          </w:p>
        </w:tc>
        <w:tc>
          <w:tcPr>
            <w:tcW w:w="366" w:type="pct"/>
          </w:tcPr>
          <w:p>
            <w:pPr>
              <w:pStyle w:val="8"/>
              <w:spacing w:before="78" w:beforeLines="25" w:after="78" w:afterLines="25"/>
              <w:ind w:firstLine="0" w:firstLineChars="0"/>
              <w:rPr>
                <w:rFonts w:hint="eastAsia" w:ascii="宋体" w:hAnsi="宋体"/>
                <w:szCs w:val="21"/>
                <w:lang w:val="en-US" w:eastAsia="zh-CN"/>
              </w:rPr>
            </w:pPr>
          </w:p>
        </w:tc>
        <w:tc>
          <w:tcPr>
            <w:tcW w:w="376" w:type="pct"/>
          </w:tcPr>
          <w:p>
            <w:pPr>
              <w:pStyle w:val="8"/>
              <w:spacing w:before="78" w:beforeLines="25" w:after="78" w:afterLines="25"/>
              <w:ind w:firstLine="0" w:firstLineChars="0"/>
              <w:rPr>
                <w:rFonts w:hint="eastAsia" w:ascii="宋体"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40" w:type="pct"/>
            <w:vMerge w:val="continue"/>
            <w:vAlign w:val="center"/>
          </w:tcPr>
          <w:p>
            <w:pPr>
              <w:jc w:val="center"/>
              <w:rPr>
                <w:rFonts w:ascii="宋体" w:hAnsi="宋体"/>
                <w:b/>
                <w:szCs w:val="21"/>
              </w:rPr>
            </w:pPr>
          </w:p>
        </w:tc>
        <w:tc>
          <w:tcPr>
            <w:tcW w:w="751" w:type="pct"/>
            <w:vMerge w:val="continue"/>
            <w:vAlign w:val="center"/>
          </w:tcPr>
          <w:p>
            <w:pPr>
              <w:jc w:val="center"/>
              <w:rPr>
                <w:rFonts w:hint="eastAsia" w:ascii="宋体" w:hAnsi="宋体"/>
                <w:b/>
                <w:color w:val="000000"/>
                <w:szCs w:val="21"/>
              </w:rPr>
            </w:pPr>
          </w:p>
        </w:tc>
        <w:tc>
          <w:tcPr>
            <w:tcW w:w="2799" w:type="pct"/>
          </w:tcPr>
          <w:p>
            <w:pPr>
              <w:pStyle w:val="8"/>
              <w:numPr>
                <w:ilvl w:val="0"/>
                <w:numId w:val="0"/>
              </w:numPr>
              <w:spacing w:before="78" w:beforeLines="25" w:after="78" w:afterLines="25"/>
              <w:rPr>
                <w:rFonts w:hint="eastAsia" w:ascii="宋体" w:hAnsi="宋体" w:cs="宋体"/>
                <w:bCs/>
                <w:color w:val="000000"/>
                <w:szCs w:val="21"/>
              </w:rPr>
            </w:pPr>
            <w:r>
              <w:rPr>
                <w:rFonts w:hint="eastAsia" w:ascii="宋体" w:hAnsi="宋体"/>
                <w:szCs w:val="21"/>
                <w:lang w:val="en-US" w:eastAsia="zh-CN"/>
              </w:rPr>
              <w:t>8.12</w:t>
            </w:r>
            <w:r>
              <w:rPr>
                <w:rFonts w:hint="eastAsia" w:ascii="宋体" w:hAnsi="宋体"/>
                <w:szCs w:val="21"/>
              </w:rPr>
              <w:t>本合同约定的违约金总额不超过合同总额的30%。乙方的赔偿范围还应包括甲方直接损失及间接损失、公证费、担保费、律师费、诉讼费、仲裁费、鉴定费等全部款项。</w:t>
            </w:r>
          </w:p>
        </w:tc>
        <w:tc>
          <w:tcPr>
            <w:tcW w:w="366" w:type="pct"/>
          </w:tcPr>
          <w:p>
            <w:pPr>
              <w:pStyle w:val="8"/>
              <w:numPr>
                <w:ilvl w:val="0"/>
                <w:numId w:val="0"/>
              </w:numPr>
              <w:spacing w:before="78" w:beforeLines="25" w:after="78" w:afterLines="25"/>
              <w:rPr>
                <w:rFonts w:hint="eastAsia" w:ascii="宋体" w:hAnsi="宋体"/>
                <w:szCs w:val="21"/>
                <w:lang w:val="en-US" w:eastAsia="zh-CN"/>
              </w:rPr>
            </w:pPr>
          </w:p>
        </w:tc>
        <w:tc>
          <w:tcPr>
            <w:tcW w:w="366" w:type="pct"/>
          </w:tcPr>
          <w:p>
            <w:pPr>
              <w:pStyle w:val="8"/>
              <w:numPr>
                <w:ilvl w:val="0"/>
                <w:numId w:val="0"/>
              </w:numPr>
              <w:spacing w:before="78" w:beforeLines="25" w:after="78" w:afterLines="25"/>
              <w:rPr>
                <w:rFonts w:hint="eastAsia" w:ascii="宋体" w:hAnsi="宋体"/>
                <w:szCs w:val="21"/>
                <w:lang w:val="en-US" w:eastAsia="zh-CN"/>
              </w:rPr>
            </w:pPr>
          </w:p>
        </w:tc>
        <w:tc>
          <w:tcPr>
            <w:tcW w:w="376" w:type="pct"/>
          </w:tcPr>
          <w:p>
            <w:pPr>
              <w:pStyle w:val="8"/>
              <w:numPr>
                <w:ilvl w:val="0"/>
                <w:numId w:val="0"/>
              </w:numPr>
              <w:spacing w:before="78" w:beforeLines="25" w:after="78" w:afterLines="25"/>
              <w:rPr>
                <w:rFonts w:hint="eastAsia" w:ascii="宋体"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340" w:type="pct"/>
            <w:vAlign w:val="center"/>
          </w:tcPr>
          <w:p>
            <w:pPr>
              <w:jc w:val="center"/>
              <w:rPr>
                <w:rFonts w:hint="eastAsia" w:ascii="宋体" w:hAnsi="宋体"/>
                <w:b/>
                <w:szCs w:val="21"/>
              </w:rPr>
            </w:pPr>
            <w:r>
              <w:rPr>
                <w:rFonts w:hint="eastAsia" w:ascii="宋体" w:hAnsi="宋体"/>
                <w:b/>
                <w:szCs w:val="21"/>
              </w:rPr>
              <w:t>9</w:t>
            </w:r>
          </w:p>
        </w:tc>
        <w:tc>
          <w:tcPr>
            <w:tcW w:w="751" w:type="pct"/>
            <w:vAlign w:val="center"/>
          </w:tcPr>
          <w:p>
            <w:pPr>
              <w:jc w:val="center"/>
              <w:rPr>
                <w:rFonts w:hint="eastAsia" w:ascii="宋体" w:hAnsi="宋体"/>
                <w:b/>
                <w:szCs w:val="21"/>
              </w:rPr>
            </w:pPr>
            <w:r>
              <w:rPr>
                <w:rFonts w:ascii="宋体" w:hAnsi="宋体"/>
                <w:b/>
                <w:color w:val="000000"/>
                <w:szCs w:val="21"/>
              </w:rPr>
              <w:t>其他</w:t>
            </w:r>
          </w:p>
        </w:tc>
        <w:tc>
          <w:tcPr>
            <w:tcW w:w="2799" w:type="pct"/>
          </w:tcPr>
          <w:p>
            <w:pPr>
              <w:widowControl/>
              <w:jc w:val="left"/>
              <w:rPr>
                <w:rFonts w:hint="eastAsia" w:ascii="宋体" w:hAnsi="宋体" w:cs="宋体"/>
                <w:color w:val="000000"/>
                <w:szCs w:val="21"/>
              </w:rPr>
            </w:pPr>
            <w:r>
              <w:rPr>
                <w:rFonts w:hint="eastAsia" w:ascii="宋体" w:hAnsi="宋体" w:cs="宋体"/>
                <w:color w:val="000000"/>
                <w:szCs w:val="21"/>
              </w:rPr>
              <w:t>9.1投标供应商应按其投标文件中的承诺，进行其他售后服务工作。</w:t>
            </w:r>
          </w:p>
        </w:tc>
        <w:tc>
          <w:tcPr>
            <w:tcW w:w="366" w:type="pct"/>
          </w:tcPr>
          <w:p>
            <w:pPr>
              <w:widowControl/>
              <w:jc w:val="left"/>
              <w:rPr>
                <w:rFonts w:hint="eastAsia" w:ascii="宋体" w:hAnsi="宋体" w:cs="宋体"/>
                <w:color w:val="000000"/>
                <w:szCs w:val="21"/>
              </w:rPr>
            </w:pPr>
          </w:p>
        </w:tc>
        <w:tc>
          <w:tcPr>
            <w:tcW w:w="366" w:type="pct"/>
          </w:tcPr>
          <w:p>
            <w:pPr>
              <w:widowControl/>
              <w:jc w:val="left"/>
              <w:rPr>
                <w:rFonts w:hint="eastAsia" w:ascii="宋体" w:hAnsi="宋体" w:cs="宋体"/>
                <w:color w:val="000000"/>
                <w:szCs w:val="21"/>
              </w:rPr>
            </w:pPr>
          </w:p>
        </w:tc>
        <w:tc>
          <w:tcPr>
            <w:tcW w:w="376" w:type="pct"/>
          </w:tcPr>
          <w:p>
            <w:pPr>
              <w:widowControl/>
              <w:jc w:val="left"/>
              <w:rPr>
                <w:rFonts w:hint="eastAsia" w:ascii="宋体" w:hAnsi="宋体" w:cs="宋体"/>
                <w:color w:val="000000"/>
                <w:szCs w:val="21"/>
              </w:rPr>
            </w:pPr>
          </w:p>
        </w:tc>
      </w:tr>
    </w:tbl>
    <w:p>
      <w:pPr>
        <w:ind w:firstLine="420" w:firstLineChars="200"/>
        <w:rPr>
          <w:rFonts w:hint="eastAsia"/>
          <w:b w:val="0"/>
          <w:bCs/>
          <w:sz w:val="21"/>
          <w:szCs w:val="21"/>
        </w:rPr>
      </w:pPr>
    </w:p>
    <w:p>
      <w:pPr>
        <w:ind w:firstLine="420" w:firstLineChars="200"/>
        <w:rPr>
          <w:b w:val="0"/>
          <w:bCs/>
          <w:sz w:val="21"/>
          <w:szCs w:val="21"/>
        </w:rPr>
      </w:pPr>
      <w:r>
        <w:rPr>
          <w:rFonts w:hint="eastAsia"/>
          <w:b w:val="0"/>
          <w:bCs/>
          <w:sz w:val="21"/>
          <w:szCs w:val="21"/>
        </w:rPr>
        <w:t>《商务要求偏离表》编制指引：</w:t>
      </w:r>
    </w:p>
    <w:p>
      <w:pPr>
        <w:ind w:firstLine="420" w:firstLineChars="200"/>
        <w:rPr>
          <w:b w:val="0"/>
          <w:bCs/>
          <w:sz w:val="21"/>
          <w:szCs w:val="21"/>
        </w:rPr>
      </w:pPr>
      <w:r>
        <w:rPr>
          <w:rFonts w:hint="eastAsia"/>
          <w:b w:val="0"/>
          <w:bCs/>
          <w:sz w:val="21"/>
          <w:szCs w:val="21"/>
        </w:rPr>
        <w:t>1、商务要求偏离表的序号、商务需求项、招标商务要求等栏目对应“用户需求书”中的“商务要求”章节相关内容。</w:t>
      </w:r>
    </w:p>
    <w:p>
      <w:pPr>
        <w:ind w:firstLine="420" w:firstLineChars="200"/>
        <w:rPr>
          <w:b w:val="0"/>
          <w:bCs/>
          <w:sz w:val="21"/>
          <w:szCs w:val="21"/>
        </w:rPr>
      </w:pPr>
      <w:r>
        <w:rPr>
          <w:b w:val="0"/>
          <w:bCs/>
          <w:sz w:val="21"/>
          <w:szCs w:val="21"/>
        </w:rPr>
        <w:t>2</w:t>
      </w:r>
      <w:r>
        <w:rPr>
          <w:rFonts w:hint="eastAsia"/>
          <w:b w:val="0"/>
          <w:bCs/>
          <w:sz w:val="21"/>
          <w:szCs w:val="21"/>
        </w:rPr>
        <w:t>、“投标商务响应”一栏必须一一对照“招标商务要求”，详细填写自身响应情况，而不能不合理照搬照抄招标文件的商务要求，以体现具体响应情况。</w:t>
      </w:r>
    </w:p>
    <w:p>
      <w:pPr>
        <w:ind w:firstLine="420" w:firstLineChars="200"/>
        <w:rPr>
          <w:b w:val="0"/>
          <w:bCs/>
          <w:color w:val="FF0000"/>
          <w:sz w:val="21"/>
          <w:szCs w:val="21"/>
        </w:rPr>
      </w:pPr>
      <w:r>
        <w:rPr>
          <w:b w:val="0"/>
          <w:bCs/>
          <w:sz w:val="21"/>
          <w:szCs w:val="21"/>
        </w:rPr>
        <w:t>3</w:t>
      </w:r>
      <w:r>
        <w:rPr>
          <w:rFonts w:hint="eastAsia"/>
          <w:b w:val="0"/>
          <w:bCs/>
          <w:sz w:val="21"/>
          <w:szCs w:val="21"/>
        </w:rPr>
        <w:t>、“偏离情况”一栏填写如实填写“正偏离”、“负偏离”或“无偏离”，其中：“正偏离”表示“投标响应优于招标商务要求”，“负偏离”表示“投标响应不满足招标商务要求”，“无偏离”表示“投标响应与招标商务要求一致”。</w:t>
      </w:r>
    </w:p>
    <w:p>
      <w:pPr>
        <w:rPr>
          <w:rFonts w:hint="eastAsia"/>
          <w:b w:val="0"/>
          <w:bCs/>
          <w:sz w:val="21"/>
          <w:szCs w:val="21"/>
          <w:lang w:eastAsia="zh-CN"/>
        </w:rPr>
      </w:pPr>
      <w:r>
        <w:rPr>
          <w:rFonts w:hint="eastAsia"/>
          <w:b w:val="0"/>
          <w:bCs/>
          <w:sz w:val="21"/>
          <w:szCs w:val="21"/>
        </w:rPr>
        <w:t>“投标商务响应”对比“招标商务要求”存在响应不全（包括未响应整项招标商务要求或者未响应一项招标商务要求的部分内容），均视为“负偏离”</w:t>
      </w:r>
      <w:r>
        <w:rPr>
          <w:rFonts w:hint="eastAsia"/>
          <w:b w:val="0"/>
          <w:bCs/>
          <w:sz w:val="21"/>
          <w:szCs w:val="21"/>
          <w:lang w:eastAsia="zh-CN"/>
        </w:rPr>
        <w:t>。</w:t>
      </w:r>
    </w:p>
    <w:p>
      <w:pPr>
        <w:ind w:firstLine="420" w:firstLineChars="200"/>
        <w:rPr>
          <w:b w:val="0"/>
          <w:bCs/>
          <w:sz w:val="21"/>
          <w:szCs w:val="21"/>
        </w:rPr>
      </w:pPr>
      <w:r>
        <w:rPr>
          <w:rFonts w:hint="eastAsia"/>
          <w:b w:val="0"/>
          <w:bCs/>
          <w:sz w:val="21"/>
          <w:szCs w:val="21"/>
        </w:rPr>
        <w:t>4、带★号条款为不可偏离条款，如未响应或出现负偏离的，将作投标无效处理。</w:t>
      </w:r>
    </w:p>
    <w:p>
      <w:pPr>
        <w:rPr>
          <w:sz w:val="24"/>
        </w:rPr>
      </w:pPr>
    </w:p>
    <w:p>
      <w:pPr>
        <w:pStyle w:val="4"/>
        <w:jc w:val="center"/>
        <w:rPr>
          <w:rFonts w:ascii="黑体" w:hAnsi="宋体" w:eastAsia="黑体"/>
          <w:bCs/>
          <w:kern w:val="0"/>
          <w:sz w:val="24"/>
          <w:szCs w:val="32"/>
          <w:highlight w:val="yellow"/>
        </w:rPr>
      </w:pPr>
      <w:r>
        <w:rPr>
          <w:rFonts w:hint="eastAsia" w:ascii="黑体" w:eastAsia="黑体"/>
          <w:sz w:val="24"/>
          <w:szCs w:val="20"/>
          <w:highlight w:val="yellow"/>
        </w:rPr>
        <w:t>六、实施团队人员情况（格式自定）</w:t>
      </w:r>
    </w:p>
    <w:p>
      <w:pPr>
        <w:rPr>
          <w:rFonts w:hint="eastAsia"/>
          <w:b/>
          <w:color w:val="FF0000"/>
          <w:sz w:val="22"/>
          <w:highlight w:val="yellow"/>
        </w:rPr>
      </w:pPr>
      <w:r>
        <w:rPr>
          <w:rFonts w:hint="eastAsia"/>
          <w:b/>
          <w:color w:val="FF0000"/>
          <w:sz w:val="22"/>
          <w:highlight w:val="yellow"/>
        </w:rPr>
        <w:t>（特别提示：投标人须按本招标文件评标信息中这一评审因素要求，提供证明资料）</w:t>
      </w:r>
    </w:p>
    <w:p>
      <w:pPr>
        <w:rPr>
          <w:b/>
          <w:sz w:val="22"/>
          <w:highlight w:val="yellow"/>
        </w:rPr>
      </w:pPr>
    </w:p>
    <w:p>
      <w:pPr>
        <w:pStyle w:val="2"/>
      </w:pPr>
    </w:p>
    <w:p>
      <w:pPr>
        <w:numPr>
          <w:ilvl w:val="0"/>
          <w:numId w:val="0"/>
        </w:numPr>
        <w:rPr>
          <w:rFonts w:ascii="黑体" w:hAnsi="宋体" w:eastAsia="黑体"/>
          <w:sz w:val="24"/>
          <w:szCs w:val="20"/>
        </w:rPr>
      </w:pPr>
      <w:r>
        <w:rPr>
          <w:rFonts w:hint="eastAsia" w:ascii="黑体" w:hAnsi="宋体" w:eastAsia="黑体"/>
          <w:sz w:val="24"/>
          <w:szCs w:val="20"/>
          <w:lang w:val="en-US" w:eastAsia="zh-CN"/>
        </w:rPr>
        <w:t>七、</w:t>
      </w:r>
      <w:r>
        <w:rPr>
          <w:rFonts w:hint="eastAsia" w:ascii="黑体" w:hAnsi="宋体" w:eastAsia="黑体"/>
          <w:sz w:val="24"/>
          <w:szCs w:val="20"/>
        </w:rPr>
        <w:t>投标人认为需要加以说明的其他内容（格式自定）</w:t>
      </w:r>
    </w:p>
    <w:p>
      <w:pPr>
        <w:pStyle w:val="2"/>
      </w:pPr>
    </w:p>
    <w:p>
      <w:pPr>
        <w:widowControl/>
        <w:jc w:val="center"/>
        <w:rPr>
          <w:rFonts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采购违法行为风险知悉确认书</w:t>
      </w:r>
    </w:p>
    <w:p>
      <w:pPr>
        <w:widowControl/>
        <w:jc w:val="center"/>
        <w:rPr>
          <w:rFonts w:ascii="黑体" w:hAnsi="宋体" w:eastAsia="黑体"/>
          <w:kern w:val="0"/>
          <w:sz w:val="24"/>
          <w:szCs w:val="20"/>
        </w:rPr>
      </w:pPr>
    </w:p>
    <w:p>
      <w:pPr>
        <w:ind w:firstLine="420" w:firstLineChars="200"/>
      </w:pPr>
      <w:r>
        <w:rPr>
          <w:rFonts w:hint="eastAsia"/>
        </w:rPr>
        <w:t>本公司在投标前已充分知悉以下情形为参与</w:t>
      </w:r>
      <w:r>
        <w:rPr>
          <w:rFonts w:hint="eastAsia"/>
          <w:lang w:val="en-US" w:eastAsia="zh-CN"/>
        </w:rPr>
        <w:t>自行</w:t>
      </w:r>
      <w:r>
        <w:rPr>
          <w:rFonts w:hint="eastAsia"/>
        </w:rPr>
        <w:t>采购活动时的重大风险事项，并承诺已对下述风险提示事项重点排查，做到严谨、诚信、依法依规参与</w:t>
      </w:r>
      <w:r>
        <w:rPr>
          <w:rFonts w:hint="eastAsia"/>
          <w:lang w:val="en-US" w:eastAsia="zh-CN"/>
        </w:rPr>
        <w:t>自行</w:t>
      </w:r>
      <w:r>
        <w:rPr>
          <w:rFonts w:hint="eastAsia"/>
        </w:rPr>
        <w:t>采购活动。</w:t>
      </w:r>
    </w:p>
    <w:p>
      <w:pPr>
        <w:ind w:firstLine="422" w:firstLineChars="200"/>
        <w:rPr>
          <w:b/>
        </w:rPr>
      </w:pPr>
      <w:r>
        <w:rPr>
          <w:rFonts w:hint="eastAsia"/>
          <w:b/>
        </w:rPr>
        <w:t>一、本公司已充分知悉“隐瞒真实情况，提供虚假资料”的法定情形，相关情形包括但不限于：</w:t>
      </w:r>
    </w:p>
    <w:p>
      <w:pPr>
        <w:ind w:firstLine="420" w:firstLineChars="200"/>
      </w:pPr>
      <w:r>
        <w:rPr>
          <w:rFonts w:hint="eastAsia"/>
        </w:rPr>
        <w:t>（一）通过转让或者租借等方式从其他单位获取资格或者资质证书投标的。</w:t>
      </w:r>
    </w:p>
    <w:p>
      <w:pPr>
        <w:ind w:firstLine="420" w:firstLineChars="200"/>
      </w:pPr>
      <w:r>
        <w:rPr>
          <w:rFonts w:hint="eastAsia"/>
        </w:rPr>
        <w:t>（二）由其他单位或者其他单位负责人在投标供应商编制的投标文件上加盖印章或者签字的。</w:t>
      </w:r>
    </w:p>
    <w:p>
      <w:pPr>
        <w:ind w:firstLine="420" w:firstLineChars="200"/>
      </w:pPr>
      <w:r>
        <w:rPr>
          <w:rFonts w:hint="eastAsia"/>
        </w:rPr>
        <w:t>（三）项目负责人或者主要技术人员不是本单位人员的。</w:t>
      </w:r>
    </w:p>
    <w:p>
      <w:pPr>
        <w:ind w:firstLine="420" w:firstLineChars="200"/>
      </w:pPr>
      <w:r>
        <w:rPr>
          <w:rFonts w:hint="eastAsia"/>
        </w:rPr>
        <w:t>（四）投标保证金不是从投标供应商基本账户转出的。</w:t>
      </w:r>
    </w:p>
    <w:p>
      <w:pPr>
        <w:ind w:firstLine="420" w:firstLineChars="200"/>
      </w:pPr>
      <w:r>
        <w:rPr>
          <w:rFonts w:hint="eastAsia"/>
        </w:rPr>
        <w:t>（五）其他隐瞒真实情况、提供虚假资料的行为。</w:t>
      </w:r>
    </w:p>
    <w:p>
      <w:pPr>
        <w:ind w:firstLine="422" w:firstLineChars="200"/>
        <w:rPr>
          <w:b/>
        </w:rPr>
      </w:pPr>
      <w:r>
        <w:rPr>
          <w:rFonts w:hint="eastAsia"/>
          <w:b/>
        </w:rPr>
        <w:t>二、本公司已充分知悉“与其他采购参加人串通投标”的法定情形，相关情形包括但不限于：</w:t>
      </w:r>
    </w:p>
    <w:p>
      <w:pPr>
        <w:ind w:firstLine="420" w:firstLineChars="200"/>
      </w:pPr>
      <w:r>
        <w:rPr>
          <w:rFonts w:hint="eastAsia"/>
        </w:rPr>
        <w:t>（一）投标供应商之间相互约定给予未中标的供应商利益补偿。</w:t>
      </w:r>
    </w:p>
    <w:p>
      <w:pPr>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pPr>
        <w:ind w:firstLine="420" w:firstLineChars="200"/>
      </w:pPr>
      <w:r>
        <w:rPr>
          <w:rFonts w:hint="eastAsia"/>
        </w:rPr>
        <w:t>（三）不同投标供应商的投标文件由同一单位或者同一人编制，或者由同一人分阶段参与编制的。</w:t>
      </w:r>
    </w:p>
    <w:p>
      <w:pPr>
        <w:ind w:firstLine="420" w:firstLineChars="200"/>
      </w:pPr>
      <w:r>
        <w:rPr>
          <w:rFonts w:hint="eastAsia"/>
        </w:rPr>
        <w:t>（四）不同投标供应商的投标文件或部分投标文件相互混装。</w:t>
      </w:r>
    </w:p>
    <w:p>
      <w:pPr>
        <w:ind w:firstLine="420" w:firstLineChars="200"/>
      </w:pPr>
      <w:r>
        <w:rPr>
          <w:rFonts w:hint="eastAsia"/>
        </w:rPr>
        <w:t>（五）不同投标供应商的投标文件内容存在非正常一致。</w:t>
      </w:r>
    </w:p>
    <w:p>
      <w:pPr>
        <w:ind w:firstLine="420" w:firstLineChars="200"/>
      </w:pPr>
      <w:r>
        <w:rPr>
          <w:rFonts w:hint="eastAsia"/>
        </w:rPr>
        <w:t>（六）由同一单位工作人员为两家以上（含两家）供应商进行同一项投标活动的。</w:t>
      </w:r>
    </w:p>
    <w:p>
      <w:pPr>
        <w:ind w:firstLine="420" w:firstLineChars="200"/>
      </w:pPr>
      <w:r>
        <w:rPr>
          <w:rFonts w:hint="eastAsia"/>
        </w:rPr>
        <w:t>（七）不同投标人的投标报价呈规律性差异。</w:t>
      </w:r>
    </w:p>
    <w:p>
      <w:pPr>
        <w:ind w:firstLine="420" w:firstLineChars="200"/>
      </w:pPr>
      <w:r>
        <w:rPr>
          <w:rFonts w:hint="eastAsia"/>
        </w:rPr>
        <w:t>（八）不同投标人的投标保证金从同一单位或者个人的账户转出。</w:t>
      </w:r>
    </w:p>
    <w:p>
      <w:pPr>
        <w:ind w:firstLine="420" w:firstLineChars="200"/>
      </w:pPr>
      <w:r>
        <w:rPr>
          <w:rFonts w:hint="eastAsia"/>
        </w:rPr>
        <w:t>（九）主管部门依照法律、法规认定的其他情形。</w:t>
      </w:r>
    </w:p>
    <w:p>
      <w:pPr>
        <w:ind w:firstLine="422" w:firstLineChars="200"/>
        <w:rPr>
          <w:b/>
        </w:rPr>
      </w:pPr>
      <w:r>
        <w:rPr>
          <w:rFonts w:hint="eastAsia"/>
          <w:b/>
        </w:rPr>
        <w:t>三、本公司已充分知悉下列情形所对应的法律风险，并在投标前已对相关风险事项进行排查。</w:t>
      </w:r>
    </w:p>
    <w:p>
      <w:pPr>
        <w:ind w:firstLine="420" w:firstLineChars="200"/>
        <w:rPr>
          <w:b/>
        </w:rPr>
      </w:pPr>
      <w:r>
        <w:rPr>
          <w:rFonts w:hint="eastAsia"/>
        </w:rPr>
        <w:t>（一）对于从其他主体获取的投标资料，供应商应审慎核查，确保投标资料的真实性。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pPr>
        <w:ind w:firstLine="420" w:firstLineChars="200"/>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20" w:firstLineChars="200"/>
      </w:pPr>
      <w:r>
        <w:rPr>
          <w:rFonts w:hint="eastAsia"/>
        </w:rPr>
        <w:t>（三）对于涉及安全生产、特种作业、抢险救灾、防疫等采购项目，供应商实施提供虚假资料、串通投标等违法行为的，主管部门将依法从严处理。</w:t>
      </w:r>
    </w:p>
    <w:p>
      <w:pPr>
        <w:ind w:firstLine="420" w:firstLineChars="200"/>
      </w:pPr>
      <w:r>
        <w:rPr>
          <w:rFonts w:hint="eastAsia"/>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20" w:firstLineChars="200"/>
      </w:pPr>
      <w:r>
        <w:rPr>
          <w:rFonts w:hint="eastAsia"/>
        </w:rPr>
        <w:t>（五）供应商对投标电子密钥负有妥善保管、及时变更和续期等主体责任。供应商使用电子密钥在深圳</w:t>
      </w:r>
      <w:r>
        <w:rPr>
          <w:rFonts w:hint="eastAsia"/>
          <w:lang w:val="en-US" w:eastAsia="zh-CN"/>
        </w:rPr>
        <w:t>自行</w:t>
      </w:r>
      <w:r>
        <w:rPr>
          <w:rFonts w:hint="eastAsia"/>
        </w:rPr>
        <w:t>采购网站进行的活动，均具有法律效力，须承担相应的法律后果。供应商擅自将投标密钥出借他人使用所造成的法律后果，由供应商自行承担。</w:t>
      </w:r>
    </w:p>
    <w:p>
      <w:pPr>
        <w:ind w:firstLine="420" w:firstLineChars="200"/>
      </w:pPr>
      <w:r>
        <w:rPr>
          <w:rFonts w:hint="eastAsia"/>
        </w:rPr>
        <w:t>（六）单位负责人为同一人或者存在直接控股、管理关系的不同供应商，不得参加同一合同项下的采购活动。相关情形如查实，依法作投标无效处理；涉嫌串通投标等违法行为的，主管部门将依法调查处理。</w:t>
      </w:r>
    </w:p>
    <w:p>
      <w:pPr>
        <w:ind w:firstLine="422" w:firstLineChars="200"/>
        <w:rPr>
          <w:b/>
        </w:rPr>
      </w:pPr>
      <w:r>
        <w:rPr>
          <w:rFonts w:hint="eastAsia"/>
          <w:b/>
        </w:rPr>
        <w:t>四、本公司已充分知悉政府采购违法、违规行为的法律后果。</w:t>
      </w:r>
    </w:p>
    <w:p>
      <w:pPr>
        <w:ind w:firstLine="420" w:firstLineChars="200"/>
      </w:pPr>
      <w:r>
        <w:rPr>
          <w:rFonts w:hint="eastAsia"/>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20" w:firstLineChars="200"/>
      </w:pPr>
      <w:r>
        <w:rPr>
          <w:rFonts w:hint="eastAsia"/>
          <w:highlight w:val="yellow"/>
        </w:rPr>
        <w:t>以下文字请投标供应商抄写并确认：“本公司已仔细阅读《采购违法行为风险知悉确认书》，充分知悉违法行为的法律后果，并承诺将严谨、诚信、依法依规参与采购活动”。</w:t>
      </w:r>
    </w:p>
    <w:tbl>
      <w:tblPr>
        <w:tblStyle w:val="202"/>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line="400" w:lineRule="exact"/>
        <w:ind w:right="808" w:firstLine="404" w:firstLineChars="200"/>
        <w:jc w:val="right"/>
        <w:rPr>
          <w:rFonts w:ascii="宋体" w:hAnsi="宋体" w:eastAsiaTheme="minorEastAsia"/>
          <w:spacing w:val="-4"/>
          <w:kern w:val="0"/>
          <w:szCs w:val="21"/>
          <w:u w:val="single"/>
        </w:rPr>
      </w:pPr>
      <w:r>
        <w:rPr>
          <w:rFonts w:hint="eastAsia" w:ascii="宋体" w:hAnsi="宋体" w:eastAsiaTheme="minorEastAsia"/>
          <w:spacing w:val="-4"/>
          <w:kern w:val="0"/>
          <w:szCs w:val="21"/>
        </w:rPr>
        <w:t>负责人/投标授权代表签名：</w:t>
      </w:r>
      <w:r>
        <w:rPr>
          <w:rFonts w:hint="eastAsia" w:ascii="宋体" w:hAnsi="宋体" w:eastAsiaTheme="minorEastAsia"/>
          <w:spacing w:val="-4"/>
          <w:kern w:val="0"/>
          <w:szCs w:val="21"/>
          <w:u w:val="single"/>
        </w:rPr>
        <w:t xml:space="preserve">              </w:t>
      </w:r>
    </w:p>
    <w:p>
      <w:pPr>
        <w:widowControl/>
        <w:wordWrap w:val="0"/>
        <w:autoSpaceDE w:val="0"/>
        <w:autoSpaceDN w:val="0"/>
        <w:spacing w:line="400" w:lineRule="exact"/>
        <w:ind w:right="808" w:firstLine="404" w:firstLineChars="200"/>
        <w:jc w:val="right"/>
        <w:rPr>
          <w:rFonts w:ascii="宋体" w:hAnsi="宋体" w:eastAsiaTheme="minorEastAsia"/>
          <w:spacing w:val="-4"/>
          <w:kern w:val="0"/>
          <w:szCs w:val="21"/>
          <w:u w:val="single"/>
        </w:rPr>
      </w:pPr>
      <w:r>
        <w:rPr>
          <w:rFonts w:hint="eastAsia" w:ascii="宋体" w:hAnsi="宋体" w:eastAsiaTheme="minorEastAsia"/>
          <w:spacing w:val="-4"/>
          <w:kern w:val="0"/>
          <w:szCs w:val="21"/>
        </w:rPr>
        <w:t>知悉人（公章）：</w:t>
      </w:r>
      <w:r>
        <w:rPr>
          <w:rFonts w:hint="eastAsia" w:ascii="宋体" w:hAnsi="宋体" w:eastAsiaTheme="minorEastAsia"/>
          <w:spacing w:val="-4"/>
          <w:kern w:val="0"/>
          <w:szCs w:val="21"/>
          <w:u w:val="single"/>
        </w:rPr>
        <w:t xml:space="preserve">              </w:t>
      </w:r>
    </w:p>
    <w:p>
      <w:pPr>
        <w:widowControl/>
        <w:wordWrap w:val="0"/>
        <w:autoSpaceDE w:val="0"/>
        <w:autoSpaceDN w:val="0"/>
        <w:spacing w:line="400" w:lineRule="exact"/>
        <w:ind w:right="808" w:firstLine="404" w:firstLineChars="200"/>
        <w:jc w:val="right"/>
        <w:rPr>
          <w:rFonts w:ascii="宋体" w:hAnsi="宋体" w:eastAsiaTheme="minorEastAsia"/>
          <w:spacing w:val="-4"/>
          <w:kern w:val="0"/>
          <w:szCs w:val="21"/>
          <w:u w:val="single"/>
        </w:rPr>
      </w:pPr>
      <w:r>
        <w:rPr>
          <w:rFonts w:hint="eastAsia" w:ascii="宋体" w:hAnsi="宋体" w:eastAsiaTheme="minorEastAsia"/>
          <w:spacing w:val="-4"/>
          <w:kern w:val="0"/>
          <w:szCs w:val="21"/>
        </w:rPr>
        <w:t xml:space="preserve">     日期：</w:t>
      </w:r>
      <w:r>
        <w:rPr>
          <w:rFonts w:hint="eastAsia" w:ascii="宋体" w:hAnsi="宋体" w:eastAsiaTheme="minorEastAsia"/>
          <w:spacing w:val="-4"/>
          <w:kern w:val="0"/>
          <w:szCs w:val="21"/>
          <w:u w:val="single"/>
        </w:rPr>
        <w:t xml:space="preserve">              </w:t>
      </w:r>
    </w:p>
    <w:p>
      <w:pPr>
        <w:widowControl/>
        <w:autoSpaceDE w:val="0"/>
        <w:autoSpaceDN w:val="0"/>
        <w:spacing w:line="400" w:lineRule="exact"/>
        <w:ind w:firstLine="406" w:firstLineChars="200"/>
        <w:jc w:val="left"/>
        <w:rPr>
          <w:rFonts w:ascii="宋体" w:hAnsi="宋体" w:eastAsiaTheme="minorEastAsia"/>
          <w:b/>
          <w:bCs/>
          <w:color w:val="FF0000"/>
          <w:spacing w:val="-4"/>
          <w:kern w:val="0"/>
          <w:szCs w:val="21"/>
        </w:rPr>
      </w:pPr>
      <w:r>
        <w:rPr>
          <w:rFonts w:hint="eastAsia" w:ascii="宋体" w:hAnsi="宋体" w:eastAsiaTheme="minorEastAsia"/>
          <w:b/>
          <w:bCs/>
          <w:color w:val="FF0000"/>
          <w:spacing w:val="-4"/>
          <w:kern w:val="0"/>
          <w:szCs w:val="21"/>
        </w:rPr>
        <w:t>注：</w:t>
      </w:r>
    </w:p>
    <w:p>
      <w:pPr>
        <w:widowControl/>
        <w:autoSpaceDE w:val="0"/>
        <w:autoSpaceDN w:val="0"/>
        <w:spacing w:line="400" w:lineRule="exact"/>
        <w:ind w:firstLine="406" w:firstLineChars="200"/>
        <w:jc w:val="left"/>
        <w:rPr>
          <w:rFonts w:ascii="宋体" w:hAnsi="宋体" w:eastAsiaTheme="minorEastAsia"/>
          <w:b/>
          <w:bCs/>
          <w:color w:val="FF0000"/>
          <w:spacing w:val="-4"/>
          <w:kern w:val="0"/>
          <w:szCs w:val="21"/>
        </w:rPr>
      </w:pPr>
      <w:r>
        <w:rPr>
          <w:rFonts w:hint="eastAsia" w:ascii="宋体" w:hAnsi="宋体" w:eastAsiaTheme="minorEastAsia"/>
          <w:b/>
          <w:bCs/>
          <w:color w:val="FF0000"/>
          <w:spacing w:val="-4"/>
          <w:kern w:val="0"/>
          <w:szCs w:val="21"/>
        </w:rPr>
        <w:t>1.</w:t>
      </w:r>
      <w:r>
        <w:rPr>
          <w:rFonts w:hint="eastAsia"/>
        </w:rPr>
        <w:t xml:space="preserve"> </w:t>
      </w:r>
      <w:r>
        <w:rPr>
          <w:rFonts w:hint="eastAsia" w:ascii="宋体" w:hAnsi="宋体" w:eastAsiaTheme="minorEastAsia"/>
          <w:b/>
          <w:bCs/>
          <w:color w:val="FF0000"/>
          <w:spacing w:val="-4"/>
          <w:kern w:val="0"/>
          <w:szCs w:val="21"/>
        </w:rPr>
        <w:t>根据《深圳市财政局关于采购文件增加风险告知有关事项的通知》（深财购〔2022〕22 号），该风险知悉确认书用于对供应商违法行为的警示，不作为供应商资格性审查及符合性审查条件。</w:t>
      </w:r>
    </w:p>
    <w:p>
      <w:pPr>
        <w:widowControl/>
        <w:autoSpaceDE w:val="0"/>
        <w:autoSpaceDN w:val="0"/>
        <w:spacing w:line="400" w:lineRule="exact"/>
        <w:ind w:firstLine="406" w:firstLineChars="200"/>
        <w:jc w:val="left"/>
        <w:rPr>
          <w:rFonts w:ascii="宋体" w:hAnsi="宋体" w:eastAsiaTheme="minorEastAsia"/>
          <w:color w:val="FF0000"/>
          <w:spacing w:val="-4"/>
          <w:kern w:val="0"/>
          <w:szCs w:val="21"/>
        </w:rPr>
      </w:pPr>
      <w:r>
        <w:rPr>
          <w:rFonts w:hint="eastAsia" w:ascii="宋体" w:hAnsi="宋体" w:eastAsiaTheme="minorEastAsia"/>
          <w:b/>
          <w:bCs/>
          <w:color w:val="FF0000"/>
          <w:spacing w:val="-4"/>
          <w:kern w:val="0"/>
          <w:szCs w:val="21"/>
        </w:rPr>
        <w:t>2.投标供应商负责人或投标授权代表签字</w:t>
      </w:r>
      <w:r>
        <w:rPr>
          <w:rFonts w:hint="eastAsia" w:ascii="宋体" w:hAnsi="宋体" w:eastAsiaTheme="minorEastAsia"/>
          <w:b/>
          <w:bCs/>
          <w:color w:val="FF0000"/>
          <w:spacing w:val="-4"/>
          <w:kern w:val="0"/>
          <w:szCs w:val="21"/>
          <w:highlight w:val="yellow"/>
        </w:rPr>
        <w:t>并加盖单位公章</w:t>
      </w:r>
      <w:r>
        <w:rPr>
          <w:rFonts w:hint="eastAsia" w:ascii="宋体" w:hAnsi="宋体" w:eastAsiaTheme="minorEastAsia"/>
          <w:b/>
          <w:bCs/>
          <w:color w:val="FF0000"/>
          <w:spacing w:val="-4"/>
          <w:kern w:val="0"/>
          <w:szCs w:val="21"/>
        </w:rPr>
        <w:t>后，扫描上传至投标文件一并提交。</w:t>
      </w:r>
    </w:p>
    <w:p>
      <w:pPr>
        <w:widowControl/>
        <w:spacing w:line="360" w:lineRule="auto"/>
        <w:jc w:val="left"/>
        <w:rPr>
          <w:rFonts w:eastAsiaTheme="minorEastAsia"/>
          <w:b/>
          <w:bCs/>
          <w:kern w:val="0"/>
          <w:sz w:val="24"/>
        </w:rPr>
      </w:pPr>
    </w:p>
    <w:p>
      <w:pPr>
        <w:pStyle w:val="2"/>
      </w:pPr>
      <w:r>
        <w:rPr>
          <w:rFonts w:hint="eastAsia" w:ascii="黑体" w:hAnsi="宋体" w:eastAsia="黑体"/>
          <w:kern w:val="0"/>
          <w:sz w:val="24"/>
          <w:szCs w:val="20"/>
        </w:rPr>
        <w:t>（二）投标人认为需要加以说明的其他内容（格式自定）</w:t>
      </w:r>
    </w:p>
    <w:p>
      <w:pPr>
        <w:pStyle w:val="35"/>
      </w:pPr>
    </w:p>
    <w:p>
      <w:pPr>
        <w:bidi w:val="0"/>
        <w:spacing w:line="360" w:lineRule="auto"/>
        <w:jc w:val="center"/>
        <w:rPr>
          <w:rFonts w:hint="eastAsia" w:ascii="宋体" w:hAnsi="宋体" w:eastAsia="宋体" w:cs="宋体"/>
          <w:b/>
          <w:bCs/>
          <w:sz w:val="21"/>
          <w:szCs w:val="21"/>
        </w:rPr>
      </w:pPr>
      <w:r>
        <w:br w:type="page"/>
      </w:r>
      <w:r>
        <w:rPr>
          <w:rFonts w:hint="eastAsia" w:ascii="宋体" w:hAnsi="宋体" w:eastAsia="宋体" w:cs="宋体"/>
          <w:b/>
          <w:bCs/>
          <w:sz w:val="21"/>
          <w:szCs w:val="21"/>
        </w:rPr>
        <w:t>特定关系承诺函</w:t>
      </w:r>
    </w:p>
    <w:p>
      <w:pPr>
        <w:bidi w:val="0"/>
        <w:spacing w:line="360" w:lineRule="auto"/>
        <w:rPr>
          <w:rFonts w:hint="eastAsia" w:ascii="宋体" w:hAnsi="宋体" w:eastAsia="宋体" w:cs="宋体"/>
          <w:sz w:val="21"/>
          <w:szCs w:val="21"/>
        </w:rPr>
      </w:pPr>
    </w:p>
    <w:p>
      <w:pPr>
        <w:bidi w:val="0"/>
        <w:spacing w:line="360" w:lineRule="auto"/>
        <w:rPr>
          <w:rFonts w:hint="eastAsia" w:ascii="宋体" w:hAnsi="宋体" w:eastAsia="宋体" w:cs="宋体"/>
          <w:sz w:val="21"/>
          <w:szCs w:val="21"/>
        </w:rPr>
      </w:pPr>
      <w:r>
        <w:rPr>
          <w:rFonts w:hint="eastAsia" w:ascii="宋体" w:hAnsi="宋体" w:eastAsia="宋体" w:cs="宋体"/>
          <w:sz w:val="21"/>
          <w:szCs w:val="21"/>
        </w:rPr>
        <w:t>致：（采购人名称）：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我公司承诺与</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rPr>
        <w:t>不存在以下关系：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法定代表人、主要经营负责人、项目投标授权代表人、项目负责人、主要技术人员为同一人、属同一单位或者在同一单位缴纳社会保险。</w:t>
      </w:r>
    </w:p>
    <w:p>
      <w:pPr>
        <w:bidi w:val="0"/>
        <w:spacing w:line="360" w:lineRule="auto"/>
        <w:rPr>
          <w:rFonts w:hint="eastAsia" w:ascii="宋体" w:hAnsi="宋体" w:eastAsia="宋体" w:cs="宋体"/>
          <w:sz w:val="21"/>
          <w:szCs w:val="21"/>
        </w:rPr>
      </w:pPr>
    </w:p>
    <w:p>
      <w:pPr>
        <w:bidi w:val="0"/>
        <w:spacing w:line="360" w:lineRule="auto"/>
        <w:rPr>
          <w:rFonts w:hint="eastAsia" w:ascii="宋体" w:hAnsi="宋体" w:eastAsia="宋体" w:cs="宋体"/>
          <w:sz w:val="21"/>
          <w:szCs w:val="21"/>
        </w:rPr>
      </w:pPr>
    </w:p>
    <w:p>
      <w:pPr>
        <w:bidi w:val="0"/>
        <w:spacing w:line="360" w:lineRule="auto"/>
        <w:rPr>
          <w:rFonts w:hint="eastAsia" w:ascii="宋体" w:hAnsi="宋体" w:eastAsia="宋体" w:cs="宋体"/>
          <w:sz w:val="21"/>
          <w:szCs w:val="21"/>
        </w:rPr>
      </w:pPr>
    </w:p>
    <w:p>
      <w:pPr>
        <w:bidi w:val="0"/>
        <w:spacing w:line="360" w:lineRule="auto"/>
        <w:rPr>
          <w:rFonts w:hint="eastAsia" w:ascii="宋体" w:hAnsi="宋体" w:eastAsia="宋体" w:cs="宋体"/>
          <w:sz w:val="21"/>
          <w:szCs w:val="21"/>
        </w:rPr>
      </w:pPr>
    </w:p>
    <w:p>
      <w:pPr>
        <w:bidi w:val="0"/>
        <w:spacing w:line="360" w:lineRule="auto"/>
        <w:rPr>
          <w:rFonts w:hint="eastAsia" w:ascii="宋体" w:hAnsi="宋体" w:eastAsia="宋体" w:cs="宋体"/>
          <w:sz w:val="21"/>
          <w:szCs w:val="21"/>
        </w:rPr>
      </w:pPr>
    </w:p>
    <w:p>
      <w:pPr>
        <w:bidi w:val="0"/>
        <w:spacing w:line="360" w:lineRule="auto"/>
        <w:rPr>
          <w:rFonts w:hint="eastAsia" w:ascii="宋体" w:hAnsi="宋体" w:eastAsia="宋体" w:cs="宋体"/>
          <w:sz w:val="21"/>
          <w:szCs w:val="21"/>
        </w:rPr>
      </w:pPr>
    </w:p>
    <w:p>
      <w:pPr>
        <w:bidi w:val="0"/>
        <w:spacing w:line="360" w:lineRule="auto"/>
        <w:rPr>
          <w:rFonts w:hint="eastAsia" w:ascii="宋体" w:hAnsi="宋体" w:eastAsia="宋体" w:cs="宋体"/>
          <w:sz w:val="21"/>
          <w:szCs w:val="21"/>
        </w:rPr>
      </w:pPr>
      <w:r>
        <w:rPr>
          <w:rFonts w:hint="eastAsia" w:ascii="宋体" w:hAnsi="宋体" w:eastAsia="宋体" w:cs="宋体"/>
          <w:sz w:val="21"/>
          <w:szCs w:val="21"/>
        </w:rPr>
        <w:t>候选中标供应商法定代表人（或法定代表人授权代表）签字：</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bidi w:val="0"/>
        <w:spacing w:line="360" w:lineRule="auto"/>
        <w:rPr>
          <w:rFonts w:hint="eastAsia" w:ascii="宋体" w:hAnsi="宋体" w:eastAsia="宋体" w:cs="宋体"/>
          <w:sz w:val="21"/>
          <w:szCs w:val="21"/>
          <w:u w:val="single"/>
        </w:rPr>
      </w:pPr>
      <w:r>
        <w:rPr>
          <w:rFonts w:hint="eastAsia" w:ascii="宋体" w:hAnsi="宋体" w:eastAsia="宋体" w:cs="宋体"/>
          <w:sz w:val="21"/>
          <w:szCs w:val="21"/>
        </w:rPr>
        <w:t>候选中标供应商名称（签章）：</w:t>
      </w:r>
      <w:r>
        <w:rPr>
          <w:rFonts w:hint="eastAsia" w:ascii="宋体" w:hAnsi="宋体" w:eastAsia="宋体" w:cs="宋体"/>
          <w:sz w:val="21"/>
          <w:szCs w:val="21"/>
          <w:u w:val="single"/>
        </w:rPr>
        <w:t xml:space="preserve">                        </w:t>
      </w:r>
    </w:p>
    <w:p>
      <w:pPr>
        <w:bidi w:val="0"/>
        <w:spacing w:line="360" w:lineRule="auto"/>
        <w:rPr>
          <w:rFonts w:hint="eastAsia" w:ascii="宋体" w:hAnsi="宋体" w:eastAsia="宋体" w:cs="宋体"/>
          <w:sz w:val="21"/>
          <w:szCs w:val="21"/>
        </w:rPr>
      </w:pPr>
      <w:r>
        <w:rPr>
          <w:rFonts w:hint="eastAsia" w:ascii="宋体" w:hAnsi="宋体" w:eastAsia="宋体" w:cs="宋体"/>
          <w:sz w:val="21"/>
          <w:szCs w:val="21"/>
        </w:rPr>
        <w:t>日期：   年   月   日</w:t>
      </w:r>
    </w:p>
    <w:p>
      <w:pPr>
        <w:widowControl/>
        <w:jc w:val="left"/>
        <w:rPr>
          <w:rFonts w:hint="default" w:ascii="宋体" w:hAnsi="宋体" w:eastAsia="宋体"/>
          <w:b/>
          <w:bCs/>
          <w:kern w:val="0"/>
          <w:sz w:val="24"/>
          <w:szCs w:val="20"/>
          <w:lang w:val="en-US" w:eastAsia="zh-CN"/>
        </w:rPr>
      </w:pPr>
      <w:r>
        <w:rPr>
          <w:rFonts w:hint="eastAsia" w:ascii="宋体" w:hAnsi="宋体"/>
          <w:b/>
          <w:bCs/>
          <w:kern w:val="0"/>
          <w:sz w:val="24"/>
          <w:szCs w:val="20"/>
          <w:lang w:val="en-US" w:eastAsia="zh-CN"/>
        </w:rPr>
        <w:t>候选中标供应商中标后需要提供《特定关系承诺函》</w:t>
      </w:r>
    </w:p>
    <w:p>
      <w:pPr>
        <w:pStyle w:val="6"/>
        <w:rPr>
          <w:rFonts w:hint="eastAsia"/>
          <w:sz w:val="28"/>
          <w:szCs w:val="28"/>
        </w:rPr>
      </w:pPr>
      <w:r>
        <w:rPr>
          <w:rFonts w:hint="eastAsia"/>
          <w:sz w:val="28"/>
          <w:szCs w:val="28"/>
        </w:rPr>
        <w:t>第五章  合同条款及格式</w:t>
      </w:r>
    </w:p>
    <w:p>
      <w:pPr>
        <w:jc w:val="center"/>
        <w:outlineLvl w:val="0"/>
      </w:pPr>
      <w:r>
        <w:rPr>
          <w:rFonts w:hint="eastAsia"/>
          <w:b/>
          <w:sz w:val="24"/>
        </w:rPr>
        <w:t>（仅供参考，具体以项目需求及实际签订为准）</w:t>
      </w:r>
    </w:p>
    <w:p>
      <w:pPr>
        <w:spacing w:line="360" w:lineRule="auto"/>
        <w:ind w:firstLine="4800" w:firstLineChars="2000"/>
        <w:rPr>
          <w:sz w:val="24"/>
        </w:rPr>
      </w:pPr>
      <w:r>
        <w:rPr>
          <w:rFonts w:hint="eastAsia" w:ascii="黑体" w:hAnsi="黑体" w:eastAsia="黑体"/>
          <w:sz w:val="24"/>
        </w:rPr>
        <w:t>合同编号</w:t>
      </w:r>
      <w:r>
        <w:rPr>
          <w:rFonts w:hint="eastAsia"/>
          <w:sz w:val="24"/>
        </w:rPr>
        <w:t>：</w:t>
      </w:r>
      <w:r>
        <w:rPr>
          <w:sz w:val="24"/>
          <w:u w:val="single"/>
        </w:rPr>
        <w:t xml:space="preserve">                     </w:t>
      </w:r>
    </w:p>
    <w:p>
      <w:pPr>
        <w:spacing w:line="360" w:lineRule="auto"/>
        <w:ind w:firstLine="480"/>
        <w:rPr>
          <w:sz w:val="24"/>
        </w:rPr>
      </w:pPr>
    </w:p>
    <w:p>
      <w:pPr>
        <w:spacing w:line="360" w:lineRule="auto"/>
        <w:ind w:firstLine="480"/>
        <w:rPr>
          <w:sz w:val="24"/>
        </w:rPr>
      </w:pPr>
    </w:p>
    <w:p>
      <w:pPr>
        <w:spacing w:line="360" w:lineRule="auto"/>
        <w:ind w:firstLine="480"/>
        <w:rPr>
          <w:sz w:val="24"/>
        </w:rPr>
      </w:pPr>
    </w:p>
    <w:p>
      <w:pPr>
        <w:spacing w:line="360" w:lineRule="auto"/>
        <w:ind w:firstLine="480"/>
        <w:rPr>
          <w:sz w:val="24"/>
        </w:rPr>
      </w:pPr>
    </w:p>
    <w:p>
      <w:pPr>
        <w:spacing w:line="360" w:lineRule="auto"/>
        <w:ind w:firstLine="1040"/>
        <w:jc w:val="center"/>
        <w:rPr>
          <w:sz w:val="52"/>
          <w:szCs w:val="52"/>
        </w:rPr>
      </w:pPr>
      <w:r>
        <w:rPr>
          <w:rFonts w:hint="eastAsia"/>
          <w:sz w:val="52"/>
          <w:szCs w:val="52"/>
        </w:rPr>
        <w:t>深圳技师学院</w:t>
      </w:r>
    </w:p>
    <w:p>
      <w:pPr>
        <w:spacing w:line="360" w:lineRule="auto"/>
        <w:ind w:firstLine="1040"/>
        <w:jc w:val="center"/>
        <w:rPr>
          <w:rFonts w:ascii="黑体" w:hAnsi="黑体" w:eastAsia="黑体" w:cs="黑体"/>
          <w:sz w:val="52"/>
          <w:szCs w:val="36"/>
        </w:rPr>
      </w:pPr>
      <w:r>
        <w:rPr>
          <w:rFonts w:hint="eastAsia" w:ascii="黑体" w:hAnsi="黑体" w:eastAsia="黑体" w:cs="黑体"/>
          <w:sz w:val="52"/>
          <w:szCs w:val="36"/>
          <w:u w:val="single"/>
        </w:rPr>
        <w:t xml:space="preserve">        （货物类）</w:t>
      </w:r>
      <w:r>
        <w:rPr>
          <w:rFonts w:hint="eastAsia" w:ascii="黑体" w:hAnsi="黑体" w:eastAsia="黑体" w:cs="黑体"/>
          <w:sz w:val="52"/>
          <w:szCs w:val="36"/>
        </w:rPr>
        <w:t>采购合同</w:t>
      </w:r>
    </w:p>
    <w:p>
      <w:pPr>
        <w:spacing w:line="360" w:lineRule="auto"/>
        <w:ind w:firstLine="480"/>
        <w:rPr>
          <w:sz w:val="24"/>
        </w:rPr>
      </w:pPr>
    </w:p>
    <w:p>
      <w:pPr>
        <w:spacing w:line="360" w:lineRule="auto"/>
        <w:ind w:firstLine="480"/>
        <w:rPr>
          <w:sz w:val="24"/>
        </w:rPr>
      </w:pPr>
    </w:p>
    <w:p>
      <w:pPr>
        <w:spacing w:line="360" w:lineRule="auto"/>
        <w:ind w:firstLine="480"/>
        <w:rPr>
          <w:sz w:val="24"/>
        </w:rPr>
      </w:pPr>
    </w:p>
    <w:p>
      <w:pPr>
        <w:spacing w:line="360" w:lineRule="auto"/>
        <w:ind w:firstLine="480"/>
        <w:rPr>
          <w:sz w:val="24"/>
        </w:rPr>
      </w:pPr>
    </w:p>
    <w:p>
      <w:pPr>
        <w:spacing w:line="360" w:lineRule="auto"/>
        <w:ind w:firstLine="480"/>
        <w:rPr>
          <w:sz w:val="24"/>
        </w:rPr>
      </w:pPr>
    </w:p>
    <w:p>
      <w:pPr>
        <w:spacing w:line="360" w:lineRule="auto"/>
        <w:rPr>
          <w:rFonts w:ascii="黑体" w:hAnsi="黑体" w:eastAsia="黑体"/>
          <w:sz w:val="28"/>
          <w:szCs w:val="28"/>
        </w:rPr>
      </w:pPr>
    </w:p>
    <w:p>
      <w:pPr>
        <w:spacing w:line="360" w:lineRule="auto"/>
        <w:ind w:firstLine="1400" w:firstLineChars="500"/>
        <w:rPr>
          <w:rFonts w:ascii="黑体" w:hAnsi="黑体" w:eastAsia="黑体"/>
          <w:sz w:val="28"/>
          <w:szCs w:val="28"/>
        </w:rPr>
      </w:pPr>
      <w:r>
        <w:rPr>
          <w:rFonts w:hint="eastAsia" w:ascii="黑体" w:hAnsi="黑体" w:eastAsia="黑体"/>
          <w:sz w:val="28"/>
          <w:szCs w:val="28"/>
        </w:rPr>
        <w:t>买方（甲方）：</w:t>
      </w:r>
      <w:r>
        <w:rPr>
          <w:rFonts w:hint="eastAsia" w:ascii="黑体" w:hAnsi="黑体" w:eastAsia="黑体"/>
          <w:sz w:val="28"/>
          <w:szCs w:val="28"/>
          <w:u w:val="single"/>
        </w:rPr>
        <w:t xml:space="preserve"> 深圳技师学院</w:t>
      </w:r>
    </w:p>
    <w:p>
      <w:pPr>
        <w:spacing w:line="360" w:lineRule="auto"/>
        <w:ind w:firstLine="1400" w:firstLineChars="500"/>
        <w:rPr>
          <w:rFonts w:ascii="黑体" w:hAnsi="黑体" w:eastAsia="黑体"/>
          <w:sz w:val="28"/>
          <w:szCs w:val="28"/>
        </w:rPr>
      </w:pPr>
      <w:r>
        <w:rPr>
          <w:rFonts w:hint="eastAsia" w:ascii="黑体" w:hAnsi="黑体" w:eastAsia="黑体"/>
          <w:sz w:val="28"/>
          <w:szCs w:val="28"/>
        </w:rPr>
        <w:t>卖方（乙方）：</w:t>
      </w:r>
      <w:r>
        <w:rPr>
          <w:rFonts w:hint="eastAsia" w:ascii="黑体" w:hAnsi="黑体" w:eastAsia="黑体"/>
          <w:sz w:val="28"/>
          <w:szCs w:val="28"/>
          <w:u w:val="single"/>
        </w:rPr>
        <w:t xml:space="preserve">                           </w:t>
      </w:r>
    </w:p>
    <w:p>
      <w:pPr>
        <w:spacing w:line="360" w:lineRule="auto"/>
        <w:rPr>
          <w:sz w:val="28"/>
          <w:szCs w:val="28"/>
          <w:u w:val="single"/>
        </w:rPr>
      </w:pPr>
    </w:p>
    <w:p>
      <w:pPr>
        <w:spacing w:line="360" w:lineRule="auto"/>
        <w:rPr>
          <w:sz w:val="28"/>
          <w:szCs w:val="28"/>
          <w:u w:val="single"/>
        </w:rPr>
      </w:pPr>
    </w:p>
    <w:p>
      <w:pPr>
        <w:spacing w:line="360" w:lineRule="auto"/>
        <w:rPr>
          <w:sz w:val="28"/>
          <w:szCs w:val="28"/>
          <w:u w:val="single"/>
        </w:rPr>
      </w:pPr>
    </w:p>
    <w:p>
      <w:pPr>
        <w:spacing w:line="360" w:lineRule="auto"/>
        <w:rPr>
          <w:sz w:val="28"/>
          <w:szCs w:val="28"/>
          <w:u w:val="single"/>
        </w:rPr>
      </w:pPr>
    </w:p>
    <w:p>
      <w:pPr>
        <w:spacing w:line="360" w:lineRule="auto"/>
        <w:jc w:val="center"/>
        <w:rPr>
          <w:rFonts w:ascii="黑体" w:hAnsi="黑体" w:eastAsia="黑体"/>
          <w:sz w:val="28"/>
          <w:szCs w:val="28"/>
        </w:rPr>
      </w:pPr>
      <w:r>
        <w:rPr>
          <w:rFonts w:hint="eastAsia" w:ascii="黑体" w:hAnsi="黑体" w:eastAsia="黑体"/>
          <w:sz w:val="28"/>
          <w:szCs w:val="28"/>
        </w:rPr>
        <w:t>年   月   日</w:t>
      </w:r>
    </w:p>
    <w:p>
      <w:pPr>
        <w:spacing w:line="360" w:lineRule="auto"/>
        <w:ind w:firstLine="480"/>
        <w:jc w:val="left"/>
        <w:rPr>
          <w:sz w:val="24"/>
          <w:u w:val="single"/>
        </w:rPr>
      </w:pPr>
    </w:p>
    <w:p>
      <w:pPr>
        <w:spacing w:line="360" w:lineRule="auto"/>
        <w:ind w:firstLine="480"/>
        <w:jc w:val="left"/>
        <w:rPr>
          <w:sz w:val="24"/>
          <w:u w:val="single"/>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仿宋_GB2312" w:hAnsi="仿宋_GB2312" w:eastAsia="仿宋_GB2312" w:cs="仿宋_GB2312"/>
          <w:sz w:val="28"/>
          <w:szCs w:val="28"/>
        </w:rPr>
      </w:pPr>
      <w:r>
        <w:rPr>
          <w:rFonts w:hint="eastAsia" w:ascii="黑体" w:hAnsi="黑体" w:eastAsia="黑体"/>
          <w:sz w:val="28"/>
          <w:szCs w:val="28"/>
        </w:rPr>
        <w:t>买方（甲方）</w:t>
      </w:r>
      <w:r>
        <w:rPr>
          <w:rFonts w:hint="eastAsia" w:ascii="仿宋" w:hAnsi="仿宋" w:eastAsia="仿宋"/>
          <w:sz w:val="28"/>
          <w:szCs w:val="28"/>
        </w:rPr>
        <w:t>：</w:t>
      </w:r>
      <w:r>
        <w:rPr>
          <w:rFonts w:hint="eastAsia" w:ascii="仿宋_GB2312" w:hAnsi="仿宋_GB2312" w:eastAsia="仿宋_GB2312" w:cs="仿宋_GB2312"/>
          <w:b/>
          <w:sz w:val="28"/>
          <w:szCs w:val="28"/>
          <w:u w:val="single"/>
        </w:rPr>
        <w:t>深圳技师学院</w:t>
      </w: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地址：</w:t>
      </w:r>
      <w:r>
        <w:rPr>
          <w:rFonts w:hint="eastAsia" w:ascii="仿宋_GB2312" w:hAnsi="仿宋_GB2312" w:eastAsia="仿宋_GB2312" w:cs="仿宋_GB2312"/>
          <w:sz w:val="28"/>
          <w:szCs w:val="28"/>
          <w:u w:val="single"/>
        </w:rPr>
        <w:t>广东省深圳市龙岗区将军帽路一号</w:t>
      </w:r>
    </w:p>
    <w:p>
      <w:pPr>
        <w:spacing w:line="360" w:lineRule="auto"/>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联系人：</w:t>
      </w:r>
      <w:r>
        <w:rPr>
          <w:rFonts w:hint="eastAsia" w:ascii="仿宋_GB2312" w:hAnsi="仿宋_GB2312" w:eastAsia="仿宋_GB2312" w:cs="仿宋_GB2312"/>
          <w:sz w:val="28"/>
          <w:szCs w:val="28"/>
          <w:u w:val="single"/>
        </w:rPr>
        <w:t xml:space="preserve">                          </w:t>
      </w:r>
    </w:p>
    <w:p>
      <w:pPr>
        <w:spacing w:line="360" w:lineRule="auto"/>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联系电话：</w:t>
      </w:r>
      <w:r>
        <w:rPr>
          <w:rFonts w:hint="eastAsia" w:ascii="仿宋_GB2312" w:hAnsi="仿宋_GB2312" w:eastAsia="仿宋_GB2312" w:cs="仿宋_GB2312"/>
          <w:sz w:val="28"/>
          <w:szCs w:val="28"/>
          <w:u w:val="single"/>
        </w:rPr>
        <w:t xml:space="preserve">                       </w:t>
      </w:r>
    </w:p>
    <w:p>
      <w:r>
        <w:rPr>
          <w:rFonts w:hint="eastAsia" w:ascii="仿宋_GB2312" w:hAnsi="仿宋_GB2312" w:eastAsia="仿宋_GB2312" w:cs="仿宋_GB2312"/>
          <w:sz w:val="28"/>
          <w:szCs w:val="28"/>
        </w:rPr>
        <w:t>统一社会信用代码：</w:t>
      </w:r>
      <w:r>
        <w:rPr>
          <w:rFonts w:hint="eastAsia" w:ascii="仿宋" w:hAnsi="仿宋" w:eastAsia="仿宋"/>
          <w:kern w:val="0"/>
          <w:sz w:val="32"/>
          <w:szCs w:val="32"/>
          <w:u w:val="single"/>
        </w:rPr>
        <w:t>12440300455753340X</w:t>
      </w:r>
    </w:p>
    <w:p>
      <w:pPr>
        <w:spacing w:line="360" w:lineRule="auto"/>
        <w:rPr>
          <w:rFonts w:ascii="仿宋_GB2312" w:hAnsi="仿宋_GB2312" w:eastAsia="仿宋_GB2312" w:cs="仿宋_GB2312"/>
          <w:sz w:val="28"/>
          <w:szCs w:val="28"/>
        </w:rPr>
      </w:pPr>
      <w:r>
        <w:rPr>
          <w:rFonts w:hint="eastAsia" w:ascii="黑体" w:hAnsi="黑体" w:eastAsia="黑体"/>
          <w:sz w:val="28"/>
          <w:szCs w:val="28"/>
        </w:rPr>
        <w:t>卖方（乙方）</w:t>
      </w:r>
      <w:r>
        <w:rPr>
          <w:rFonts w:hint="eastAsia" w:ascii="仿宋" w:hAnsi="仿宋" w:eastAsia="仿宋"/>
          <w:sz w:val="28"/>
          <w:szCs w:val="28"/>
        </w:rPr>
        <w:t>：</w:t>
      </w:r>
      <w:r>
        <w:rPr>
          <w:rFonts w:hint="eastAsia" w:ascii="仿宋_GB2312" w:hAnsi="仿宋_GB2312" w:eastAsia="仿宋_GB2312" w:cs="仿宋_GB2312"/>
          <w:sz w:val="28"/>
          <w:szCs w:val="28"/>
          <w:u w:val="single"/>
        </w:rPr>
        <w:t xml:space="preserve">                    </w:t>
      </w: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地址：</w:t>
      </w:r>
      <w:r>
        <w:rPr>
          <w:rFonts w:hint="eastAsia" w:ascii="仿宋_GB2312" w:hAnsi="仿宋_GB2312" w:eastAsia="仿宋_GB2312" w:cs="仿宋_GB2312"/>
          <w:sz w:val="28"/>
          <w:szCs w:val="28"/>
          <w:u w:val="single"/>
        </w:rPr>
        <w:t xml:space="preserve">                           </w:t>
      </w:r>
    </w:p>
    <w:p>
      <w:pPr>
        <w:spacing w:line="360" w:lineRule="auto"/>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联系人：</w:t>
      </w:r>
      <w:r>
        <w:rPr>
          <w:rFonts w:hint="eastAsia" w:ascii="仿宋_GB2312" w:hAnsi="仿宋_GB2312" w:eastAsia="仿宋_GB2312" w:cs="仿宋_GB2312"/>
          <w:sz w:val="28"/>
          <w:szCs w:val="28"/>
          <w:u w:val="single"/>
        </w:rPr>
        <w:t xml:space="preserve">                         </w:t>
      </w:r>
    </w:p>
    <w:p>
      <w:pPr>
        <w:spacing w:line="360" w:lineRule="auto"/>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联系电话：</w:t>
      </w:r>
      <w:r>
        <w:rPr>
          <w:rFonts w:hint="eastAsia" w:ascii="仿宋_GB2312" w:hAnsi="仿宋_GB2312" w:eastAsia="仿宋_GB2312" w:cs="仿宋_GB2312"/>
          <w:sz w:val="28"/>
          <w:szCs w:val="28"/>
          <w:u w:val="single"/>
        </w:rPr>
        <w:t xml:space="preserve">                       </w:t>
      </w: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电子邮箱：</w:t>
      </w:r>
      <w:r>
        <w:rPr>
          <w:rFonts w:hint="eastAsia" w:ascii="仿宋_GB2312" w:hAnsi="仿宋_GB2312" w:eastAsia="仿宋_GB2312" w:cs="仿宋_GB2312"/>
          <w:sz w:val="28"/>
          <w:szCs w:val="28"/>
          <w:u w:val="single"/>
        </w:rPr>
        <w:t xml:space="preserve">                       </w:t>
      </w:r>
    </w:p>
    <w:p>
      <w:pPr>
        <w:spacing w:line="360" w:lineRule="auto"/>
        <w:jc w:val="left"/>
        <w:rPr>
          <w:rFonts w:ascii="仿宋_GB2312" w:hAnsi="仿宋_GB2312" w:eastAsia="仿宋_GB2312" w:cs="仿宋_GB2312"/>
          <w:sz w:val="28"/>
          <w:szCs w:val="28"/>
        </w:rPr>
      </w:pP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甲、乙双方就</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事宜，根据《中华人民共和国民法典》《中华人民共和国政府采购法》和《深圳经济特区政府采购条例》等有关法律法规规定，本着平等、自愿原则，经友好协商，签订本合同。</w:t>
      </w:r>
    </w:p>
    <w:p>
      <w:pPr>
        <w:spacing w:before="156" w:beforeLines="50" w:after="156" w:afterLines="50" w:line="360" w:lineRule="auto"/>
        <w:ind w:left="567"/>
        <w:jc w:val="left"/>
        <w:rPr>
          <w:rFonts w:ascii="仿宋_GB2312" w:hAnsi="仿宋_GB2312" w:eastAsia="仿宋_GB2312" w:cs="仿宋_GB2312"/>
          <w:sz w:val="28"/>
          <w:szCs w:val="28"/>
        </w:rPr>
      </w:pPr>
      <w:r>
        <w:rPr>
          <w:rFonts w:hint="eastAsia" w:ascii="黑体" w:hAnsi="黑体" w:eastAsia="黑体"/>
          <w:bCs/>
          <w:sz w:val="28"/>
          <w:szCs w:val="28"/>
        </w:rPr>
        <w:t xml:space="preserve">第一条  </w:t>
      </w:r>
      <w:r>
        <w:rPr>
          <w:rFonts w:ascii="黑体" w:hAnsi="黑体" w:eastAsia="黑体"/>
          <w:bCs/>
          <w:sz w:val="28"/>
          <w:szCs w:val="28"/>
        </w:rPr>
        <w:t>标的</w:t>
      </w:r>
      <w:r>
        <w:rPr>
          <w:rFonts w:hint="eastAsia" w:ascii="黑体" w:hAnsi="黑体" w:eastAsia="黑体"/>
          <w:bCs/>
          <w:sz w:val="28"/>
          <w:szCs w:val="28"/>
        </w:rPr>
        <w:t>规格</w:t>
      </w:r>
    </w:p>
    <w:tbl>
      <w:tblPr>
        <w:tblStyle w:val="42"/>
        <w:tblW w:w="9080" w:type="dxa"/>
        <w:tblInd w:w="-459" w:type="dxa"/>
        <w:tblLayout w:type="fixed"/>
        <w:tblCellMar>
          <w:top w:w="0" w:type="dxa"/>
          <w:left w:w="108" w:type="dxa"/>
          <w:bottom w:w="0" w:type="dxa"/>
          <w:right w:w="108" w:type="dxa"/>
        </w:tblCellMar>
      </w:tblPr>
      <w:tblGrid>
        <w:gridCol w:w="709"/>
        <w:gridCol w:w="1374"/>
        <w:gridCol w:w="1200"/>
        <w:gridCol w:w="1200"/>
        <w:gridCol w:w="1329"/>
        <w:gridCol w:w="851"/>
        <w:gridCol w:w="1275"/>
        <w:gridCol w:w="1142"/>
      </w:tblGrid>
      <w:tr>
        <w:tblPrEx>
          <w:tblCellMar>
            <w:top w:w="0" w:type="dxa"/>
            <w:left w:w="108" w:type="dxa"/>
            <w:bottom w:w="0" w:type="dxa"/>
            <w:right w:w="108" w:type="dxa"/>
          </w:tblCellMar>
        </w:tblPrEx>
        <w:trPr>
          <w:cantSplit/>
          <w:trHeight w:val="820" w:hRule="atLeast"/>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jc w:val="center"/>
              <w:rPr>
                <w:rFonts w:ascii="黑体" w:hAnsi="黑体" w:eastAsia="黑体"/>
                <w:szCs w:val="21"/>
              </w:rPr>
            </w:pPr>
            <w:r>
              <w:rPr>
                <w:rFonts w:ascii="黑体" w:hAnsi="黑体" w:eastAsia="黑体"/>
                <w:szCs w:val="21"/>
              </w:rPr>
              <w:t>序号</w:t>
            </w:r>
          </w:p>
        </w:tc>
        <w:tc>
          <w:tcPr>
            <w:tcW w:w="1374" w:type="dxa"/>
            <w:tcBorders>
              <w:top w:val="single" w:color="auto" w:sz="4" w:space="0"/>
              <w:left w:val="nil"/>
              <w:bottom w:val="single" w:color="auto" w:sz="4" w:space="0"/>
              <w:right w:val="single" w:color="auto" w:sz="4" w:space="0"/>
            </w:tcBorders>
            <w:vAlign w:val="center"/>
          </w:tcPr>
          <w:p>
            <w:pPr>
              <w:snapToGrid w:val="0"/>
              <w:spacing w:line="360" w:lineRule="auto"/>
              <w:ind w:firstLine="420"/>
              <w:jc w:val="center"/>
              <w:rPr>
                <w:rFonts w:ascii="黑体" w:hAnsi="黑体" w:eastAsia="黑体"/>
                <w:szCs w:val="21"/>
              </w:rPr>
            </w:pPr>
            <w:r>
              <w:rPr>
                <w:rFonts w:ascii="黑体" w:hAnsi="黑体" w:eastAsia="黑体"/>
                <w:szCs w:val="21"/>
              </w:rPr>
              <w:t>产品名称</w:t>
            </w:r>
            <w:r>
              <w:rPr>
                <w:rFonts w:hint="eastAsia" w:ascii="黑体" w:hAnsi="黑体" w:eastAsia="黑体"/>
                <w:szCs w:val="21"/>
              </w:rPr>
              <w:t>及</w:t>
            </w:r>
            <w:r>
              <w:rPr>
                <w:rFonts w:ascii="黑体" w:hAnsi="黑体" w:eastAsia="黑体"/>
                <w:szCs w:val="21"/>
              </w:rPr>
              <w:t>规格型号</w:t>
            </w:r>
          </w:p>
        </w:tc>
        <w:tc>
          <w:tcPr>
            <w:tcW w:w="1200" w:type="dxa"/>
            <w:tcBorders>
              <w:top w:val="single" w:color="auto" w:sz="4" w:space="0"/>
              <w:left w:val="nil"/>
              <w:bottom w:val="single" w:color="auto" w:sz="4" w:space="0"/>
              <w:right w:val="single" w:color="auto" w:sz="4" w:space="0"/>
            </w:tcBorders>
            <w:vAlign w:val="center"/>
          </w:tcPr>
          <w:p>
            <w:pPr>
              <w:snapToGrid w:val="0"/>
              <w:spacing w:line="360" w:lineRule="auto"/>
              <w:ind w:firstLine="420"/>
              <w:jc w:val="center"/>
              <w:rPr>
                <w:rFonts w:ascii="黑体" w:hAnsi="黑体" w:eastAsia="黑体"/>
                <w:szCs w:val="21"/>
              </w:rPr>
            </w:pPr>
            <w:r>
              <w:rPr>
                <w:rFonts w:ascii="黑体" w:hAnsi="黑体" w:eastAsia="黑体"/>
                <w:szCs w:val="21"/>
              </w:rPr>
              <w:t>商标品牌</w:t>
            </w:r>
          </w:p>
        </w:tc>
        <w:tc>
          <w:tcPr>
            <w:tcW w:w="1200" w:type="dxa"/>
            <w:tcBorders>
              <w:top w:val="single" w:color="auto" w:sz="4" w:space="0"/>
              <w:left w:val="nil"/>
              <w:bottom w:val="single" w:color="auto" w:sz="4" w:space="0"/>
              <w:right w:val="single" w:color="auto" w:sz="4" w:space="0"/>
            </w:tcBorders>
            <w:vAlign w:val="center"/>
          </w:tcPr>
          <w:p>
            <w:pPr>
              <w:snapToGrid w:val="0"/>
              <w:spacing w:line="360" w:lineRule="auto"/>
              <w:ind w:firstLine="420"/>
              <w:jc w:val="center"/>
              <w:rPr>
                <w:rFonts w:ascii="黑体" w:hAnsi="黑体" w:eastAsia="黑体"/>
                <w:szCs w:val="21"/>
              </w:rPr>
            </w:pPr>
            <w:r>
              <w:rPr>
                <w:rFonts w:ascii="黑体" w:hAnsi="黑体" w:eastAsia="黑体"/>
                <w:szCs w:val="21"/>
              </w:rPr>
              <w:t>生产厂家</w:t>
            </w:r>
          </w:p>
        </w:tc>
        <w:tc>
          <w:tcPr>
            <w:tcW w:w="1329" w:type="dxa"/>
            <w:tcBorders>
              <w:top w:val="single" w:color="auto" w:sz="4" w:space="0"/>
              <w:left w:val="nil"/>
              <w:bottom w:val="single" w:color="auto" w:sz="4" w:space="0"/>
              <w:right w:val="single" w:color="auto" w:sz="4" w:space="0"/>
            </w:tcBorders>
            <w:vAlign w:val="center"/>
          </w:tcPr>
          <w:p>
            <w:pPr>
              <w:snapToGrid w:val="0"/>
              <w:spacing w:line="360" w:lineRule="auto"/>
              <w:ind w:firstLine="420"/>
              <w:jc w:val="center"/>
              <w:rPr>
                <w:rFonts w:ascii="黑体" w:hAnsi="黑体" w:eastAsia="黑体"/>
                <w:szCs w:val="21"/>
              </w:rPr>
            </w:pPr>
            <w:r>
              <w:rPr>
                <w:rFonts w:hint="eastAsia" w:ascii="黑体" w:hAnsi="黑体" w:eastAsia="黑体"/>
                <w:szCs w:val="21"/>
              </w:rPr>
              <w:t>质保期限</w:t>
            </w:r>
          </w:p>
        </w:tc>
        <w:tc>
          <w:tcPr>
            <w:tcW w:w="851" w:type="dxa"/>
            <w:tcBorders>
              <w:top w:val="single" w:color="auto" w:sz="4" w:space="0"/>
              <w:left w:val="nil"/>
              <w:bottom w:val="single" w:color="auto" w:sz="4" w:space="0"/>
              <w:right w:val="single" w:color="auto" w:sz="4" w:space="0"/>
            </w:tcBorders>
            <w:vAlign w:val="center"/>
          </w:tcPr>
          <w:p>
            <w:pPr>
              <w:snapToGrid w:val="0"/>
              <w:spacing w:line="360" w:lineRule="auto"/>
              <w:ind w:firstLine="420"/>
              <w:jc w:val="center"/>
              <w:rPr>
                <w:rFonts w:ascii="黑体" w:hAnsi="黑体" w:eastAsia="黑体"/>
                <w:szCs w:val="21"/>
              </w:rPr>
            </w:pPr>
            <w:r>
              <w:rPr>
                <w:rFonts w:ascii="黑体" w:hAnsi="黑体" w:eastAsia="黑体"/>
                <w:szCs w:val="21"/>
              </w:rPr>
              <w:t>数</w:t>
            </w:r>
            <w:r>
              <w:rPr>
                <w:rFonts w:hint="eastAsia" w:ascii="黑体" w:hAnsi="黑体" w:eastAsia="黑体"/>
                <w:szCs w:val="21"/>
              </w:rPr>
              <w:t xml:space="preserve">  </w:t>
            </w:r>
            <w:r>
              <w:rPr>
                <w:rFonts w:ascii="黑体" w:hAnsi="黑体" w:eastAsia="黑体"/>
                <w:szCs w:val="21"/>
              </w:rPr>
              <w:t>量</w:t>
            </w:r>
          </w:p>
          <w:p>
            <w:pPr>
              <w:snapToGrid w:val="0"/>
              <w:spacing w:line="360" w:lineRule="auto"/>
              <w:ind w:firstLine="420"/>
              <w:jc w:val="center"/>
              <w:rPr>
                <w:rFonts w:ascii="黑体" w:hAnsi="黑体" w:eastAsia="黑体"/>
                <w:szCs w:val="21"/>
              </w:rPr>
            </w:pPr>
            <w:r>
              <w:rPr>
                <w:rFonts w:ascii="黑体" w:hAnsi="黑体" w:eastAsia="黑体"/>
                <w:szCs w:val="21"/>
              </w:rPr>
              <w:t>及单位</w:t>
            </w:r>
          </w:p>
        </w:tc>
        <w:tc>
          <w:tcPr>
            <w:tcW w:w="1275" w:type="dxa"/>
            <w:tcBorders>
              <w:top w:val="single" w:color="auto" w:sz="4" w:space="0"/>
              <w:left w:val="nil"/>
              <w:bottom w:val="single" w:color="auto" w:sz="4" w:space="0"/>
              <w:right w:val="single" w:color="auto" w:sz="4" w:space="0"/>
            </w:tcBorders>
            <w:vAlign w:val="center"/>
          </w:tcPr>
          <w:p>
            <w:pPr>
              <w:snapToGrid w:val="0"/>
              <w:spacing w:line="360" w:lineRule="auto"/>
              <w:ind w:firstLine="420"/>
              <w:jc w:val="center"/>
              <w:rPr>
                <w:rFonts w:ascii="黑体" w:hAnsi="黑体" w:eastAsia="黑体"/>
                <w:szCs w:val="21"/>
              </w:rPr>
            </w:pPr>
            <w:r>
              <w:rPr>
                <w:rFonts w:ascii="黑体" w:hAnsi="黑体" w:eastAsia="黑体"/>
                <w:szCs w:val="21"/>
              </w:rPr>
              <w:t>单</w:t>
            </w:r>
            <w:r>
              <w:rPr>
                <w:rFonts w:hint="eastAsia" w:ascii="黑体" w:hAnsi="黑体" w:eastAsia="黑体"/>
                <w:szCs w:val="21"/>
              </w:rPr>
              <w:t xml:space="preserve">  </w:t>
            </w:r>
            <w:r>
              <w:rPr>
                <w:rFonts w:ascii="黑体" w:hAnsi="黑体" w:eastAsia="黑体"/>
                <w:szCs w:val="21"/>
              </w:rPr>
              <w:t>价</w:t>
            </w:r>
          </w:p>
          <w:p>
            <w:pPr>
              <w:snapToGrid w:val="0"/>
              <w:spacing w:line="360" w:lineRule="auto"/>
              <w:ind w:firstLine="420"/>
              <w:jc w:val="center"/>
              <w:rPr>
                <w:rFonts w:ascii="黑体" w:hAnsi="黑体" w:eastAsia="黑体"/>
                <w:szCs w:val="21"/>
              </w:rPr>
            </w:pPr>
            <w:r>
              <w:rPr>
                <w:rFonts w:ascii="黑体" w:hAnsi="黑体" w:eastAsia="黑体"/>
                <w:szCs w:val="21"/>
              </w:rPr>
              <w:t>（元）</w:t>
            </w:r>
          </w:p>
        </w:tc>
        <w:tc>
          <w:tcPr>
            <w:tcW w:w="1142" w:type="dxa"/>
            <w:tcBorders>
              <w:top w:val="single" w:color="auto" w:sz="4" w:space="0"/>
              <w:left w:val="nil"/>
              <w:bottom w:val="single" w:color="auto" w:sz="4" w:space="0"/>
              <w:right w:val="single" w:color="auto" w:sz="4" w:space="0"/>
            </w:tcBorders>
            <w:vAlign w:val="center"/>
          </w:tcPr>
          <w:p>
            <w:pPr>
              <w:snapToGrid w:val="0"/>
              <w:spacing w:line="360" w:lineRule="auto"/>
              <w:ind w:firstLine="420"/>
              <w:jc w:val="center"/>
              <w:rPr>
                <w:rFonts w:ascii="黑体" w:hAnsi="黑体" w:eastAsia="黑体"/>
                <w:szCs w:val="21"/>
              </w:rPr>
            </w:pPr>
            <w:r>
              <w:rPr>
                <w:rFonts w:ascii="黑体" w:hAnsi="黑体" w:eastAsia="黑体"/>
                <w:szCs w:val="21"/>
              </w:rPr>
              <w:t>金</w:t>
            </w:r>
            <w:r>
              <w:rPr>
                <w:rFonts w:hint="eastAsia" w:ascii="黑体" w:hAnsi="黑体" w:eastAsia="黑体"/>
                <w:szCs w:val="21"/>
              </w:rPr>
              <w:t xml:space="preserve">  </w:t>
            </w:r>
            <w:r>
              <w:rPr>
                <w:rFonts w:ascii="黑体" w:hAnsi="黑体" w:eastAsia="黑体"/>
                <w:szCs w:val="21"/>
              </w:rPr>
              <w:t>额</w:t>
            </w:r>
          </w:p>
          <w:p>
            <w:pPr>
              <w:snapToGrid w:val="0"/>
              <w:spacing w:line="360" w:lineRule="auto"/>
              <w:ind w:firstLine="420"/>
              <w:jc w:val="center"/>
              <w:rPr>
                <w:rFonts w:ascii="黑体" w:hAnsi="黑体" w:eastAsia="黑体"/>
                <w:szCs w:val="21"/>
              </w:rPr>
            </w:pPr>
            <w:r>
              <w:rPr>
                <w:rFonts w:ascii="黑体" w:hAnsi="黑体" w:eastAsia="黑体"/>
                <w:szCs w:val="21"/>
              </w:rPr>
              <w:t>（元）</w:t>
            </w:r>
          </w:p>
        </w:tc>
      </w:tr>
      <w:tr>
        <w:tblPrEx>
          <w:tblCellMar>
            <w:top w:w="0" w:type="dxa"/>
            <w:left w:w="108" w:type="dxa"/>
            <w:bottom w:w="0" w:type="dxa"/>
            <w:right w:w="108" w:type="dxa"/>
          </w:tblCellMar>
        </w:tblPrEx>
        <w:trPr>
          <w:cantSplit/>
          <w:trHeight w:val="465" w:hRule="atLeast"/>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jc w:val="center"/>
              <w:rPr>
                <w:sz w:val="24"/>
              </w:rPr>
            </w:pPr>
            <w:r>
              <w:rPr>
                <w:sz w:val="24"/>
              </w:rPr>
              <w:t>1</w:t>
            </w:r>
          </w:p>
        </w:tc>
        <w:tc>
          <w:tcPr>
            <w:tcW w:w="1374"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200"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200"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329" w:type="dxa"/>
            <w:tcBorders>
              <w:top w:val="single" w:color="auto" w:sz="4" w:space="0"/>
              <w:left w:val="nil"/>
              <w:bottom w:val="single" w:color="auto" w:sz="4" w:space="0"/>
              <w:right w:val="single" w:color="auto" w:sz="4" w:space="0"/>
            </w:tcBorders>
          </w:tcPr>
          <w:p>
            <w:pPr>
              <w:snapToGrid w:val="0"/>
              <w:spacing w:line="360" w:lineRule="auto"/>
              <w:ind w:firstLine="480"/>
              <w:jc w:val="center"/>
              <w:rPr>
                <w:rFonts w:ascii="仿宋_GB2312" w:hAnsi="仿宋_GB2312" w:eastAsia="仿宋_GB2312" w:cs="仿宋_GB2312"/>
                <w:sz w:val="24"/>
              </w:rPr>
            </w:pPr>
          </w:p>
        </w:tc>
        <w:tc>
          <w:tcPr>
            <w:tcW w:w="851" w:type="dxa"/>
            <w:tcBorders>
              <w:top w:val="single" w:color="auto" w:sz="4" w:space="0"/>
              <w:left w:val="nil"/>
              <w:bottom w:val="single" w:color="auto" w:sz="4" w:space="0"/>
              <w:right w:val="single" w:color="auto" w:sz="4" w:space="0"/>
            </w:tcBorders>
          </w:tcPr>
          <w:p>
            <w:pPr>
              <w:snapToGrid w:val="0"/>
              <w:spacing w:line="360" w:lineRule="auto"/>
              <w:ind w:firstLine="480"/>
              <w:jc w:val="center"/>
              <w:rPr>
                <w:rFonts w:ascii="仿宋_GB2312" w:hAnsi="仿宋_GB2312" w:eastAsia="仿宋_GB2312" w:cs="仿宋_GB2312"/>
                <w:sz w:val="24"/>
              </w:rPr>
            </w:pPr>
          </w:p>
        </w:tc>
        <w:tc>
          <w:tcPr>
            <w:tcW w:w="1275"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142"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65" w:hRule="atLeast"/>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jc w:val="center"/>
              <w:rPr>
                <w:sz w:val="24"/>
              </w:rPr>
            </w:pPr>
            <w:r>
              <w:rPr>
                <w:sz w:val="24"/>
              </w:rPr>
              <w:t>2</w:t>
            </w:r>
          </w:p>
        </w:tc>
        <w:tc>
          <w:tcPr>
            <w:tcW w:w="1374"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200"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200"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329" w:type="dxa"/>
            <w:tcBorders>
              <w:top w:val="single" w:color="auto" w:sz="4" w:space="0"/>
              <w:left w:val="nil"/>
              <w:bottom w:val="single" w:color="auto" w:sz="4" w:space="0"/>
              <w:right w:val="single" w:color="auto" w:sz="4" w:space="0"/>
            </w:tcBorders>
          </w:tcPr>
          <w:p>
            <w:pPr>
              <w:snapToGrid w:val="0"/>
              <w:spacing w:line="360" w:lineRule="auto"/>
              <w:ind w:firstLine="480"/>
              <w:jc w:val="center"/>
              <w:rPr>
                <w:rFonts w:ascii="仿宋_GB2312" w:hAnsi="仿宋_GB2312" w:eastAsia="仿宋_GB2312" w:cs="仿宋_GB2312"/>
                <w:sz w:val="24"/>
              </w:rPr>
            </w:pPr>
          </w:p>
        </w:tc>
        <w:tc>
          <w:tcPr>
            <w:tcW w:w="851" w:type="dxa"/>
            <w:tcBorders>
              <w:top w:val="single" w:color="auto" w:sz="4" w:space="0"/>
              <w:left w:val="nil"/>
              <w:bottom w:val="single" w:color="auto" w:sz="4" w:space="0"/>
              <w:right w:val="single" w:color="auto" w:sz="4" w:space="0"/>
            </w:tcBorders>
          </w:tcPr>
          <w:p>
            <w:pPr>
              <w:snapToGrid w:val="0"/>
              <w:spacing w:line="360" w:lineRule="auto"/>
              <w:ind w:firstLine="480"/>
              <w:jc w:val="center"/>
              <w:rPr>
                <w:rFonts w:ascii="仿宋_GB2312" w:hAnsi="仿宋_GB2312" w:eastAsia="仿宋_GB2312" w:cs="仿宋_GB2312"/>
                <w:sz w:val="24"/>
              </w:rPr>
            </w:pPr>
          </w:p>
        </w:tc>
        <w:tc>
          <w:tcPr>
            <w:tcW w:w="1275"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142"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65" w:hRule="atLeast"/>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jc w:val="center"/>
              <w:rPr>
                <w:sz w:val="24"/>
              </w:rPr>
            </w:pPr>
            <w:r>
              <w:rPr>
                <w:sz w:val="24"/>
              </w:rPr>
              <w:t>3</w:t>
            </w:r>
          </w:p>
        </w:tc>
        <w:tc>
          <w:tcPr>
            <w:tcW w:w="1374"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200"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200"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329" w:type="dxa"/>
            <w:tcBorders>
              <w:top w:val="single" w:color="auto" w:sz="4" w:space="0"/>
              <w:left w:val="nil"/>
              <w:bottom w:val="single" w:color="auto" w:sz="4" w:space="0"/>
              <w:right w:val="single" w:color="auto" w:sz="4" w:space="0"/>
            </w:tcBorders>
          </w:tcPr>
          <w:p>
            <w:pPr>
              <w:snapToGrid w:val="0"/>
              <w:spacing w:line="360" w:lineRule="auto"/>
              <w:ind w:firstLine="480"/>
              <w:jc w:val="center"/>
              <w:rPr>
                <w:rFonts w:ascii="仿宋_GB2312" w:hAnsi="仿宋_GB2312" w:eastAsia="仿宋_GB2312" w:cs="仿宋_GB2312"/>
                <w:sz w:val="24"/>
              </w:rPr>
            </w:pPr>
          </w:p>
        </w:tc>
        <w:tc>
          <w:tcPr>
            <w:tcW w:w="851" w:type="dxa"/>
            <w:tcBorders>
              <w:top w:val="single" w:color="auto" w:sz="4" w:space="0"/>
              <w:left w:val="nil"/>
              <w:bottom w:val="single" w:color="auto" w:sz="4" w:space="0"/>
              <w:right w:val="single" w:color="auto" w:sz="4" w:space="0"/>
            </w:tcBorders>
          </w:tcPr>
          <w:p>
            <w:pPr>
              <w:snapToGrid w:val="0"/>
              <w:spacing w:line="360" w:lineRule="auto"/>
              <w:ind w:firstLine="480"/>
              <w:jc w:val="center"/>
              <w:rPr>
                <w:rFonts w:ascii="仿宋_GB2312" w:hAnsi="仿宋_GB2312" w:eastAsia="仿宋_GB2312" w:cs="仿宋_GB2312"/>
                <w:sz w:val="24"/>
              </w:rPr>
            </w:pPr>
          </w:p>
        </w:tc>
        <w:tc>
          <w:tcPr>
            <w:tcW w:w="1275"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142"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65" w:hRule="atLeast"/>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jc w:val="center"/>
              <w:rPr>
                <w:sz w:val="24"/>
              </w:rPr>
            </w:pPr>
            <w:r>
              <w:rPr>
                <w:rFonts w:hint="eastAsia"/>
                <w:sz w:val="24"/>
              </w:rPr>
              <w:t>4</w:t>
            </w:r>
          </w:p>
        </w:tc>
        <w:tc>
          <w:tcPr>
            <w:tcW w:w="1374"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200"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200"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329" w:type="dxa"/>
            <w:tcBorders>
              <w:top w:val="single" w:color="auto" w:sz="4" w:space="0"/>
              <w:left w:val="nil"/>
              <w:bottom w:val="single" w:color="auto" w:sz="4" w:space="0"/>
              <w:right w:val="single" w:color="auto" w:sz="4" w:space="0"/>
            </w:tcBorders>
          </w:tcPr>
          <w:p>
            <w:pPr>
              <w:snapToGrid w:val="0"/>
              <w:spacing w:line="360" w:lineRule="auto"/>
              <w:ind w:firstLine="480"/>
              <w:jc w:val="center"/>
              <w:rPr>
                <w:rFonts w:ascii="仿宋_GB2312" w:hAnsi="仿宋_GB2312" w:eastAsia="仿宋_GB2312" w:cs="仿宋_GB2312"/>
                <w:sz w:val="24"/>
              </w:rPr>
            </w:pPr>
          </w:p>
        </w:tc>
        <w:tc>
          <w:tcPr>
            <w:tcW w:w="851" w:type="dxa"/>
            <w:tcBorders>
              <w:top w:val="single" w:color="auto" w:sz="4" w:space="0"/>
              <w:left w:val="nil"/>
              <w:bottom w:val="single" w:color="auto" w:sz="4" w:space="0"/>
              <w:right w:val="single" w:color="auto" w:sz="4" w:space="0"/>
            </w:tcBorders>
          </w:tcPr>
          <w:p>
            <w:pPr>
              <w:snapToGrid w:val="0"/>
              <w:spacing w:line="360" w:lineRule="auto"/>
              <w:ind w:firstLine="480"/>
              <w:jc w:val="center"/>
              <w:rPr>
                <w:rFonts w:ascii="仿宋_GB2312" w:hAnsi="仿宋_GB2312" w:eastAsia="仿宋_GB2312" w:cs="仿宋_GB2312"/>
                <w:sz w:val="24"/>
              </w:rPr>
            </w:pPr>
          </w:p>
        </w:tc>
        <w:tc>
          <w:tcPr>
            <w:tcW w:w="1275"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c>
          <w:tcPr>
            <w:tcW w:w="1142" w:type="dxa"/>
            <w:tcBorders>
              <w:top w:val="single" w:color="auto" w:sz="4" w:space="0"/>
              <w:left w:val="nil"/>
              <w:bottom w:val="single" w:color="auto" w:sz="4" w:space="0"/>
              <w:right w:val="single" w:color="auto" w:sz="4" w:space="0"/>
            </w:tcBorders>
            <w:vAlign w:val="center"/>
          </w:tcPr>
          <w:p>
            <w:pPr>
              <w:snapToGrid w:val="0"/>
              <w:spacing w:line="360" w:lineRule="auto"/>
              <w:ind w:firstLine="48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65" w:hRule="atLeast"/>
        </w:trPr>
        <w:tc>
          <w:tcPr>
            <w:tcW w:w="9080" w:type="dxa"/>
            <w:gridSpan w:val="8"/>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rPr>
                <w:sz w:val="24"/>
              </w:rPr>
            </w:pPr>
            <w:r>
              <w:rPr>
                <w:rFonts w:ascii="黑体" w:hAnsi="黑体" w:eastAsia="黑体"/>
                <w:sz w:val="24"/>
              </w:rPr>
              <w:t>合</w:t>
            </w:r>
            <w:r>
              <w:rPr>
                <w:rFonts w:hint="eastAsia" w:ascii="黑体" w:hAnsi="黑体" w:eastAsia="黑体"/>
                <w:sz w:val="24"/>
              </w:rPr>
              <w:t>同总</w:t>
            </w:r>
            <w:r>
              <w:rPr>
                <w:rFonts w:ascii="黑体" w:hAnsi="黑体" w:eastAsia="黑体"/>
                <w:sz w:val="24"/>
              </w:rPr>
              <w:t>额</w:t>
            </w:r>
            <w:r>
              <w:rPr>
                <w:rFonts w:hint="eastAsia" w:ascii="黑体" w:hAnsi="黑体" w:eastAsia="黑体"/>
                <w:sz w:val="24"/>
              </w:rPr>
              <w:t>：</w:t>
            </w:r>
            <w:r>
              <w:rPr>
                <w:rFonts w:ascii="黑体" w:hAnsi="黑体" w:eastAsia="黑体"/>
                <w:sz w:val="24"/>
              </w:rPr>
              <w:t>（大写）</w:t>
            </w:r>
            <w:r>
              <w:rPr>
                <w:rFonts w:hint="eastAsia" w:ascii="黑体" w:hAnsi="黑体" w:eastAsia="黑体"/>
                <w:sz w:val="24"/>
              </w:rPr>
              <w:t>人民币</w:t>
            </w:r>
            <w:r>
              <w:rPr>
                <w:rFonts w:hint="eastAsia"/>
                <w:sz w:val="24"/>
              </w:rPr>
              <w:t xml:space="preserve">                        </w:t>
            </w:r>
            <w:r>
              <w:rPr>
                <w:rFonts w:ascii="黑体" w:hAnsi="黑体" w:eastAsia="黑体"/>
                <w:sz w:val="24"/>
              </w:rPr>
              <w:t>（小写）</w:t>
            </w:r>
            <w:r>
              <w:rPr>
                <w:rFonts w:hint="eastAsia" w:ascii="宋体" w:hAnsi="宋体" w:cs="宋体"/>
                <w:sz w:val="24"/>
              </w:rPr>
              <w:t>¥</w:t>
            </w:r>
            <w:r>
              <w:rPr>
                <w:rFonts w:ascii="黑体" w:hAnsi="黑体" w:eastAsia="黑体"/>
                <w:sz w:val="24"/>
              </w:rPr>
              <w:t xml:space="preserve"> </w:t>
            </w:r>
            <w:r>
              <w:rPr>
                <w:sz w:val="24"/>
              </w:rPr>
              <w:t xml:space="preserve">                </w:t>
            </w:r>
          </w:p>
        </w:tc>
      </w:tr>
    </w:tbl>
    <w:p>
      <w:pPr>
        <w:spacing w:before="156" w:beforeLines="50" w:after="156" w:afterLines="50" w:line="360" w:lineRule="auto"/>
        <w:ind w:left="567"/>
        <w:jc w:val="left"/>
        <w:rPr>
          <w:rFonts w:ascii="黑体" w:hAnsi="黑体" w:eastAsia="黑体"/>
          <w:sz w:val="28"/>
          <w:szCs w:val="28"/>
        </w:rPr>
      </w:pPr>
      <w:r>
        <w:rPr>
          <w:rFonts w:hint="eastAsia" w:ascii="黑体" w:hAnsi="黑体" w:eastAsia="黑体"/>
          <w:sz w:val="28"/>
          <w:szCs w:val="28"/>
        </w:rPr>
        <w:t>第二条  履行期限</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乙方应于本合同签订之日起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日内将符合要求的产品向甲方交付（含安装调试），但乙方交付前应先书面通知甲方并征得甲方同意。</w:t>
      </w:r>
    </w:p>
    <w:p>
      <w:pPr>
        <w:spacing w:before="156" w:beforeLines="50" w:after="156" w:afterLines="50" w:line="360" w:lineRule="auto"/>
        <w:ind w:firstLine="560" w:firstLineChars="200"/>
        <w:jc w:val="left"/>
        <w:rPr>
          <w:rFonts w:ascii="黑体" w:hAnsi="黑体" w:eastAsia="黑体"/>
          <w:sz w:val="28"/>
          <w:szCs w:val="28"/>
        </w:rPr>
      </w:pPr>
      <w:r>
        <w:rPr>
          <w:rFonts w:hint="eastAsia" w:ascii="黑体" w:hAnsi="黑体" w:eastAsia="黑体"/>
          <w:sz w:val="28"/>
          <w:szCs w:val="28"/>
        </w:rPr>
        <w:t>第三条  费用及支付方式</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条有关甲方的付款义务均适用以下条款：甲方依照规定办理了财政支付申报手续，即履行了合同约定的付款义务，乙方对此知悉并同意。因财政审批、政策规定等原因或乙方原因导致甲方付款延迟的，不视为甲方逾期，甲方不因此承担违约责任。</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（一）本合同货款总额为人民币</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元整（小写：</w:t>
      </w:r>
      <w:r>
        <w:rPr>
          <w:rFonts w:hint="eastAsia" w:ascii="仿宋_GB2312" w:hAnsi="仿宋_GB2312" w:eastAsia="仿宋_GB2312" w:cs="仿宋_GB2312"/>
          <w:sz w:val="30"/>
          <w:szCs w:val="30"/>
        </w:rPr>
        <w:t>¥</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），该费用包含但不限于因本合同履行而产生的税费、产品价款、运输费、安装调试费、包装费、人工费、操作培训费以及合理的利润等全部费用。除经协商一致变更本合同外，甲方无需再向乙方支付任何款项。</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（二）经协商，双方约定选择以下</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方式向乙方支付货款：</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1.分期付款：</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第一期：本合同经双方签订生效且甲方收到乙方的发票后</w:t>
      </w:r>
      <w:r>
        <w:rPr>
          <w:rFonts w:hint="eastAsia" w:ascii="仿宋_GB2312" w:hAnsi="仿宋_GB2312" w:eastAsia="仿宋_GB2312" w:cs="仿宋_GB2312"/>
          <w:sz w:val="28"/>
          <w:szCs w:val="28"/>
          <w:u w:val="single"/>
        </w:rPr>
        <w:t xml:space="preserve"> 15</w:t>
      </w:r>
      <w:r>
        <w:rPr>
          <w:rFonts w:hint="eastAsia" w:ascii="仿宋_GB2312" w:hAnsi="仿宋_GB2312" w:eastAsia="仿宋_GB2312" w:cs="仿宋_GB2312"/>
          <w:sz w:val="28"/>
          <w:szCs w:val="28"/>
        </w:rPr>
        <w:t>日内，甲方向乙方支付合同总额的</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%，即人民币</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元整（小写：</w:t>
      </w:r>
      <w:r>
        <w:rPr>
          <w:rFonts w:hint="eastAsia" w:ascii="仿宋_GB2312" w:hAnsi="仿宋_GB2312" w:eastAsia="仿宋_GB2312" w:cs="仿宋_GB2312"/>
          <w:sz w:val="30"/>
          <w:szCs w:val="30"/>
        </w:rPr>
        <w:t>¥</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第二期：符合约定的产品全部交付并经甲方验收合格且甲方收到乙方的发票后</w:t>
      </w:r>
      <w:r>
        <w:rPr>
          <w:rFonts w:hint="eastAsia" w:ascii="仿宋_GB2312" w:hAnsi="仿宋_GB2312" w:eastAsia="仿宋_GB2312" w:cs="仿宋_GB2312"/>
          <w:sz w:val="28"/>
          <w:szCs w:val="28"/>
          <w:u w:val="single"/>
        </w:rPr>
        <w:t xml:space="preserve"> 15 </w:t>
      </w:r>
      <w:r>
        <w:rPr>
          <w:rFonts w:hint="eastAsia" w:ascii="仿宋_GB2312" w:hAnsi="仿宋_GB2312" w:eastAsia="仿宋_GB2312" w:cs="仿宋_GB2312"/>
          <w:sz w:val="28"/>
          <w:szCs w:val="28"/>
        </w:rPr>
        <w:t>日内，甲方向乙方支付合同总额的</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%，即人民币</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元整（小写：</w:t>
      </w:r>
      <w:r>
        <w:rPr>
          <w:rFonts w:hint="eastAsia" w:ascii="仿宋_GB2312" w:hAnsi="仿宋_GB2312" w:eastAsia="仿宋_GB2312" w:cs="仿宋_GB2312"/>
          <w:sz w:val="30"/>
          <w:szCs w:val="30"/>
        </w:rPr>
        <w:t>¥</w:t>
      </w:r>
      <w:r>
        <w:rPr>
          <w:rFonts w:hint="eastAsia" w:ascii="仿宋_GB2312" w:hAnsi="仿宋_GB2312" w:eastAsia="仿宋_GB2312" w:cs="仿宋_GB2312"/>
          <w:sz w:val="28"/>
          <w:szCs w:val="28"/>
          <w:u w:val="single"/>
        </w:rPr>
        <w:t xml:space="preserve">       ）。</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2.一次性付款：符合约定的产品全部交付并经甲方验收合格且甲方收到乙方的发票后</w:t>
      </w:r>
      <w:r>
        <w:rPr>
          <w:rFonts w:hint="eastAsia" w:ascii="仿宋_GB2312" w:hAnsi="仿宋_GB2312" w:eastAsia="仿宋_GB2312" w:cs="仿宋_GB2312"/>
          <w:sz w:val="28"/>
          <w:szCs w:val="28"/>
          <w:u w:val="single"/>
        </w:rPr>
        <w:t xml:space="preserve"> 15 </w:t>
      </w:r>
      <w:r>
        <w:rPr>
          <w:rFonts w:hint="eastAsia" w:ascii="仿宋_GB2312" w:hAnsi="仿宋_GB2312" w:eastAsia="仿宋_GB2312" w:cs="仿宋_GB2312"/>
          <w:sz w:val="28"/>
          <w:szCs w:val="28"/>
        </w:rPr>
        <w:t>日内，甲方向乙方一次性支付合同款项人民币</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元整（小写：</w:t>
      </w:r>
      <w:r>
        <w:rPr>
          <w:rFonts w:hint="eastAsia" w:ascii="仿宋_GB2312" w:hAnsi="仿宋_GB2312" w:eastAsia="仿宋_GB2312" w:cs="仿宋_GB2312"/>
          <w:sz w:val="30"/>
          <w:szCs w:val="30"/>
        </w:rPr>
        <w:t>¥</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w:t>
      </w:r>
    </w:p>
    <w:p>
      <w:pPr>
        <w:spacing w:line="360" w:lineRule="auto"/>
        <w:ind w:firstLine="560" w:firstLineChars="200"/>
        <w:jc w:val="lef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3.其他付款方式：</w:t>
      </w:r>
      <w:r>
        <w:rPr>
          <w:rFonts w:hint="eastAsia" w:ascii="仿宋_GB2312" w:hAnsi="仿宋_GB2312" w:eastAsia="仿宋_GB2312" w:cs="仿宋_GB2312"/>
          <w:sz w:val="28"/>
          <w:szCs w:val="28"/>
          <w:u w:val="single"/>
        </w:rPr>
        <w:t xml:space="preserve">                                      </w:t>
      </w:r>
    </w:p>
    <w:p>
      <w:pPr>
        <w:spacing w:line="360" w:lineRule="auto"/>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（三）</w:t>
      </w:r>
      <w:r>
        <w:rPr>
          <w:rFonts w:hint="eastAsia" w:ascii="仿宋_GB2312" w:hAnsi="仿宋_GB2312" w:eastAsia="仿宋_GB2312" w:cs="仿宋_GB2312"/>
          <w:sz w:val="28"/>
          <w:szCs w:val="28"/>
        </w:rPr>
        <w:t>乙方应及时向甲方出具符合规定的发票。如因乙方提供的发票不符合甲方要求的，甲方有权迟延支付。</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（四</w:t>
      </w:r>
      <w:r>
        <w:rPr>
          <w:rFonts w:hint="eastAsia" w:ascii="仿宋_GB2312" w:hAnsi="仿宋_GB2312" w:eastAsia="仿宋_GB2312" w:cs="仿宋_GB2312"/>
          <w:bCs/>
          <w:sz w:val="28"/>
          <w:szCs w:val="28"/>
        </w:rPr>
        <w:t>）</w:t>
      </w:r>
      <w:r>
        <w:rPr>
          <w:rFonts w:hint="eastAsia" w:ascii="仿宋_GB2312" w:hAnsi="仿宋_GB2312" w:eastAsia="仿宋_GB2312" w:cs="仿宋_GB2312"/>
          <w:sz w:val="28"/>
          <w:szCs w:val="28"/>
        </w:rPr>
        <w:t>乙方指定银行账户信息如下：</w:t>
      </w:r>
    </w:p>
    <w:p>
      <w:pPr>
        <w:spacing w:line="360" w:lineRule="auto"/>
        <w:ind w:firstLine="560" w:firstLineChars="200"/>
        <w:jc w:val="lef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开户单位：</w:t>
      </w:r>
      <w:r>
        <w:rPr>
          <w:rFonts w:hint="eastAsia" w:ascii="仿宋_GB2312" w:hAnsi="仿宋_GB2312" w:eastAsia="仿宋_GB2312" w:cs="仿宋_GB2312"/>
          <w:sz w:val="28"/>
          <w:szCs w:val="28"/>
          <w:u w:val="single"/>
        </w:rPr>
        <w:t xml:space="preserve">                       </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账号：</w:t>
      </w:r>
      <w:r>
        <w:rPr>
          <w:rFonts w:hint="eastAsia" w:ascii="仿宋_GB2312" w:hAnsi="仿宋_GB2312" w:eastAsia="仿宋_GB2312" w:cs="仿宋_GB2312"/>
          <w:sz w:val="28"/>
          <w:szCs w:val="28"/>
          <w:u w:val="single"/>
        </w:rPr>
        <w:t xml:space="preserve">                           </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开户行：</w:t>
      </w:r>
      <w:r>
        <w:rPr>
          <w:rFonts w:hint="eastAsia" w:ascii="仿宋_GB2312" w:hAnsi="仿宋_GB2312" w:eastAsia="仿宋_GB2312" w:cs="仿宋_GB2312"/>
          <w:sz w:val="28"/>
          <w:szCs w:val="28"/>
          <w:u w:val="single"/>
        </w:rPr>
        <w:t xml:space="preserve">                         </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纳税识别号：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i/>
          <w:color w:val="FF0000"/>
          <w:sz w:val="28"/>
          <w:szCs w:val="28"/>
        </w:rPr>
        <w:t>（或统一社会信用代码）</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若上述银行账号信息发生变更，乙方应在变更之日起7日内书面通知甲方，否则甲方按原账户信息付款的，视为乙方已收到相应支付款项，由此造成的损失由乙方自行承担。</w:t>
      </w:r>
    </w:p>
    <w:p>
      <w:pPr>
        <w:spacing w:before="156" w:beforeLines="50" w:after="156" w:afterLines="50" w:line="360" w:lineRule="auto"/>
        <w:ind w:left="567"/>
        <w:jc w:val="left"/>
        <w:rPr>
          <w:rFonts w:ascii="黑体" w:hAnsi="黑体" w:eastAsia="黑体"/>
          <w:sz w:val="28"/>
          <w:szCs w:val="28"/>
        </w:rPr>
      </w:pPr>
      <w:r>
        <w:rPr>
          <w:rFonts w:hint="eastAsia" w:ascii="黑体" w:hAnsi="黑体" w:eastAsia="黑体"/>
          <w:sz w:val="28"/>
          <w:szCs w:val="28"/>
        </w:rPr>
        <w:t>第四条  履行地点</w:t>
      </w:r>
    </w:p>
    <w:p>
      <w:pPr>
        <w:snapToGrid w:val="0"/>
        <w:spacing w:line="360" w:lineRule="auto"/>
        <w:ind w:right="-58"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乙方应将产品交付至：</w:t>
      </w:r>
    </w:p>
    <w:p>
      <w:pPr>
        <w:snapToGrid w:val="0"/>
        <w:spacing w:line="360" w:lineRule="auto"/>
        <w:ind w:right="-58"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□A.广东省深圳市龙岗区龙岗街道五联社区将军帽路一号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室；</w:t>
      </w:r>
    </w:p>
    <w:p>
      <w:pPr>
        <w:snapToGrid w:val="0"/>
        <w:spacing w:line="360" w:lineRule="auto"/>
        <w:ind w:right="-58"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。甲方另行指定交付地点的，应提前通知乙方。</w:t>
      </w:r>
    </w:p>
    <w:p>
      <w:pPr>
        <w:spacing w:before="156" w:beforeLines="50" w:after="156" w:afterLines="50" w:line="360" w:lineRule="auto"/>
        <w:ind w:left="567"/>
        <w:jc w:val="left"/>
        <w:rPr>
          <w:rFonts w:ascii="黑体" w:hAnsi="黑体" w:eastAsia="黑体"/>
          <w:sz w:val="28"/>
          <w:szCs w:val="28"/>
        </w:rPr>
      </w:pPr>
      <w:r>
        <w:rPr>
          <w:rFonts w:hint="eastAsia" w:ascii="黑体" w:hAnsi="黑体" w:eastAsia="黑体"/>
          <w:bCs/>
          <w:sz w:val="28"/>
          <w:szCs w:val="28"/>
        </w:rPr>
        <w:t>第五条  质量担保</w:t>
      </w:r>
    </w:p>
    <w:p>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乙方所提供产品的名称、商标品牌、规格型号、技术参数、生产厂家、材质、数量、单价等必须符合采购文件的需求内容。产品材质的质量应当符合国家、行业的技术标准，环保指标应当符合国家强制性要求及深圳经济特区相关技术规范要求。否则，甲方有权拒绝接收或者退回产品。</w:t>
      </w:r>
    </w:p>
    <w:p>
      <w:pPr>
        <w:snapToGrid w:val="0"/>
        <w:spacing w:line="360" w:lineRule="auto"/>
        <w:ind w:firstLine="560" w:firstLineChars="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二）乙方所提供的产品必须是全新、未使用、包装完好的原装产品，通过货物制造厂商的出厂检验，且在正常安装、使用和保养条件下，其使用寿命期内各项指标均达到采购文件的质量要求。否则，甲方有权拒绝接收或者退回产品。</w:t>
      </w:r>
    </w:p>
    <w:p>
      <w:pPr>
        <w:spacing w:before="156" w:beforeLines="50" w:after="156" w:afterLines="50" w:line="360" w:lineRule="auto"/>
        <w:ind w:left="567"/>
        <w:jc w:val="left"/>
        <w:rPr>
          <w:rFonts w:ascii="黑体" w:hAnsi="黑体" w:eastAsia="黑体"/>
          <w:sz w:val="28"/>
          <w:szCs w:val="28"/>
        </w:rPr>
      </w:pPr>
      <w:r>
        <w:rPr>
          <w:rFonts w:hint="eastAsia" w:ascii="黑体" w:hAnsi="黑体" w:eastAsia="黑体"/>
          <w:bCs/>
          <w:sz w:val="28"/>
          <w:szCs w:val="28"/>
        </w:rPr>
        <w:t xml:space="preserve">第六条  </w:t>
      </w:r>
      <w:r>
        <w:rPr>
          <w:rFonts w:ascii="黑体" w:hAnsi="黑体" w:eastAsia="黑体"/>
          <w:bCs/>
          <w:sz w:val="28"/>
          <w:szCs w:val="28"/>
        </w:rPr>
        <w:t>验收</w:t>
      </w:r>
    </w:p>
    <w:p>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（一）乙方交付货物时应将所提供产品的装箱清单、出厂合格证明、原厂保修卡、用户手册或说明书、工具和备品、备件等一并交付给甲方。</w:t>
      </w:r>
    </w:p>
    <w:p>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（二）乙方应在到货（安装、调试完）后</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日内向甲方发出验收申请。甲方应当在收到验收申请后 7 日内组织验收，验收合格的，由甲方向乙方签署货物验收单，验收单应包括每一项服务、技术、安全标准的履约情况。需要安装调试的，安装调试完毕验收合格后才视为最终验收合格和满足付款条件。</w:t>
      </w:r>
    </w:p>
    <w:p>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（三）甲方委托第三方进行验收的，以第三方出具的验收报告为验收结果。</w:t>
      </w:r>
    </w:p>
    <w:p>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（四）即使验收通过，在后续合理期限内如果甲方发现乙方交付的成果存在质量问题，甲方有权要求乙方无偿返工、整改，并承担相应的违约责任及赔偿责任。</w:t>
      </w:r>
    </w:p>
    <w:p>
      <w:pPr>
        <w:spacing w:before="156" w:beforeLines="50" w:after="156" w:afterLines="50" w:line="360" w:lineRule="auto"/>
        <w:ind w:left="567"/>
        <w:jc w:val="left"/>
        <w:rPr>
          <w:rFonts w:ascii="黑体" w:hAnsi="黑体" w:eastAsia="黑体"/>
          <w:sz w:val="28"/>
          <w:szCs w:val="28"/>
        </w:rPr>
      </w:pPr>
      <w:r>
        <w:rPr>
          <w:rFonts w:hint="eastAsia" w:ascii="黑体" w:hAnsi="黑体" w:eastAsia="黑体"/>
          <w:sz w:val="28"/>
          <w:szCs w:val="28"/>
        </w:rPr>
        <w:t>第七条  所有权及风险转移</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产品的所有权和灭失的风险自乙方将产品交付给甲方并经甲方验收合格后转移。 </w:t>
      </w:r>
    </w:p>
    <w:p>
      <w:pPr>
        <w:spacing w:before="156" w:beforeLines="50" w:after="156" w:afterLines="50" w:line="360" w:lineRule="auto"/>
        <w:ind w:left="567"/>
        <w:jc w:val="left"/>
        <w:rPr>
          <w:rFonts w:ascii="黑体" w:hAnsi="黑体" w:eastAsia="黑体"/>
          <w:bCs/>
          <w:sz w:val="28"/>
          <w:szCs w:val="28"/>
        </w:rPr>
      </w:pPr>
      <w:r>
        <w:rPr>
          <w:rFonts w:hint="eastAsia" w:ascii="黑体" w:hAnsi="黑体" w:eastAsia="黑体"/>
          <w:bCs/>
          <w:sz w:val="28"/>
          <w:szCs w:val="28"/>
        </w:rPr>
        <w:t xml:space="preserve">第八条  </w:t>
      </w:r>
      <w:r>
        <w:rPr>
          <w:rFonts w:ascii="黑体" w:hAnsi="黑体" w:eastAsia="黑体"/>
          <w:bCs/>
          <w:sz w:val="28"/>
          <w:szCs w:val="28"/>
        </w:rPr>
        <w:t>安装</w:t>
      </w:r>
      <w:r>
        <w:rPr>
          <w:rFonts w:hint="eastAsia" w:ascii="黑体" w:hAnsi="黑体" w:eastAsia="黑体"/>
          <w:bCs/>
          <w:sz w:val="28"/>
          <w:szCs w:val="28"/>
        </w:rPr>
        <w:t>调试</w:t>
      </w:r>
      <w:r>
        <w:rPr>
          <w:rFonts w:ascii="黑体" w:hAnsi="黑体" w:eastAsia="黑体"/>
          <w:bCs/>
          <w:sz w:val="28"/>
          <w:szCs w:val="28"/>
        </w:rPr>
        <w:t>和培训</w:t>
      </w:r>
    </w:p>
    <w:p>
      <w:pPr>
        <w:spacing w:before="156" w:beforeLines="50" w:after="156" w:afterLines="50" w:line="360" w:lineRule="auto"/>
        <w:ind w:left="567"/>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本合同产品：□A.不需要安装调试；□B.需要安装调试；</w:t>
      </w:r>
    </w:p>
    <w:p>
      <w:pPr>
        <w:spacing w:before="156" w:beforeLines="50" w:after="156" w:afterLines="50" w:line="360" w:lineRule="auto"/>
        <w:ind w:left="567" w:firstLine="1680" w:firstLineChars="6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□C.部分需要安装调试。</w:t>
      </w:r>
    </w:p>
    <w:p>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（一）产品需要安装调试的，乙方应履行安装调试义务，保证安装调试后的产品正常运转，</w:t>
      </w:r>
      <w:r>
        <w:rPr>
          <w:rFonts w:hint="eastAsia" w:ascii="仿宋_GB2312" w:hAnsi="仿宋_GB2312" w:eastAsia="仿宋_GB2312" w:cs="仿宋_GB2312"/>
          <w:bCs/>
          <w:sz w:val="28"/>
          <w:szCs w:val="28"/>
        </w:rPr>
        <w:t>发挥整个设备、设施以及系统的功能，</w:t>
      </w:r>
      <w:r>
        <w:rPr>
          <w:rFonts w:hint="eastAsia" w:ascii="仿宋_GB2312" w:hAnsi="仿宋_GB2312" w:eastAsia="仿宋_GB2312" w:cs="仿宋_GB2312"/>
          <w:sz w:val="28"/>
          <w:szCs w:val="28"/>
        </w:rPr>
        <w:t>并保证在安装调试中不得损坏产品。除获得甲方同意外，不得影响甲方正常的工作秩序。</w:t>
      </w:r>
    </w:p>
    <w:p>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（二）乙方应保证从事安装调试的工作人员具有相应的资格资质，并对该工作人员在工作中的人身损害以及对甲方和第三人造成的人身和财产损害承担赔偿责任。</w:t>
      </w:r>
    </w:p>
    <w:p>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（三）乙方应在到货（安装、调试完）后</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日免费为甲方工作人员提供</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次的操作培训，确保有关人员能熟练操作。乙方应在交付产品时一并提交书面的培训方案（方案内容包括但不限于培训时间、培训内容、培训师、场地需求等），甲方有权提出意见并要求乙方修改。</w:t>
      </w:r>
    </w:p>
    <w:p>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（四）甲方应为乙方提供必要的场地、水源和电源等安装条件。</w:t>
      </w:r>
    </w:p>
    <w:p>
      <w:pPr>
        <w:spacing w:before="156" w:beforeLines="50" w:after="156" w:afterLines="50" w:line="360" w:lineRule="auto"/>
        <w:ind w:left="567"/>
        <w:jc w:val="left"/>
        <w:rPr>
          <w:rFonts w:ascii="黑体" w:hAnsi="黑体" w:eastAsia="黑体"/>
          <w:bCs/>
          <w:sz w:val="28"/>
          <w:szCs w:val="28"/>
        </w:rPr>
      </w:pPr>
      <w:r>
        <w:rPr>
          <w:rFonts w:hint="eastAsia" w:ascii="黑体" w:hAnsi="黑体" w:eastAsia="黑体"/>
          <w:bCs/>
          <w:sz w:val="28"/>
          <w:szCs w:val="28"/>
        </w:rPr>
        <w:t>第九条 知识产权</w:t>
      </w:r>
    </w:p>
    <w:p>
      <w:pPr>
        <w:spacing w:line="360" w:lineRule="auto"/>
        <w:ind w:firstLine="560" w:firstLineChars="200"/>
        <w:jc w:val="lef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（一）乙方提供的产品需要使用第三方知识产权的，应取得权利人的许可或者授权并承担费用。</w:t>
      </w:r>
    </w:p>
    <w:p>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bCs/>
          <w:sz w:val="28"/>
          <w:szCs w:val="28"/>
        </w:rPr>
        <w:t>（二）乙方保证提供的产品不存在侵犯第三方合法权益（包括但不限于著作权、商标权、专利权等知识产权和物权等）的情形。如果任何第三方提出侵权指控，乙方须与该第三方交涉并承担由此发生的一切责任、费用和赔偿。</w:t>
      </w:r>
    </w:p>
    <w:p>
      <w:pPr>
        <w:spacing w:before="156" w:beforeLines="50" w:after="156" w:afterLines="50" w:line="360" w:lineRule="auto"/>
        <w:ind w:left="567"/>
        <w:jc w:val="left"/>
        <w:rPr>
          <w:rFonts w:ascii="黑体" w:hAnsi="黑体" w:eastAsia="黑体"/>
          <w:bCs/>
          <w:sz w:val="28"/>
          <w:szCs w:val="28"/>
        </w:rPr>
      </w:pPr>
      <w:r>
        <w:rPr>
          <w:rFonts w:hint="eastAsia" w:ascii="黑体" w:hAnsi="黑体" w:eastAsia="黑体"/>
          <w:bCs/>
          <w:sz w:val="28"/>
          <w:szCs w:val="28"/>
        </w:rPr>
        <w:t>第十条  保密条款</w:t>
      </w:r>
    </w:p>
    <w:p>
      <w:pPr>
        <w:spacing w:line="360" w:lineRule="auto"/>
        <w:ind w:firstLine="560" w:firstLineChars="200"/>
        <w:jc w:val="lef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一）本合同所称“保密信息”，系指履行本合同时所产生的工作秘密信息，具体包括：1.甲方以口头、书面、电子文本或其他形式向乙方提供的项目资料、信息，包括但不限于：项目资料、项目基本信息、人员信息、财务信息，单位信息等；2.项目实施过程中产生的过程性资料、信息；3.项目成果资料、信息；4.与项目有关的其他信息。涉及国家秘密的资料和信息，其获取、传递、使用、复制、保存和销毁等还须遵照《中华人民共和国保守国家秘密法》等法律法规以及甲方有关保密管理规定。</w:t>
      </w:r>
    </w:p>
    <w:p>
      <w:pPr>
        <w:spacing w:line="360" w:lineRule="auto"/>
        <w:ind w:firstLine="560" w:firstLineChars="200"/>
        <w:jc w:val="lef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（二）乙方及其工作人员有权依据合同约定和项目需要，向甲方了解有关情况，调阅有关资料等，但应当遵守与保密相关的法律法规和甲方的保密制度、保密要求。</w:t>
      </w:r>
    </w:p>
    <w:p>
      <w:pPr>
        <w:spacing w:line="360" w:lineRule="auto"/>
        <w:ind w:firstLine="560" w:firstLineChars="200"/>
        <w:jc w:val="lef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（三）乙方及其工作人员应当妥善保管和保护在提供服务中获取或者知悉的资料、信息，并履行保密义务。</w:t>
      </w:r>
    </w:p>
    <w:p>
      <w:pPr>
        <w:spacing w:line="360" w:lineRule="auto"/>
        <w:ind w:firstLine="560" w:firstLineChars="200"/>
        <w:jc w:val="lef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四）乙方及其工作人员不得私自复印、留存、泄漏本合同服务过程中从甲方获取的有关资料、信息。除非依照法律规定或者经甲方书面同意，乙方不得向第三方提供或披露本合同服务成果及本次服务范围内的有关资料和信息，也不得用于本合同履行以外的其他用途，并保证采取一切合理和必要的措施防止任何第三方接触到甲方的上述资料和信息。</w:t>
      </w:r>
    </w:p>
    <w:p>
      <w:pPr>
        <w:spacing w:line="360" w:lineRule="auto"/>
        <w:ind w:firstLine="560" w:firstLineChars="200"/>
        <w:jc w:val="lef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（五）保密期限自本协议签订生效之日起至前述资料、信息被依法公开披露或成为公开信息之日止。合同中止、终止或者解除不视为解除保密义务，乙方仍应承担保密义务。</w:t>
      </w:r>
    </w:p>
    <w:p>
      <w:pPr>
        <w:spacing w:line="360" w:lineRule="auto"/>
        <w:ind w:firstLine="560" w:firstLineChars="200"/>
        <w:jc w:val="lef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（六）甲方根据工作需要，可要求乙方签订保密协议、保密承诺书，一并作为合同的组成部分。</w:t>
      </w:r>
    </w:p>
    <w:p>
      <w:pPr>
        <w:spacing w:before="156" w:beforeLines="50" w:after="156" w:afterLines="50" w:line="360" w:lineRule="auto"/>
        <w:ind w:left="567"/>
        <w:jc w:val="left"/>
        <w:rPr>
          <w:rFonts w:ascii="黑体" w:hAnsi="黑体" w:eastAsia="黑体"/>
          <w:bCs/>
          <w:sz w:val="28"/>
          <w:szCs w:val="28"/>
        </w:rPr>
      </w:pPr>
      <w:r>
        <w:rPr>
          <w:rFonts w:hint="eastAsia" w:ascii="黑体" w:hAnsi="黑体" w:eastAsia="黑体"/>
          <w:bCs/>
          <w:sz w:val="28"/>
          <w:szCs w:val="28"/>
        </w:rPr>
        <w:t>第十一条  质保和</w:t>
      </w:r>
      <w:r>
        <w:rPr>
          <w:rFonts w:ascii="黑体" w:hAnsi="黑体" w:eastAsia="黑体"/>
          <w:bCs/>
          <w:sz w:val="28"/>
          <w:szCs w:val="28"/>
        </w:rPr>
        <w:t>售后服务</w:t>
      </w:r>
    </w:p>
    <w:p>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（一）本合同产品的质保期为</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自产品（安装调试）验收合格后起算。质保期内，产品发生故障的，乙方免费进行修理、更换，两次修理仍不能正常使用的，甲方有权选择解除合同或者更换全新的原装产品。修理过程中需要更换零部件的，乙方应免费提供全新的、相同规格的零部件。</w:t>
      </w:r>
    </w:p>
    <w:p>
      <w:pPr>
        <w:snapToGrid w:val="0"/>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（二）质保期内，如产品发生故障，乙方应在接到甲方通知后</w:t>
      </w:r>
      <w:r>
        <w:rPr>
          <w:rFonts w:hint="eastAsia" w:ascii="仿宋_GB2312" w:hAnsi="仿宋_GB2312" w:eastAsia="仿宋_GB2312" w:cs="仿宋_GB2312"/>
          <w:sz w:val="28"/>
          <w:szCs w:val="28"/>
          <w:u w:val="single"/>
        </w:rPr>
        <w:t>___</w:t>
      </w:r>
      <w:r>
        <w:rPr>
          <w:rFonts w:hint="eastAsia" w:ascii="仿宋_GB2312" w:hAnsi="仿宋_GB2312" w:eastAsia="仿宋_GB2312" w:cs="仿宋_GB2312"/>
          <w:sz w:val="28"/>
          <w:szCs w:val="28"/>
        </w:rPr>
        <w:t>小时内作出有效响应。情况紧急的，乙方应在甲方指定的时间内到达维修地点实施维修。</w:t>
      </w:r>
    </w:p>
    <w:p>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（三）质保期外，甲方有权要求乙方继续承担质保和售后服务，发生的费用由双方另行约定。</w:t>
      </w:r>
    </w:p>
    <w:p>
      <w:pPr>
        <w:spacing w:before="156" w:beforeLines="50" w:after="156" w:afterLines="50" w:line="360" w:lineRule="auto"/>
        <w:ind w:left="567"/>
        <w:jc w:val="left"/>
        <w:rPr>
          <w:rFonts w:ascii="黑体" w:hAnsi="黑体" w:eastAsia="黑体"/>
          <w:bCs/>
          <w:sz w:val="28"/>
          <w:szCs w:val="28"/>
        </w:rPr>
      </w:pPr>
      <w:r>
        <w:rPr>
          <w:rFonts w:hint="eastAsia" w:ascii="黑体" w:hAnsi="黑体" w:eastAsia="黑体"/>
          <w:bCs/>
          <w:sz w:val="28"/>
          <w:szCs w:val="28"/>
        </w:rPr>
        <w:t xml:space="preserve">第十二条  </w:t>
      </w:r>
      <w:r>
        <w:rPr>
          <w:rFonts w:ascii="黑体" w:hAnsi="黑体" w:eastAsia="黑体"/>
          <w:bCs/>
          <w:sz w:val="28"/>
          <w:szCs w:val="28"/>
        </w:rPr>
        <w:t>合同的转让</w:t>
      </w:r>
    </w:p>
    <w:p>
      <w:pPr>
        <w:spacing w:line="360" w:lineRule="auto"/>
        <w:ind w:left="567"/>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2" w:char="F052"/>
      </w:r>
      <w:r>
        <w:rPr>
          <w:rFonts w:hint="eastAsia" w:ascii="仿宋_GB2312" w:hAnsi="仿宋_GB2312" w:eastAsia="仿宋_GB2312" w:cs="仿宋_GB2312"/>
          <w:sz w:val="28"/>
          <w:szCs w:val="28"/>
        </w:rPr>
        <w:t>A.本合同不可转让、分包、转包。</w:t>
      </w:r>
    </w:p>
    <w:p>
      <w:pPr>
        <w:spacing w:line="360" w:lineRule="auto"/>
        <w:ind w:firstLine="560" w:firstLineChars="200"/>
        <w:jc w:val="left"/>
        <w:rPr>
          <w:rFonts w:ascii="仿宋_GB2312" w:hAnsi="仿宋_GB2312" w:eastAsia="仿宋_GB2312" w:cs="仿宋_GB2312"/>
          <w:bCs/>
          <w:sz w:val="28"/>
          <w:szCs w:val="28"/>
          <w:u w:val="single"/>
        </w:rPr>
      </w:pPr>
      <w:r>
        <w:rPr>
          <w:rFonts w:hint="eastAsia" w:ascii="仿宋_GB2312" w:hAnsi="仿宋_GB2312" w:eastAsia="仿宋_GB2312" w:cs="仿宋_GB2312"/>
          <w:sz w:val="28"/>
          <w:szCs w:val="28"/>
        </w:rPr>
        <w:t>□B.本合同：</w:t>
      </w:r>
      <w:r>
        <w:rPr>
          <w:rFonts w:hint="eastAsia" w:ascii="仿宋_GB2312" w:hAnsi="仿宋_GB2312" w:eastAsia="仿宋_GB2312" w:cs="仿宋_GB2312"/>
          <w:bCs/>
          <w:sz w:val="28"/>
          <w:szCs w:val="28"/>
        </w:rPr>
        <w:t>经甲方书面同意，乙方依法将合同项下的部分非主体、非关键性工作分包给第三方完成的，接受分包的一方应当具备相应的资格条件，并不得再次分包，乙方应在签订分包合同后7天内向甲方提交分包合同副本。乙方应就分包项目向甲方负责，并与分包供应商就分包项目向甲方承担连带责任。双方约定，本合同项下主体结构、关键性工作的范围包括</w:t>
      </w:r>
      <w:r>
        <w:rPr>
          <w:rFonts w:hint="eastAsia" w:ascii="仿宋_GB2312" w:hAnsi="仿宋_GB2312" w:eastAsia="仿宋_GB2312" w:cs="仿宋_GB2312"/>
          <w:bCs/>
          <w:sz w:val="28"/>
          <w:szCs w:val="28"/>
          <w:u w:val="single"/>
        </w:rPr>
        <w:t xml:space="preserve">              。</w:t>
      </w:r>
    </w:p>
    <w:p>
      <w:pPr>
        <w:spacing w:before="156" w:beforeLines="50" w:after="156" w:afterLines="50" w:line="360" w:lineRule="auto"/>
        <w:ind w:left="567"/>
        <w:jc w:val="left"/>
        <w:rPr>
          <w:rFonts w:ascii="黑体" w:hAnsi="黑体" w:eastAsia="黑体"/>
          <w:sz w:val="28"/>
          <w:szCs w:val="28"/>
        </w:rPr>
      </w:pPr>
      <w:r>
        <w:rPr>
          <w:rFonts w:hint="eastAsia" w:ascii="黑体" w:hAnsi="黑体" w:eastAsia="黑体"/>
          <w:bCs/>
          <w:sz w:val="28"/>
          <w:szCs w:val="28"/>
        </w:rPr>
        <w:t xml:space="preserve">第十三条  </w:t>
      </w:r>
      <w:r>
        <w:rPr>
          <w:rFonts w:ascii="黑体" w:hAnsi="黑体" w:eastAsia="黑体"/>
          <w:bCs/>
          <w:sz w:val="28"/>
          <w:szCs w:val="28"/>
        </w:rPr>
        <w:t>违约责任</w:t>
      </w:r>
    </w:p>
    <w:p>
      <w:pPr>
        <w:snapToGrid w:val="0"/>
        <w:spacing w:line="360" w:lineRule="auto"/>
        <w:ind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（一）乙方逾期交付产品的，每逾期1日按照合同总额</w:t>
      </w:r>
      <w:r>
        <w:rPr>
          <w:rFonts w:hint="eastAsia" w:ascii="仿宋_GB2312" w:hAnsi="仿宋_GB2312" w:eastAsia="仿宋_GB2312" w:cs="仿宋_GB2312"/>
          <w:sz w:val="28"/>
          <w:szCs w:val="28"/>
          <w:u w:val="single"/>
        </w:rPr>
        <w:t xml:space="preserve">  5  </w:t>
      </w:r>
      <w:r>
        <w:rPr>
          <w:rFonts w:hint="eastAsia" w:ascii="仿宋_GB2312" w:hAnsi="仿宋_GB2312" w:eastAsia="仿宋_GB2312" w:cs="仿宋_GB2312"/>
          <w:sz w:val="28"/>
          <w:szCs w:val="28"/>
        </w:rPr>
        <w:t>‰向甲方支付逾期违约金。乙方逾期超过</w:t>
      </w:r>
      <w:r>
        <w:rPr>
          <w:rFonts w:hint="eastAsia" w:ascii="仿宋_GB2312" w:hAnsi="仿宋_GB2312" w:eastAsia="仿宋_GB2312" w:cs="仿宋_GB2312"/>
          <w:sz w:val="28"/>
          <w:szCs w:val="28"/>
          <w:u w:val="single"/>
        </w:rPr>
        <w:t xml:space="preserve">  10  </w:t>
      </w:r>
      <w:r>
        <w:rPr>
          <w:rFonts w:hint="eastAsia" w:ascii="仿宋_GB2312" w:hAnsi="仿宋_GB2312" w:eastAsia="仿宋_GB2312" w:cs="仿宋_GB2312"/>
          <w:sz w:val="28"/>
          <w:szCs w:val="28"/>
        </w:rPr>
        <w:t>日，</w:t>
      </w:r>
      <w:r>
        <w:rPr>
          <w:rFonts w:hint="eastAsia" w:ascii="仿宋_GB2312" w:hAnsi="仿宋_GB2312" w:eastAsia="仿宋_GB2312" w:cs="仿宋_GB2312"/>
          <w:bCs/>
          <w:sz w:val="28"/>
          <w:szCs w:val="28"/>
        </w:rPr>
        <w:t>甲方有权要求乙方按</w:t>
      </w:r>
      <w:r>
        <w:rPr>
          <w:rFonts w:hint="eastAsia" w:ascii="仿宋_GB2312" w:hAnsi="仿宋_GB2312" w:eastAsia="仿宋_GB2312" w:cs="仿宋_GB2312"/>
          <w:sz w:val="28"/>
          <w:szCs w:val="28"/>
        </w:rPr>
        <w:t>合同总额</w:t>
      </w:r>
      <w:r>
        <w:rPr>
          <w:rFonts w:hint="eastAsia" w:ascii="仿宋_GB2312" w:hAnsi="仿宋_GB2312" w:eastAsia="仿宋_GB2312" w:cs="仿宋_GB2312"/>
          <w:bCs/>
          <w:sz w:val="28"/>
          <w:szCs w:val="28"/>
          <w:u w:val="single"/>
        </w:rPr>
        <w:t xml:space="preserve"> 10  </w:t>
      </w:r>
      <w:r>
        <w:rPr>
          <w:rFonts w:hint="eastAsia" w:ascii="仿宋_GB2312" w:hAnsi="仿宋_GB2312" w:eastAsia="仿宋_GB2312" w:cs="仿宋_GB2312"/>
          <w:bCs/>
          <w:sz w:val="28"/>
          <w:szCs w:val="28"/>
        </w:rPr>
        <w:t>%支付违约金，并有权解除合同，要求乙方返还甲方已支付的合同款项。若因此造成甲方损失的，乙方应承担相应的赔偿责任。</w:t>
      </w:r>
    </w:p>
    <w:p>
      <w:pPr>
        <w:snapToGrid w:val="0"/>
        <w:spacing w:line="360" w:lineRule="auto"/>
        <w:ind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（二）乙方所提供的产品经验收不合格，经修理或者更换后仍不合格的，</w:t>
      </w:r>
      <w:r>
        <w:rPr>
          <w:rFonts w:hint="eastAsia" w:ascii="仿宋_GB2312" w:hAnsi="仿宋_GB2312" w:eastAsia="仿宋_GB2312" w:cs="仿宋_GB2312"/>
          <w:bCs/>
          <w:sz w:val="28"/>
          <w:szCs w:val="28"/>
        </w:rPr>
        <w:t>甲方有权要求乙方按</w:t>
      </w:r>
      <w:r>
        <w:rPr>
          <w:rFonts w:hint="eastAsia" w:ascii="仿宋_GB2312" w:hAnsi="仿宋_GB2312" w:eastAsia="仿宋_GB2312" w:cs="仿宋_GB2312"/>
          <w:sz w:val="28"/>
          <w:szCs w:val="28"/>
        </w:rPr>
        <w:t>合同总额</w:t>
      </w:r>
      <w:r>
        <w:rPr>
          <w:rFonts w:hint="eastAsia" w:ascii="仿宋_GB2312" w:hAnsi="仿宋_GB2312" w:eastAsia="仿宋_GB2312" w:cs="仿宋_GB2312"/>
          <w:bCs/>
          <w:sz w:val="28"/>
          <w:szCs w:val="28"/>
          <w:u w:val="single"/>
        </w:rPr>
        <w:t xml:space="preserve">  10  </w:t>
      </w:r>
      <w:r>
        <w:rPr>
          <w:rFonts w:hint="eastAsia" w:ascii="仿宋_GB2312" w:hAnsi="仿宋_GB2312" w:eastAsia="仿宋_GB2312" w:cs="仿宋_GB2312"/>
          <w:bCs/>
          <w:sz w:val="28"/>
          <w:szCs w:val="28"/>
        </w:rPr>
        <w:t>%支付违约金，并有权解除合同，要求乙方返还甲方已支付的合同款项。若因此造成甲方损失的，乙方应承担相应的赔偿责任。</w:t>
      </w:r>
    </w:p>
    <w:p>
      <w:pPr>
        <w:snapToGrid w:val="0"/>
        <w:spacing w:line="360" w:lineRule="auto"/>
        <w:ind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（三）质保期内，乙方超过</w:t>
      </w:r>
      <w:r>
        <w:rPr>
          <w:rFonts w:hint="eastAsia" w:ascii="仿宋_GB2312" w:hAnsi="仿宋_GB2312" w:eastAsia="仿宋_GB2312" w:cs="仿宋_GB2312"/>
          <w:sz w:val="28"/>
          <w:szCs w:val="28"/>
          <w:u w:val="single"/>
        </w:rPr>
        <w:t xml:space="preserve">  2  </w:t>
      </w:r>
      <w:r>
        <w:rPr>
          <w:rFonts w:hint="eastAsia" w:ascii="仿宋_GB2312" w:hAnsi="仿宋_GB2312" w:eastAsia="仿宋_GB2312" w:cs="仿宋_GB2312"/>
          <w:sz w:val="28"/>
          <w:szCs w:val="28"/>
        </w:rPr>
        <w:t>次未按合同第十二条约定履行质保义务的，</w:t>
      </w:r>
      <w:r>
        <w:rPr>
          <w:rFonts w:hint="eastAsia" w:ascii="仿宋_GB2312" w:hAnsi="仿宋_GB2312" w:eastAsia="仿宋_GB2312" w:cs="仿宋_GB2312"/>
          <w:bCs/>
          <w:sz w:val="28"/>
          <w:szCs w:val="28"/>
        </w:rPr>
        <w:t>甲方有权要求乙方按</w:t>
      </w:r>
      <w:r>
        <w:rPr>
          <w:rFonts w:hint="eastAsia" w:ascii="仿宋_GB2312" w:hAnsi="仿宋_GB2312" w:eastAsia="仿宋_GB2312" w:cs="仿宋_GB2312"/>
          <w:sz w:val="28"/>
          <w:szCs w:val="28"/>
        </w:rPr>
        <w:t>合同总额</w:t>
      </w:r>
      <w:r>
        <w:rPr>
          <w:rFonts w:hint="eastAsia" w:ascii="仿宋_GB2312" w:hAnsi="仿宋_GB2312" w:eastAsia="仿宋_GB2312" w:cs="仿宋_GB2312"/>
          <w:bCs/>
          <w:sz w:val="28"/>
          <w:szCs w:val="28"/>
          <w:u w:val="single"/>
        </w:rPr>
        <w:t xml:space="preserve"> 10  </w:t>
      </w:r>
      <w:r>
        <w:rPr>
          <w:rFonts w:hint="eastAsia" w:ascii="仿宋_GB2312" w:hAnsi="仿宋_GB2312" w:eastAsia="仿宋_GB2312" w:cs="仿宋_GB2312"/>
          <w:bCs/>
          <w:sz w:val="28"/>
          <w:szCs w:val="28"/>
        </w:rPr>
        <w:t>%支付违约金，并有权解除合同。若因此造成甲方损失的，乙方应承担相应的赔偿责任。</w:t>
      </w:r>
    </w:p>
    <w:p>
      <w:pPr>
        <w:snapToGrid w:val="0"/>
        <w:spacing w:line="360" w:lineRule="auto"/>
        <w:ind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（四）因乙方提供的产品受到侵权指控或者引发法律纠纷，影响</w:t>
      </w:r>
      <w:r>
        <w:rPr>
          <w:rFonts w:hint="eastAsia" w:ascii="仿宋_GB2312" w:hAnsi="仿宋_GB2312" w:eastAsia="仿宋_GB2312" w:cs="仿宋_GB2312"/>
          <w:bCs/>
          <w:sz w:val="28"/>
          <w:szCs w:val="28"/>
        </w:rPr>
        <w:t>甲方正常使用或者导致合同目的不能实现的，甲方有权要求乙方</w:t>
      </w:r>
      <w:r>
        <w:rPr>
          <w:rFonts w:hint="eastAsia" w:ascii="仿宋_GB2312" w:hAnsi="仿宋_GB2312" w:eastAsia="仿宋_GB2312" w:cs="仿宋_GB2312"/>
          <w:sz w:val="28"/>
          <w:szCs w:val="28"/>
        </w:rPr>
        <w:t>按合同总额</w:t>
      </w:r>
      <w:r>
        <w:rPr>
          <w:rFonts w:hint="eastAsia" w:ascii="仿宋_GB2312" w:hAnsi="仿宋_GB2312" w:eastAsia="仿宋_GB2312" w:cs="仿宋_GB2312"/>
          <w:sz w:val="28"/>
          <w:szCs w:val="28"/>
          <w:u w:val="single"/>
        </w:rPr>
        <w:t xml:space="preserve"> 10  </w:t>
      </w:r>
      <w:r>
        <w:rPr>
          <w:rFonts w:hint="eastAsia" w:ascii="仿宋_GB2312" w:hAnsi="仿宋_GB2312" w:eastAsia="仿宋_GB2312" w:cs="仿宋_GB2312"/>
          <w:sz w:val="28"/>
          <w:szCs w:val="28"/>
        </w:rPr>
        <w:t>%支付违约金，并有权解除合同，要求乙方返还甲方已支付的合同款项。若因此造成甲方损失的，乙方应承担相应的赔偿责任。</w:t>
      </w:r>
    </w:p>
    <w:p>
      <w:pPr>
        <w:snapToGrid w:val="0"/>
        <w:spacing w:line="360" w:lineRule="auto"/>
        <w:ind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（五）</w:t>
      </w:r>
      <w:r>
        <w:rPr>
          <w:rFonts w:hint="eastAsia" w:ascii="仿宋_GB2312" w:hAnsi="仿宋_GB2312" w:eastAsia="仿宋_GB2312" w:cs="仿宋_GB2312"/>
          <w:bCs/>
          <w:sz w:val="28"/>
          <w:szCs w:val="28"/>
        </w:rPr>
        <w:t>乙方违反合同约定</w:t>
      </w:r>
      <w:r>
        <w:rPr>
          <w:rFonts w:hint="eastAsia" w:ascii="仿宋_GB2312" w:hAnsi="仿宋_GB2312" w:eastAsia="仿宋_GB2312" w:cs="仿宋_GB2312"/>
          <w:sz w:val="28"/>
          <w:szCs w:val="28"/>
        </w:rPr>
        <w:t>，擅自将合同义务的全部或者部分转让给第三人，</w:t>
      </w:r>
      <w:r>
        <w:rPr>
          <w:rFonts w:hint="eastAsia" w:ascii="仿宋_GB2312" w:hAnsi="仿宋_GB2312" w:eastAsia="仿宋_GB2312" w:cs="仿宋_GB2312"/>
          <w:bCs/>
          <w:sz w:val="28"/>
          <w:szCs w:val="28"/>
        </w:rPr>
        <w:t>甲方有权要求乙方按</w:t>
      </w:r>
      <w:r>
        <w:rPr>
          <w:rFonts w:hint="eastAsia" w:ascii="仿宋_GB2312" w:hAnsi="仿宋_GB2312" w:eastAsia="仿宋_GB2312" w:cs="仿宋_GB2312"/>
          <w:sz w:val="28"/>
          <w:szCs w:val="28"/>
        </w:rPr>
        <w:t>合同总额</w:t>
      </w:r>
      <w:r>
        <w:rPr>
          <w:rFonts w:hint="eastAsia" w:ascii="仿宋_GB2312" w:hAnsi="仿宋_GB2312" w:eastAsia="仿宋_GB2312" w:cs="仿宋_GB2312"/>
          <w:bCs/>
          <w:sz w:val="28"/>
          <w:szCs w:val="28"/>
          <w:u w:val="single"/>
        </w:rPr>
        <w:t xml:space="preserve">  10  </w:t>
      </w:r>
      <w:r>
        <w:rPr>
          <w:rFonts w:hint="eastAsia" w:ascii="仿宋_GB2312" w:hAnsi="仿宋_GB2312" w:eastAsia="仿宋_GB2312" w:cs="仿宋_GB2312"/>
          <w:bCs/>
          <w:sz w:val="28"/>
          <w:szCs w:val="28"/>
        </w:rPr>
        <w:t>%支付违约金，并有权解除合同，要求乙方返还甲方已支付的合同款项</w:t>
      </w:r>
      <w:r>
        <w:rPr>
          <w:rFonts w:hint="eastAsia" w:ascii="仿宋_GB2312" w:hAnsi="仿宋_GB2312" w:eastAsia="仿宋_GB2312" w:cs="仿宋_GB2312"/>
          <w:sz w:val="28"/>
          <w:szCs w:val="28"/>
        </w:rPr>
        <w:t>。</w:t>
      </w:r>
      <w:r>
        <w:rPr>
          <w:rFonts w:hint="eastAsia" w:ascii="仿宋_GB2312" w:hAnsi="仿宋_GB2312" w:eastAsia="仿宋_GB2312" w:cs="仿宋_GB2312"/>
          <w:bCs/>
          <w:sz w:val="28"/>
          <w:szCs w:val="28"/>
        </w:rPr>
        <w:t>若因此造成甲方损失的，乙方应承担相应的赔偿责任。</w:t>
      </w:r>
    </w:p>
    <w:p>
      <w:pPr>
        <w:snapToGrid w:val="0"/>
        <w:spacing w:line="360" w:lineRule="auto"/>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（六）</w:t>
      </w:r>
      <w:r>
        <w:rPr>
          <w:rFonts w:hint="eastAsia" w:ascii="仿宋_GB2312" w:hAnsi="仿宋_GB2312" w:eastAsia="仿宋_GB2312" w:cs="仿宋_GB2312"/>
          <w:bCs/>
          <w:sz w:val="28"/>
          <w:szCs w:val="28"/>
        </w:rPr>
        <w:t>乙方违反本合同约定的保密义务，甲方有权要求乙方</w:t>
      </w:r>
      <w:r>
        <w:rPr>
          <w:rFonts w:hint="eastAsia" w:ascii="仿宋_GB2312" w:hAnsi="仿宋_GB2312" w:eastAsia="仿宋_GB2312" w:cs="仿宋_GB2312"/>
          <w:sz w:val="28"/>
          <w:szCs w:val="28"/>
        </w:rPr>
        <w:t>按合同总额</w:t>
      </w:r>
      <w:r>
        <w:rPr>
          <w:rFonts w:hint="eastAsia" w:ascii="仿宋_GB2312" w:hAnsi="仿宋_GB2312" w:eastAsia="仿宋_GB2312" w:cs="仿宋_GB2312"/>
          <w:sz w:val="28"/>
          <w:szCs w:val="28"/>
          <w:u w:val="single"/>
        </w:rPr>
        <w:t xml:space="preserve"> 10  </w:t>
      </w:r>
      <w:r>
        <w:rPr>
          <w:rFonts w:hint="eastAsia" w:ascii="仿宋_GB2312" w:hAnsi="仿宋_GB2312" w:eastAsia="仿宋_GB2312" w:cs="仿宋_GB2312"/>
          <w:sz w:val="28"/>
          <w:szCs w:val="28"/>
        </w:rPr>
        <w:t>%支付违约金</w:t>
      </w:r>
      <w:r>
        <w:rPr>
          <w:rFonts w:hint="eastAsia" w:ascii="仿宋_GB2312" w:hAnsi="仿宋_GB2312" w:eastAsia="仿宋_GB2312" w:cs="仿宋_GB2312"/>
          <w:bCs/>
          <w:sz w:val="28"/>
          <w:szCs w:val="28"/>
        </w:rPr>
        <w:t>；造成不良影响或对甲方造成损失的，甲方有权要求乙方消除影响，承担赔偿责任，并有权解除合同。乙方与甲方另行签订本项目《保密协议》的，其中就违反保密义务的责任亦有约定的，视为本条的补充条款，两者可同时适用。</w:t>
      </w:r>
    </w:p>
    <w:p>
      <w:pPr>
        <w:spacing w:line="360" w:lineRule="auto"/>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（七）</w:t>
      </w:r>
      <w:r>
        <w:rPr>
          <w:rFonts w:hint="eastAsia" w:ascii="仿宋_GB2312" w:hAnsi="仿宋_GB2312" w:eastAsia="仿宋_GB2312" w:cs="仿宋_GB2312"/>
          <w:bCs/>
          <w:sz w:val="28"/>
          <w:szCs w:val="28"/>
        </w:rPr>
        <w:t>合同任何一方明确表示或者以其行为表明不履行合同主要义务，或无正当理由擅自解除合同的，应当向另一方支付</w:t>
      </w:r>
      <w:r>
        <w:rPr>
          <w:rFonts w:hint="eastAsia" w:ascii="仿宋_GB2312" w:hAnsi="仿宋_GB2312" w:eastAsia="仿宋_GB2312" w:cs="仿宋_GB2312"/>
          <w:sz w:val="28"/>
          <w:szCs w:val="28"/>
        </w:rPr>
        <w:t>合同总额</w:t>
      </w:r>
      <w:r>
        <w:rPr>
          <w:rFonts w:hint="eastAsia" w:ascii="仿宋_GB2312" w:hAnsi="仿宋_GB2312" w:eastAsia="仿宋_GB2312" w:cs="仿宋_GB2312"/>
          <w:sz w:val="28"/>
          <w:szCs w:val="28"/>
          <w:u w:val="single"/>
        </w:rPr>
        <w:t xml:space="preserve">  10  </w:t>
      </w:r>
      <w:r>
        <w:rPr>
          <w:rFonts w:hint="eastAsia" w:ascii="仿宋_GB2312" w:hAnsi="仿宋_GB2312" w:eastAsia="仿宋_GB2312" w:cs="仿宋_GB2312"/>
          <w:sz w:val="28"/>
          <w:szCs w:val="28"/>
        </w:rPr>
        <w:t>%违约金。若因此造成另一方损失的，应承担相应的赔偿责任。</w:t>
      </w:r>
    </w:p>
    <w:p>
      <w:pPr>
        <w:spacing w:line="360" w:lineRule="auto"/>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（八）</w:t>
      </w:r>
      <w:r>
        <w:rPr>
          <w:rFonts w:hint="eastAsia" w:ascii="仿宋_GB2312" w:hAnsi="仿宋_GB2312" w:eastAsia="仿宋_GB2312" w:cs="仿宋_GB2312"/>
          <w:bCs/>
          <w:sz w:val="28"/>
          <w:szCs w:val="28"/>
        </w:rPr>
        <w:t>如果乙方破产导致合同无法履行的，甲方可以解除合同且不按照本合同支付乙方违约金以及给予乙方其他任何补偿和赔偿，但合同的解除不影响甲方任何要求乙方支付违约金、赔偿损失等的权利。</w:t>
      </w:r>
    </w:p>
    <w:p>
      <w:pPr>
        <w:spacing w:line="360" w:lineRule="auto"/>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（九）</w:t>
      </w:r>
      <w:r>
        <w:rPr>
          <w:rFonts w:hint="eastAsia" w:ascii="仿宋_GB2312" w:hAnsi="仿宋_GB2312" w:eastAsia="仿宋_GB2312" w:cs="仿宋_GB2312"/>
          <w:bCs/>
          <w:sz w:val="28"/>
          <w:szCs w:val="28"/>
        </w:rPr>
        <w:t>本合同约定的违约金总额不超过合同总额的30%。乙方的赔偿范围还应包括甲方直接损失及间接损失、公证费、担保费、律师费、诉讼费、仲裁费、鉴定费等全部款项。</w:t>
      </w:r>
    </w:p>
    <w:p>
      <w:pPr>
        <w:spacing w:before="156" w:beforeLines="50" w:after="156" w:afterLines="50" w:line="360" w:lineRule="auto"/>
        <w:ind w:left="567"/>
        <w:jc w:val="left"/>
        <w:rPr>
          <w:rFonts w:ascii="黑体" w:hAnsi="黑体" w:eastAsia="黑体"/>
          <w:bCs/>
          <w:sz w:val="28"/>
          <w:szCs w:val="28"/>
        </w:rPr>
      </w:pPr>
      <w:r>
        <w:rPr>
          <w:rFonts w:hint="eastAsia" w:ascii="黑体" w:hAnsi="黑体" w:eastAsia="黑体"/>
          <w:bCs/>
          <w:sz w:val="28"/>
          <w:szCs w:val="28"/>
        </w:rPr>
        <w:t xml:space="preserve">第十四条 </w:t>
      </w:r>
      <w:r>
        <w:rPr>
          <w:rFonts w:ascii="黑体" w:hAnsi="黑体" w:eastAsia="黑体"/>
          <w:bCs/>
          <w:sz w:val="28"/>
          <w:szCs w:val="28"/>
        </w:rPr>
        <w:t xml:space="preserve"> </w:t>
      </w:r>
      <w:r>
        <w:rPr>
          <w:rFonts w:hint="eastAsia" w:ascii="黑体" w:hAnsi="黑体" w:eastAsia="黑体"/>
          <w:bCs/>
          <w:sz w:val="28"/>
          <w:szCs w:val="28"/>
        </w:rPr>
        <w:t>不可抗力</w:t>
      </w:r>
    </w:p>
    <w:p>
      <w:pPr>
        <w:spacing w:line="360" w:lineRule="auto"/>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（一）</w:t>
      </w:r>
      <w:r>
        <w:rPr>
          <w:rFonts w:hint="eastAsia" w:ascii="仿宋_GB2312" w:hAnsi="仿宋_GB2312" w:eastAsia="仿宋_GB2312" w:cs="仿宋_GB2312"/>
          <w:bCs/>
          <w:sz w:val="28"/>
          <w:szCs w:val="28"/>
        </w:rPr>
        <w:t>如果任何一方遭遇法律规定的不可抗力，致使合同履行受阻时，履行合同的期限应予延长，延长的期限应相当于不可抗力所影响的时间。</w:t>
      </w:r>
    </w:p>
    <w:p>
      <w:pPr>
        <w:spacing w:line="360" w:lineRule="auto"/>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（二）</w:t>
      </w:r>
      <w:r>
        <w:rPr>
          <w:rFonts w:hint="eastAsia" w:ascii="仿宋_GB2312" w:hAnsi="仿宋_GB2312" w:eastAsia="仿宋_GB2312" w:cs="仿宋_GB2312"/>
          <w:bCs/>
          <w:sz w:val="28"/>
          <w:szCs w:val="28"/>
        </w:rPr>
        <w:t>因不可抗力致使不能实现合同目的的，当事人可以解除合同。</w:t>
      </w:r>
    </w:p>
    <w:p>
      <w:pPr>
        <w:spacing w:line="360" w:lineRule="auto"/>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（三）</w:t>
      </w:r>
      <w:r>
        <w:rPr>
          <w:rFonts w:hint="eastAsia" w:ascii="仿宋_GB2312" w:hAnsi="仿宋_GB2312" w:eastAsia="仿宋_GB2312" w:cs="仿宋_GB2312"/>
          <w:bCs/>
          <w:sz w:val="28"/>
          <w:szCs w:val="28"/>
        </w:rPr>
        <w:t>受不可抗力影响的一方在不可抗力发生后，应当及时以书面形式通知对方当事人，如有关部门出具证明文件的，应当及时送达对方当事人。</w:t>
      </w:r>
    </w:p>
    <w:p>
      <w:pPr>
        <w:spacing w:before="156" w:beforeLines="50" w:after="156" w:afterLines="50" w:line="360" w:lineRule="auto"/>
        <w:ind w:left="567"/>
        <w:jc w:val="left"/>
        <w:rPr>
          <w:rFonts w:ascii="黑体" w:hAnsi="黑体" w:eastAsia="黑体"/>
          <w:bCs/>
          <w:sz w:val="28"/>
          <w:szCs w:val="28"/>
        </w:rPr>
      </w:pPr>
      <w:r>
        <w:rPr>
          <w:rFonts w:hint="eastAsia" w:ascii="黑体" w:hAnsi="黑体" w:eastAsia="黑体"/>
          <w:bCs/>
          <w:sz w:val="28"/>
          <w:szCs w:val="28"/>
        </w:rPr>
        <w:t xml:space="preserve">第十五条 </w:t>
      </w:r>
      <w:r>
        <w:rPr>
          <w:rFonts w:ascii="黑体" w:hAnsi="黑体" w:eastAsia="黑体"/>
          <w:bCs/>
          <w:sz w:val="28"/>
          <w:szCs w:val="28"/>
        </w:rPr>
        <w:t xml:space="preserve"> </w:t>
      </w:r>
      <w:r>
        <w:rPr>
          <w:rFonts w:hint="eastAsia" w:ascii="黑体" w:hAnsi="黑体" w:eastAsia="黑体"/>
          <w:bCs/>
          <w:sz w:val="28"/>
          <w:szCs w:val="28"/>
        </w:rPr>
        <w:t>合同解除</w:t>
      </w:r>
    </w:p>
    <w:p>
      <w:pPr>
        <w:spacing w:line="360" w:lineRule="auto"/>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合同履行过程中如果发生以下任一情形，对合同履行产生或可能产生重大影响的，甲方有权解除合同并及时以书面方式通知乙方。</w:t>
      </w:r>
    </w:p>
    <w:p>
      <w:pPr>
        <w:spacing w:line="360" w:lineRule="auto"/>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（一）</w:t>
      </w:r>
      <w:r>
        <w:rPr>
          <w:rFonts w:hint="eastAsia" w:ascii="仿宋_GB2312" w:hAnsi="仿宋_GB2312" w:eastAsia="仿宋_GB2312" w:cs="仿宋_GB2312"/>
          <w:bCs/>
          <w:sz w:val="28"/>
          <w:szCs w:val="28"/>
        </w:rPr>
        <w:t>不可抗力；</w:t>
      </w:r>
    </w:p>
    <w:p>
      <w:pPr>
        <w:spacing w:line="360" w:lineRule="auto"/>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（二）</w:t>
      </w:r>
      <w:r>
        <w:rPr>
          <w:rFonts w:hint="eastAsia" w:ascii="仿宋_GB2312" w:hAnsi="仿宋_GB2312" w:eastAsia="仿宋_GB2312" w:cs="仿宋_GB2312"/>
          <w:bCs/>
          <w:sz w:val="28"/>
          <w:szCs w:val="28"/>
        </w:rPr>
        <w:t>合同依据的法律或政策修改、废止，或签订合同时的客观情况发生重大变化；</w:t>
      </w:r>
    </w:p>
    <w:p>
      <w:pPr>
        <w:spacing w:line="360" w:lineRule="auto"/>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（三）</w:t>
      </w:r>
      <w:r>
        <w:rPr>
          <w:rFonts w:hint="eastAsia" w:ascii="仿宋_GB2312" w:hAnsi="仿宋_GB2312" w:eastAsia="仿宋_GB2312" w:cs="仿宋_GB2312"/>
          <w:bCs/>
          <w:sz w:val="28"/>
          <w:szCs w:val="28"/>
        </w:rPr>
        <w:t>合同对方当事人财产状况恶化、丧失商业信誉或者丧失、可能丧失履行能力；</w:t>
      </w:r>
    </w:p>
    <w:p>
      <w:pPr>
        <w:spacing w:line="360" w:lineRule="auto"/>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（四）</w:t>
      </w:r>
      <w:r>
        <w:rPr>
          <w:rFonts w:hint="eastAsia" w:ascii="仿宋_GB2312" w:hAnsi="仿宋_GB2312" w:eastAsia="仿宋_GB2312" w:cs="仿宋_GB2312"/>
          <w:bCs/>
          <w:sz w:val="28"/>
          <w:szCs w:val="28"/>
        </w:rPr>
        <w:t>合同对方当事人预期违约以及其他可能影响合同履行的情形。</w:t>
      </w:r>
    </w:p>
    <w:p>
      <w:pPr>
        <w:spacing w:before="156" w:beforeLines="50" w:after="156" w:afterLines="50" w:line="360" w:lineRule="auto"/>
        <w:ind w:left="567"/>
        <w:rPr>
          <w:rFonts w:ascii="黑体" w:hAnsi="黑体" w:eastAsia="黑体"/>
          <w:sz w:val="28"/>
          <w:szCs w:val="28"/>
        </w:rPr>
      </w:pPr>
      <w:r>
        <w:rPr>
          <w:rFonts w:hint="eastAsia" w:ascii="黑体" w:hAnsi="黑体" w:eastAsia="黑体"/>
          <w:bCs/>
          <w:sz w:val="28"/>
          <w:szCs w:val="28"/>
        </w:rPr>
        <w:t xml:space="preserve">第十六条  </w:t>
      </w:r>
      <w:r>
        <w:rPr>
          <w:rFonts w:ascii="黑体" w:hAnsi="黑体" w:eastAsia="黑体"/>
          <w:bCs/>
          <w:sz w:val="28"/>
          <w:szCs w:val="28"/>
        </w:rPr>
        <w:t>争议解决</w:t>
      </w:r>
    </w:p>
    <w:p>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（一）因产品质量问题发生争议的，由具备法定资质的质量检测机构对产品质量进行鉴定。符合标准的，鉴定费由甲方承担；不符合标准的，鉴定费由乙方承担。</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（二）双方因履行本合同发生争议的，可协商解决，无法协商解决的：</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□A.应向深圳国际仲裁院（深圳仲裁委员会）提请仲裁，仲裁适用仲裁时生效的规则，仲裁地为深圳。</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☑B.应向甲方住所地有管辖权的人民法院提起诉讼。</w:t>
      </w:r>
    </w:p>
    <w:p>
      <w:pPr>
        <w:spacing w:before="156" w:beforeLines="50" w:after="156" w:afterLines="50" w:line="360" w:lineRule="auto"/>
        <w:ind w:left="567"/>
        <w:jc w:val="left"/>
        <w:rPr>
          <w:rFonts w:ascii="黑体" w:hAnsi="黑体" w:eastAsia="黑体"/>
          <w:sz w:val="28"/>
          <w:szCs w:val="28"/>
        </w:rPr>
      </w:pPr>
      <w:r>
        <w:rPr>
          <w:rFonts w:hint="eastAsia" w:ascii="黑体" w:hAnsi="黑体" w:eastAsia="黑体"/>
          <w:sz w:val="28"/>
          <w:szCs w:val="28"/>
        </w:rPr>
        <w:t>第十七条  其他</w:t>
      </w:r>
    </w:p>
    <w:p>
      <w:pPr>
        <w:spacing w:line="360" w:lineRule="auto"/>
        <w:ind w:firstLine="560" w:firstLineChars="200"/>
        <w:jc w:val="left"/>
        <w:rPr>
          <w:rFonts w:ascii="仿宋_GB2312" w:hAnsi="仿宋_GB2312" w:eastAsia="仿宋_GB2312" w:cs="仿宋_GB2312"/>
          <w:sz w:val="28"/>
          <w:szCs w:val="28"/>
          <w:u w:val="single"/>
        </w:rPr>
      </w:pPr>
      <w:r>
        <w:rPr>
          <w:rFonts w:hint="eastAsia" w:ascii="仿宋_GB2312" w:hAnsi="仿宋_GB2312" w:eastAsia="仿宋_GB2312" w:cs="仿宋_GB2312"/>
          <w:sz w:val="28"/>
          <w:szCs w:val="28"/>
          <w:u w:val="single"/>
        </w:rPr>
        <w:t xml:space="preserve">  （可补充合同需约定的上述条款以外的其他内容）         </w:t>
      </w:r>
    </w:p>
    <w:p>
      <w:pPr>
        <w:spacing w:line="360" w:lineRule="auto"/>
        <w:ind w:firstLine="560" w:firstLineChars="200"/>
        <w:jc w:val="left"/>
        <w:rPr>
          <w:rFonts w:ascii="仿宋_GB2312" w:hAnsi="仿宋_GB2312" w:eastAsia="仿宋_GB2312" w:cs="仿宋_GB2312"/>
          <w:sz w:val="28"/>
          <w:szCs w:val="28"/>
          <w:u w:val="single"/>
        </w:rPr>
      </w:pPr>
      <w:r>
        <w:rPr>
          <w:rFonts w:hint="eastAsia" w:ascii="仿宋_GB2312" w:hAnsi="仿宋_GB2312" w:eastAsia="仿宋_GB2312" w:cs="仿宋_GB2312"/>
          <w:sz w:val="28"/>
          <w:szCs w:val="28"/>
          <w:u w:val="single"/>
        </w:rPr>
        <w:t xml:space="preserve">                                                      </w:t>
      </w:r>
    </w:p>
    <w:p>
      <w:pPr>
        <w:spacing w:before="156" w:beforeLines="50" w:after="156" w:afterLines="50" w:line="360" w:lineRule="auto"/>
        <w:ind w:left="567"/>
        <w:jc w:val="left"/>
        <w:rPr>
          <w:rFonts w:ascii="黑体" w:hAnsi="黑体" w:eastAsia="黑体"/>
          <w:sz w:val="28"/>
          <w:szCs w:val="28"/>
        </w:rPr>
      </w:pPr>
      <w:r>
        <w:rPr>
          <w:rFonts w:hint="eastAsia" w:ascii="黑体" w:hAnsi="黑体" w:eastAsia="黑体"/>
          <w:sz w:val="28"/>
          <w:szCs w:val="28"/>
        </w:rPr>
        <w:t>第十八条  附则</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（一）附件</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□A.本合同无附件。    </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□B.本合同有附件，包括</w:t>
      </w:r>
      <w:r>
        <w:rPr>
          <w:rFonts w:hint="eastAsia" w:ascii="仿宋_GB2312" w:hAnsi="仿宋_GB2312" w:eastAsia="仿宋_GB2312" w:cs="仿宋_GB2312"/>
          <w:sz w:val="28"/>
          <w:szCs w:val="28"/>
          <w:u w:val="single"/>
        </w:rPr>
        <w:t xml:space="preserve">   （直接填写附件名称，如经招投标程序，建议将招投标文件名称一并列明为本合同附件，可无需附在本合同之后）          </w:t>
      </w:r>
      <w:r>
        <w:rPr>
          <w:rFonts w:hint="eastAsia" w:ascii="仿宋_GB2312" w:hAnsi="仿宋_GB2312" w:eastAsia="仿宋_GB2312" w:cs="仿宋_GB2312"/>
          <w:sz w:val="28"/>
          <w:szCs w:val="28"/>
        </w:rPr>
        <w:t xml:space="preserve"> 。附件作为本合同的组成部分，并构成一个整体，需综合解释、相互补充。</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如果下列文件内容出现不一致的情形，那么在保证按照采购文件确定的事项的前提下，组成本合同的多个文件的优先适用顺序如下：</w:t>
      </w:r>
    </w:p>
    <w:p>
      <w:pPr>
        <w:spacing w:line="360" w:lineRule="auto"/>
        <w:ind w:left="105" w:leftChars="5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1.本合同及其补充合同、变更协议；</w:t>
      </w:r>
    </w:p>
    <w:p>
      <w:pPr>
        <w:spacing w:line="360" w:lineRule="auto"/>
        <w:ind w:left="105" w:leftChars="5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2.中标通知书；</w:t>
      </w:r>
    </w:p>
    <w:p>
      <w:pPr>
        <w:spacing w:line="360" w:lineRule="auto"/>
        <w:ind w:left="105" w:leftChars="5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3.投标文件、非招标采购方式响应文件（含澄清或者说明文件）；</w:t>
      </w:r>
    </w:p>
    <w:p>
      <w:pPr>
        <w:spacing w:line="360" w:lineRule="auto"/>
        <w:ind w:left="105" w:leftChars="5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4.招标文件、非招标采购方式文件（含澄清或者修改文件）；</w:t>
      </w:r>
    </w:p>
    <w:p>
      <w:pPr>
        <w:spacing w:line="360" w:lineRule="auto"/>
        <w:ind w:left="105" w:leftChars="5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5.本合同附件 。</w:t>
      </w:r>
    </w:p>
    <w:p>
      <w:pPr>
        <w:spacing w:line="360" w:lineRule="auto"/>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（二）任何对本合同的补充、变更须通过书面形式进行。</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（三）本合同自双方法定代表人或授权代表签字并加盖公章或合同专用章后生效。</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（四）本合同壹式</w:t>
      </w:r>
      <w:r>
        <w:rPr>
          <w:rFonts w:hint="eastAsia" w:ascii="仿宋_GB2312" w:hAnsi="仿宋_GB2312" w:eastAsia="仿宋_GB2312" w:cs="仿宋_GB2312"/>
          <w:sz w:val="28"/>
          <w:szCs w:val="28"/>
          <w:u w:val="single"/>
        </w:rPr>
        <w:t xml:space="preserve">  肆   </w:t>
      </w:r>
      <w:r>
        <w:rPr>
          <w:rFonts w:hint="eastAsia" w:ascii="仿宋_GB2312" w:hAnsi="仿宋_GB2312" w:eastAsia="仿宋_GB2312" w:cs="仿宋_GB2312"/>
          <w:sz w:val="28"/>
          <w:szCs w:val="28"/>
        </w:rPr>
        <w:t>份，甲方执</w:t>
      </w:r>
      <w:r>
        <w:rPr>
          <w:rFonts w:hint="eastAsia" w:ascii="仿宋_GB2312" w:hAnsi="仿宋_GB2312" w:eastAsia="仿宋_GB2312" w:cs="仿宋_GB2312"/>
          <w:sz w:val="28"/>
          <w:szCs w:val="28"/>
          <w:u w:val="single"/>
        </w:rPr>
        <w:t xml:space="preserve">  贰  </w:t>
      </w:r>
      <w:r>
        <w:rPr>
          <w:rFonts w:hint="eastAsia" w:ascii="仿宋_GB2312" w:hAnsi="仿宋_GB2312" w:eastAsia="仿宋_GB2312" w:cs="仿宋_GB2312"/>
          <w:sz w:val="28"/>
          <w:szCs w:val="28"/>
        </w:rPr>
        <w:t>份，乙方执</w:t>
      </w:r>
      <w:r>
        <w:rPr>
          <w:rFonts w:hint="eastAsia" w:ascii="仿宋_GB2312" w:hAnsi="仿宋_GB2312" w:eastAsia="仿宋_GB2312" w:cs="仿宋_GB2312"/>
          <w:sz w:val="28"/>
          <w:szCs w:val="28"/>
          <w:u w:val="single"/>
        </w:rPr>
        <w:t xml:space="preserve">  贰  </w:t>
      </w:r>
      <w:r>
        <w:rPr>
          <w:rFonts w:hint="eastAsia" w:ascii="仿宋_GB2312" w:hAnsi="仿宋_GB2312" w:eastAsia="仿宋_GB2312" w:cs="仿宋_GB2312"/>
          <w:sz w:val="28"/>
          <w:szCs w:val="28"/>
        </w:rPr>
        <w:t>份，具有同等法律效力。</w:t>
      </w:r>
    </w:p>
    <w:p>
      <w:pPr>
        <w:spacing w:line="360" w:lineRule="auto"/>
        <w:ind w:firstLine="560" w:firstLineChars="200"/>
        <w:jc w:val="left"/>
        <w:rPr>
          <w:rFonts w:ascii="仿宋" w:hAnsi="仿宋" w:eastAsia="仿宋"/>
          <w:sz w:val="28"/>
          <w:szCs w:val="28"/>
        </w:rPr>
      </w:pP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（以下无正文，为盖章页）</w:t>
      </w:r>
    </w:p>
    <w:p>
      <w:pPr>
        <w:spacing w:line="360" w:lineRule="auto"/>
        <w:ind w:firstLine="560" w:firstLineChars="200"/>
        <w:jc w:val="left"/>
        <w:rPr>
          <w:rFonts w:ascii="仿宋_GB2312" w:hAnsi="仿宋_GB2312" w:eastAsia="仿宋_GB2312" w:cs="仿宋_GB2312"/>
          <w:sz w:val="28"/>
          <w:szCs w:val="28"/>
        </w:rPr>
      </w:pPr>
    </w:p>
    <w:p>
      <w:pPr>
        <w:spacing w:line="360" w:lineRule="auto"/>
        <w:ind w:firstLine="560" w:firstLineChars="200"/>
        <w:jc w:val="left"/>
        <w:rPr>
          <w:rFonts w:ascii="仿宋_GB2312" w:hAnsi="仿宋_GB2312" w:eastAsia="仿宋_GB2312" w:cs="仿宋_GB2312"/>
          <w:sz w:val="28"/>
          <w:szCs w:val="28"/>
        </w:rPr>
      </w:pPr>
    </w:p>
    <w:p>
      <w:pPr>
        <w:spacing w:line="360" w:lineRule="auto"/>
        <w:ind w:firstLine="560" w:firstLineChars="200"/>
        <w:jc w:val="left"/>
        <w:rPr>
          <w:rFonts w:ascii="仿宋_GB2312" w:hAnsi="仿宋_GB2312" w:eastAsia="仿宋_GB2312" w:cs="仿宋_GB2312"/>
          <w:sz w:val="28"/>
          <w:szCs w:val="28"/>
        </w:rPr>
      </w:pPr>
    </w:p>
    <w:p>
      <w:pPr>
        <w:spacing w:line="360" w:lineRule="auto"/>
        <w:ind w:firstLine="560" w:firstLineChars="200"/>
        <w:jc w:val="left"/>
        <w:rPr>
          <w:rFonts w:ascii="仿宋_GB2312" w:hAnsi="仿宋_GB2312" w:eastAsia="仿宋_GB2312" w:cs="仿宋_GB2312"/>
          <w:sz w:val="28"/>
          <w:szCs w:val="28"/>
        </w:rPr>
      </w:pPr>
    </w:p>
    <w:p>
      <w:pPr>
        <w:spacing w:line="360" w:lineRule="auto"/>
        <w:ind w:firstLine="560" w:firstLineChars="200"/>
        <w:jc w:val="left"/>
        <w:rPr>
          <w:rFonts w:ascii="仿宋_GB2312" w:hAnsi="仿宋_GB2312" w:eastAsia="仿宋_GB2312" w:cs="仿宋_GB2312"/>
          <w:sz w:val="28"/>
          <w:szCs w:val="28"/>
        </w:rPr>
      </w:pPr>
    </w:p>
    <w:p>
      <w:pPr>
        <w:spacing w:line="360" w:lineRule="auto"/>
        <w:ind w:firstLine="560" w:firstLineChars="200"/>
        <w:jc w:val="left"/>
        <w:rPr>
          <w:rFonts w:ascii="仿宋_GB2312" w:hAnsi="仿宋_GB2312" w:eastAsia="仿宋_GB2312" w:cs="仿宋_GB2312"/>
          <w:sz w:val="28"/>
          <w:szCs w:val="28"/>
        </w:rPr>
      </w:pP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（本页为签署页）</w:t>
      </w:r>
    </w:p>
    <w:p>
      <w:pPr>
        <w:spacing w:line="360" w:lineRule="auto"/>
        <w:ind w:firstLine="560" w:firstLineChars="200"/>
        <w:jc w:val="left"/>
        <w:rPr>
          <w:rFonts w:ascii="仿宋_GB2312" w:hAnsi="仿宋_GB2312" w:eastAsia="仿宋_GB2312" w:cs="仿宋_GB2312"/>
          <w:sz w:val="28"/>
          <w:szCs w:val="28"/>
        </w:rPr>
      </w:pPr>
    </w:p>
    <w:p>
      <w:pPr>
        <w:spacing w:line="360" w:lineRule="auto"/>
        <w:ind w:firstLine="560" w:firstLineChars="200"/>
        <w:jc w:val="left"/>
        <w:rPr>
          <w:rFonts w:ascii="仿宋_GB2312" w:hAnsi="仿宋_GB2312" w:eastAsia="仿宋_GB2312" w:cs="仿宋_GB2312"/>
          <w:sz w:val="28"/>
          <w:szCs w:val="28"/>
        </w:rPr>
      </w:pPr>
    </w:p>
    <w:p>
      <w:pPr>
        <w:spacing w:line="360" w:lineRule="auto"/>
        <w:ind w:firstLine="560" w:firstLineChars="200"/>
        <w:jc w:val="left"/>
        <w:rPr>
          <w:rFonts w:ascii="仿宋_GB2312" w:hAnsi="仿宋_GB2312" w:eastAsia="仿宋_GB2312" w:cs="仿宋_GB2312"/>
          <w:sz w:val="28"/>
          <w:szCs w:val="28"/>
        </w:rPr>
      </w:pPr>
    </w:p>
    <w:p>
      <w:pPr>
        <w:spacing w:line="360" w:lineRule="auto"/>
        <w:ind w:firstLine="560" w:firstLineChars="200"/>
        <w:jc w:val="left"/>
        <w:rPr>
          <w:rFonts w:ascii="黑体" w:hAnsi="黑体" w:eastAsia="黑体"/>
          <w:sz w:val="28"/>
          <w:szCs w:val="28"/>
        </w:rPr>
      </w:pPr>
      <w:r>
        <w:rPr>
          <w:rFonts w:hint="eastAsia" w:ascii="黑体" w:hAnsi="黑体" w:eastAsia="黑体"/>
          <w:sz w:val="28"/>
          <w:szCs w:val="28"/>
        </w:rPr>
        <w:t>甲方（盖章）：深圳技师学院</w:t>
      </w:r>
    </w:p>
    <w:p>
      <w:pPr>
        <w:spacing w:line="360" w:lineRule="auto"/>
        <w:ind w:firstLine="560" w:firstLineChars="200"/>
        <w:jc w:val="lef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法定代表人或授权代表签字：</w:t>
      </w:r>
      <w:r>
        <w:rPr>
          <w:rFonts w:hint="eastAsia" w:ascii="仿宋_GB2312" w:hAnsi="仿宋_GB2312" w:eastAsia="仿宋_GB2312" w:cs="仿宋_GB2312"/>
          <w:sz w:val="28"/>
          <w:szCs w:val="28"/>
          <w:u w:val="single"/>
        </w:rPr>
        <w:t xml:space="preserve">                    </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签署日期：    年   月   日</w:t>
      </w:r>
    </w:p>
    <w:p>
      <w:pPr>
        <w:spacing w:line="360" w:lineRule="auto"/>
        <w:ind w:firstLine="560" w:firstLineChars="200"/>
        <w:jc w:val="left"/>
        <w:rPr>
          <w:rFonts w:ascii="黑体" w:hAnsi="黑体" w:eastAsia="黑体"/>
          <w:sz w:val="28"/>
          <w:szCs w:val="28"/>
          <w:u w:val="single"/>
        </w:rPr>
      </w:pPr>
      <w:r>
        <w:rPr>
          <w:rFonts w:hint="eastAsia" w:ascii="黑体" w:hAnsi="黑体" w:eastAsia="黑体"/>
          <w:sz w:val="28"/>
          <w:szCs w:val="28"/>
        </w:rPr>
        <w:t>乙方（盖章）：</w:t>
      </w:r>
      <w:r>
        <w:rPr>
          <w:rFonts w:hint="eastAsia" w:ascii="黑体" w:hAnsi="黑体" w:eastAsia="黑体"/>
          <w:sz w:val="28"/>
          <w:szCs w:val="28"/>
          <w:u w:val="single"/>
        </w:rPr>
        <w:t xml:space="preserve">                            </w:t>
      </w:r>
    </w:p>
    <w:p>
      <w:pPr>
        <w:spacing w:line="360" w:lineRule="auto"/>
        <w:ind w:firstLine="560" w:firstLineChars="200"/>
        <w:jc w:val="lef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法定代表人或授权代表签字：</w:t>
      </w:r>
      <w:r>
        <w:rPr>
          <w:rFonts w:hint="eastAsia" w:ascii="仿宋_GB2312" w:hAnsi="仿宋_GB2312" w:eastAsia="仿宋_GB2312" w:cs="仿宋_GB2312"/>
          <w:sz w:val="28"/>
          <w:szCs w:val="28"/>
          <w:u w:val="single"/>
        </w:rPr>
        <w:t xml:space="preserve">                    </w:t>
      </w:r>
    </w:p>
    <w:p>
      <w:pPr>
        <w:widowControl/>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sz w:val="28"/>
          <w:szCs w:val="28"/>
        </w:rPr>
        <w:t>签署日期：    年   月   日</w:t>
      </w:r>
    </w:p>
    <w:p>
      <w:pPr>
        <w:widowControl/>
        <w:jc w:val="left"/>
        <w:rPr>
          <w:rFonts w:ascii="宋体" w:hAnsi="宋体"/>
          <w:b/>
          <w:bCs/>
          <w:kern w:val="0"/>
          <w:sz w:val="24"/>
          <w:szCs w:val="20"/>
        </w:rPr>
      </w:pPr>
      <w:bookmarkStart w:id="122" w:name="_GoBack"/>
      <w:bookmarkEnd w:id="122"/>
    </w:p>
    <w:p>
      <w:pPr>
        <w:pStyle w:val="6"/>
        <w:rPr>
          <w:b/>
          <w:bCs/>
          <w:sz w:val="28"/>
          <w:szCs w:val="28"/>
        </w:rPr>
      </w:pPr>
      <w:r>
        <w:rPr>
          <w:rFonts w:hint="eastAsia"/>
          <w:b/>
          <w:bCs/>
          <w:sz w:val="28"/>
          <w:szCs w:val="28"/>
        </w:rPr>
        <w:t>第五章  合同条款及格式</w:t>
      </w:r>
    </w:p>
    <w:p>
      <w:pPr>
        <w:jc w:val="center"/>
        <w:outlineLvl w:val="0"/>
      </w:pPr>
      <w:r>
        <w:rPr>
          <w:rFonts w:hint="eastAsia"/>
          <w:b/>
          <w:sz w:val="24"/>
        </w:rPr>
        <w:t>（仅供参考，具体以项目需求及实际签订为准）</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cs="宋体"/>
          <w:b/>
          <w:bCs/>
          <w:spacing w:val="-20"/>
          <w:kern w:val="44"/>
          <w:sz w:val="48"/>
          <w:szCs w:val="48"/>
          <w:lang w:val="en-US" w:eastAsia="zh-CN" w:bidi="ar-SA"/>
        </w:rPr>
        <w:t>自行</w:t>
      </w:r>
      <w:r>
        <w:rPr>
          <w:rFonts w:hint="eastAsia" w:ascii="宋体" w:hAnsi="宋体" w:eastAsia="宋体" w:cs="宋体"/>
          <w:b/>
          <w:bCs/>
          <w:spacing w:val="-20"/>
          <w:kern w:val="44"/>
          <w:sz w:val="48"/>
          <w:szCs w:val="48"/>
          <w:lang w:val="en-US" w:eastAsia="zh-CN" w:bidi="ar-SA"/>
        </w:rPr>
        <w:t>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bidi w:val="0"/>
        <w:rPr>
          <w:rFonts w:hint="eastAsia"/>
          <w:lang w:val="en-US" w:eastAsia="zh-CN"/>
        </w:rPr>
      </w:pPr>
      <w:bookmarkStart w:id="62"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采购合同协议书</w:t>
      </w:r>
      <w:bookmarkEnd w:id="62"/>
    </w:p>
    <w:p>
      <w:pPr>
        <w:bidi w:val="0"/>
        <w:rPr>
          <w:rFonts w:hint="eastAsia"/>
          <w:lang w:val="en-US" w:eastAsia="zh-CN"/>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的招标文件等采购文件、乙方的《投标（响应）文件》及《中标（成交）通知书》，甲乙双方同意签订本合同。具体情况及要求如下：     </w:t>
      </w:r>
    </w:p>
    <w:p>
      <w:pPr>
        <w:numPr>
          <w:ilvl w:val="0"/>
          <w:numId w:val="12"/>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13"/>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12"/>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12"/>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12"/>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14"/>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12"/>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）投标（响应）文件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12"/>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12"/>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4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63" w:name="_Toc27624"/>
      <w:r>
        <w:rPr>
          <w:rFonts w:hint="eastAsia" w:ascii="黑体" w:hAnsi="黑体" w:eastAsia="黑体" w:cs="Times New Roman"/>
          <w:b w:val="0"/>
          <w:bCs w:val="0"/>
          <w:kern w:val="2"/>
          <w:sz w:val="28"/>
          <w:szCs w:val="28"/>
          <w:lang w:val="en-US" w:eastAsia="zh-CN" w:bidi="ar-SA"/>
        </w:rPr>
        <w:t>第二节 采购合同通用条款</w:t>
      </w:r>
      <w:bookmarkEnd w:id="63"/>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采购合同专用条款</w:t>
      </w:r>
      <w:r>
        <w:rPr>
          <w:rFonts w:hint="eastAsia" w:ascii="宋体" w:hAnsi="宋体" w:eastAsia="宋体"/>
          <w:szCs w:val="21"/>
          <w:lang w:eastAsia="zh-CN"/>
        </w:rPr>
        <w:t>，</w:t>
      </w:r>
      <w:r>
        <w:rPr>
          <w:rFonts w:hint="eastAsia" w:ascii="宋体" w:hAnsi="宋体" w:eastAsia="宋体"/>
          <w:szCs w:val="21"/>
        </w:rPr>
        <w:t>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rPr>
        <w:t>投标（响应）文件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供应商按采购文件、投标（响应）文件的规定，根据分包意向协议，将中标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b/>
          <w:bCs/>
          <w:color w:val="000000"/>
          <w:szCs w:val="21"/>
          <w:highlight w:val="none"/>
          <w:lang w:eastAsia="zh-CN"/>
        </w:rPr>
        <w:t>采购</w:t>
      </w:r>
      <w:r>
        <w:rPr>
          <w:rFonts w:hint="eastAsia" w:ascii="宋体" w:hAnsi="宋体" w:eastAsia="宋体"/>
          <w:b/>
          <w:bCs/>
          <w:color w:val="000000"/>
          <w:szCs w:val="21"/>
          <w:highlight w:val="none"/>
        </w:rPr>
        <w:t>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b/>
          <w:bCs/>
          <w:color w:val="000000"/>
          <w:szCs w:val="21"/>
          <w:highlight w:val="none"/>
          <w:lang w:eastAsia="zh-CN"/>
        </w:rPr>
        <w:t>采购</w:t>
      </w:r>
      <w:r>
        <w:rPr>
          <w:rFonts w:hint="eastAsia" w:ascii="宋体" w:hAnsi="宋体" w:eastAsia="宋体"/>
          <w:b/>
          <w:bCs/>
          <w:color w:val="000000"/>
          <w:szCs w:val="21"/>
          <w:highlight w:val="none"/>
        </w:rPr>
        <w:t>合同专用条款</w:t>
      </w:r>
      <w:r>
        <w:rPr>
          <w:rFonts w:hint="eastAsia" w:ascii="宋体" w:hAnsi="宋体" w:eastAsia="宋体"/>
          <w:color w:val="000000"/>
          <w:szCs w:val="21"/>
          <w:highlight w:val="none"/>
        </w:rPr>
        <w:t>】。</w:t>
      </w:r>
    </w:p>
    <w:p>
      <w:pPr>
        <w:numPr>
          <w:ilvl w:val="0"/>
          <w:numId w:val="15"/>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w:t>
      </w:r>
      <w:r>
        <w:rPr>
          <w:rFonts w:hint="eastAsia" w:ascii="宋体" w:hAnsi="宋体" w:cs="宋体"/>
          <w:b/>
          <w:bCs/>
          <w:szCs w:val="21"/>
          <w:highlight w:val="none"/>
          <w:lang w:eastAsia="zh-CN"/>
        </w:rPr>
        <w:t>采购</w:t>
      </w:r>
      <w:r>
        <w:rPr>
          <w:rFonts w:hint="eastAsia" w:ascii="宋体" w:hAnsi="宋体" w:eastAsia="宋体" w:cs="宋体"/>
          <w:b/>
          <w:bCs/>
          <w:szCs w:val="21"/>
          <w:highlight w:val="none"/>
        </w:rPr>
        <w:t>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w:t>
      </w:r>
      <w:r>
        <w:rPr>
          <w:rFonts w:hint="eastAsia" w:ascii="宋体" w:hAnsi="宋体" w:cs="宋体"/>
          <w:b/>
          <w:bCs/>
          <w:szCs w:val="21"/>
          <w:highlight w:val="none"/>
          <w:lang w:eastAsia="zh-CN"/>
        </w:rPr>
        <w:t>采购</w:t>
      </w:r>
      <w:r>
        <w:rPr>
          <w:rFonts w:hint="eastAsia" w:ascii="宋体" w:hAnsi="宋体" w:eastAsia="宋体" w:cs="宋体"/>
          <w:b/>
          <w:bCs/>
          <w:szCs w:val="21"/>
          <w:highlight w:val="none"/>
        </w:rPr>
        <w:t>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w:t>
      </w:r>
      <w:r>
        <w:rPr>
          <w:rFonts w:hint="eastAsia" w:ascii="宋体" w:hAnsi="宋体" w:cs="宋体"/>
          <w:b/>
          <w:bCs/>
          <w:kern w:val="2"/>
          <w:sz w:val="21"/>
          <w:szCs w:val="21"/>
          <w:highlight w:val="none"/>
          <w:lang w:val="en-US" w:eastAsia="zh-CN" w:bidi="ar-SA"/>
        </w:rPr>
        <w:t>采购</w:t>
      </w:r>
      <w:r>
        <w:rPr>
          <w:rFonts w:hint="eastAsia" w:ascii="宋体" w:hAnsi="宋体" w:eastAsia="宋体" w:cs="宋体"/>
          <w:b/>
          <w:bCs/>
          <w:kern w:val="2"/>
          <w:sz w:val="21"/>
          <w:szCs w:val="21"/>
          <w:highlight w:val="none"/>
          <w:lang w:val="en-US" w:eastAsia="zh-CN" w:bidi="ar-SA"/>
        </w:rPr>
        <w:t>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6"/>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w:t>
      </w:r>
      <w:r>
        <w:rPr>
          <w:rFonts w:hint="eastAsia" w:ascii="宋体" w:hAnsi="宋体" w:cs="宋体"/>
          <w:b/>
          <w:bCs/>
          <w:szCs w:val="21"/>
          <w:highlight w:val="none"/>
          <w:lang w:eastAsia="zh-CN"/>
        </w:rPr>
        <w:t>采购</w:t>
      </w:r>
      <w:r>
        <w:rPr>
          <w:rFonts w:hint="eastAsia" w:ascii="宋体" w:hAnsi="宋体" w:eastAsia="宋体" w:cs="宋体"/>
          <w:b/>
          <w:bCs/>
          <w:szCs w:val="21"/>
          <w:highlight w:val="none"/>
        </w:rPr>
        <w:t>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w:t>
      </w:r>
      <w:r>
        <w:rPr>
          <w:rFonts w:hint="eastAsia" w:ascii="宋体" w:hAnsi="宋体"/>
          <w:b/>
          <w:color w:val="000000"/>
          <w:szCs w:val="21"/>
          <w:highlight w:val="none"/>
          <w:lang w:eastAsia="zh-CN"/>
        </w:rPr>
        <w:t>采购</w:t>
      </w:r>
      <w:r>
        <w:rPr>
          <w:rFonts w:hint="eastAsia" w:ascii="宋体" w:hAnsi="宋体" w:eastAsia="宋体"/>
          <w:b/>
          <w:color w:val="000000"/>
          <w:szCs w:val="21"/>
          <w:highlight w:val="none"/>
        </w:rPr>
        <w:t>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w:t>
      </w:r>
      <w:r>
        <w:rPr>
          <w:rFonts w:hint="eastAsia" w:ascii="宋体" w:hAnsi="宋体"/>
          <w:b/>
          <w:color w:val="000000"/>
          <w:szCs w:val="21"/>
          <w:highlight w:val="none"/>
          <w:lang w:eastAsia="zh-CN"/>
        </w:rPr>
        <w:t>采购</w:t>
      </w:r>
      <w:r>
        <w:rPr>
          <w:rFonts w:hint="eastAsia" w:ascii="宋体" w:hAnsi="宋体" w:eastAsia="宋体"/>
          <w:b/>
          <w:color w:val="000000"/>
          <w:szCs w:val="21"/>
          <w:highlight w:val="none"/>
        </w:rPr>
        <w:t>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w:t>
      </w:r>
      <w:r>
        <w:rPr>
          <w:rFonts w:hint="eastAsia" w:ascii="宋体" w:hAnsi="宋体"/>
          <w:b/>
          <w:color w:val="000000"/>
          <w:szCs w:val="21"/>
          <w:highlight w:val="none"/>
          <w:lang w:eastAsia="zh-CN"/>
        </w:rPr>
        <w:t>采购</w:t>
      </w:r>
      <w:r>
        <w:rPr>
          <w:rFonts w:hint="eastAsia" w:ascii="宋体" w:hAnsi="宋体" w:eastAsia="宋体"/>
          <w:b/>
          <w:color w:val="000000"/>
          <w:szCs w:val="21"/>
          <w:highlight w:val="none"/>
        </w:rPr>
        <w:t>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w:t>
      </w:r>
      <w:r>
        <w:rPr>
          <w:rFonts w:hint="eastAsia" w:ascii="宋体" w:hAnsi="宋体"/>
          <w:b/>
          <w:color w:val="000000"/>
          <w:szCs w:val="21"/>
          <w:highlight w:val="none"/>
          <w:lang w:eastAsia="zh-CN"/>
        </w:rPr>
        <w:t>采购</w:t>
      </w:r>
      <w:r>
        <w:rPr>
          <w:rFonts w:hint="eastAsia" w:ascii="宋体" w:hAnsi="宋体" w:eastAsia="宋体"/>
          <w:b/>
          <w:color w:val="000000"/>
          <w:szCs w:val="21"/>
          <w:highlight w:val="none"/>
        </w:rPr>
        <w:t>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w:t>
      </w:r>
      <w:r>
        <w:rPr>
          <w:rFonts w:hint="eastAsia" w:ascii="宋体" w:hAnsi="宋体"/>
          <w:b/>
          <w:color w:val="auto"/>
          <w:szCs w:val="21"/>
          <w:highlight w:val="none"/>
          <w:lang w:eastAsia="zh-CN"/>
        </w:rPr>
        <w:t>采购</w:t>
      </w:r>
      <w:r>
        <w:rPr>
          <w:rFonts w:hint="eastAsia" w:ascii="宋体" w:hAnsi="宋体" w:eastAsia="宋体"/>
          <w:b/>
          <w:color w:val="auto"/>
          <w:szCs w:val="21"/>
          <w:highlight w:val="none"/>
        </w:rPr>
        <w:t>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w:t>
      </w:r>
      <w:r>
        <w:rPr>
          <w:rFonts w:hint="eastAsia" w:ascii="宋体" w:hAnsi="宋体"/>
          <w:b/>
          <w:color w:val="auto"/>
          <w:szCs w:val="21"/>
          <w:highlight w:val="none"/>
          <w:lang w:eastAsia="zh-CN"/>
        </w:rPr>
        <w:t>采购</w:t>
      </w:r>
      <w:r>
        <w:rPr>
          <w:rFonts w:hint="eastAsia" w:ascii="宋体" w:hAnsi="宋体" w:eastAsia="宋体"/>
          <w:b/>
          <w:color w:val="auto"/>
          <w:szCs w:val="21"/>
          <w:highlight w:val="none"/>
        </w:rPr>
        <w:t>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64"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64"/>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w:t>
      </w:r>
      <w:r>
        <w:rPr>
          <w:rFonts w:hint="eastAsia" w:ascii="宋体" w:hAnsi="宋体" w:cs="宋体"/>
          <w:b/>
          <w:bCs/>
          <w:szCs w:val="15"/>
          <w:lang w:eastAsia="zh-CN"/>
        </w:rPr>
        <w:t>采购</w:t>
      </w:r>
      <w:r>
        <w:rPr>
          <w:rFonts w:hint="eastAsia" w:ascii="宋体" w:hAnsi="宋体" w:eastAsia="宋体" w:cs="宋体"/>
          <w:b/>
          <w:bCs/>
          <w:szCs w:val="15"/>
        </w:rPr>
        <w:t>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autoSpaceDE w:val="0"/>
        <w:autoSpaceDN w:val="0"/>
        <w:adjustRightInd w:val="0"/>
        <w:snapToGrid w:val="0"/>
        <w:spacing w:before="0" w:line="400" w:lineRule="exact"/>
        <w:ind w:firstLine="420" w:firstLineChars="200"/>
        <w:jc w:val="left"/>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olor w:val="auto"/>
          <w:szCs w:val="21"/>
          <w:highlight w:val="none"/>
          <w:lang w:val="en-US" w:eastAsia="zh-CN"/>
        </w:rPr>
        <w:t>12.2 对于满足合同约定支付条件的，甲方原则上应当自收到发票后10个工作日内将资金</w:t>
      </w:r>
      <w:r>
        <w:rPr>
          <w:rFonts w:hint="eastAsia" w:ascii="宋体" w:hAnsi="宋体" w:eastAsia="宋体" w:cs="宋体"/>
          <w:szCs w:val="15"/>
          <w:lang w:val="en-US" w:eastAsia="zh-CN"/>
        </w:rPr>
        <w:t>支付</w:t>
      </w:r>
      <w:r>
        <w:rPr>
          <w:rFonts w:hint="eastAsia" w:ascii="宋体" w:hAnsi="宋体" w:eastAsia="宋体"/>
          <w:color w:val="auto"/>
          <w:szCs w:val="21"/>
          <w:highlight w:val="none"/>
          <w:lang w:val="en-US" w:eastAsia="zh-CN"/>
        </w:rPr>
        <w:t>到合同约定的乙方账户，不得以机构变动、人员更替、政策调整等为由迟延付款，不得将采购文件和合同中未规定的义务作为向乙</w:t>
      </w:r>
      <w:r>
        <w:rPr>
          <w:rFonts w:hint="eastAsia" w:ascii="宋体" w:hAnsi="宋体" w:eastAsia="宋体" w:cs="Times New Roman"/>
          <w:b w:val="0"/>
          <w:bCs w:val="0"/>
          <w:color w:val="auto"/>
          <w:kern w:val="2"/>
          <w:sz w:val="21"/>
          <w:szCs w:val="21"/>
          <w:highlight w:val="none"/>
          <w:lang w:val="en-US" w:eastAsia="zh-CN" w:bidi="ar-SA"/>
        </w:rPr>
        <w:t>方付款的条件。具体合同价款支付时间在【</w:t>
      </w:r>
      <w:r>
        <w:rPr>
          <w:rFonts w:hint="eastAsia" w:ascii="宋体" w:hAnsi="宋体" w:cs="Times New Roman"/>
          <w:b/>
          <w:bCs/>
          <w:color w:val="auto"/>
          <w:kern w:val="2"/>
          <w:sz w:val="21"/>
          <w:szCs w:val="21"/>
          <w:highlight w:val="none"/>
          <w:lang w:val="en-US" w:eastAsia="zh-CN" w:bidi="ar-SA"/>
        </w:rPr>
        <w:t>采购</w:t>
      </w:r>
      <w:r>
        <w:rPr>
          <w:rFonts w:hint="eastAsia" w:ascii="宋体" w:hAnsi="宋体" w:eastAsia="宋体" w:cs="Times New Roman"/>
          <w:b/>
          <w:bCs/>
          <w:color w:val="auto"/>
          <w:kern w:val="2"/>
          <w:sz w:val="21"/>
          <w:szCs w:val="21"/>
          <w:highlight w:val="none"/>
          <w:lang w:val="en-US" w:eastAsia="zh-CN" w:bidi="ar-SA"/>
        </w:rPr>
        <w:t>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w:t>
      </w:r>
      <w:r>
        <w:rPr>
          <w:rFonts w:hint="eastAsia" w:ascii="宋体" w:hAnsi="宋体" w:cs="宋体"/>
          <w:b/>
          <w:bCs/>
          <w:szCs w:val="15"/>
          <w:highlight w:val="none"/>
          <w:lang w:eastAsia="zh-CN"/>
        </w:rPr>
        <w:t>采购</w:t>
      </w:r>
      <w:r>
        <w:rPr>
          <w:rFonts w:hint="eastAsia" w:ascii="宋体" w:hAnsi="宋体" w:eastAsia="宋体" w:cs="宋体"/>
          <w:b/>
          <w:bCs/>
          <w:szCs w:val="15"/>
          <w:highlight w:val="none"/>
        </w:rPr>
        <w:t>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w:t>
      </w:r>
      <w:r>
        <w:rPr>
          <w:rFonts w:hint="eastAsia" w:ascii="宋体" w:hAnsi="宋体"/>
          <w:b/>
          <w:color w:val="auto"/>
          <w:szCs w:val="21"/>
          <w:highlight w:val="none"/>
          <w:lang w:eastAsia="zh-CN"/>
        </w:rPr>
        <w:t>采购</w:t>
      </w:r>
      <w:r>
        <w:rPr>
          <w:rFonts w:hint="eastAsia" w:ascii="宋体" w:hAnsi="宋体" w:eastAsia="宋体"/>
          <w:b/>
          <w:color w:val="auto"/>
          <w:szCs w:val="21"/>
          <w:highlight w:val="none"/>
        </w:rPr>
        <w:t>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w:t>
      </w:r>
      <w:r>
        <w:rPr>
          <w:rFonts w:hint="eastAsia" w:ascii="宋体" w:hAnsi="宋体"/>
          <w:b/>
          <w:color w:val="auto"/>
          <w:szCs w:val="21"/>
          <w:highlight w:val="none"/>
          <w:lang w:eastAsia="zh-CN"/>
        </w:rPr>
        <w:t>采购</w:t>
      </w:r>
      <w:r>
        <w:rPr>
          <w:rFonts w:hint="eastAsia" w:ascii="宋体" w:hAnsi="宋体" w:eastAsia="宋体"/>
          <w:b/>
          <w:color w:val="auto"/>
          <w:szCs w:val="21"/>
          <w:highlight w:val="none"/>
        </w:rPr>
        <w:t>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w:t>
      </w:r>
      <w:r>
        <w:rPr>
          <w:rFonts w:hint="eastAsia" w:ascii="宋体" w:hAnsi="宋体" w:cs="宋体"/>
          <w:b/>
          <w:bCs/>
          <w:szCs w:val="15"/>
          <w:highlight w:val="none"/>
          <w:lang w:eastAsia="zh-CN"/>
        </w:rPr>
        <w:t>采购</w:t>
      </w:r>
      <w:r>
        <w:rPr>
          <w:rFonts w:hint="eastAsia" w:ascii="宋体" w:hAnsi="宋体" w:eastAsia="宋体" w:cs="宋体"/>
          <w:b/>
          <w:bCs/>
          <w:szCs w:val="15"/>
          <w:highlight w:val="none"/>
        </w:rPr>
        <w:t>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w:t>
      </w:r>
      <w:r>
        <w:rPr>
          <w:rFonts w:hint="eastAsia" w:ascii="宋体" w:hAnsi="宋体" w:cs="宋体"/>
          <w:b/>
          <w:bCs/>
          <w:sz w:val="21"/>
          <w:szCs w:val="21"/>
          <w:lang w:val="en-US" w:eastAsia="zh-CN" w:bidi="ar-SA"/>
        </w:rPr>
        <w:t>采购</w:t>
      </w:r>
      <w:r>
        <w:rPr>
          <w:rFonts w:hint="eastAsia" w:ascii="宋体" w:hAnsi="宋体" w:eastAsia="宋体" w:cs="宋体"/>
          <w:b/>
          <w:bCs/>
          <w:sz w:val="21"/>
          <w:szCs w:val="21"/>
          <w:lang w:val="en-US" w:eastAsia="zh-CN" w:bidi="ar-SA"/>
        </w:rPr>
        <w:t>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w:t>
      </w:r>
      <w:r>
        <w:rPr>
          <w:rFonts w:hint="eastAsia" w:ascii="宋体" w:hAnsi="宋体"/>
          <w:b/>
          <w:color w:val="auto"/>
          <w:szCs w:val="21"/>
          <w:highlight w:val="none"/>
          <w:lang w:eastAsia="zh-CN"/>
        </w:rPr>
        <w:t>采购</w:t>
      </w:r>
      <w:r>
        <w:rPr>
          <w:rFonts w:hint="eastAsia" w:ascii="宋体" w:hAnsi="宋体" w:eastAsia="宋体"/>
          <w:b/>
          <w:color w:val="auto"/>
          <w:szCs w:val="21"/>
          <w:highlight w:val="none"/>
        </w:rPr>
        <w:t>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w:t>
      </w:r>
      <w:r>
        <w:rPr>
          <w:rFonts w:hint="eastAsia" w:ascii="宋体" w:hAnsi="宋体"/>
          <w:b/>
          <w:color w:val="auto"/>
          <w:szCs w:val="21"/>
          <w:highlight w:val="none"/>
          <w:lang w:eastAsia="zh-CN"/>
        </w:rPr>
        <w:t>采购</w:t>
      </w:r>
      <w:r>
        <w:rPr>
          <w:rFonts w:hint="eastAsia" w:ascii="宋体" w:hAnsi="宋体" w:eastAsia="宋体"/>
          <w:b/>
          <w:color w:val="auto"/>
          <w:szCs w:val="21"/>
          <w:highlight w:val="none"/>
        </w:rPr>
        <w:t>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w:t>
      </w:r>
      <w:r>
        <w:rPr>
          <w:rFonts w:hint="eastAsia" w:ascii="宋体" w:hAnsi="宋体"/>
          <w:b/>
          <w:color w:val="auto"/>
          <w:szCs w:val="21"/>
          <w:highlight w:val="none"/>
          <w:lang w:eastAsia="zh-CN"/>
        </w:rPr>
        <w:t>采购</w:t>
      </w:r>
      <w:r>
        <w:rPr>
          <w:rFonts w:hint="eastAsia" w:ascii="宋体" w:hAnsi="宋体" w:eastAsia="宋体"/>
          <w:b/>
          <w:color w:val="auto"/>
          <w:szCs w:val="21"/>
          <w:highlight w:val="none"/>
        </w:rPr>
        <w:t>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w:t>
      </w:r>
      <w:r>
        <w:rPr>
          <w:rFonts w:hint="eastAsia" w:ascii="宋体" w:hAnsi="宋体"/>
          <w:b/>
          <w:bCs/>
          <w:color w:val="auto"/>
          <w:szCs w:val="21"/>
          <w:highlight w:val="none"/>
          <w:lang w:eastAsia="zh-CN"/>
        </w:rPr>
        <w:t>采购</w:t>
      </w:r>
      <w:r>
        <w:rPr>
          <w:rFonts w:hint="eastAsia" w:ascii="宋体" w:hAnsi="宋体" w:eastAsia="宋体"/>
          <w:b/>
          <w:bCs/>
          <w:color w:val="auto"/>
          <w:szCs w:val="21"/>
          <w:highlight w:val="none"/>
        </w:rPr>
        <w:t>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w:t>
      </w:r>
      <w:r>
        <w:rPr>
          <w:rFonts w:hint="eastAsia" w:ascii="宋体" w:hAnsi="宋体"/>
          <w:b/>
          <w:bCs/>
          <w:color w:val="auto"/>
          <w:szCs w:val="21"/>
          <w:highlight w:val="none"/>
          <w:lang w:eastAsia="zh-CN"/>
        </w:rPr>
        <w:t>采购</w:t>
      </w:r>
      <w:r>
        <w:rPr>
          <w:rFonts w:hint="eastAsia" w:ascii="宋体" w:hAnsi="宋体" w:eastAsia="宋体"/>
          <w:b/>
          <w:bCs/>
          <w:color w:val="auto"/>
          <w:szCs w:val="21"/>
          <w:highlight w:val="none"/>
        </w:rPr>
        <w:t>合同专用条款】</w:t>
      </w:r>
      <w:r>
        <w:rPr>
          <w:rFonts w:hint="eastAsia" w:ascii="宋体" w:hAnsi="宋体" w:eastAsia="宋体"/>
          <w:color w:val="auto"/>
          <w:szCs w:val="21"/>
          <w:highlight w:val="none"/>
        </w:rPr>
        <w:t>规定执行。</w:t>
      </w:r>
    </w:p>
    <w:p>
      <w:pPr>
        <w:numPr>
          <w:ilvl w:val="0"/>
          <w:numId w:val="17"/>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color w:val="auto"/>
          <w:szCs w:val="21"/>
          <w:highlight w:val="none"/>
          <w:lang w:eastAsia="zh-CN"/>
        </w:rPr>
        <w:t>采购</w:t>
      </w:r>
      <w:r>
        <w:rPr>
          <w:rFonts w:hint="eastAsia" w:ascii="宋体" w:hAnsi="宋体" w:eastAsia="宋体"/>
          <w:color w:val="auto"/>
          <w:szCs w:val="21"/>
          <w:highlight w:val="none"/>
          <w:lang w:eastAsia="zh-CN"/>
        </w:rPr>
        <w:t>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cs="宋体"/>
          <w:sz w:val="21"/>
          <w:szCs w:val="21"/>
          <w:lang w:val="en-US" w:eastAsia="zh-CN" w:bidi="ar-SA"/>
        </w:rPr>
        <w:t>采购</w:t>
      </w:r>
      <w:r>
        <w:rPr>
          <w:rFonts w:hint="eastAsia" w:ascii="宋体" w:hAnsi="宋体" w:eastAsia="宋体" w:cs="宋体"/>
          <w:sz w:val="21"/>
          <w:szCs w:val="21"/>
          <w:lang w:val="en-US" w:eastAsia="zh-CN" w:bidi="ar-SA"/>
        </w:rPr>
        <w:t>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根据采购文件和投标（响应）文件规定进行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w:t>
      </w:r>
      <w:r>
        <w:rPr>
          <w:rFonts w:hint="eastAsia" w:ascii="宋体" w:hAnsi="宋体"/>
          <w:color w:val="auto"/>
          <w:szCs w:val="21"/>
          <w:highlight w:val="none"/>
          <w:lang w:eastAsia="zh-CN"/>
        </w:rPr>
        <w:t>采购</w:t>
      </w:r>
      <w:r>
        <w:rPr>
          <w:rFonts w:hint="eastAsia" w:ascii="宋体" w:hAnsi="宋体" w:eastAsia="宋体"/>
          <w:color w:val="auto"/>
          <w:szCs w:val="21"/>
          <w:highlight w:val="none"/>
        </w:rPr>
        <w:t>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w:t>
      </w:r>
      <w:r>
        <w:rPr>
          <w:rFonts w:hint="eastAsia" w:ascii="宋体" w:hAnsi="宋体" w:eastAsia="宋体"/>
          <w:color w:val="auto"/>
          <w:szCs w:val="21"/>
          <w:highlight w:val="none"/>
        </w:rPr>
        <w:t>投标（响应）文件签订分包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w:t>
      </w:r>
      <w:r>
        <w:rPr>
          <w:rFonts w:hint="eastAsia" w:ascii="宋体" w:hAnsi="宋体" w:cs="宋体"/>
          <w:b/>
          <w:bCs/>
          <w:color w:val="auto"/>
          <w:sz w:val="21"/>
          <w:szCs w:val="21"/>
          <w:highlight w:val="none"/>
          <w:lang w:val="en-US" w:eastAsia="zh-CN" w:bidi="ar-SA"/>
        </w:rPr>
        <w:t>采购</w:t>
      </w:r>
      <w:r>
        <w:rPr>
          <w:rFonts w:hint="eastAsia" w:ascii="宋体" w:hAnsi="宋体" w:eastAsia="宋体" w:cs="宋体"/>
          <w:b/>
          <w:bCs/>
          <w:color w:val="auto"/>
          <w:sz w:val="21"/>
          <w:szCs w:val="21"/>
          <w:highlight w:val="none"/>
          <w:lang w:val="en-US" w:eastAsia="zh-CN" w:bidi="ar-SA"/>
        </w:rPr>
        <w:t>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w:t>
      </w:r>
      <w:r>
        <w:rPr>
          <w:rFonts w:hint="eastAsia" w:ascii="宋体" w:hAnsi="宋体" w:cs="宋体"/>
          <w:b/>
          <w:bCs/>
          <w:color w:val="auto"/>
          <w:sz w:val="21"/>
          <w:szCs w:val="21"/>
          <w:highlight w:val="none"/>
          <w:lang w:val="en-US" w:eastAsia="zh-CN" w:bidi="ar-SA"/>
        </w:rPr>
        <w:t>采购</w:t>
      </w:r>
      <w:r>
        <w:rPr>
          <w:rFonts w:hint="eastAsia" w:ascii="宋体" w:hAnsi="宋体" w:eastAsia="宋体" w:cs="宋体"/>
          <w:b/>
          <w:bCs/>
          <w:color w:val="auto"/>
          <w:sz w:val="21"/>
          <w:szCs w:val="21"/>
          <w:highlight w:val="none"/>
          <w:lang w:val="en-US" w:eastAsia="zh-CN" w:bidi="ar-SA"/>
        </w:rPr>
        <w:t>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b/>
          <w:color w:val="auto"/>
          <w:sz w:val="24"/>
          <w:highlight w:val="none"/>
          <w:lang w:eastAsia="zh-CN"/>
        </w:rPr>
        <w:t>采购</w:t>
      </w:r>
      <w:r>
        <w:rPr>
          <w:rFonts w:hint="eastAsia" w:ascii="宋体" w:hAnsi="宋体" w:eastAsia="宋体"/>
          <w:b/>
          <w:color w:val="auto"/>
          <w:sz w:val="24"/>
          <w:highlight w:val="none"/>
        </w:rPr>
        <w:t>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w:t>
      </w:r>
      <w:r>
        <w:rPr>
          <w:rFonts w:hint="eastAsia" w:ascii="宋体" w:hAnsi="宋体" w:cs="宋体"/>
          <w:sz w:val="21"/>
          <w:szCs w:val="21"/>
          <w:lang w:val="en-US" w:eastAsia="zh-CN" w:bidi="ar-SA"/>
        </w:rPr>
        <w:t>采购</w:t>
      </w:r>
      <w:r>
        <w:rPr>
          <w:rFonts w:hint="eastAsia" w:ascii="宋体" w:hAnsi="宋体" w:eastAsia="宋体" w:cs="宋体"/>
          <w:sz w:val="21"/>
          <w:szCs w:val="21"/>
          <w:lang w:val="en-US" w:eastAsia="zh-CN" w:bidi="ar-SA"/>
        </w:rPr>
        <w:t>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8"/>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w:t>
      </w:r>
      <w:r>
        <w:rPr>
          <w:rFonts w:hint="eastAsia" w:ascii="宋体" w:hAnsi="宋体"/>
          <w:b/>
          <w:color w:val="auto"/>
          <w:szCs w:val="21"/>
          <w:highlight w:val="none"/>
          <w:lang w:eastAsia="zh-CN"/>
        </w:rPr>
        <w:t>采购</w:t>
      </w:r>
      <w:r>
        <w:rPr>
          <w:rFonts w:hint="eastAsia" w:ascii="宋体" w:hAnsi="宋体" w:eastAsia="宋体"/>
          <w:b/>
          <w:color w:val="auto"/>
          <w:szCs w:val="21"/>
          <w:highlight w:val="none"/>
        </w:rPr>
        <w:t>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65"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采购合同专用条款</w:t>
      </w:r>
      <w:bookmarkEnd w:id="65"/>
    </w:p>
    <w:tbl>
      <w:tblPr>
        <w:tblStyle w:val="4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widowControl/>
        <w:jc w:val="left"/>
        <w:rPr>
          <w:rFonts w:ascii="宋体" w:hAnsi="宋体"/>
          <w:szCs w:val="21"/>
        </w:rPr>
      </w:pPr>
      <w:r>
        <w:rPr>
          <w:rFonts w:ascii="宋体" w:hAnsi="宋体"/>
          <w:szCs w:val="21"/>
        </w:rPr>
        <w:br w:type="page"/>
      </w:r>
    </w:p>
    <w:p>
      <w:pPr>
        <w:pStyle w:val="6"/>
        <w:spacing w:before="120" w:beforeLines="50" w:after="120" w:afterLines="50"/>
        <w:ind w:left="562"/>
        <w:rPr>
          <w:sz w:val="28"/>
          <w:szCs w:val="28"/>
        </w:rPr>
      </w:pPr>
      <w:r>
        <w:rPr>
          <w:rFonts w:hint="eastAsia"/>
          <w:sz w:val="28"/>
          <w:szCs w:val="28"/>
        </w:rPr>
        <w:t>第二册  通用条款（公开招标）</w:t>
      </w:r>
    </w:p>
    <w:p>
      <w:pPr>
        <w:pStyle w:val="79"/>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66" w:name="_Hlk72399513"/>
      <w:bookmarkStart w:id="67" w:name="_Hlk72439706"/>
      <w:r>
        <w:rPr>
          <w:rFonts w:hint="eastAsia" w:asciiTheme="majorHAnsi" w:hAnsiTheme="majorHAnsi" w:eastAsiaTheme="majorEastAsia" w:cstheme="majorBidi"/>
          <w:b/>
          <w:bCs/>
          <w:sz w:val="28"/>
          <w:szCs w:val="28"/>
        </w:rPr>
        <w:t>总则</w:t>
      </w:r>
    </w:p>
    <w:bookmarkEnd w:id="66"/>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68" w:name="_Hlk72399729"/>
      <w:r>
        <w:rPr>
          <w:rFonts w:hint="eastAsia" w:ascii="宋体" w:hAnsi="宋体"/>
          <w:szCs w:val="21"/>
        </w:rPr>
        <w:t>如有需要，政府集中采购机构可以对通用条款的内容进行补充。</w:t>
      </w:r>
      <w:bookmarkEnd w:id="68"/>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w:t>
      </w:r>
      <w:r>
        <w:rPr>
          <w:rFonts w:hint="eastAsia" w:ascii="Arial" w:hAnsi="Arial" w:cs="Arial"/>
          <w:szCs w:val="21"/>
          <w:shd w:val="clear" w:color="auto" w:fill="FFFFFF"/>
          <w:lang w:eastAsia="zh-CN"/>
        </w:rPr>
        <w:t>采购</w:t>
      </w:r>
      <w:r>
        <w:rPr>
          <w:rFonts w:hint="eastAsia" w:ascii="Arial" w:hAnsi="Arial" w:cs="Arial"/>
          <w:szCs w:val="21"/>
          <w:shd w:val="clear" w:color="auto" w:fill="FFFFFF"/>
        </w:rPr>
        <w:t>项目，并对</w:t>
      </w:r>
      <w:r>
        <w:rPr>
          <w:rFonts w:hint="eastAsia" w:ascii="Arial" w:hAnsi="Arial" w:cs="Arial"/>
          <w:szCs w:val="21"/>
          <w:shd w:val="clear" w:color="auto" w:fill="FFFFFF"/>
          <w:lang w:eastAsia="zh-CN"/>
        </w:rPr>
        <w:t>采购</w:t>
      </w:r>
      <w:r>
        <w:rPr>
          <w:rFonts w:hint="eastAsia" w:ascii="Arial" w:hAnsi="Arial" w:cs="Arial"/>
          <w:szCs w:val="21"/>
          <w:shd w:val="clear" w:color="auto" w:fill="FFFFFF"/>
        </w:rPr>
        <w:t>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市自行采购系统投标文件制作专用软件（以下简称：投标文件制作软件）制作并加密的投标文件,适用于网上投标；（投标文件制作软件可从“下载地址：https://www.szggzy.com/jyfw/details.html?contentId=2053275深圳市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深圳市自行采购系统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69"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深圳市自行采购系统（具体在深圳交易集团有限公司政府采购业务分公司进行办理）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w:t>
      </w:r>
      <w:r>
        <w:rPr>
          <w:rFonts w:hint="eastAsia" w:ascii="宋体" w:hAnsi="宋体"/>
          <w:szCs w:val="21"/>
          <w:lang w:val="en-US" w:eastAsia="zh-CN"/>
        </w:rPr>
        <w:t>-资料下载</w:t>
      </w:r>
      <w:r>
        <w:rPr>
          <w:rFonts w:hint="eastAsia" w:ascii="宋体" w:hAnsi="宋体"/>
          <w:szCs w:val="21"/>
        </w:rPr>
        <w:t>”。</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w:t>
      </w:r>
      <w:r>
        <w:rPr>
          <w:rFonts w:hint="eastAsia" w:ascii="宋体" w:hAnsi="宋体"/>
          <w:szCs w:val="21"/>
          <w:lang w:eastAsia="zh-CN"/>
        </w:rPr>
        <w:t>采购</w:t>
      </w:r>
      <w:r>
        <w:rPr>
          <w:rFonts w:hint="eastAsia" w:ascii="宋体" w:hAnsi="宋体"/>
          <w:szCs w:val="21"/>
        </w:rPr>
        <w:t>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w:t>
      </w:r>
      <w:r>
        <w:rPr>
          <w:rFonts w:hint="eastAsia" w:ascii="宋体" w:hAnsi="宋体"/>
          <w:szCs w:val="21"/>
          <w:lang w:eastAsia="zh-CN"/>
        </w:rPr>
        <w:t>采购</w:t>
      </w:r>
      <w:r>
        <w:rPr>
          <w:rFonts w:hint="eastAsia" w:ascii="宋体" w:hAnsi="宋体"/>
          <w:szCs w:val="21"/>
        </w:rPr>
        <w:t>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深圳市自行采购系统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w:t>
      </w:r>
      <w:r>
        <w:rPr>
          <w:rFonts w:hint="eastAsia" w:ascii="宋体" w:hAnsi="宋体"/>
          <w:szCs w:val="21"/>
          <w:lang w:eastAsia="zh-CN"/>
        </w:rPr>
        <w:t>采购</w:t>
      </w:r>
      <w:r>
        <w:rPr>
          <w:rFonts w:hint="eastAsia" w:ascii="宋体" w:hAnsi="宋体"/>
          <w:szCs w:val="21"/>
        </w:rPr>
        <w:t>活动的，联合体各方不得再单独参加或者与其他供应商另外组成联合体参加同一合同项下的</w:t>
      </w:r>
      <w:r>
        <w:rPr>
          <w:rFonts w:hint="eastAsia" w:ascii="宋体" w:hAnsi="宋体"/>
          <w:szCs w:val="21"/>
          <w:lang w:eastAsia="zh-CN"/>
        </w:rPr>
        <w:t>采购</w:t>
      </w:r>
      <w:r>
        <w:rPr>
          <w:rFonts w:hint="eastAsia" w:ascii="宋体" w:hAnsi="宋体"/>
          <w:szCs w:val="21"/>
        </w:rPr>
        <w:t>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lang w:eastAsia="zh-CN"/>
        </w:rPr>
        <w:t>采购</w:t>
      </w:r>
      <w:r>
        <w:rPr>
          <w:rFonts w:hint="eastAsia" w:ascii="宋体" w:hAnsi="宋体"/>
          <w:szCs w:val="21"/>
        </w:rPr>
        <w:t>扶持贫困地区、中小企业、监狱企业和残疾人福利性单位发展，支持节能减排、环境保护。</w:t>
      </w:r>
    </w:p>
    <w:p>
      <w:pPr>
        <w:ind w:firstLine="420" w:firstLineChars="200"/>
        <w:rPr>
          <w:szCs w:val="21"/>
          <w:shd w:val="clear" w:color="auto" w:fill="FFFFFF"/>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70"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70"/>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69"/>
    <w:p>
      <w:pPr>
        <w:ind w:firstLine="411" w:firstLineChars="196"/>
        <w:rPr>
          <w:rFonts w:ascii="宋体" w:hAnsi="宋体"/>
        </w:rPr>
      </w:pPr>
    </w:p>
    <w:p>
      <w:pPr>
        <w:pStyle w:val="79"/>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71"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w:t>
      </w:r>
      <w:r>
        <w:rPr>
          <w:rFonts w:hint="eastAsia" w:ascii="宋体" w:hAnsi="宋体"/>
          <w:color w:val="FF0000"/>
          <w:szCs w:val="21"/>
          <w:lang w:val="en-US" w:eastAsia="zh-CN"/>
        </w:rPr>
        <w:t>将疑问内容加盖公章书面</w:t>
      </w:r>
      <w:r>
        <w:rPr>
          <w:rFonts w:hint="eastAsia" w:ascii="宋体" w:hAnsi="宋体"/>
          <w:color w:val="FF0000"/>
          <w:szCs w:val="21"/>
        </w:rPr>
        <w:t>提交</w:t>
      </w:r>
      <w:r>
        <w:rPr>
          <w:rFonts w:hint="eastAsia" w:ascii="宋体" w:hAnsi="宋体"/>
          <w:color w:val="FF0000"/>
          <w:szCs w:val="21"/>
          <w:lang w:val="en-US" w:eastAsia="zh-CN"/>
        </w:rPr>
        <w:t>至</w:t>
      </w:r>
      <w:r>
        <w:rPr>
          <w:rFonts w:hint="eastAsia" w:ascii="宋体" w:hAnsi="宋体"/>
          <w:color w:val="FF0000"/>
          <w:szCs w:val="21"/>
        </w:rPr>
        <w:t>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71"/>
    </w:p>
    <w:p>
      <w:pPr>
        <w:rPr>
          <w:rFonts w:ascii="宋体" w:hAnsi="宋体"/>
          <w:szCs w:val="21"/>
        </w:rPr>
      </w:pPr>
    </w:p>
    <w:p>
      <w:pPr>
        <w:pStyle w:val="79"/>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72"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72"/>
    <w:p>
      <w:pPr>
        <w:ind w:firstLine="420" w:firstLineChars="200"/>
        <w:rPr>
          <w:rFonts w:ascii="黑体" w:hAnsi="宋体" w:eastAsia="黑体"/>
          <w:szCs w:val="21"/>
        </w:rPr>
      </w:pPr>
      <w:r>
        <w:rPr>
          <w:rFonts w:hint="eastAsia" w:ascii="黑体" w:hAnsi="宋体" w:eastAsia="黑体"/>
          <w:szCs w:val="21"/>
        </w:rPr>
        <w:t>15．</w:t>
      </w:r>
      <w:bookmarkStart w:id="73"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73"/>
    <w:p>
      <w:pPr>
        <w:ind w:firstLine="420" w:firstLineChars="200"/>
        <w:rPr>
          <w:rFonts w:ascii="黑体" w:hAnsi="宋体" w:eastAsia="黑体"/>
          <w:szCs w:val="21"/>
        </w:rPr>
      </w:pPr>
      <w:r>
        <w:rPr>
          <w:rFonts w:hint="eastAsia" w:ascii="黑体" w:hAnsi="宋体" w:eastAsia="黑体"/>
          <w:szCs w:val="21"/>
        </w:rPr>
        <w:t>18．</w:t>
      </w:r>
      <w:bookmarkStart w:id="74"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74"/>
    <w:p>
      <w:pPr>
        <w:ind w:firstLine="420" w:firstLineChars="200"/>
        <w:rPr>
          <w:rFonts w:ascii="黑体" w:hAnsi="宋体" w:eastAsia="黑体"/>
          <w:szCs w:val="21"/>
        </w:rPr>
      </w:pPr>
      <w:r>
        <w:rPr>
          <w:rFonts w:hint="eastAsia" w:ascii="黑体" w:hAnsi="宋体" w:eastAsia="黑体"/>
          <w:szCs w:val="21"/>
        </w:rPr>
        <w:t>19．</w:t>
      </w:r>
      <w:bookmarkStart w:id="75"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76" w:name="_Hlk71407299"/>
    </w:p>
    <w:bookmarkEnd w:id="76"/>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75"/>
    <w:p>
      <w:pPr>
        <w:ind w:firstLine="420" w:firstLineChars="200"/>
        <w:rPr>
          <w:rFonts w:ascii="宋体" w:hAnsi="宋体"/>
          <w:szCs w:val="21"/>
        </w:rPr>
      </w:pPr>
      <w:bookmarkStart w:id="77"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77"/>
    <w:p>
      <w:pPr>
        <w:ind w:firstLine="420" w:firstLineChars="200"/>
        <w:rPr>
          <w:rFonts w:ascii="黑体" w:hAnsi="宋体" w:eastAsia="黑体"/>
          <w:szCs w:val="21"/>
        </w:rPr>
      </w:pPr>
      <w:r>
        <w:rPr>
          <w:rFonts w:hint="eastAsia" w:ascii="黑体" w:hAnsi="宋体" w:eastAsia="黑体"/>
          <w:szCs w:val="21"/>
        </w:rPr>
        <w:t>21．</w:t>
      </w:r>
      <w:bookmarkStart w:id="78"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78"/>
    <w:p>
      <w:pPr>
        <w:ind w:firstLine="420" w:firstLineChars="200"/>
        <w:rPr>
          <w:rFonts w:ascii="黑体" w:hAnsi="宋体" w:eastAsia="黑体"/>
          <w:szCs w:val="21"/>
        </w:rPr>
      </w:pPr>
      <w:r>
        <w:rPr>
          <w:rFonts w:hint="eastAsia" w:ascii="黑体" w:hAnsi="宋体" w:eastAsia="黑体"/>
          <w:szCs w:val="21"/>
        </w:rPr>
        <w:t>23．</w:t>
      </w:r>
      <w:bookmarkStart w:id="79"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23.2.2不能用非本公司的电子密钥加密本公司的投标文件，或者用其它公司的登录用户上传本公司的投标文件。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23.2.3要求用《投标书编制软件》编制投标书的包，不能用其它方式编制投标书。编制投标文件时，电脑须连通互联网。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23.2.4投标文件不能带病毒。政府集中采购机构将用专业杀毒软件对投标文件进行病毒检测，如果这两种软件均报告发现病毒，则政府集中采购机构认为该投标文件带病毒。</w:t>
      </w:r>
    </w:p>
    <w:p>
      <w:pPr>
        <w:ind w:firstLine="420" w:firstLineChars="200"/>
        <w:rPr>
          <w:rFonts w:ascii="宋体" w:hAnsi="宋体"/>
          <w:szCs w:val="21"/>
        </w:rPr>
      </w:pPr>
      <w:r>
        <w:rPr>
          <w:rFonts w:hint="eastAsia" w:ascii="宋体" w:hAnsi="宋体"/>
          <w:szCs w:val="21"/>
        </w:rPr>
        <w:t>23.2.6投标人在编辑投标文件时，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23.2.7投标文件编写完成后，</w:t>
      </w:r>
      <w:r>
        <w:rPr>
          <w:rFonts w:hint="eastAsia" w:ascii="宋体" w:hAnsi="宋体"/>
          <w:b/>
          <w:szCs w:val="21"/>
        </w:rPr>
        <w:t>必须用属于投标人的电子密钥进行加密，否则视同未盖公章，将导致投标文件无效。</w:t>
      </w:r>
    </w:p>
    <w:p>
      <w:pPr>
        <w:ind w:firstLine="420" w:firstLineChars="200"/>
        <w:rPr>
          <w:rFonts w:ascii="宋体" w:hAnsi="宋体"/>
          <w:szCs w:val="21"/>
        </w:rPr>
      </w:pPr>
      <w:r>
        <w:rPr>
          <w:rFonts w:hint="eastAsia" w:ascii="宋体" w:hAnsi="宋体"/>
          <w:szCs w:val="21"/>
        </w:rPr>
        <w:t>23.2.8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23.2.9如果开标时出现网络故障、技术故障，影响了采购活动，政府集中采购机构有权采取措施如延期、接受无法从网上上传的投标书等，以保障采购活动的公开、公平和公正。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23.4经投标人电子密钥加密的投标文件无须盖章或签字，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79"/>
    </w:p>
    <w:p>
      <w:pPr>
        <w:ind w:firstLine="411" w:firstLineChars="196"/>
        <w:rPr>
          <w:rFonts w:ascii="宋体" w:hAnsi="宋体"/>
          <w:szCs w:val="21"/>
        </w:rPr>
      </w:pPr>
    </w:p>
    <w:p>
      <w:pPr>
        <w:pStyle w:val="79"/>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80"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1实行网上投标，</w:t>
      </w:r>
      <w:r>
        <w:rPr>
          <w:rFonts w:ascii="宋体" w:hAnsi="宋体"/>
          <w:szCs w:val="21"/>
        </w:rPr>
        <w:t>投标人必须</w:t>
      </w:r>
      <w:r>
        <w:rPr>
          <w:rFonts w:hint="eastAsia" w:ascii="宋体" w:hAnsi="宋体"/>
          <w:szCs w:val="21"/>
        </w:rPr>
        <w:t>在招标</w:t>
      </w:r>
      <w:r>
        <w:rPr>
          <w:rFonts w:ascii="宋体" w:hAnsi="宋体"/>
          <w:szCs w:val="21"/>
        </w:rPr>
        <w:t>文件规定的投标截止时间前</w:t>
      </w:r>
      <w:r>
        <w:rPr>
          <w:rFonts w:hint="eastAsia" w:ascii="宋体" w:hAnsi="宋体"/>
          <w:szCs w:val="21"/>
        </w:rPr>
        <w:t>用电子密钥登录“深圳市自行采购系统（https://trade.szggzy.com/ggzy/center/#/login）”上传投标文件。如上传过程中遇到问题，可拨打采购公告中的技术支持电话。如多次上传均告失败，请在投标截止时间之前携带加密后的电子投标文件送达至</w:t>
      </w:r>
      <w:r>
        <w:rPr>
          <w:rFonts w:hint="eastAsia" w:ascii="宋体" w:hAnsi="宋体"/>
          <w:b/>
          <w:bCs/>
          <w:szCs w:val="21"/>
        </w:rPr>
        <w:t>深圳公共资源交易中心（深圳交易集团有限公司政府采购业务分公司）3楼服务大厅（地址：深圳市南山区沙河西路3185号南山智谷A座深圳交易集团总部大楼）</w:t>
      </w:r>
      <w:r>
        <w:rPr>
          <w:rFonts w:ascii="宋体" w:hAnsi="宋体"/>
          <w:b/>
          <w:bCs/>
          <w:szCs w:val="21"/>
        </w:rPr>
        <w:t>协助上传</w:t>
      </w:r>
      <w:r>
        <w:rPr>
          <w:rFonts w:hint="eastAsia" w:ascii="宋体" w:hAnsi="宋体"/>
          <w:b/>
          <w:bCs/>
          <w:szCs w:val="21"/>
        </w:rPr>
        <w:t>，</w:t>
      </w:r>
      <w:r>
        <w:rPr>
          <w:rFonts w:ascii="宋体" w:hAnsi="宋体"/>
          <w:b/>
          <w:bCs/>
          <w:szCs w:val="21"/>
        </w:rPr>
        <w:t>但上传过程</w:t>
      </w:r>
      <w:r>
        <w:rPr>
          <w:rFonts w:hint="eastAsia" w:ascii="宋体" w:hAnsi="宋体"/>
          <w:b/>
          <w:bCs/>
          <w:szCs w:val="21"/>
        </w:rPr>
        <w:t>中</w:t>
      </w:r>
      <w:r>
        <w:rPr>
          <w:rFonts w:ascii="宋体" w:hAnsi="宋体"/>
          <w:b/>
          <w:bCs/>
          <w:szCs w:val="21"/>
        </w:rPr>
        <w:t>投标截止时间到达仍无法上传成功的，由投标人自行负责</w:t>
      </w:r>
      <w:r>
        <w:rPr>
          <w:rFonts w:hint="eastAsia" w:ascii="宋体" w:hAnsi="宋体"/>
          <w:szCs w:val="21"/>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80"/>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81"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81"/>
    <w:p>
      <w:pPr>
        <w:pStyle w:val="79"/>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市自行采购系统（https://trade.szggzy.com/ggzy/center/#/login）”，使用本单位制作电子投标文件同一个电子密钥进行在线解密、查询开标情况。</w:t>
      </w:r>
    </w:p>
    <w:p>
      <w:pPr>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79"/>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82"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82"/>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79"/>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83"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83"/>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84" w:name="_Toc73517673"/>
      <w:bookmarkStart w:id="85" w:name="_Toc73521669"/>
      <w:bookmarkStart w:id="86" w:name="_Toc100052400"/>
      <w:bookmarkStart w:id="87" w:name="_Toc73521581"/>
      <w:bookmarkStart w:id="88" w:name="_Toc73518151"/>
      <w:r>
        <w:rPr>
          <w:rFonts w:hint="eastAsia" w:ascii="黑体" w:hAnsi="宋体" w:eastAsia="黑体"/>
          <w:szCs w:val="21"/>
        </w:rPr>
        <w:t>34．错误的修正</w:t>
      </w:r>
      <w:bookmarkEnd w:id="84"/>
      <w:bookmarkEnd w:id="85"/>
      <w:bookmarkEnd w:id="86"/>
      <w:bookmarkEnd w:id="87"/>
      <w:bookmarkEnd w:id="88"/>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hint="eastAsia" w:ascii="ˎ̥" w:hAnsi="ˎ̥"/>
          <w:szCs w:val="21"/>
        </w:rPr>
      </w:pPr>
      <w:bookmarkStart w:id="89"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hint="eastAsia"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89"/>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79"/>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90"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91" w:name="_Hlk73821177"/>
      <w:r>
        <w:rPr>
          <w:rFonts w:hint="eastAsia" w:ascii="ˎ̥" w:hAnsi="ˎ̥"/>
          <w:szCs w:val="21"/>
        </w:rPr>
        <w:t>唯一候选中标供应商</w:t>
      </w:r>
      <w:bookmarkEnd w:id="91"/>
      <w:r>
        <w:rPr>
          <w:rFonts w:ascii="ˎ̥" w:hAnsi="ˎ̥"/>
          <w:szCs w:val="21"/>
        </w:rPr>
        <w:t>。</w:t>
      </w:r>
    </w:p>
    <w:p>
      <w:pPr>
        <w:ind w:firstLine="420" w:firstLineChars="200"/>
        <w:rPr>
          <w:rFonts w:hint="eastAsia"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92" w:name="_Hlk71469733"/>
      <w:r>
        <w:rPr>
          <w:szCs w:val="21"/>
        </w:rPr>
        <w:t>适用评定分离的</w:t>
      </w:r>
      <w:r>
        <w:rPr>
          <w:rFonts w:hint="eastAsia"/>
          <w:szCs w:val="21"/>
          <w:lang w:eastAsia="zh-CN"/>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93" w:name="_Hlk71469688"/>
      <w:r>
        <w:rPr>
          <w:szCs w:val="21"/>
        </w:rPr>
        <w:t>适用评定分离的</w:t>
      </w:r>
      <w:r>
        <w:rPr>
          <w:rFonts w:hint="eastAsia"/>
          <w:szCs w:val="21"/>
          <w:lang w:eastAsia="zh-CN"/>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92"/>
      <w:bookmarkEnd w:id="93"/>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w:t>
      </w:r>
      <w:r>
        <w:rPr>
          <w:rFonts w:hint="eastAsia"/>
          <w:szCs w:val="21"/>
          <w:lang w:val="en-US" w:eastAsia="zh-CN"/>
        </w:rPr>
        <w:t>参</w:t>
      </w:r>
      <w:r>
        <w:rPr>
          <w:rFonts w:hint="eastAsia"/>
          <w:szCs w:val="21"/>
        </w:rPr>
        <w:t>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90"/>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40．中标公告</w:t>
      </w:r>
    </w:p>
    <w:p>
      <w:pPr>
        <w:ind w:firstLine="420" w:firstLineChars="200"/>
        <w:rPr>
          <w:rFonts w:ascii="宋体" w:hAnsi="宋体"/>
          <w:szCs w:val="21"/>
        </w:rPr>
      </w:pPr>
      <w:r>
        <w:rPr>
          <w:rFonts w:hint="eastAsia" w:ascii="宋体" w:hAnsi="宋体"/>
          <w:szCs w:val="21"/>
        </w:rPr>
        <w:t>40.1</w:t>
      </w:r>
      <w:bookmarkStart w:id="94" w:name="_Hlk72438709"/>
      <w:r>
        <w:rPr>
          <w:rFonts w:hint="eastAsia" w:ascii="宋体" w:hAnsi="宋体"/>
          <w:szCs w:val="21"/>
        </w:rPr>
        <w:t>为体现“公开、公平、公正”的原则，评审结束后经采购人确认（确定）评审结果，政府集中采购机构将在</w:t>
      </w:r>
      <w:r>
        <w:rPr>
          <w:rFonts w:hint="eastAsia" w:ascii="宋体" w:hAnsi="宋体"/>
          <w:szCs w:val="21"/>
          <w:lang w:val="en-US" w:eastAsia="zh-CN"/>
        </w:rPr>
        <w:t>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94"/>
      <w:bookmarkStart w:id="95"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95"/>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96"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深圳市自行采购系统（https://trade.szggzy.com/ggzy/center/#/login）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96"/>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97" w:name="_Hlk71407340"/>
      <w:r>
        <w:rPr>
          <w:rFonts w:hint="eastAsia" w:ascii="宋体" w:hAnsi="宋体"/>
          <w:szCs w:val="21"/>
        </w:rPr>
        <w:t>41.3因质疑投诉或其它原因导致项目结果变更或采购终止的，政府集中采购机构有权吊销中标通知书。</w:t>
      </w:r>
    </w:p>
    <w:bookmarkEnd w:id="97"/>
    <w:p>
      <w:pPr>
        <w:ind w:firstLine="411" w:firstLineChars="196"/>
        <w:rPr>
          <w:rFonts w:ascii="宋体" w:hAnsi="宋体"/>
          <w:szCs w:val="21"/>
        </w:rPr>
      </w:pPr>
    </w:p>
    <w:p>
      <w:pPr>
        <w:pStyle w:val="79"/>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79"/>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98" w:name="_Hlk72439043"/>
      <w:r>
        <w:rPr>
          <w:rFonts w:hint="eastAsia" w:asciiTheme="majorHAnsi" w:hAnsiTheme="majorHAnsi" w:eastAsiaTheme="majorEastAsia" w:cstheme="majorBidi"/>
          <w:b/>
          <w:bCs/>
          <w:sz w:val="28"/>
          <w:szCs w:val="28"/>
        </w:rPr>
        <w:t>合同的授予与备案</w:t>
      </w:r>
      <w:bookmarkEnd w:id="98"/>
    </w:p>
    <w:p>
      <w:pPr>
        <w:ind w:firstLine="420" w:firstLineChars="200"/>
        <w:rPr>
          <w:rFonts w:ascii="黑体" w:hAnsi="宋体" w:eastAsia="黑体"/>
          <w:szCs w:val="21"/>
        </w:rPr>
      </w:pPr>
      <w:bookmarkStart w:id="99" w:name="_Toc73521586"/>
      <w:bookmarkStart w:id="100" w:name="_Toc100052408"/>
      <w:bookmarkStart w:id="101" w:name="_Toc73521674"/>
      <w:bookmarkStart w:id="102" w:name="_Toc73518157"/>
      <w:bookmarkStart w:id="103" w:name="_Toc73517679"/>
      <w:bookmarkStart w:id="104" w:name="_Hlk72439088"/>
      <w:r>
        <w:rPr>
          <w:rFonts w:hint="eastAsia" w:ascii="黑体" w:hAnsi="宋体" w:eastAsia="黑体"/>
          <w:szCs w:val="21"/>
        </w:rPr>
        <w:t>43．合同授予标准</w:t>
      </w:r>
      <w:bookmarkEnd w:id="99"/>
      <w:bookmarkEnd w:id="100"/>
      <w:bookmarkEnd w:id="101"/>
      <w:bookmarkEnd w:id="102"/>
      <w:bookmarkEnd w:id="103"/>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05" w:name="_Toc73521587"/>
      <w:bookmarkStart w:id="106" w:name="_Toc73517680"/>
      <w:bookmarkStart w:id="107" w:name="_Toc100052409"/>
      <w:bookmarkStart w:id="108" w:name="_Toc73521675"/>
      <w:bookmarkStart w:id="109" w:name="_Toc73518158"/>
      <w:r>
        <w:rPr>
          <w:rFonts w:hint="eastAsia" w:ascii="黑体" w:hAnsi="宋体" w:eastAsia="黑体"/>
          <w:szCs w:val="21"/>
        </w:rPr>
        <w:t>44．</w:t>
      </w:r>
      <w:bookmarkEnd w:id="105"/>
      <w:bookmarkEnd w:id="106"/>
      <w:bookmarkEnd w:id="107"/>
      <w:bookmarkEnd w:id="108"/>
      <w:bookmarkEnd w:id="109"/>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10" w:name="_Toc73521677"/>
      <w:bookmarkStart w:id="111" w:name="_Toc73518160"/>
      <w:bookmarkStart w:id="112" w:name="_Toc73517682"/>
      <w:bookmarkStart w:id="113" w:name="_Toc73521589"/>
      <w:bookmarkStart w:id="114" w:name="_Toc100052410"/>
      <w:r>
        <w:rPr>
          <w:rFonts w:hint="eastAsia" w:ascii="黑体" w:hAnsi="宋体" w:eastAsia="黑体"/>
          <w:szCs w:val="21"/>
        </w:rPr>
        <w:t>45．合同的签订</w:t>
      </w:r>
      <w:bookmarkEnd w:id="110"/>
      <w:bookmarkEnd w:id="111"/>
      <w:bookmarkEnd w:id="112"/>
      <w:bookmarkEnd w:id="113"/>
      <w:bookmarkEnd w:id="114"/>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pPr>
        <w:ind w:firstLine="420" w:firstLineChars="200"/>
        <w:rPr>
          <w:rFonts w:ascii="宋体" w:hAnsi="宋体"/>
          <w:szCs w:val="21"/>
        </w:rPr>
      </w:pPr>
      <w:r>
        <w:rPr>
          <w:rFonts w:hint="eastAsia" w:ascii="宋体" w:hAnsi="宋体"/>
          <w:szCs w:val="21"/>
        </w:rPr>
        <w:t>45.3中标人应当按照合同约定履行义务，完成中标项目，不得将中标项目转让（转包）给他人。</w:t>
      </w:r>
    </w:p>
    <w:p>
      <w:pPr>
        <w:ind w:firstLine="420" w:firstLineChars="200"/>
        <w:rPr>
          <w:rFonts w:ascii="黑体" w:hAnsi="宋体" w:eastAsia="黑体"/>
          <w:szCs w:val="21"/>
        </w:rPr>
      </w:pPr>
      <w:bookmarkStart w:id="115" w:name="_Toc73521590"/>
      <w:bookmarkStart w:id="116" w:name="_Toc100052411"/>
      <w:bookmarkStart w:id="117" w:name="_Toc73517683"/>
      <w:bookmarkStart w:id="118" w:name="_Toc73521678"/>
      <w:bookmarkStart w:id="119" w:name="_Toc73518161"/>
      <w:r>
        <w:rPr>
          <w:rFonts w:hint="eastAsia" w:ascii="黑体" w:hAnsi="宋体" w:eastAsia="黑体"/>
          <w:szCs w:val="21"/>
        </w:rPr>
        <w:t>46．履约担保</w:t>
      </w:r>
      <w:bookmarkEnd w:id="115"/>
      <w:bookmarkEnd w:id="116"/>
      <w:bookmarkEnd w:id="117"/>
      <w:bookmarkEnd w:id="118"/>
      <w:bookmarkEnd w:id="119"/>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号）的要求，供应商在政府采购活动中出现《深圳经济特区政府采购条例实施细则》第八十条所列情形的，</w:t>
      </w:r>
      <w:bookmarkStart w:id="120" w:name="_Hlk72440769"/>
      <w:r>
        <w:rPr>
          <w:rFonts w:hint="eastAsia" w:ascii="宋体" w:hAnsi="宋体"/>
          <w:szCs w:val="21"/>
        </w:rPr>
        <w:t>政府集中采购机构或采购人不予退还其交纳的谈判保证金，情节严重的，并由主管部门</w:t>
      </w:r>
      <w:bookmarkEnd w:id="120"/>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rPr>
          <w:rFonts w:hint="eastAsia"/>
        </w:rPr>
      </w:pPr>
    </w:p>
    <w:bookmarkEnd w:id="104"/>
    <w:p>
      <w:pPr>
        <w:pStyle w:val="79"/>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21" w:name="_Hlk75374941"/>
      <w:r>
        <w:rPr>
          <w:rFonts w:hint="eastAsia" w:ascii="宋体" w:hAnsi="宋体"/>
          <w:szCs w:val="21"/>
        </w:rPr>
        <w:t>以联合体形式参与的，质疑应当由组成联合体的所有成员共同提出</w:t>
      </w:r>
      <w:bookmarkEnd w:id="121"/>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地址：深圳公共资源交易中心（深圳交易集团有限公司政府采购业务分公司）27楼，质疑咨询电话：0755-</w:t>
      </w:r>
      <w:r>
        <w:rPr>
          <w:rFonts w:hint="eastAsia" w:ascii="宋体" w:hAnsi="宋体"/>
          <w:b/>
        </w:rPr>
        <w:t>86500050</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67"/>
    </w:p>
    <w:p>
      <w:pPr>
        <w:rPr>
          <w:rFonts w:ascii="宋体" w:hAnsi="宋体"/>
          <w:szCs w:val="21"/>
        </w:rPr>
      </w:pPr>
    </w:p>
    <w:sectPr>
      <w:headerReference r:id="rId5" w:type="first"/>
      <w:footerReference r:id="rId6" w:type="default"/>
      <w:footerReference r:id="rId7" w:type="even"/>
      <w:pgSz w:w="11907" w:h="16840"/>
      <w:pgMar w:top="1440" w:right="1797" w:bottom="1440" w:left="1797" w:header="851" w:footer="992" w:gutter="0"/>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254B760-013F-4BF5-8C90-349F42441E96}"/>
  </w:font>
  <w:font w:name="Arial">
    <w:panose1 w:val="020B0604020202020204"/>
    <w:charset w:val="01"/>
    <w:family w:val="swiss"/>
    <w:pitch w:val="default"/>
    <w:sig w:usb0="E0002EFF" w:usb1="C000785B" w:usb2="00000009" w:usb3="00000000" w:csb0="400001FF" w:csb1="FFFF0000"/>
    <w:embedRegular r:id="rId2" w:fontKey="{F7117833-6464-46EF-9831-531E8AA03C1B}"/>
  </w:font>
  <w:font w:name="黑体">
    <w:panose1 w:val="02010609060101010101"/>
    <w:charset w:val="86"/>
    <w:family w:val="auto"/>
    <w:pitch w:val="default"/>
    <w:sig w:usb0="800002BF" w:usb1="38CF7CFA" w:usb2="00000016" w:usb3="00000000" w:csb0="00040001" w:csb1="00000000"/>
    <w:embedRegular r:id="rId3" w:fontKey="{9FE8E867-5099-4410-A15F-E65E13489F3E}"/>
  </w:font>
  <w:font w:name="Courier New">
    <w:panose1 w:val="02070309020205020404"/>
    <w:charset w:val="01"/>
    <w:family w:val="modern"/>
    <w:pitch w:val="default"/>
    <w:sig w:usb0="E0002EFF" w:usb1="C0007843" w:usb2="00000009" w:usb3="00000000" w:csb0="400001FF" w:csb1="FFFF0000"/>
    <w:embedRegular r:id="rId4" w:fontKey="{B0B749ED-3FD0-46D6-8F30-35D01931E03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F9C1C812-C459-4E48-A144-16DDC7EB8033}"/>
  </w:font>
  <w:font w:name="Arial Unicode MS">
    <w:altName w:val="宋体"/>
    <w:panose1 w:val="020B0604020202020204"/>
    <w:charset w:val="86"/>
    <w:family w:val="swiss"/>
    <w:pitch w:val="default"/>
    <w:sig w:usb0="00000000" w:usb1="00000000" w:usb2="0000003F" w:usb3="00000000" w:csb0="603F01FF" w:csb1="FFFF0000"/>
  </w:font>
  <w:font w:name="隶书">
    <w:panose1 w:val="0201050906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6" w:fontKey="{55EA1B29-52C6-43B2-B683-6AE9E5DFE486}"/>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7" w:fontKey="{B4F6F7D0-A9A6-47E1-89D5-F8F7423F8A34}"/>
  </w:font>
  <w:font w:name="Helvetica">
    <w:altName w:val="Arial"/>
    <w:panose1 w:val="020B060402020202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embedRegular r:id="rId8" w:fontKey="{70A0A6A1-6763-449A-82C1-D48570040BCE}"/>
  </w:font>
  <w:font w:name="ˎ̥">
    <w:altName w:val="Times New Roman"/>
    <w:panose1 w:val="00000000000000000000"/>
    <w:charset w:val="00"/>
    <w:family w:val="roman"/>
    <w:pitch w:val="default"/>
    <w:sig w:usb0="00000000" w:usb1="00000000" w:usb2="00000000" w:usb3="00000000" w:csb0="00000000" w:csb1="00000000"/>
    <w:embedRegular r:id="rId9" w:fontKey="{D26B28CF-F38A-4BE9-B64B-244BB2E1F8AB}"/>
  </w:font>
  <w:font w:name="??">
    <w:altName w:val="Times New Roman"/>
    <w:panose1 w:val="00000000000000000000"/>
    <w:charset w:val="01"/>
    <w:family w:val="auto"/>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H Yb 2gj">
    <w:altName w:val="黑体"/>
    <w:panose1 w:val="00000000000000000000"/>
    <w:charset w:val="86"/>
    <w:family w:val="auto"/>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00000001" w:usb1="080E0000" w:usb2="00000000" w:usb3="00000000" w:csb0="00040000" w:csb1="00000000"/>
    <w:embedRegular r:id="rId10" w:fontKey="{E1C73701-0D3F-4A79-801F-871106FDCDD8}"/>
  </w:font>
  <w:font w:name="微软雅黑">
    <w:panose1 w:val="020B0503020204020204"/>
    <w:charset w:val="86"/>
    <w:family w:val="swiss"/>
    <w:pitch w:val="default"/>
    <w:sig w:usb0="80000287" w:usb1="2ACF3C50" w:usb2="00000016" w:usb3="00000000" w:csb0="0004001F" w:csb1="00000000"/>
    <w:embedRegular r:id="rId11" w:fontKey="{940F4ABC-0E17-4476-8377-4F9364F92DB5}"/>
  </w:font>
  <w:font w:name="方正仿宋_GBK">
    <w:altName w:val="微软雅黑"/>
    <w:panose1 w:val="00000000000000000000"/>
    <w:charset w:val="86"/>
    <w:family w:val="auto"/>
    <w:pitch w:val="default"/>
    <w:sig w:usb0="00000000" w:usb1="00000000" w:usb2="00000000" w:usb3="00000000" w:csb0="00040000" w:csb1="00000000"/>
    <w:embedRegular r:id="rId12" w:fontKey="{A629BE12-6FA5-4C0F-A0E7-10D955E41955}"/>
  </w:font>
  <w:font w:name="华文中宋">
    <w:panose1 w:val="02010600040101010101"/>
    <w:charset w:val="86"/>
    <w:family w:val="auto"/>
    <w:pitch w:val="default"/>
    <w:sig w:usb0="00000287" w:usb1="080F0000" w:usb2="00000000" w:usb3="00000000" w:csb0="0004009F" w:csb1="DFD70000"/>
    <w:embedRegular r:id="rId13" w:fontKey="{C223739C-2479-44C1-A14E-3FAC130FC390}"/>
  </w:font>
  <w:font w:name="汉仪书宋二S">
    <w:altName w:val="宋体"/>
    <w:panose1 w:val="00000000000000000000"/>
    <w:charset w:val="00"/>
    <w:family w:val="auto"/>
    <w:pitch w:val="default"/>
    <w:sig w:usb0="00000000" w:usb1="00000000" w:usb2="00000000" w:usb3="00000000" w:csb0="00000000" w:csb1="00000000"/>
    <w:embedRegular r:id="rId14" w:fontKey="{03758FE2-6CC5-4A4C-AA03-4BACEFBA0EBE}"/>
  </w:font>
  <w:font w:name="华文楷体">
    <w:panose1 w:val="02010600040101010101"/>
    <w:charset w:val="86"/>
    <w:family w:val="auto"/>
    <w:pitch w:val="default"/>
    <w:sig w:usb0="00000287" w:usb1="080F0000" w:usb2="00000000" w:usb3="00000000" w:csb0="0004009F" w:csb1="DFD70000"/>
    <w:embedRegular r:id="rId15" w:fontKey="{71178ACF-7D41-422D-A800-28D3AB3ED904}"/>
  </w:font>
  <w:font w:name="Wingdings 2">
    <w:panose1 w:val="05020102010507070707"/>
    <w:charset w:val="02"/>
    <w:family w:val="roman"/>
    <w:pitch w:val="default"/>
    <w:sig w:usb0="00000000" w:usb1="00000000" w:usb2="00000000" w:usb3="00000000" w:csb0="80000000" w:csb1="00000000"/>
    <w:embedRegular r:id="rId16" w:fontKey="{7EC1D4C8-8B3A-40CC-9740-EEA327C3CE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t xml:space="preserve">- </w:t>
    </w:r>
    <w:r>
      <w:fldChar w:fldCharType="begin"/>
    </w:r>
    <w:r>
      <w:instrText xml:space="preserve"> PAGE </w:instrText>
    </w:r>
    <w:r>
      <w:fldChar w:fldCharType="separate"/>
    </w:r>
    <w:r>
      <w:t>2</w:t>
    </w:r>
    <w:r>
      <w:fldChar w:fldCharType="end"/>
    </w:r>
    <w:r>
      <w:t xml:space="preserve"> -</w:t>
    </w:r>
  </w:p>
  <w:p>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separate"/>
    </w:r>
    <w:r>
      <w:rPr>
        <w:rStyle w:val="46"/>
      </w:rPr>
      <w:t>10</w:t>
    </w:r>
    <w:r>
      <w:rPr>
        <w:rStyle w:val="46"/>
      </w:rPr>
      <w:fldChar w:fldCharType="end"/>
    </w: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9FA4BF"/>
    <w:multiLevelType w:val="singleLevel"/>
    <w:tmpl w:val="AA9FA4BF"/>
    <w:lvl w:ilvl="0" w:tentative="0">
      <w:start w:val="2"/>
      <w:numFmt w:val="chineseCounting"/>
      <w:suff w:val="nothing"/>
      <w:lvlText w:val="（%1）"/>
      <w:lvlJc w:val="left"/>
      <w:rPr>
        <w:rFonts w:hint="eastAsia"/>
      </w:rPr>
    </w:lvl>
  </w:abstractNum>
  <w:abstractNum w:abstractNumId="1">
    <w:nsid w:val="B4F30691"/>
    <w:multiLevelType w:val="singleLevel"/>
    <w:tmpl w:val="B4F30691"/>
    <w:lvl w:ilvl="0" w:tentative="0">
      <w:start w:val="3"/>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abstractNum w:abstractNumId="11">
    <w:nsid w:val="12503483"/>
    <w:multiLevelType w:val="multilevel"/>
    <w:tmpl w:val="12503483"/>
    <w:lvl w:ilvl="0" w:tentative="0">
      <w:start w:val="1"/>
      <w:numFmt w:val="bullet"/>
      <w:pStyle w:val="113"/>
      <w:lvlText w:val=""/>
      <w:lvlJc w:val="left"/>
      <w:pPr>
        <w:tabs>
          <w:tab w:val="left" w:pos="420"/>
        </w:tabs>
        <w:ind w:left="420" w:hanging="420"/>
      </w:pPr>
      <w:rPr>
        <w:rFonts w:hint="default" w:ascii="Wingdings" w:hAnsi="Wingdings"/>
      </w:rPr>
    </w:lvl>
    <w:lvl w:ilvl="1" w:tentative="0">
      <w:start w:val="1"/>
      <w:numFmt w:val="bullet"/>
      <w:pStyle w:val="112"/>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160D20D0"/>
    <w:multiLevelType w:val="multilevel"/>
    <w:tmpl w:val="160D20D0"/>
    <w:lvl w:ilvl="0" w:tentative="0">
      <w:start w:val="1"/>
      <w:numFmt w:val="bullet"/>
      <w:pStyle w:val="81"/>
      <w:lvlText w:val=""/>
      <w:lvlJc w:val="left"/>
      <w:pPr>
        <w:tabs>
          <w:tab w:val="left" w:pos="840"/>
        </w:tabs>
        <w:ind w:left="840" w:hanging="420"/>
      </w:pPr>
      <w:rPr>
        <w:rFonts w:hint="default" w:ascii="Wingdings" w:hAnsi="Wingdings"/>
      </w:rPr>
    </w:lvl>
    <w:lvl w:ilvl="1" w:tentative="0">
      <w:start w:val="1"/>
      <w:numFmt w:val="bullet"/>
      <w:pStyle w:val="82"/>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
    <w:nsid w:val="1FD9AA04"/>
    <w:multiLevelType w:val="singleLevel"/>
    <w:tmpl w:val="1FD9AA04"/>
    <w:lvl w:ilvl="0" w:tentative="0">
      <w:start w:val="1"/>
      <w:numFmt w:val="chineseCounting"/>
      <w:suff w:val="nothing"/>
      <w:lvlText w:val="（%1）"/>
      <w:lvlJc w:val="left"/>
      <w:rPr>
        <w:rFonts w:hint="eastAsia"/>
      </w:rPr>
    </w:lvl>
  </w:abstractNum>
  <w:abstractNum w:abstractNumId="14">
    <w:nsid w:val="2F395B7B"/>
    <w:multiLevelType w:val="multilevel"/>
    <w:tmpl w:val="2F395B7B"/>
    <w:lvl w:ilvl="0" w:tentative="0">
      <w:start w:val="1"/>
      <w:numFmt w:val="bullet"/>
      <w:pStyle w:val="173"/>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5">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73D0D92"/>
    <w:multiLevelType w:val="singleLevel"/>
    <w:tmpl w:val="773D0D92"/>
    <w:lvl w:ilvl="0" w:tentative="0">
      <w:start w:val="2"/>
      <w:numFmt w:val="decimal"/>
      <w:lvlText w:val="%1."/>
      <w:lvlJc w:val="left"/>
      <w:pPr>
        <w:tabs>
          <w:tab w:val="left" w:pos="312"/>
        </w:tabs>
        <w:ind w:left="600" w:leftChars="0" w:firstLine="0" w:firstLineChars="0"/>
      </w:pPr>
    </w:lvl>
  </w:abstractNum>
  <w:abstractNum w:abstractNumId="17">
    <w:nsid w:val="7A0F6431"/>
    <w:multiLevelType w:val="singleLevel"/>
    <w:tmpl w:val="7A0F6431"/>
    <w:lvl w:ilvl="0" w:tentative="0">
      <w:start w:val="1"/>
      <w:numFmt w:val="decimal"/>
      <w:suff w:val="space"/>
      <w:lvlText w:val="%1."/>
      <w:lvlJc w:val="left"/>
    </w:lvl>
  </w:abstractNum>
  <w:abstractNum w:abstractNumId="18">
    <w:nsid w:val="7AEF7716"/>
    <w:multiLevelType w:val="multilevel"/>
    <w:tmpl w:val="7AEF7716"/>
    <w:lvl w:ilvl="0" w:tentative="0">
      <w:start w:val="1"/>
      <w:numFmt w:val="chineseCountingThousand"/>
      <w:pStyle w:val="126"/>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9"/>
  </w:num>
  <w:num w:numId="3">
    <w:abstractNumId w:val="12"/>
  </w:num>
  <w:num w:numId="4">
    <w:abstractNumId w:val="11"/>
  </w:num>
  <w:num w:numId="5">
    <w:abstractNumId w:val="18"/>
  </w:num>
  <w:num w:numId="6">
    <w:abstractNumId w:val="14"/>
  </w:num>
  <w:num w:numId="7">
    <w:abstractNumId w:val="13"/>
  </w:num>
  <w:num w:numId="8">
    <w:abstractNumId w:val="0"/>
  </w:num>
  <w:num w:numId="9">
    <w:abstractNumId w:val="1"/>
  </w:num>
  <w:num w:numId="10">
    <w:abstractNumId w:val="2"/>
  </w:num>
  <w:num w:numId="11">
    <w:abstractNumId w:val="16"/>
  </w:num>
  <w:num w:numId="12">
    <w:abstractNumId w:val="17"/>
  </w:num>
  <w:num w:numId="13">
    <w:abstractNumId w:val="4"/>
  </w:num>
  <w:num w:numId="14">
    <w:abstractNumId w:val="8"/>
  </w:num>
  <w:num w:numId="15">
    <w:abstractNumId w:val="6"/>
  </w:num>
  <w:num w:numId="16">
    <w:abstractNumId w:val="5"/>
  </w:num>
  <w:num w:numId="17">
    <w:abstractNumId w:val="3"/>
  </w:num>
  <w:num w:numId="18">
    <w:abstractNumId w:val="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YyMjQyYWZiM2QxZDA4NjVmNjY5ZWFjYjA3NmY3MjcifQ=="/>
    <w:docVar w:name="KSO_WPS_MARK_KEY" w:val="0ed08f18-beef-4e8c-a675-9f9b3d16bb4e"/>
  </w:docVars>
  <w:rsids>
    <w:rsidRoot w:val="006C5683"/>
    <w:rsid w:val="00000AD9"/>
    <w:rsid w:val="000041AD"/>
    <w:rsid w:val="000043C0"/>
    <w:rsid w:val="000050CA"/>
    <w:rsid w:val="000051C6"/>
    <w:rsid w:val="00005215"/>
    <w:rsid w:val="00005A10"/>
    <w:rsid w:val="00005D3D"/>
    <w:rsid w:val="00006F7B"/>
    <w:rsid w:val="00007355"/>
    <w:rsid w:val="00007951"/>
    <w:rsid w:val="00007DB0"/>
    <w:rsid w:val="00010063"/>
    <w:rsid w:val="00010102"/>
    <w:rsid w:val="00011EA6"/>
    <w:rsid w:val="00012B21"/>
    <w:rsid w:val="00012CCE"/>
    <w:rsid w:val="0001300F"/>
    <w:rsid w:val="00013262"/>
    <w:rsid w:val="0001480D"/>
    <w:rsid w:val="00014A5C"/>
    <w:rsid w:val="00015388"/>
    <w:rsid w:val="00015BDD"/>
    <w:rsid w:val="00015C88"/>
    <w:rsid w:val="000162DC"/>
    <w:rsid w:val="000169F2"/>
    <w:rsid w:val="00016D97"/>
    <w:rsid w:val="0001716B"/>
    <w:rsid w:val="00017F81"/>
    <w:rsid w:val="00020691"/>
    <w:rsid w:val="000211EA"/>
    <w:rsid w:val="00021953"/>
    <w:rsid w:val="000234B2"/>
    <w:rsid w:val="00025AE4"/>
    <w:rsid w:val="0002684B"/>
    <w:rsid w:val="000269F0"/>
    <w:rsid w:val="00027645"/>
    <w:rsid w:val="00027DAC"/>
    <w:rsid w:val="000300AE"/>
    <w:rsid w:val="000300EE"/>
    <w:rsid w:val="000302B6"/>
    <w:rsid w:val="0003106D"/>
    <w:rsid w:val="00031700"/>
    <w:rsid w:val="00031F6E"/>
    <w:rsid w:val="0003277F"/>
    <w:rsid w:val="00032948"/>
    <w:rsid w:val="00032ACA"/>
    <w:rsid w:val="00032B0A"/>
    <w:rsid w:val="0003315D"/>
    <w:rsid w:val="00033DE7"/>
    <w:rsid w:val="0003541F"/>
    <w:rsid w:val="00035817"/>
    <w:rsid w:val="00035CD1"/>
    <w:rsid w:val="00036A2B"/>
    <w:rsid w:val="000377D2"/>
    <w:rsid w:val="00040D3C"/>
    <w:rsid w:val="00040E5A"/>
    <w:rsid w:val="000417D2"/>
    <w:rsid w:val="00042897"/>
    <w:rsid w:val="00042C84"/>
    <w:rsid w:val="00043739"/>
    <w:rsid w:val="00043A89"/>
    <w:rsid w:val="00045739"/>
    <w:rsid w:val="00046D30"/>
    <w:rsid w:val="000510B6"/>
    <w:rsid w:val="00051133"/>
    <w:rsid w:val="00051EB5"/>
    <w:rsid w:val="00051F3F"/>
    <w:rsid w:val="000521D8"/>
    <w:rsid w:val="00052BC1"/>
    <w:rsid w:val="00053A89"/>
    <w:rsid w:val="00054D1F"/>
    <w:rsid w:val="0005582B"/>
    <w:rsid w:val="00056247"/>
    <w:rsid w:val="00056292"/>
    <w:rsid w:val="00056C11"/>
    <w:rsid w:val="00057302"/>
    <w:rsid w:val="00057332"/>
    <w:rsid w:val="0005785A"/>
    <w:rsid w:val="00057D00"/>
    <w:rsid w:val="00057DC0"/>
    <w:rsid w:val="00060B1F"/>
    <w:rsid w:val="0006267A"/>
    <w:rsid w:val="00062D0D"/>
    <w:rsid w:val="0006335B"/>
    <w:rsid w:val="00063C25"/>
    <w:rsid w:val="00064231"/>
    <w:rsid w:val="000647AF"/>
    <w:rsid w:val="00064892"/>
    <w:rsid w:val="00064C7A"/>
    <w:rsid w:val="00066026"/>
    <w:rsid w:val="000661FF"/>
    <w:rsid w:val="00066537"/>
    <w:rsid w:val="0006660A"/>
    <w:rsid w:val="0006670C"/>
    <w:rsid w:val="00067960"/>
    <w:rsid w:val="0007003A"/>
    <w:rsid w:val="00070210"/>
    <w:rsid w:val="000707BF"/>
    <w:rsid w:val="000722CF"/>
    <w:rsid w:val="0007277D"/>
    <w:rsid w:val="000734CD"/>
    <w:rsid w:val="00074403"/>
    <w:rsid w:val="00074CF0"/>
    <w:rsid w:val="000750DC"/>
    <w:rsid w:val="00075735"/>
    <w:rsid w:val="0007583C"/>
    <w:rsid w:val="00076057"/>
    <w:rsid w:val="000770EC"/>
    <w:rsid w:val="00081E95"/>
    <w:rsid w:val="00082667"/>
    <w:rsid w:val="00082AD2"/>
    <w:rsid w:val="00083DC6"/>
    <w:rsid w:val="000840D4"/>
    <w:rsid w:val="00084857"/>
    <w:rsid w:val="00084F26"/>
    <w:rsid w:val="0008503C"/>
    <w:rsid w:val="000850AF"/>
    <w:rsid w:val="0008517A"/>
    <w:rsid w:val="000852EB"/>
    <w:rsid w:val="00086539"/>
    <w:rsid w:val="000869D8"/>
    <w:rsid w:val="00086CA6"/>
    <w:rsid w:val="00090213"/>
    <w:rsid w:val="000903AC"/>
    <w:rsid w:val="000904F3"/>
    <w:rsid w:val="00092FC7"/>
    <w:rsid w:val="00093133"/>
    <w:rsid w:val="0009395E"/>
    <w:rsid w:val="00094603"/>
    <w:rsid w:val="000954D5"/>
    <w:rsid w:val="00095723"/>
    <w:rsid w:val="0009618D"/>
    <w:rsid w:val="0009709B"/>
    <w:rsid w:val="000975E3"/>
    <w:rsid w:val="00097B87"/>
    <w:rsid w:val="00097DDA"/>
    <w:rsid w:val="000A1DD1"/>
    <w:rsid w:val="000A21A5"/>
    <w:rsid w:val="000A2A76"/>
    <w:rsid w:val="000A3908"/>
    <w:rsid w:val="000A4C29"/>
    <w:rsid w:val="000A5EA4"/>
    <w:rsid w:val="000A69DB"/>
    <w:rsid w:val="000A6E2B"/>
    <w:rsid w:val="000A79D3"/>
    <w:rsid w:val="000A7F0F"/>
    <w:rsid w:val="000B05E2"/>
    <w:rsid w:val="000B0C99"/>
    <w:rsid w:val="000B0F8B"/>
    <w:rsid w:val="000B2213"/>
    <w:rsid w:val="000B2568"/>
    <w:rsid w:val="000B41BB"/>
    <w:rsid w:val="000B5357"/>
    <w:rsid w:val="000B5853"/>
    <w:rsid w:val="000B5918"/>
    <w:rsid w:val="000B597F"/>
    <w:rsid w:val="000B634D"/>
    <w:rsid w:val="000B7465"/>
    <w:rsid w:val="000B7E42"/>
    <w:rsid w:val="000C14CB"/>
    <w:rsid w:val="000C18BC"/>
    <w:rsid w:val="000C1EE4"/>
    <w:rsid w:val="000C1FF9"/>
    <w:rsid w:val="000C21C4"/>
    <w:rsid w:val="000C4151"/>
    <w:rsid w:val="000C4425"/>
    <w:rsid w:val="000C4B12"/>
    <w:rsid w:val="000C4FCB"/>
    <w:rsid w:val="000C5EA0"/>
    <w:rsid w:val="000C5FA7"/>
    <w:rsid w:val="000C65E4"/>
    <w:rsid w:val="000C7E71"/>
    <w:rsid w:val="000D16AA"/>
    <w:rsid w:val="000D1A7D"/>
    <w:rsid w:val="000D2309"/>
    <w:rsid w:val="000D2CCA"/>
    <w:rsid w:val="000D366B"/>
    <w:rsid w:val="000D38F9"/>
    <w:rsid w:val="000D4664"/>
    <w:rsid w:val="000D5D6B"/>
    <w:rsid w:val="000D62C8"/>
    <w:rsid w:val="000D7A20"/>
    <w:rsid w:val="000E0BFC"/>
    <w:rsid w:val="000E161C"/>
    <w:rsid w:val="000E266E"/>
    <w:rsid w:val="000E2B61"/>
    <w:rsid w:val="000E470B"/>
    <w:rsid w:val="000E4A66"/>
    <w:rsid w:val="000E4DE8"/>
    <w:rsid w:val="000E50F5"/>
    <w:rsid w:val="000E5906"/>
    <w:rsid w:val="000E5E99"/>
    <w:rsid w:val="000E73D9"/>
    <w:rsid w:val="000F0C3B"/>
    <w:rsid w:val="000F0E9F"/>
    <w:rsid w:val="000F1540"/>
    <w:rsid w:val="000F2065"/>
    <w:rsid w:val="000F256D"/>
    <w:rsid w:val="000F2A88"/>
    <w:rsid w:val="000F2C23"/>
    <w:rsid w:val="000F2D1B"/>
    <w:rsid w:val="000F3658"/>
    <w:rsid w:val="000F3697"/>
    <w:rsid w:val="000F3B37"/>
    <w:rsid w:val="000F3F12"/>
    <w:rsid w:val="000F4478"/>
    <w:rsid w:val="000F565B"/>
    <w:rsid w:val="000F5C6C"/>
    <w:rsid w:val="000F5F3F"/>
    <w:rsid w:val="00100570"/>
    <w:rsid w:val="0010184B"/>
    <w:rsid w:val="00101CE5"/>
    <w:rsid w:val="00101DD0"/>
    <w:rsid w:val="00102555"/>
    <w:rsid w:val="001029C0"/>
    <w:rsid w:val="00102B4B"/>
    <w:rsid w:val="00103AB9"/>
    <w:rsid w:val="00103E80"/>
    <w:rsid w:val="00104CC6"/>
    <w:rsid w:val="001061A4"/>
    <w:rsid w:val="00107187"/>
    <w:rsid w:val="00107272"/>
    <w:rsid w:val="00107D54"/>
    <w:rsid w:val="00110B62"/>
    <w:rsid w:val="001110F0"/>
    <w:rsid w:val="00111581"/>
    <w:rsid w:val="00111CEB"/>
    <w:rsid w:val="00111F8F"/>
    <w:rsid w:val="0011235F"/>
    <w:rsid w:val="0011245C"/>
    <w:rsid w:val="00114BCB"/>
    <w:rsid w:val="0011500F"/>
    <w:rsid w:val="00115A55"/>
    <w:rsid w:val="0011665D"/>
    <w:rsid w:val="00116AAC"/>
    <w:rsid w:val="0011754F"/>
    <w:rsid w:val="00117D55"/>
    <w:rsid w:val="001204B2"/>
    <w:rsid w:val="001212EF"/>
    <w:rsid w:val="001217DC"/>
    <w:rsid w:val="00121F81"/>
    <w:rsid w:val="0012203F"/>
    <w:rsid w:val="00123CC6"/>
    <w:rsid w:val="00125689"/>
    <w:rsid w:val="00125C8A"/>
    <w:rsid w:val="001261FC"/>
    <w:rsid w:val="00126CD7"/>
    <w:rsid w:val="001306FE"/>
    <w:rsid w:val="00130827"/>
    <w:rsid w:val="001308A2"/>
    <w:rsid w:val="00131140"/>
    <w:rsid w:val="001312D1"/>
    <w:rsid w:val="00132FD3"/>
    <w:rsid w:val="00133A61"/>
    <w:rsid w:val="001341E8"/>
    <w:rsid w:val="001362BD"/>
    <w:rsid w:val="0013673A"/>
    <w:rsid w:val="00137F86"/>
    <w:rsid w:val="001410EB"/>
    <w:rsid w:val="00141B41"/>
    <w:rsid w:val="0014335A"/>
    <w:rsid w:val="00143554"/>
    <w:rsid w:val="00143653"/>
    <w:rsid w:val="00143934"/>
    <w:rsid w:val="00143B3A"/>
    <w:rsid w:val="00143E43"/>
    <w:rsid w:val="00143FFC"/>
    <w:rsid w:val="001453B3"/>
    <w:rsid w:val="00146ABB"/>
    <w:rsid w:val="00147338"/>
    <w:rsid w:val="00147A48"/>
    <w:rsid w:val="00150143"/>
    <w:rsid w:val="0015073C"/>
    <w:rsid w:val="001509AB"/>
    <w:rsid w:val="001529F9"/>
    <w:rsid w:val="00152E91"/>
    <w:rsid w:val="00153C18"/>
    <w:rsid w:val="0015460B"/>
    <w:rsid w:val="001566E7"/>
    <w:rsid w:val="00156CA9"/>
    <w:rsid w:val="00157465"/>
    <w:rsid w:val="0015771E"/>
    <w:rsid w:val="00157E23"/>
    <w:rsid w:val="00157FC3"/>
    <w:rsid w:val="00160ACE"/>
    <w:rsid w:val="00161C4F"/>
    <w:rsid w:val="00161C84"/>
    <w:rsid w:val="00161F2A"/>
    <w:rsid w:val="00161FDF"/>
    <w:rsid w:val="001626BD"/>
    <w:rsid w:val="00162C33"/>
    <w:rsid w:val="0016340E"/>
    <w:rsid w:val="001645C4"/>
    <w:rsid w:val="00164E23"/>
    <w:rsid w:val="0016595F"/>
    <w:rsid w:val="00166A2C"/>
    <w:rsid w:val="00166BF2"/>
    <w:rsid w:val="00166CC3"/>
    <w:rsid w:val="00166F71"/>
    <w:rsid w:val="00167DF2"/>
    <w:rsid w:val="001709DE"/>
    <w:rsid w:val="00170A9E"/>
    <w:rsid w:val="0017121A"/>
    <w:rsid w:val="00171401"/>
    <w:rsid w:val="00171777"/>
    <w:rsid w:val="001719FB"/>
    <w:rsid w:val="00172664"/>
    <w:rsid w:val="0017270B"/>
    <w:rsid w:val="00172B65"/>
    <w:rsid w:val="00172EF5"/>
    <w:rsid w:val="001732E1"/>
    <w:rsid w:val="00175189"/>
    <w:rsid w:val="00175D12"/>
    <w:rsid w:val="0017613E"/>
    <w:rsid w:val="00177167"/>
    <w:rsid w:val="00177F97"/>
    <w:rsid w:val="00181A71"/>
    <w:rsid w:val="0018261B"/>
    <w:rsid w:val="001834A7"/>
    <w:rsid w:val="0018373B"/>
    <w:rsid w:val="00183B40"/>
    <w:rsid w:val="00183C79"/>
    <w:rsid w:val="00183C8B"/>
    <w:rsid w:val="00183E75"/>
    <w:rsid w:val="001845CF"/>
    <w:rsid w:val="00185A98"/>
    <w:rsid w:val="001865BB"/>
    <w:rsid w:val="00187518"/>
    <w:rsid w:val="00187743"/>
    <w:rsid w:val="00187CEC"/>
    <w:rsid w:val="0019046F"/>
    <w:rsid w:val="0019096C"/>
    <w:rsid w:val="00191EA7"/>
    <w:rsid w:val="00192164"/>
    <w:rsid w:val="001928BD"/>
    <w:rsid w:val="00193EB7"/>
    <w:rsid w:val="00193F48"/>
    <w:rsid w:val="001944F0"/>
    <w:rsid w:val="00194ACA"/>
    <w:rsid w:val="00194C98"/>
    <w:rsid w:val="00194FB7"/>
    <w:rsid w:val="00196357"/>
    <w:rsid w:val="00196B4E"/>
    <w:rsid w:val="001975A1"/>
    <w:rsid w:val="001A027A"/>
    <w:rsid w:val="001A08E4"/>
    <w:rsid w:val="001A0D2C"/>
    <w:rsid w:val="001A11D8"/>
    <w:rsid w:val="001A12B5"/>
    <w:rsid w:val="001A174B"/>
    <w:rsid w:val="001A1C72"/>
    <w:rsid w:val="001A2976"/>
    <w:rsid w:val="001A3980"/>
    <w:rsid w:val="001A3B1B"/>
    <w:rsid w:val="001A3D2F"/>
    <w:rsid w:val="001A422B"/>
    <w:rsid w:val="001A440A"/>
    <w:rsid w:val="001A47C6"/>
    <w:rsid w:val="001A4A55"/>
    <w:rsid w:val="001A5C6F"/>
    <w:rsid w:val="001A6A4F"/>
    <w:rsid w:val="001A76B7"/>
    <w:rsid w:val="001B015C"/>
    <w:rsid w:val="001B1339"/>
    <w:rsid w:val="001B1B58"/>
    <w:rsid w:val="001B1D3B"/>
    <w:rsid w:val="001B1F55"/>
    <w:rsid w:val="001B2049"/>
    <w:rsid w:val="001B2934"/>
    <w:rsid w:val="001B4A37"/>
    <w:rsid w:val="001B4BB2"/>
    <w:rsid w:val="001B6FAD"/>
    <w:rsid w:val="001C04B2"/>
    <w:rsid w:val="001C13DE"/>
    <w:rsid w:val="001C1FDE"/>
    <w:rsid w:val="001C2063"/>
    <w:rsid w:val="001C21E1"/>
    <w:rsid w:val="001C3426"/>
    <w:rsid w:val="001C4768"/>
    <w:rsid w:val="001C5839"/>
    <w:rsid w:val="001C583F"/>
    <w:rsid w:val="001C6431"/>
    <w:rsid w:val="001C6AF6"/>
    <w:rsid w:val="001C7129"/>
    <w:rsid w:val="001C77E1"/>
    <w:rsid w:val="001C7ADA"/>
    <w:rsid w:val="001D0FD3"/>
    <w:rsid w:val="001D121D"/>
    <w:rsid w:val="001D1C29"/>
    <w:rsid w:val="001D1E1B"/>
    <w:rsid w:val="001D3543"/>
    <w:rsid w:val="001D35FD"/>
    <w:rsid w:val="001D3B85"/>
    <w:rsid w:val="001D3DF1"/>
    <w:rsid w:val="001D4151"/>
    <w:rsid w:val="001D4BB9"/>
    <w:rsid w:val="001D501B"/>
    <w:rsid w:val="001D58E5"/>
    <w:rsid w:val="001D5EAE"/>
    <w:rsid w:val="001E07AA"/>
    <w:rsid w:val="001E0FAB"/>
    <w:rsid w:val="001E1880"/>
    <w:rsid w:val="001E2502"/>
    <w:rsid w:val="001E292F"/>
    <w:rsid w:val="001E351C"/>
    <w:rsid w:val="001E38F8"/>
    <w:rsid w:val="001E474D"/>
    <w:rsid w:val="001E506D"/>
    <w:rsid w:val="001E5194"/>
    <w:rsid w:val="001E5A81"/>
    <w:rsid w:val="001E62FB"/>
    <w:rsid w:val="001E6A0B"/>
    <w:rsid w:val="001E6B23"/>
    <w:rsid w:val="001E77DA"/>
    <w:rsid w:val="001E7A2F"/>
    <w:rsid w:val="001E7AB0"/>
    <w:rsid w:val="001E7DD0"/>
    <w:rsid w:val="001F0349"/>
    <w:rsid w:val="001F077B"/>
    <w:rsid w:val="001F0B74"/>
    <w:rsid w:val="001F2648"/>
    <w:rsid w:val="001F35BF"/>
    <w:rsid w:val="001F41B9"/>
    <w:rsid w:val="001F4BE8"/>
    <w:rsid w:val="001F4EB8"/>
    <w:rsid w:val="001F560A"/>
    <w:rsid w:val="001F5FF7"/>
    <w:rsid w:val="001F6318"/>
    <w:rsid w:val="001F65B1"/>
    <w:rsid w:val="001F6B83"/>
    <w:rsid w:val="001F6F6A"/>
    <w:rsid w:val="001F7595"/>
    <w:rsid w:val="001F7C3B"/>
    <w:rsid w:val="001F7FE7"/>
    <w:rsid w:val="002000B8"/>
    <w:rsid w:val="00200B4C"/>
    <w:rsid w:val="00201D62"/>
    <w:rsid w:val="00203267"/>
    <w:rsid w:val="00203897"/>
    <w:rsid w:val="0020391D"/>
    <w:rsid w:val="00205AE4"/>
    <w:rsid w:val="00205CDC"/>
    <w:rsid w:val="00205F9C"/>
    <w:rsid w:val="002060F7"/>
    <w:rsid w:val="00207BC6"/>
    <w:rsid w:val="00210771"/>
    <w:rsid w:val="00210C22"/>
    <w:rsid w:val="00211885"/>
    <w:rsid w:val="00212ADF"/>
    <w:rsid w:val="00212B9E"/>
    <w:rsid w:val="002134CF"/>
    <w:rsid w:val="00213A60"/>
    <w:rsid w:val="0021429B"/>
    <w:rsid w:val="00215699"/>
    <w:rsid w:val="002159DE"/>
    <w:rsid w:val="00215B1C"/>
    <w:rsid w:val="00215E99"/>
    <w:rsid w:val="002162E6"/>
    <w:rsid w:val="0021667D"/>
    <w:rsid w:val="002166A1"/>
    <w:rsid w:val="002166A6"/>
    <w:rsid w:val="00216BB6"/>
    <w:rsid w:val="00217BA3"/>
    <w:rsid w:val="0022048B"/>
    <w:rsid w:val="002207F8"/>
    <w:rsid w:val="0022175C"/>
    <w:rsid w:val="00222261"/>
    <w:rsid w:val="00222773"/>
    <w:rsid w:val="00223AB6"/>
    <w:rsid w:val="00223AC8"/>
    <w:rsid w:val="00223C96"/>
    <w:rsid w:val="00224852"/>
    <w:rsid w:val="00225935"/>
    <w:rsid w:val="0022634D"/>
    <w:rsid w:val="00226437"/>
    <w:rsid w:val="0022711A"/>
    <w:rsid w:val="00227512"/>
    <w:rsid w:val="0022766E"/>
    <w:rsid w:val="002278D5"/>
    <w:rsid w:val="00227C13"/>
    <w:rsid w:val="00227D49"/>
    <w:rsid w:val="00227FC7"/>
    <w:rsid w:val="00230C3C"/>
    <w:rsid w:val="00230F66"/>
    <w:rsid w:val="00233A54"/>
    <w:rsid w:val="00234440"/>
    <w:rsid w:val="002347C9"/>
    <w:rsid w:val="00235A73"/>
    <w:rsid w:val="00236E72"/>
    <w:rsid w:val="002411BD"/>
    <w:rsid w:val="00242209"/>
    <w:rsid w:val="00244711"/>
    <w:rsid w:val="00244AE4"/>
    <w:rsid w:val="00245EBE"/>
    <w:rsid w:val="00246305"/>
    <w:rsid w:val="00246C63"/>
    <w:rsid w:val="002472C1"/>
    <w:rsid w:val="002473F4"/>
    <w:rsid w:val="00250600"/>
    <w:rsid w:val="002506E1"/>
    <w:rsid w:val="00250F42"/>
    <w:rsid w:val="00252934"/>
    <w:rsid w:val="00252EBA"/>
    <w:rsid w:val="0025361A"/>
    <w:rsid w:val="002545EF"/>
    <w:rsid w:val="00254B44"/>
    <w:rsid w:val="00254E99"/>
    <w:rsid w:val="00255B9B"/>
    <w:rsid w:val="00256596"/>
    <w:rsid w:val="0025705E"/>
    <w:rsid w:val="0026027A"/>
    <w:rsid w:val="00260533"/>
    <w:rsid w:val="002605CE"/>
    <w:rsid w:val="00261367"/>
    <w:rsid w:val="00261A54"/>
    <w:rsid w:val="00261C21"/>
    <w:rsid w:val="00261D37"/>
    <w:rsid w:val="00262D6B"/>
    <w:rsid w:val="00262ED0"/>
    <w:rsid w:val="00263607"/>
    <w:rsid w:val="002638EE"/>
    <w:rsid w:val="00263F9C"/>
    <w:rsid w:val="00264965"/>
    <w:rsid w:val="00264EB5"/>
    <w:rsid w:val="002656E1"/>
    <w:rsid w:val="00265CFF"/>
    <w:rsid w:val="002662AC"/>
    <w:rsid w:val="00267D21"/>
    <w:rsid w:val="00267F98"/>
    <w:rsid w:val="002707F2"/>
    <w:rsid w:val="00270B4E"/>
    <w:rsid w:val="00271500"/>
    <w:rsid w:val="00272E57"/>
    <w:rsid w:val="002734A9"/>
    <w:rsid w:val="00274663"/>
    <w:rsid w:val="00275641"/>
    <w:rsid w:val="0027569A"/>
    <w:rsid w:val="002767D9"/>
    <w:rsid w:val="0027757E"/>
    <w:rsid w:val="00280184"/>
    <w:rsid w:val="00280F4B"/>
    <w:rsid w:val="00281152"/>
    <w:rsid w:val="002821E9"/>
    <w:rsid w:val="002827D2"/>
    <w:rsid w:val="00282D7B"/>
    <w:rsid w:val="00283488"/>
    <w:rsid w:val="002835B7"/>
    <w:rsid w:val="0028361E"/>
    <w:rsid w:val="00284B7C"/>
    <w:rsid w:val="00284C1F"/>
    <w:rsid w:val="002851AF"/>
    <w:rsid w:val="00286129"/>
    <w:rsid w:val="0028787B"/>
    <w:rsid w:val="00287E1B"/>
    <w:rsid w:val="00290263"/>
    <w:rsid w:val="002908A7"/>
    <w:rsid w:val="00291768"/>
    <w:rsid w:val="00291796"/>
    <w:rsid w:val="00292C52"/>
    <w:rsid w:val="00292F66"/>
    <w:rsid w:val="0029315D"/>
    <w:rsid w:val="00293A33"/>
    <w:rsid w:val="00293CFB"/>
    <w:rsid w:val="00293EB5"/>
    <w:rsid w:val="0029449E"/>
    <w:rsid w:val="0029488D"/>
    <w:rsid w:val="00294E82"/>
    <w:rsid w:val="002951FD"/>
    <w:rsid w:val="0029530C"/>
    <w:rsid w:val="002955E3"/>
    <w:rsid w:val="00296020"/>
    <w:rsid w:val="0029693F"/>
    <w:rsid w:val="002969C6"/>
    <w:rsid w:val="00296F46"/>
    <w:rsid w:val="00296F8A"/>
    <w:rsid w:val="00297AD1"/>
    <w:rsid w:val="00297CCD"/>
    <w:rsid w:val="002A11CE"/>
    <w:rsid w:val="002A13E2"/>
    <w:rsid w:val="002A180F"/>
    <w:rsid w:val="002A199B"/>
    <w:rsid w:val="002A1B36"/>
    <w:rsid w:val="002A2BC2"/>
    <w:rsid w:val="002A37E6"/>
    <w:rsid w:val="002A409A"/>
    <w:rsid w:val="002A4BFA"/>
    <w:rsid w:val="002A4D7B"/>
    <w:rsid w:val="002A4DFC"/>
    <w:rsid w:val="002A7EEA"/>
    <w:rsid w:val="002B0660"/>
    <w:rsid w:val="002B18D6"/>
    <w:rsid w:val="002B1B98"/>
    <w:rsid w:val="002B22D4"/>
    <w:rsid w:val="002B3259"/>
    <w:rsid w:val="002B3984"/>
    <w:rsid w:val="002B4595"/>
    <w:rsid w:val="002B45EE"/>
    <w:rsid w:val="002B4BF3"/>
    <w:rsid w:val="002B55C8"/>
    <w:rsid w:val="002B5E4B"/>
    <w:rsid w:val="002B660D"/>
    <w:rsid w:val="002B6C0C"/>
    <w:rsid w:val="002B723D"/>
    <w:rsid w:val="002B7969"/>
    <w:rsid w:val="002B7C07"/>
    <w:rsid w:val="002B7D1C"/>
    <w:rsid w:val="002C0031"/>
    <w:rsid w:val="002C0485"/>
    <w:rsid w:val="002C0762"/>
    <w:rsid w:val="002C0C86"/>
    <w:rsid w:val="002C1397"/>
    <w:rsid w:val="002C257A"/>
    <w:rsid w:val="002C2BEC"/>
    <w:rsid w:val="002C30C0"/>
    <w:rsid w:val="002C4F4B"/>
    <w:rsid w:val="002C5836"/>
    <w:rsid w:val="002C6EC0"/>
    <w:rsid w:val="002C7A58"/>
    <w:rsid w:val="002D0356"/>
    <w:rsid w:val="002D07C0"/>
    <w:rsid w:val="002D08AE"/>
    <w:rsid w:val="002D0F98"/>
    <w:rsid w:val="002D18D7"/>
    <w:rsid w:val="002D1DFB"/>
    <w:rsid w:val="002D2F66"/>
    <w:rsid w:val="002D3196"/>
    <w:rsid w:val="002D45BF"/>
    <w:rsid w:val="002D4A85"/>
    <w:rsid w:val="002D4B65"/>
    <w:rsid w:val="002D5AFC"/>
    <w:rsid w:val="002D6162"/>
    <w:rsid w:val="002D64DF"/>
    <w:rsid w:val="002D71EF"/>
    <w:rsid w:val="002D7F4C"/>
    <w:rsid w:val="002E00F3"/>
    <w:rsid w:val="002E242E"/>
    <w:rsid w:val="002E255F"/>
    <w:rsid w:val="002E2CED"/>
    <w:rsid w:val="002E2FEC"/>
    <w:rsid w:val="002E38DB"/>
    <w:rsid w:val="002E4AB1"/>
    <w:rsid w:val="002E4F8A"/>
    <w:rsid w:val="002E505D"/>
    <w:rsid w:val="002E73B8"/>
    <w:rsid w:val="002F0823"/>
    <w:rsid w:val="002F113B"/>
    <w:rsid w:val="002F2471"/>
    <w:rsid w:val="002F2B7A"/>
    <w:rsid w:val="002F3105"/>
    <w:rsid w:val="002F4864"/>
    <w:rsid w:val="002F5E6C"/>
    <w:rsid w:val="002F6DD7"/>
    <w:rsid w:val="002F72FF"/>
    <w:rsid w:val="002F75CC"/>
    <w:rsid w:val="002F7987"/>
    <w:rsid w:val="002F79D4"/>
    <w:rsid w:val="003005C9"/>
    <w:rsid w:val="00300BF3"/>
    <w:rsid w:val="0030143F"/>
    <w:rsid w:val="00301894"/>
    <w:rsid w:val="00301BCD"/>
    <w:rsid w:val="003024C7"/>
    <w:rsid w:val="00302CD4"/>
    <w:rsid w:val="00303636"/>
    <w:rsid w:val="00303ACF"/>
    <w:rsid w:val="00303C6B"/>
    <w:rsid w:val="0030463E"/>
    <w:rsid w:val="003047AB"/>
    <w:rsid w:val="00304ED6"/>
    <w:rsid w:val="0030661C"/>
    <w:rsid w:val="00306D5D"/>
    <w:rsid w:val="00306FF4"/>
    <w:rsid w:val="003074C6"/>
    <w:rsid w:val="0030757F"/>
    <w:rsid w:val="00307A08"/>
    <w:rsid w:val="0031060A"/>
    <w:rsid w:val="00310B78"/>
    <w:rsid w:val="00310EE1"/>
    <w:rsid w:val="003110CD"/>
    <w:rsid w:val="003122B0"/>
    <w:rsid w:val="00312390"/>
    <w:rsid w:val="003138EB"/>
    <w:rsid w:val="0031450D"/>
    <w:rsid w:val="00315880"/>
    <w:rsid w:val="00315A06"/>
    <w:rsid w:val="0031678B"/>
    <w:rsid w:val="0031683C"/>
    <w:rsid w:val="00317146"/>
    <w:rsid w:val="003176EA"/>
    <w:rsid w:val="00317D36"/>
    <w:rsid w:val="00321473"/>
    <w:rsid w:val="003225FB"/>
    <w:rsid w:val="00323A7C"/>
    <w:rsid w:val="00323BE9"/>
    <w:rsid w:val="00323C32"/>
    <w:rsid w:val="00323CC7"/>
    <w:rsid w:val="003241C6"/>
    <w:rsid w:val="003242A8"/>
    <w:rsid w:val="00324827"/>
    <w:rsid w:val="00324A1D"/>
    <w:rsid w:val="00324C55"/>
    <w:rsid w:val="003250B4"/>
    <w:rsid w:val="00325607"/>
    <w:rsid w:val="00325742"/>
    <w:rsid w:val="0032631C"/>
    <w:rsid w:val="00327AB3"/>
    <w:rsid w:val="00327F9E"/>
    <w:rsid w:val="00330527"/>
    <w:rsid w:val="0033071E"/>
    <w:rsid w:val="003318A6"/>
    <w:rsid w:val="003321A8"/>
    <w:rsid w:val="00332EB1"/>
    <w:rsid w:val="003331BB"/>
    <w:rsid w:val="00333E63"/>
    <w:rsid w:val="00334044"/>
    <w:rsid w:val="0033497C"/>
    <w:rsid w:val="00334C1F"/>
    <w:rsid w:val="00334FA0"/>
    <w:rsid w:val="00335188"/>
    <w:rsid w:val="00335234"/>
    <w:rsid w:val="003373B8"/>
    <w:rsid w:val="00340402"/>
    <w:rsid w:val="003413F4"/>
    <w:rsid w:val="00342DC1"/>
    <w:rsid w:val="00342EF7"/>
    <w:rsid w:val="003432B6"/>
    <w:rsid w:val="00343F41"/>
    <w:rsid w:val="0034427F"/>
    <w:rsid w:val="00344BF3"/>
    <w:rsid w:val="00345CC1"/>
    <w:rsid w:val="00345EA7"/>
    <w:rsid w:val="0034629D"/>
    <w:rsid w:val="0034652C"/>
    <w:rsid w:val="00346606"/>
    <w:rsid w:val="0034680C"/>
    <w:rsid w:val="00346B62"/>
    <w:rsid w:val="00346E40"/>
    <w:rsid w:val="00346E73"/>
    <w:rsid w:val="00350219"/>
    <w:rsid w:val="00350368"/>
    <w:rsid w:val="0035067B"/>
    <w:rsid w:val="00350B6E"/>
    <w:rsid w:val="00351A4A"/>
    <w:rsid w:val="00351D95"/>
    <w:rsid w:val="00351E32"/>
    <w:rsid w:val="00351FB4"/>
    <w:rsid w:val="00352E52"/>
    <w:rsid w:val="00353860"/>
    <w:rsid w:val="00353C7B"/>
    <w:rsid w:val="00354CD9"/>
    <w:rsid w:val="003556C1"/>
    <w:rsid w:val="00355EEE"/>
    <w:rsid w:val="00356B23"/>
    <w:rsid w:val="003603E5"/>
    <w:rsid w:val="00360494"/>
    <w:rsid w:val="00360C00"/>
    <w:rsid w:val="00360E7E"/>
    <w:rsid w:val="00361935"/>
    <w:rsid w:val="0036239D"/>
    <w:rsid w:val="003626AE"/>
    <w:rsid w:val="003632AA"/>
    <w:rsid w:val="0036508D"/>
    <w:rsid w:val="003651C8"/>
    <w:rsid w:val="0036548D"/>
    <w:rsid w:val="00366321"/>
    <w:rsid w:val="003669F1"/>
    <w:rsid w:val="00366F10"/>
    <w:rsid w:val="003700A3"/>
    <w:rsid w:val="003706AA"/>
    <w:rsid w:val="00370B40"/>
    <w:rsid w:val="00371C15"/>
    <w:rsid w:val="003720AD"/>
    <w:rsid w:val="00372CDF"/>
    <w:rsid w:val="0037330D"/>
    <w:rsid w:val="00373411"/>
    <w:rsid w:val="00373D40"/>
    <w:rsid w:val="00373F52"/>
    <w:rsid w:val="003741F6"/>
    <w:rsid w:val="00374A29"/>
    <w:rsid w:val="00374DD6"/>
    <w:rsid w:val="00374FA4"/>
    <w:rsid w:val="003756C6"/>
    <w:rsid w:val="00375EF9"/>
    <w:rsid w:val="00375EFF"/>
    <w:rsid w:val="00376E35"/>
    <w:rsid w:val="003773E4"/>
    <w:rsid w:val="00377F6C"/>
    <w:rsid w:val="00380094"/>
    <w:rsid w:val="00380256"/>
    <w:rsid w:val="0038165D"/>
    <w:rsid w:val="003817CA"/>
    <w:rsid w:val="00381812"/>
    <w:rsid w:val="00382BE9"/>
    <w:rsid w:val="00382D6B"/>
    <w:rsid w:val="00383071"/>
    <w:rsid w:val="00383BBC"/>
    <w:rsid w:val="0038418D"/>
    <w:rsid w:val="003849DF"/>
    <w:rsid w:val="00384F0A"/>
    <w:rsid w:val="00385444"/>
    <w:rsid w:val="00385717"/>
    <w:rsid w:val="00385F39"/>
    <w:rsid w:val="00386070"/>
    <w:rsid w:val="003863FD"/>
    <w:rsid w:val="003900A5"/>
    <w:rsid w:val="00390941"/>
    <w:rsid w:val="00390C0A"/>
    <w:rsid w:val="003917AD"/>
    <w:rsid w:val="00391FAB"/>
    <w:rsid w:val="00392539"/>
    <w:rsid w:val="00392677"/>
    <w:rsid w:val="00393431"/>
    <w:rsid w:val="00393633"/>
    <w:rsid w:val="003939C4"/>
    <w:rsid w:val="00393B41"/>
    <w:rsid w:val="003945E2"/>
    <w:rsid w:val="00394981"/>
    <w:rsid w:val="003953A8"/>
    <w:rsid w:val="003958E6"/>
    <w:rsid w:val="00395D76"/>
    <w:rsid w:val="00396F7B"/>
    <w:rsid w:val="00396FA3"/>
    <w:rsid w:val="00397077"/>
    <w:rsid w:val="0039788E"/>
    <w:rsid w:val="00397BCF"/>
    <w:rsid w:val="00397F0D"/>
    <w:rsid w:val="003A0DC3"/>
    <w:rsid w:val="003A1CF5"/>
    <w:rsid w:val="003A2812"/>
    <w:rsid w:val="003A2D0C"/>
    <w:rsid w:val="003A3304"/>
    <w:rsid w:val="003A3551"/>
    <w:rsid w:val="003A38F0"/>
    <w:rsid w:val="003A443D"/>
    <w:rsid w:val="003A4708"/>
    <w:rsid w:val="003A4BAB"/>
    <w:rsid w:val="003A6A5A"/>
    <w:rsid w:val="003A72E9"/>
    <w:rsid w:val="003B06AD"/>
    <w:rsid w:val="003B06B9"/>
    <w:rsid w:val="003B0979"/>
    <w:rsid w:val="003B1033"/>
    <w:rsid w:val="003B15E9"/>
    <w:rsid w:val="003B175A"/>
    <w:rsid w:val="003B2FC6"/>
    <w:rsid w:val="003B3231"/>
    <w:rsid w:val="003B357A"/>
    <w:rsid w:val="003B4714"/>
    <w:rsid w:val="003B499C"/>
    <w:rsid w:val="003B4CCD"/>
    <w:rsid w:val="003B522D"/>
    <w:rsid w:val="003B53D4"/>
    <w:rsid w:val="003B599F"/>
    <w:rsid w:val="003B7298"/>
    <w:rsid w:val="003C0036"/>
    <w:rsid w:val="003C0FF8"/>
    <w:rsid w:val="003C18C4"/>
    <w:rsid w:val="003C4333"/>
    <w:rsid w:val="003C43DA"/>
    <w:rsid w:val="003C4FD5"/>
    <w:rsid w:val="003C5585"/>
    <w:rsid w:val="003C57DD"/>
    <w:rsid w:val="003C582B"/>
    <w:rsid w:val="003C614D"/>
    <w:rsid w:val="003C77E9"/>
    <w:rsid w:val="003C7C63"/>
    <w:rsid w:val="003D152F"/>
    <w:rsid w:val="003D19EE"/>
    <w:rsid w:val="003D2333"/>
    <w:rsid w:val="003D2374"/>
    <w:rsid w:val="003D2B3A"/>
    <w:rsid w:val="003D3241"/>
    <w:rsid w:val="003D4419"/>
    <w:rsid w:val="003D4804"/>
    <w:rsid w:val="003D5413"/>
    <w:rsid w:val="003D73E4"/>
    <w:rsid w:val="003D7685"/>
    <w:rsid w:val="003D7E9A"/>
    <w:rsid w:val="003E0366"/>
    <w:rsid w:val="003E100C"/>
    <w:rsid w:val="003E1678"/>
    <w:rsid w:val="003E2C1D"/>
    <w:rsid w:val="003E2FFE"/>
    <w:rsid w:val="003E37AA"/>
    <w:rsid w:val="003E37BB"/>
    <w:rsid w:val="003E3871"/>
    <w:rsid w:val="003E411A"/>
    <w:rsid w:val="003E4310"/>
    <w:rsid w:val="003E47DE"/>
    <w:rsid w:val="003E4FFA"/>
    <w:rsid w:val="003E6E11"/>
    <w:rsid w:val="003E72DC"/>
    <w:rsid w:val="003E7BA8"/>
    <w:rsid w:val="003F04B3"/>
    <w:rsid w:val="003F0536"/>
    <w:rsid w:val="003F10D3"/>
    <w:rsid w:val="003F1548"/>
    <w:rsid w:val="003F2B3D"/>
    <w:rsid w:val="003F2EDF"/>
    <w:rsid w:val="003F3105"/>
    <w:rsid w:val="003F3BBA"/>
    <w:rsid w:val="003F3C44"/>
    <w:rsid w:val="003F4091"/>
    <w:rsid w:val="003F4172"/>
    <w:rsid w:val="003F4249"/>
    <w:rsid w:val="003F4E3B"/>
    <w:rsid w:val="003F5086"/>
    <w:rsid w:val="003F5108"/>
    <w:rsid w:val="003F57AA"/>
    <w:rsid w:val="003F5D2C"/>
    <w:rsid w:val="003F64BC"/>
    <w:rsid w:val="003F6CAF"/>
    <w:rsid w:val="003F7679"/>
    <w:rsid w:val="003F78A0"/>
    <w:rsid w:val="004001D3"/>
    <w:rsid w:val="00400C13"/>
    <w:rsid w:val="00400F3A"/>
    <w:rsid w:val="00401A86"/>
    <w:rsid w:val="00401E65"/>
    <w:rsid w:val="00402311"/>
    <w:rsid w:val="0040239F"/>
    <w:rsid w:val="00402C97"/>
    <w:rsid w:val="00403364"/>
    <w:rsid w:val="00403411"/>
    <w:rsid w:val="004038BE"/>
    <w:rsid w:val="0040415C"/>
    <w:rsid w:val="00404AA4"/>
    <w:rsid w:val="00404C61"/>
    <w:rsid w:val="004050C9"/>
    <w:rsid w:val="004051F0"/>
    <w:rsid w:val="00406314"/>
    <w:rsid w:val="00406376"/>
    <w:rsid w:val="00406389"/>
    <w:rsid w:val="004063C0"/>
    <w:rsid w:val="0040682D"/>
    <w:rsid w:val="00406896"/>
    <w:rsid w:val="00411B37"/>
    <w:rsid w:val="004125ED"/>
    <w:rsid w:val="00412B4D"/>
    <w:rsid w:val="00413B39"/>
    <w:rsid w:val="00413D4D"/>
    <w:rsid w:val="0041450E"/>
    <w:rsid w:val="0041456E"/>
    <w:rsid w:val="00414BE5"/>
    <w:rsid w:val="00415370"/>
    <w:rsid w:val="00415781"/>
    <w:rsid w:val="00415F31"/>
    <w:rsid w:val="00416485"/>
    <w:rsid w:val="00416D6F"/>
    <w:rsid w:val="00416F40"/>
    <w:rsid w:val="00417769"/>
    <w:rsid w:val="004177B0"/>
    <w:rsid w:val="00417F0D"/>
    <w:rsid w:val="00417FE4"/>
    <w:rsid w:val="0042049A"/>
    <w:rsid w:val="00421795"/>
    <w:rsid w:val="00421EF2"/>
    <w:rsid w:val="00422668"/>
    <w:rsid w:val="004252CD"/>
    <w:rsid w:val="0042602D"/>
    <w:rsid w:val="00427004"/>
    <w:rsid w:val="0042772E"/>
    <w:rsid w:val="00430CF3"/>
    <w:rsid w:val="00431AC1"/>
    <w:rsid w:val="00431DE1"/>
    <w:rsid w:val="004329C9"/>
    <w:rsid w:val="00432B89"/>
    <w:rsid w:val="00432CD5"/>
    <w:rsid w:val="00433CDB"/>
    <w:rsid w:val="00435D29"/>
    <w:rsid w:val="00435E5A"/>
    <w:rsid w:val="004363FA"/>
    <w:rsid w:val="004364CC"/>
    <w:rsid w:val="00436829"/>
    <w:rsid w:val="00436C29"/>
    <w:rsid w:val="00437141"/>
    <w:rsid w:val="004405B0"/>
    <w:rsid w:val="00441905"/>
    <w:rsid w:val="00441FF9"/>
    <w:rsid w:val="0044382F"/>
    <w:rsid w:val="00443B96"/>
    <w:rsid w:val="00443E1D"/>
    <w:rsid w:val="004442EB"/>
    <w:rsid w:val="0044447B"/>
    <w:rsid w:val="00444A7F"/>
    <w:rsid w:val="00444FA3"/>
    <w:rsid w:val="00446553"/>
    <w:rsid w:val="004466DA"/>
    <w:rsid w:val="00446A92"/>
    <w:rsid w:val="00446CEB"/>
    <w:rsid w:val="00447664"/>
    <w:rsid w:val="00447719"/>
    <w:rsid w:val="0045016B"/>
    <w:rsid w:val="004501B4"/>
    <w:rsid w:val="0045082F"/>
    <w:rsid w:val="00450C00"/>
    <w:rsid w:val="0045135E"/>
    <w:rsid w:val="004522E5"/>
    <w:rsid w:val="00452434"/>
    <w:rsid w:val="0045273C"/>
    <w:rsid w:val="00452C53"/>
    <w:rsid w:val="004539C7"/>
    <w:rsid w:val="00453F8A"/>
    <w:rsid w:val="00454597"/>
    <w:rsid w:val="004548E6"/>
    <w:rsid w:val="0045543A"/>
    <w:rsid w:val="00455880"/>
    <w:rsid w:val="00455D1D"/>
    <w:rsid w:val="004561F9"/>
    <w:rsid w:val="0045637C"/>
    <w:rsid w:val="004569A3"/>
    <w:rsid w:val="00456A7F"/>
    <w:rsid w:val="004578ED"/>
    <w:rsid w:val="00457B0C"/>
    <w:rsid w:val="004611B6"/>
    <w:rsid w:val="004615A1"/>
    <w:rsid w:val="00461997"/>
    <w:rsid w:val="00462CE0"/>
    <w:rsid w:val="00463F8B"/>
    <w:rsid w:val="004649AD"/>
    <w:rsid w:val="004650E7"/>
    <w:rsid w:val="0046687B"/>
    <w:rsid w:val="004674FB"/>
    <w:rsid w:val="00470418"/>
    <w:rsid w:val="004704DA"/>
    <w:rsid w:val="004704EA"/>
    <w:rsid w:val="00470567"/>
    <w:rsid w:val="0047056A"/>
    <w:rsid w:val="0047071D"/>
    <w:rsid w:val="00471464"/>
    <w:rsid w:val="004727C4"/>
    <w:rsid w:val="00473579"/>
    <w:rsid w:val="00474E5A"/>
    <w:rsid w:val="004754AE"/>
    <w:rsid w:val="0047558F"/>
    <w:rsid w:val="0047561A"/>
    <w:rsid w:val="00475FD5"/>
    <w:rsid w:val="0047770B"/>
    <w:rsid w:val="00477AFC"/>
    <w:rsid w:val="00477EA3"/>
    <w:rsid w:val="004812F4"/>
    <w:rsid w:val="0048231B"/>
    <w:rsid w:val="00482BD9"/>
    <w:rsid w:val="004838D4"/>
    <w:rsid w:val="004845AC"/>
    <w:rsid w:val="00484C31"/>
    <w:rsid w:val="004850AC"/>
    <w:rsid w:val="00485E3C"/>
    <w:rsid w:val="00486F09"/>
    <w:rsid w:val="004877FB"/>
    <w:rsid w:val="004906DB"/>
    <w:rsid w:val="00490C0F"/>
    <w:rsid w:val="00491FF2"/>
    <w:rsid w:val="004925EE"/>
    <w:rsid w:val="00492735"/>
    <w:rsid w:val="004945E8"/>
    <w:rsid w:val="004946D8"/>
    <w:rsid w:val="00494FC9"/>
    <w:rsid w:val="00495228"/>
    <w:rsid w:val="004963B6"/>
    <w:rsid w:val="00497252"/>
    <w:rsid w:val="0049795E"/>
    <w:rsid w:val="004A1808"/>
    <w:rsid w:val="004A2013"/>
    <w:rsid w:val="004A201B"/>
    <w:rsid w:val="004A2B7A"/>
    <w:rsid w:val="004A3EB3"/>
    <w:rsid w:val="004A4377"/>
    <w:rsid w:val="004A4A51"/>
    <w:rsid w:val="004A57EB"/>
    <w:rsid w:val="004A5824"/>
    <w:rsid w:val="004A59D3"/>
    <w:rsid w:val="004A6D7C"/>
    <w:rsid w:val="004A6F11"/>
    <w:rsid w:val="004A74DD"/>
    <w:rsid w:val="004A7855"/>
    <w:rsid w:val="004B00D1"/>
    <w:rsid w:val="004B0B57"/>
    <w:rsid w:val="004B1245"/>
    <w:rsid w:val="004B1278"/>
    <w:rsid w:val="004B1CAB"/>
    <w:rsid w:val="004B2FF9"/>
    <w:rsid w:val="004B3506"/>
    <w:rsid w:val="004B36ED"/>
    <w:rsid w:val="004B3D73"/>
    <w:rsid w:val="004B40DB"/>
    <w:rsid w:val="004B47BC"/>
    <w:rsid w:val="004B4EF6"/>
    <w:rsid w:val="004B612E"/>
    <w:rsid w:val="004B623B"/>
    <w:rsid w:val="004B6554"/>
    <w:rsid w:val="004B6B22"/>
    <w:rsid w:val="004B6C50"/>
    <w:rsid w:val="004B77CB"/>
    <w:rsid w:val="004C0DA0"/>
    <w:rsid w:val="004C38BA"/>
    <w:rsid w:val="004C3E02"/>
    <w:rsid w:val="004C422D"/>
    <w:rsid w:val="004C4CEB"/>
    <w:rsid w:val="004C5CBA"/>
    <w:rsid w:val="004C60AC"/>
    <w:rsid w:val="004C6C09"/>
    <w:rsid w:val="004C6EA3"/>
    <w:rsid w:val="004C7C1E"/>
    <w:rsid w:val="004D000F"/>
    <w:rsid w:val="004D055D"/>
    <w:rsid w:val="004D0842"/>
    <w:rsid w:val="004D1240"/>
    <w:rsid w:val="004D133B"/>
    <w:rsid w:val="004D49EE"/>
    <w:rsid w:val="004D4AE0"/>
    <w:rsid w:val="004D4C0B"/>
    <w:rsid w:val="004D512D"/>
    <w:rsid w:val="004D6042"/>
    <w:rsid w:val="004D62C0"/>
    <w:rsid w:val="004D69FC"/>
    <w:rsid w:val="004D77BD"/>
    <w:rsid w:val="004D77DE"/>
    <w:rsid w:val="004D7BF4"/>
    <w:rsid w:val="004D7C92"/>
    <w:rsid w:val="004E0356"/>
    <w:rsid w:val="004E0D46"/>
    <w:rsid w:val="004E295C"/>
    <w:rsid w:val="004E38B2"/>
    <w:rsid w:val="004E3936"/>
    <w:rsid w:val="004E4277"/>
    <w:rsid w:val="004E490B"/>
    <w:rsid w:val="004E57F7"/>
    <w:rsid w:val="004E5D9C"/>
    <w:rsid w:val="004E6707"/>
    <w:rsid w:val="004E6985"/>
    <w:rsid w:val="004E6B8E"/>
    <w:rsid w:val="004F0543"/>
    <w:rsid w:val="004F126D"/>
    <w:rsid w:val="004F22C9"/>
    <w:rsid w:val="004F2385"/>
    <w:rsid w:val="004F326E"/>
    <w:rsid w:val="004F3A97"/>
    <w:rsid w:val="004F486D"/>
    <w:rsid w:val="004F5591"/>
    <w:rsid w:val="004F5D14"/>
    <w:rsid w:val="004F68DC"/>
    <w:rsid w:val="004F7FAD"/>
    <w:rsid w:val="00500F7A"/>
    <w:rsid w:val="005012AD"/>
    <w:rsid w:val="005016E5"/>
    <w:rsid w:val="00501A56"/>
    <w:rsid w:val="00501ACA"/>
    <w:rsid w:val="00502317"/>
    <w:rsid w:val="005027BB"/>
    <w:rsid w:val="00503415"/>
    <w:rsid w:val="005037E1"/>
    <w:rsid w:val="00503B5C"/>
    <w:rsid w:val="0050456A"/>
    <w:rsid w:val="005068E1"/>
    <w:rsid w:val="005077C5"/>
    <w:rsid w:val="00507F3A"/>
    <w:rsid w:val="0051168A"/>
    <w:rsid w:val="005117D2"/>
    <w:rsid w:val="005118A6"/>
    <w:rsid w:val="005122F4"/>
    <w:rsid w:val="0051292D"/>
    <w:rsid w:val="005131DC"/>
    <w:rsid w:val="00513ADB"/>
    <w:rsid w:val="0051405F"/>
    <w:rsid w:val="0051444F"/>
    <w:rsid w:val="005148C5"/>
    <w:rsid w:val="005156A6"/>
    <w:rsid w:val="00516393"/>
    <w:rsid w:val="005179A5"/>
    <w:rsid w:val="00520B4F"/>
    <w:rsid w:val="00524AD7"/>
    <w:rsid w:val="005254FD"/>
    <w:rsid w:val="005268A9"/>
    <w:rsid w:val="0052720F"/>
    <w:rsid w:val="00527421"/>
    <w:rsid w:val="005275C4"/>
    <w:rsid w:val="00527D36"/>
    <w:rsid w:val="00531076"/>
    <w:rsid w:val="00531393"/>
    <w:rsid w:val="00531D28"/>
    <w:rsid w:val="005328A8"/>
    <w:rsid w:val="0053385A"/>
    <w:rsid w:val="00533920"/>
    <w:rsid w:val="00534F16"/>
    <w:rsid w:val="00535141"/>
    <w:rsid w:val="00535324"/>
    <w:rsid w:val="005363B4"/>
    <w:rsid w:val="0053712D"/>
    <w:rsid w:val="00537DA5"/>
    <w:rsid w:val="005403F4"/>
    <w:rsid w:val="00541136"/>
    <w:rsid w:val="00541C39"/>
    <w:rsid w:val="0054216F"/>
    <w:rsid w:val="00542F18"/>
    <w:rsid w:val="005439C6"/>
    <w:rsid w:val="00544853"/>
    <w:rsid w:val="00544CA5"/>
    <w:rsid w:val="005450E2"/>
    <w:rsid w:val="005459FD"/>
    <w:rsid w:val="00545B19"/>
    <w:rsid w:val="005462D7"/>
    <w:rsid w:val="005470DD"/>
    <w:rsid w:val="005476CE"/>
    <w:rsid w:val="00547BCB"/>
    <w:rsid w:val="0055035F"/>
    <w:rsid w:val="005507FD"/>
    <w:rsid w:val="005511C0"/>
    <w:rsid w:val="005518FE"/>
    <w:rsid w:val="0055232C"/>
    <w:rsid w:val="0055278E"/>
    <w:rsid w:val="005533E8"/>
    <w:rsid w:val="00553C8A"/>
    <w:rsid w:val="00555488"/>
    <w:rsid w:val="0055549A"/>
    <w:rsid w:val="00555B18"/>
    <w:rsid w:val="00555C9C"/>
    <w:rsid w:val="0055641F"/>
    <w:rsid w:val="00556A4D"/>
    <w:rsid w:val="00556B00"/>
    <w:rsid w:val="00556E87"/>
    <w:rsid w:val="00557319"/>
    <w:rsid w:val="0055764E"/>
    <w:rsid w:val="00560528"/>
    <w:rsid w:val="0056081F"/>
    <w:rsid w:val="00561923"/>
    <w:rsid w:val="005622F8"/>
    <w:rsid w:val="0056310A"/>
    <w:rsid w:val="00563236"/>
    <w:rsid w:val="0056336F"/>
    <w:rsid w:val="005636C6"/>
    <w:rsid w:val="00565366"/>
    <w:rsid w:val="00565AF7"/>
    <w:rsid w:val="005663EB"/>
    <w:rsid w:val="00570C34"/>
    <w:rsid w:val="00571020"/>
    <w:rsid w:val="0057189C"/>
    <w:rsid w:val="005719D3"/>
    <w:rsid w:val="00571BD2"/>
    <w:rsid w:val="00571CD7"/>
    <w:rsid w:val="00571D59"/>
    <w:rsid w:val="00572338"/>
    <w:rsid w:val="00572E3E"/>
    <w:rsid w:val="005732E0"/>
    <w:rsid w:val="005738F7"/>
    <w:rsid w:val="0057420B"/>
    <w:rsid w:val="005756C1"/>
    <w:rsid w:val="0057593B"/>
    <w:rsid w:val="0057799B"/>
    <w:rsid w:val="00580280"/>
    <w:rsid w:val="00580B9E"/>
    <w:rsid w:val="0058135A"/>
    <w:rsid w:val="00583358"/>
    <w:rsid w:val="00583726"/>
    <w:rsid w:val="005839BF"/>
    <w:rsid w:val="00584058"/>
    <w:rsid w:val="005844A5"/>
    <w:rsid w:val="005846B4"/>
    <w:rsid w:val="0058483F"/>
    <w:rsid w:val="005850E5"/>
    <w:rsid w:val="005851E0"/>
    <w:rsid w:val="00585571"/>
    <w:rsid w:val="005856F9"/>
    <w:rsid w:val="00585B91"/>
    <w:rsid w:val="00586BF1"/>
    <w:rsid w:val="00587DC4"/>
    <w:rsid w:val="005903E4"/>
    <w:rsid w:val="005907D5"/>
    <w:rsid w:val="005913EE"/>
    <w:rsid w:val="00592461"/>
    <w:rsid w:val="00592B29"/>
    <w:rsid w:val="00592B43"/>
    <w:rsid w:val="00592F2B"/>
    <w:rsid w:val="005950D6"/>
    <w:rsid w:val="0059519C"/>
    <w:rsid w:val="00595524"/>
    <w:rsid w:val="00597221"/>
    <w:rsid w:val="005974F3"/>
    <w:rsid w:val="0059751C"/>
    <w:rsid w:val="00597919"/>
    <w:rsid w:val="005A034E"/>
    <w:rsid w:val="005A0A5B"/>
    <w:rsid w:val="005A0B9F"/>
    <w:rsid w:val="005A0EFC"/>
    <w:rsid w:val="005A1692"/>
    <w:rsid w:val="005A286E"/>
    <w:rsid w:val="005A28BD"/>
    <w:rsid w:val="005A3DC0"/>
    <w:rsid w:val="005A44E7"/>
    <w:rsid w:val="005A5337"/>
    <w:rsid w:val="005A5D8E"/>
    <w:rsid w:val="005A63D8"/>
    <w:rsid w:val="005A6CC1"/>
    <w:rsid w:val="005A7C14"/>
    <w:rsid w:val="005A7C48"/>
    <w:rsid w:val="005A7DBE"/>
    <w:rsid w:val="005A7E1A"/>
    <w:rsid w:val="005B0476"/>
    <w:rsid w:val="005B0DE9"/>
    <w:rsid w:val="005B1482"/>
    <w:rsid w:val="005B152C"/>
    <w:rsid w:val="005B1C64"/>
    <w:rsid w:val="005B1DE8"/>
    <w:rsid w:val="005B2590"/>
    <w:rsid w:val="005B25BC"/>
    <w:rsid w:val="005B2807"/>
    <w:rsid w:val="005B3606"/>
    <w:rsid w:val="005B3BFF"/>
    <w:rsid w:val="005B3DCC"/>
    <w:rsid w:val="005B3E08"/>
    <w:rsid w:val="005B49B6"/>
    <w:rsid w:val="005B56EE"/>
    <w:rsid w:val="005B672C"/>
    <w:rsid w:val="005B747D"/>
    <w:rsid w:val="005B7733"/>
    <w:rsid w:val="005B7A22"/>
    <w:rsid w:val="005C0602"/>
    <w:rsid w:val="005C0D5D"/>
    <w:rsid w:val="005C0D70"/>
    <w:rsid w:val="005C191A"/>
    <w:rsid w:val="005C2AA9"/>
    <w:rsid w:val="005C330D"/>
    <w:rsid w:val="005C40C7"/>
    <w:rsid w:val="005C4114"/>
    <w:rsid w:val="005C4B98"/>
    <w:rsid w:val="005C4EFF"/>
    <w:rsid w:val="005C4F43"/>
    <w:rsid w:val="005D0189"/>
    <w:rsid w:val="005D0B55"/>
    <w:rsid w:val="005D160D"/>
    <w:rsid w:val="005D356C"/>
    <w:rsid w:val="005D4A04"/>
    <w:rsid w:val="005D4ABA"/>
    <w:rsid w:val="005D4CF7"/>
    <w:rsid w:val="005D5347"/>
    <w:rsid w:val="005D5CC5"/>
    <w:rsid w:val="005D5F31"/>
    <w:rsid w:val="005D5FE6"/>
    <w:rsid w:val="005D61EA"/>
    <w:rsid w:val="005D6759"/>
    <w:rsid w:val="005D787B"/>
    <w:rsid w:val="005E031D"/>
    <w:rsid w:val="005E03AC"/>
    <w:rsid w:val="005E04B5"/>
    <w:rsid w:val="005E0D5C"/>
    <w:rsid w:val="005E12BE"/>
    <w:rsid w:val="005E191A"/>
    <w:rsid w:val="005E2C81"/>
    <w:rsid w:val="005E384C"/>
    <w:rsid w:val="005E4D3C"/>
    <w:rsid w:val="005E7158"/>
    <w:rsid w:val="005E7ECB"/>
    <w:rsid w:val="005E7F63"/>
    <w:rsid w:val="005F0C00"/>
    <w:rsid w:val="005F1037"/>
    <w:rsid w:val="005F2BF8"/>
    <w:rsid w:val="005F2EA8"/>
    <w:rsid w:val="005F4E3A"/>
    <w:rsid w:val="005F5573"/>
    <w:rsid w:val="005F5D1D"/>
    <w:rsid w:val="005F60C9"/>
    <w:rsid w:val="005F64C6"/>
    <w:rsid w:val="005F6F05"/>
    <w:rsid w:val="006008F1"/>
    <w:rsid w:val="00601714"/>
    <w:rsid w:val="00601735"/>
    <w:rsid w:val="00601A07"/>
    <w:rsid w:val="00602BD2"/>
    <w:rsid w:val="00604980"/>
    <w:rsid w:val="00605BDB"/>
    <w:rsid w:val="0060614D"/>
    <w:rsid w:val="00607C27"/>
    <w:rsid w:val="00607E54"/>
    <w:rsid w:val="0061005A"/>
    <w:rsid w:val="006101C5"/>
    <w:rsid w:val="00610871"/>
    <w:rsid w:val="00610E48"/>
    <w:rsid w:val="0061160D"/>
    <w:rsid w:val="0061286C"/>
    <w:rsid w:val="00612E83"/>
    <w:rsid w:val="00613C47"/>
    <w:rsid w:val="00615086"/>
    <w:rsid w:val="00615B0A"/>
    <w:rsid w:val="00615D40"/>
    <w:rsid w:val="00616201"/>
    <w:rsid w:val="00616225"/>
    <w:rsid w:val="00616917"/>
    <w:rsid w:val="0061705E"/>
    <w:rsid w:val="00617A8B"/>
    <w:rsid w:val="00620C43"/>
    <w:rsid w:val="00621904"/>
    <w:rsid w:val="00622248"/>
    <w:rsid w:val="00622FEA"/>
    <w:rsid w:val="0062344F"/>
    <w:rsid w:val="00623CDF"/>
    <w:rsid w:val="00623DB1"/>
    <w:rsid w:val="00623DB4"/>
    <w:rsid w:val="006245F3"/>
    <w:rsid w:val="00624DBE"/>
    <w:rsid w:val="00625450"/>
    <w:rsid w:val="0062624F"/>
    <w:rsid w:val="006319C1"/>
    <w:rsid w:val="006319CA"/>
    <w:rsid w:val="00632D91"/>
    <w:rsid w:val="00633B3E"/>
    <w:rsid w:val="00634B64"/>
    <w:rsid w:val="00634EC0"/>
    <w:rsid w:val="006351C3"/>
    <w:rsid w:val="0063627F"/>
    <w:rsid w:val="0063642A"/>
    <w:rsid w:val="0063736E"/>
    <w:rsid w:val="006376C4"/>
    <w:rsid w:val="006378DC"/>
    <w:rsid w:val="0064009E"/>
    <w:rsid w:val="006403E7"/>
    <w:rsid w:val="00642D72"/>
    <w:rsid w:val="006443CB"/>
    <w:rsid w:val="006448B8"/>
    <w:rsid w:val="00644F80"/>
    <w:rsid w:val="00645874"/>
    <w:rsid w:val="006458E5"/>
    <w:rsid w:val="00646E5D"/>
    <w:rsid w:val="006472B4"/>
    <w:rsid w:val="00650B30"/>
    <w:rsid w:val="00650F81"/>
    <w:rsid w:val="00650FC7"/>
    <w:rsid w:val="006531B0"/>
    <w:rsid w:val="00653C24"/>
    <w:rsid w:val="00653D68"/>
    <w:rsid w:val="00654275"/>
    <w:rsid w:val="0065446D"/>
    <w:rsid w:val="00654894"/>
    <w:rsid w:val="00656067"/>
    <w:rsid w:val="00657381"/>
    <w:rsid w:val="0065746B"/>
    <w:rsid w:val="00660693"/>
    <w:rsid w:val="00660D86"/>
    <w:rsid w:val="006611D6"/>
    <w:rsid w:val="00661918"/>
    <w:rsid w:val="006623F6"/>
    <w:rsid w:val="00662A5A"/>
    <w:rsid w:val="0066335C"/>
    <w:rsid w:val="006636D0"/>
    <w:rsid w:val="00663834"/>
    <w:rsid w:val="006647D7"/>
    <w:rsid w:val="00664F1B"/>
    <w:rsid w:val="006653D7"/>
    <w:rsid w:val="00665BFF"/>
    <w:rsid w:val="006665BA"/>
    <w:rsid w:val="00666A4F"/>
    <w:rsid w:val="00666B7F"/>
    <w:rsid w:val="00666DEC"/>
    <w:rsid w:val="00667477"/>
    <w:rsid w:val="006703D9"/>
    <w:rsid w:val="00670ADE"/>
    <w:rsid w:val="006714B8"/>
    <w:rsid w:val="00672DFC"/>
    <w:rsid w:val="00672F5B"/>
    <w:rsid w:val="00673BD7"/>
    <w:rsid w:val="00673DEE"/>
    <w:rsid w:val="006744F6"/>
    <w:rsid w:val="006745F8"/>
    <w:rsid w:val="00674E69"/>
    <w:rsid w:val="0067553E"/>
    <w:rsid w:val="00675A33"/>
    <w:rsid w:val="0067602A"/>
    <w:rsid w:val="00676070"/>
    <w:rsid w:val="006763ED"/>
    <w:rsid w:val="00676433"/>
    <w:rsid w:val="0067720F"/>
    <w:rsid w:val="0067738E"/>
    <w:rsid w:val="00677F23"/>
    <w:rsid w:val="00680936"/>
    <w:rsid w:val="00680BBE"/>
    <w:rsid w:val="00680D8C"/>
    <w:rsid w:val="00680D99"/>
    <w:rsid w:val="006821B2"/>
    <w:rsid w:val="00682725"/>
    <w:rsid w:val="00682A1B"/>
    <w:rsid w:val="00682D73"/>
    <w:rsid w:val="00682ED3"/>
    <w:rsid w:val="006843F8"/>
    <w:rsid w:val="006846E8"/>
    <w:rsid w:val="0068541E"/>
    <w:rsid w:val="00685E9D"/>
    <w:rsid w:val="00685EBD"/>
    <w:rsid w:val="0068605C"/>
    <w:rsid w:val="006861AC"/>
    <w:rsid w:val="006861C3"/>
    <w:rsid w:val="0068639D"/>
    <w:rsid w:val="00686AF3"/>
    <w:rsid w:val="00690F1F"/>
    <w:rsid w:val="006915BD"/>
    <w:rsid w:val="00691A6B"/>
    <w:rsid w:val="00692582"/>
    <w:rsid w:val="00692592"/>
    <w:rsid w:val="00692A2F"/>
    <w:rsid w:val="0069322C"/>
    <w:rsid w:val="00693652"/>
    <w:rsid w:val="006939E7"/>
    <w:rsid w:val="00693D3E"/>
    <w:rsid w:val="006942F7"/>
    <w:rsid w:val="006956FB"/>
    <w:rsid w:val="00695BC7"/>
    <w:rsid w:val="006969AD"/>
    <w:rsid w:val="00696F7B"/>
    <w:rsid w:val="0069796F"/>
    <w:rsid w:val="006A01FB"/>
    <w:rsid w:val="006A1093"/>
    <w:rsid w:val="006A1D3D"/>
    <w:rsid w:val="006A2150"/>
    <w:rsid w:val="006A2216"/>
    <w:rsid w:val="006A241D"/>
    <w:rsid w:val="006A3288"/>
    <w:rsid w:val="006A43E6"/>
    <w:rsid w:val="006A4442"/>
    <w:rsid w:val="006A4AEE"/>
    <w:rsid w:val="006A526F"/>
    <w:rsid w:val="006A70BE"/>
    <w:rsid w:val="006A7934"/>
    <w:rsid w:val="006B0001"/>
    <w:rsid w:val="006B04AF"/>
    <w:rsid w:val="006B059F"/>
    <w:rsid w:val="006B0939"/>
    <w:rsid w:val="006B0A56"/>
    <w:rsid w:val="006B2048"/>
    <w:rsid w:val="006B20A6"/>
    <w:rsid w:val="006B32D5"/>
    <w:rsid w:val="006B342E"/>
    <w:rsid w:val="006B3812"/>
    <w:rsid w:val="006B3B80"/>
    <w:rsid w:val="006B6870"/>
    <w:rsid w:val="006B6F32"/>
    <w:rsid w:val="006B7130"/>
    <w:rsid w:val="006B73CC"/>
    <w:rsid w:val="006B7695"/>
    <w:rsid w:val="006B7C0F"/>
    <w:rsid w:val="006C0176"/>
    <w:rsid w:val="006C2994"/>
    <w:rsid w:val="006C35EC"/>
    <w:rsid w:val="006C4150"/>
    <w:rsid w:val="006C4382"/>
    <w:rsid w:val="006C5683"/>
    <w:rsid w:val="006C5E33"/>
    <w:rsid w:val="006C5E48"/>
    <w:rsid w:val="006C6434"/>
    <w:rsid w:val="006C6984"/>
    <w:rsid w:val="006C6CD8"/>
    <w:rsid w:val="006C70BB"/>
    <w:rsid w:val="006C7528"/>
    <w:rsid w:val="006C7EB1"/>
    <w:rsid w:val="006D013F"/>
    <w:rsid w:val="006D017F"/>
    <w:rsid w:val="006D08BD"/>
    <w:rsid w:val="006D0F8E"/>
    <w:rsid w:val="006D1414"/>
    <w:rsid w:val="006D1416"/>
    <w:rsid w:val="006D1D3F"/>
    <w:rsid w:val="006D253B"/>
    <w:rsid w:val="006D325A"/>
    <w:rsid w:val="006D407B"/>
    <w:rsid w:val="006D4242"/>
    <w:rsid w:val="006D44E6"/>
    <w:rsid w:val="006D45F0"/>
    <w:rsid w:val="006D4C8F"/>
    <w:rsid w:val="006D52A0"/>
    <w:rsid w:val="006D57CB"/>
    <w:rsid w:val="006D5819"/>
    <w:rsid w:val="006D5E6F"/>
    <w:rsid w:val="006D693F"/>
    <w:rsid w:val="006D6CDD"/>
    <w:rsid w:val="006D7604"/>
    <w:rsid w:val="006D765E"/>
    <w:rsid w:val="006E03D1"/>
    <w:rsid w:val="006E0455"/>
    <w:rsid w:val="006E150D"/>
    <w:rsid w:val="006E3289"/>
    <w:rsid w:val="006E33E4"/>
    <w:rsid w:val="006E4238"/>
    <w:rsid w:val="006E5F01"/>
    <w:rsid w:val="006E5F88"/>
    <w:rsid w:val="006E7404"/>
    <w:rsid w:val="006E7A36"/>
    <w:rsid w:val="006E7B97"/>
    <w:rsid w:val="006F12C8"/>
    <w:rsid w:val="006F1DE7"/>
    <w:rsid w:val="006F1EA3"/>
    <w:rsid w:val="006F2627"/>
    <w:rsid w:val="006F2BF8"/>
    <w:rsid w:val="006F31E2"/>
    <w:rsid w:val="006F3568"/>
    <w:rsid w:val="006F40AD"/>
    <w:rsid w:val="006F4A5F"/>
    <w:rsid w:val="006F4D7B"/>
    <w:rsid w:val="006F524D"/>
    <w:rsid w:val="006F6360"/>
    <w:rsid w:val="006F6436"/>
    <w:rsid w:val="006F65C5"/>
    <w:rsid w:val="006F687A"/>
    <w:rsid w:val="006F68EF"/>
    <w:rsid w:val="006F6D38"/>
    <w:rsid w:val="006F6D4C"/>
    <w:rsid w:val="006F6E67"/>
    <w:rsid w:val="006F7157"/>
    <w:rsid w:val="006F78E0"/>
    <w:rsid w:val="00701210"/>
    <w:rsid w:val="00702428"/>
    <w:rsid w:val="00702B1B"/>
    <w:rsid w:val="00702ED6"/>
    <w:rsid w:val="007032B3"/>
    <w:rsid w:val="00703C62"/>
    <w:rsid w:val="00704164"/>
    <w:rsid w:val="007044BF"/>
    <w:rsid w:val="00706388"/>
    <w:rsid w:val="00706A58"/>
    <w:rsid w:val="00707517"/>
    <w:rsid w:val="007078ED"/>
    <w:rsid w:val="00710187"/>
    <w:rsid w:val="007110E1"/>
    <w:rsid w:val="007115CE"/>
    <w:rsid w:val="00711B18"/>
    <w:rsid w:val="00714394"/>
    <w:rsid w:val="00714ED6"/>
    <w:rsid w:val="007151B7"/>
    <w:rsid w:val="007153FC"/>
    <w:rsid w:val="00715E8D"/>
    <w:rsid w:val="0071648F"/>
    <w:rsid w:val="00716D8A"/>
    <w:rsid w:val="00717854"/>
    <w:rsid w:val="00720CCE"/>
    <w:rsid w:val="00721C26"/>
    <w:rsid w:val="00721F7E"/>
    <w:rsid w:val="00722C0F"/>
    <w:rsid w:val="00722E29"/>
    <w:rsid w:val="00723ECB"/>
    <w:rsid w:val="00724606"/>
    <w:rsid w:val="00724A36"/>
    <w:rsid w:val="00724A60"/>
    <w:rsid w:val="00724E85"/>
    <w:rsid w:val="00725113"/>
    <w:rsid w:val="0072525D"/>
    <w:rsid w:val="00725A26"/>
    <w:rsid w:val="00726E8A"/>
    <w:rsid w:val="00727047"/>
    <w:rsid w:val="00727C5E"/>
    <w:rsid w:val="00734510"/>
    <w:rsid w:val="00734887"/>
    <w:rsid w:val="00736530"/>
    <w:rsid w:val="007365B6"/>
    <w:rsid w:val="00736FD0"/>
    <w:rsid w:val="007373C8"/>
    <w:rsid w:val="007401E2"/>
    <w:rsid w:val="00740205"/>
    <w:rsid w:val="00740D67"/>
    <w:rsid w:val="007411E5"/>
    <w:rsid w:val="00741605"/>
    <w:rsid w:val="00742AD3"/>
    <w:rsid w:val="00742F72"/>
    <w:rsid w:val="00743319"/>
    <w:rsid w:val="007436F2"/>
    <w:rsid w:val="0074436D"/>
    <w:rsid w:val="007446DA"/>
    <w:rsid w:val="007462C2"/>
    <w:rsid w:val="00746772"/>
    <w:rsid w:val="00746951"/>
    <w:rsid w:val="00746F65"/>
    <w:rsid w:val="00746FFF"/>
    <w:rsid w:val="007472C3"/>
    <w:rsid w:val="0074791E"/>
    <w:rsid w:val="0075028E"/>
    <w:rsid w:val="00750948"/>
    <w:rsid w:val="0075115D"/>
    <w:rsid w:val="00751A33"/>
    <w:rsid w:val="00751F77"/>
    <w:rsid w:val="00752C5F"/>
    <w:rsid w:val="00753890"/>
    <w:rsid w:val="007555DF"/>
    <w:rsid w:val="007569DC"/>
    <w:rsid w:val="00756D6A"/>
    <w:rsid w:val="0075711E"/>
    <w:rsid w:val="007579F2"/>
    <w:rsid w:val="007602CB"/>
    <w:rsid w:val="00761434"/>
    <w:rsid w:val="00761FD5"/>
    <w:rsid w:val="007620C9"/>
    <w:rsid w:val="00762372"/>
    <w:rsid w:val="00762BB6"/>
    <w:rsid w:val="0076341D"/>
    <w:rsid w:val="0076446D"/>
    <w:rsid w:val="007647EF"/>
    <w:rsid w:val="0076542B"/>
    <w:rsid w:val="00765DD8"/>
    <w:rsid w:val="00766B33"/>
    <w:rsid w:val="00766D36"/>
    <w:rsid w:val="007671DC"/>
    <w:rsid w:val="00767607"/>
    <w:rsid w:val="00767ACD"/>
    <w:rsid w:val="00767C0D"/>
    <w:rsid w:val="00767E70"/>
    <w:rsid w:val="007705B5"/>
    <w:rsid w:val="00770B08"/>
    <w:rsid w:val="007720B8"/>
    <w:rsid w:val="0077247C"/>
    <w:rsid w:val="0077270D"/>
    <w:rsid w:val="00773874"/>
    <w:rsid w:val="00774B47"/>
    <w:rsid w:val="00775D3B"/>
    <w:rsid w:val="0077615A"/>
    <w:rsid w:val="00777483"/>
    <w:rsid w:val="007806A0"/>
    <w:rsid w:val="00782346"/>
    <w:rsid w:val="007828DB"/>
    <w:rsid w:val="007838CD"/>
    <w:rsid w:val="007840F3"/>
    <w:rsid w:val="00784EC7"/>
    <w:rsid w:val="00785491"/>
    <w:rsid w:val="007858C0"/>
    <w:rsid w:val="00785C4E"/>
    <w:rsid w:val="00786128"/>
    <w:rsid w:val="00786550"/>
    <w:rsid w:val="0078679A"/>
    <w:rsid w:val="007871FE"/>
    <w:rsid w:val="007902AD"/>
    <w:rsid w:val="00790606"/>
    <w:rsid w:val="007908ED"/>
    <w:rsid w:val="00790F74"/>
    <w:rsid w:val="007912E8"/>
    <w:rsid w:val="00792288"/>
    <w:rsid w:val="00792447"/>
    <w:rsid w:val="007928C6"/>
    <w:rsid w:val="007929C0"/>
    <w:rsid w:val="007951F4"/>
    <w:rsid w:val="00795BF6"/>
    <w:rsid w:val="0079694C"/>
    <w:rsid w:val="00796F99"/>
    <w:rsid w:val="00797AF9"/>
    <w:rsid w:val="00797FBD"/>
    <w:rsid w:val="007A0187"/>
    <w:rsid w:val="007A19AC"/>
    <w:rsid w:val="007A2640"/>
    <w:rsid w:val="007A268F"/>
    <w:rsid w:val="007A4A53"/>
    <w:rsid w:val="007A4C93"/>
    <w:rsid w:val="007A4E17"/>
    <w:rsid w:val="007A5936"/>
    <w:rsid w:val="007A5AC6"/>
    <w:rsid w:val="007A6A01"/>
    <w:rsid w:val="007A7D0A"/>
    <w:rsid w:val="007A7F6D"/>
    <w:rsid w:val="007B0799"/>
    <w:rsid w:val="007B0FBD"/>
    <w:rsid w:val="007B1BAF"/>
    <w:rsid w:val="007B2393"/>
    <w:rsid w:val="007B2FE8"/>
    <w:rsid w:val="007B30DB"/>
    <w:rsid w:val="007B30F2"/>
    <w:rsid w:val="007B35F7"/>
    <w:rsid w:val="007B4DD5"/>
    <w:rsid w:val="007B4F72"/>
    <w:rsid w:val="007B5148"/>
    <w:rsid w:val="007B5A16"/>
    <w:rsid w:val="007B64D8"/>
    <w:rsid w:val="007B660D"/>
    <w:rsid w:val="007B7219"/>
    <w:rsid w:val="007C03FE"/>
    <w:rsid w:val="007C0E04"/>
    <w:rsid w:val="007C17D3"/>
    <w:rsid w:val="007C1E98"/>
    <w:rsid w:val="007C1FA2"/>
    <w:rsid w:val="007C2823"/>
    <w:rsid w:val="007C2827"/>
    <w:rsid w:val="007C3536"/>
    <w:rsid w:val="007C3A26"/>
    <w:rsid w:val="007C4032"/>
    <w:rsid w:val="007C4CE1"/>
    <w:rsid w:val="007C537A"/>
    <w:rsid w:val="007C563F"/>
    <w:rsid w:val="007C57D1"/>
    <w:rsid w:val="007C6B3E"/>
    <w:rsid w:val="007C6F13"/>
    <w:rsid w:val="007C7130"/>
    <w:rsid w:val="007C74E5"/>
    <w:rsid w:val="007C7DAB"/>
    <w:rsid w:val="007C7F57"/>
    <w:rsid w:val="007D0348"/>
    <w:rsid w:val="007D0E43"/>
    <w:rsid w:val="007D13E7"/>
    <w:rsid w:val="007D153B"/>
    <w:rsid w:val="007D1E37"/>
    <w:rsid w:val="007D358B"/>
    <w:rsid w:val="007D4624"/>
    <w:rsid w:val="007D563E"/>
    <w:rsid w:val="007D5A49"/>
    <w:rsid w:val="007D5FC1"/>
    <w:rsid w:val="007D6E81"/>
    <w:rsid w:val="007D6EB6"/>
    <w:rsid w:val="007D715A"/>
    <w:rsid w:val="007D789C"/>
    <w:rsid w:val="007E0161"/>
    <w:rsid w:val="007E08DB"/>
    <w:rsid w:val="007E0B17"/>
    <w:rsid w:val="007E0D90"/>
    <w:rsid w:val="007E0E9E"/>
    <w:rsid w:val="007E0EBF"/>
    <w:rsid w:val="007E12DC"/>
    <w:rsid w:val="007E1760"/>
    <w:rsid w:val="007E21FB"/>
    <w:rsid w:val="007E3B9D"/>
    <w:rsid w:val="007E3EE9"/>
    <w:rsid w:val="007E420B"/>
    <w:rsid w:val="007E46BC"/>
    <w:rsid w:val="007E4932"/>
    <w:rsid w:val="007E4CAD"/>
    <w:rsid w:val="007E502C"/>
    <w:rsid w:val="007E516A"/>
    <w:rsid w:val="007E5BD7"/>
    <w:rsid w:val="007E6761"/>
    <w:rsid w:val="007E75F0"/>
    <w:rsid w:val="007E7968"/>
    <w:rsid w:val="007E7992"/>
    <w:rsid w:val="007E79C4"/>
    <w:rsid w:val="007F013A"/>
    <w:rsid w:val="007F0730"/>
    <w:rsid w:val="007F1D54"/>
    <w:rsid w:val="007F20A0"/>
    <w:rsid w:val="007F2A15"/>
    <w:rsid w:val="007F2D90"/>
    <w:rsid w:val="007F321F"/>
    <w:rsid w:val="007F3D9B"/>
    <w:rsid w:val="007F3F6F"/>
    <w:rsid w:val="007F48A9"/>
    <w:rsid w:val="007F4A1F"/>
    <w:rsid w:val="007F4E28"/>
    <w:rsid w:val="007F4E6E"/>
    <w:rsid w:val="007F4F82"/>
    <w:rsid w:val="007F6D96"/>
    <w:rsid w:val="007F7CFA"/>
    <w:rsid w:val="0080033E"/>
    <w:rsid w:val="00801D7A"/>
    <w:rsid w:val="008020F2"/>
    <w:rsid w:val="00802462"/>
    <w:rsid w:val="008036FC"/>
    <w:rsid w:val="00803F74"/>
    <w:rsid w:val="00804653"/>
    <w:rsid w:val="00804C48"/>
    <w:rsid w:val="0080505A"/>
    <w:rsid w:val="00805478"/>
    <w:rsid w:val="00806639"/>
    <w:rsid w:val="008066AC"/>
    <w:rsid w:val="00806A84"/>
    <w:rsid w:val="008073A4"/>
    <w:rsid w:val="00807C6C"/>
    <w:rsid w:val="00807C7A"/>
    <w:rsid w:val="008101E4"/>
    <w:rsid w:val="008115ED"/>
    <w:rsid w:val="00811A42"/>
    <w:rsid w:val="0081254B"/>
    <w:rsid w:val="008132BB"/>
    <w:rsid w:val="0081340B"/>
    <w:rsid w:val="00813788"/>
    <w:rsid w:val="00813F40"/>
    <w:rsid w:val="00814FED"/>
    <w:rsid w:val="00815822"/>
    <w:rsid w:val="00815B93"/>
    <w:rsid w:val="00815BA2"/>
    <w:rsid w:val="00816585"/>
    <w:rsid w:val="00816AD2"/>
    <w:rsid w:val="00817364"/>
    <w:rsid w:val="00817BB4"/>
    <w:rsid w:val="00817E4F"/>
    <w:rsid w:val="00820F5B"/>
    <w:rsid w:val="00821021"/>
    <w:rsid w:val="008214BB"/>
    <w:rsid w:val="00821B58"/>
    <w:rsid w:val="00822136"/>
    <w:rsid w:val="00822D4E"/>
    <w:rsid w:val="00822FBA"/>
    <w:rsid w:val="0082398C"/>
    <w:rsid w:val="00824FAD"/>
    <w:rsid w:val="00824FF1"/>
    <w:rsid w:val="00825196"/>
    <w:rsid w:val="008256AC"/>
    <w:rsid w:val="00826173"/>
    <w:rsid w:val="00826F4C"/>
    <w:rsid w:val="008302D6"/>
    <w:rsid w:val="008305FD"/>
    <w:rsid w:val="00831573"/>
    <w:rsid w:val="00833946"/>
    <w:rsid w:val="00833C51"/>
    <w:rsid w:val="008349A6"/>
    <w:rsid w:val="00835271"/>
    <w:rsid w:val="00835679"/>
    <w:rsid w:val="008360DF"/>
    <w:rsid w:val="008365D4"/>
    <w:rsid w:val="0083731C"/>
    <w:rsid w:val="008377DA"/>
    <w:rsid w:val="00837BD7"/>
    <w:rsid w:val="008403A7"/>
    <w:rsid w:val="00840591"/>
    <w:rsid w:val="0084119A"/>
    <w:rsid w:val="00841F21"/>
    <w:rsid w:val="00842991"/>
    <w:rsid w:val="008429B0"/>
    <w:rsid w:val="00843900"/>
    <w:rsid w:val="00844C5B"/>
    <w:rsid w:val="00845083"/>
    <w:rsid w:val="0084581F"/>
    <w:rsid w:val="00845898"/>
    <w:rsid w:val="00845A15"/>
    <w:rsid w:val="0084632F"/>
    <w:rsid w:val="00851810"/>
    <w:rsid w:val="00852528"/>
    <w:rsid w:val="008541F1"/>
    <w:rsid w:val="008543F7"/>
    <w:rsid w:val="008545DC"/>
    <w:rsid w:val="00854A7E"/>
    <w:rsid w:val="00854A98"/>
    <w:rsid w:val="00855209"/>
    <w:rsid w:val="00855B06"/>
    <w:rsid w:val="00856B95"/>
    <w:rsid w:val="00856D1A"/>
    <w:rsid w:val="00857D29"/>
    <w:rsid w:val="0086161C"/>
    <w:rsid w:val="0086225C"/>
    <w:rsid w:val="008629A8"/>
    <w:rsid w:val="00863225"/>
    <w:rsid w:val="00863ADA"/>
    <w:rsid w:val="00864BF6"/>
    <w:rsid w:val="00865266"/>
    <w:rsid w:val="00865BAA"/>
    <w:rsid w:val="008677CB"/>
    <w:rsid w:val="0087056E"/>
    <w:rsid w:val="00870CB6"/>
    <w:rsid w:val="00870CC5"/>
    <w:rsid w:val="00870DD7"/>
    <w:rsid w:val="008737AE"/>
    <w:rsid w:val="00873F17"/>
    <w:rsid w:val="00873FEA"/>
    <w:rsid w:val="0087419B"/>
    <w:rsid w:val="00874592"/>
    <w:rsid w:val="008750AF"/>
    <w:rsid w:val="008751C1"/>
    <w:rsid w:val="00876C1B"/>
    <w:rsid w:val="00876E70"/>
    <w:rsid w:val="008804E1"/>
    <w:rsid w:val="00880ABB"/>
    <w:rsid w:val="00880E30"/>
    <w:rsid w:val="008815B6"/>
    <w:rsid w:val="008818F6"/>
    <w:rsid w:val="00881D45"/>
    <w:rsid w:val="008829F8"/>
    <w:rsid w:val="0088398E"/>
    <w:rsid w:val="00885182"/>
    <w:rsid w:val="0088647E"/>
    <w:rsid w:val="00887E02"/>
    <w:rsid w:val="00890382"/>
    <w:rsid w:val="0089046A"/>
    <w:rsid w:val="00891106"/>
    <w:rsid w:val="008916CB"/>
    <w:rsid w:val="00892833"/>
    <w:rsid w:val="00893479"/>
    <w:rsid w:val="0089375D"/>
    <w:rsid w:val="008943CB"/>
    <w:rsid w:val="008946B9"/>
    <w:rsid w:val="008960A2"/>
    <w:rsid w:val="00896E62"/>
    <w:rsid w:val="008979BC"/>
    <w:rsid w:val="008A056E"/>
    <w:rsid w:val="008A0882"/>
    <w:rsid w:val="008A10C1"/>
    <w:rsid w:val="008A181A"/>
    <w:rsid w:val="008A1A6F"/>
    <w:rsid w:val="008A1C47"/>
    <w:rsid w:val="008A2289"/>
    <w:rsid w:val="008A26F5"/>
    <w:rsid w:val="008A3766"/>
    <w:rsid w:val="008A3F08"/>
    <w:rsid w:val="008A4F66"/>
    <w:rsid w:val="008A525C"/>
    <w:rsid w:val="008A5290"/>
    <w:rsid w:val="008A593A"/>
    <w:rsid w:val="008A6A60"/>
    <w:rsid w:val="008A6B89"/>
    <w:rsid w:val="008A6C5A"/>
    <w:rsid w:val="008A6CCA"/>
    <w:rsid w:val="008B1417"/>
    <w:rsid w:val="008B1B85"/>
    <w:rsid w:val="008B1B8C"/>
    <w:rsid w:val="008B2170"/>
    <w:rsid w:val="008B25B1"/>
    <w:rsid w:val="008B2C59"/>
    <w:rsid w:val="008B2DF3"/>
    <w:rsid w:val="008B353B"/>
    <w:rsid w:val="008B3761"/>
    <w:rsid w:val="008B376A"/>
    <w:rsid w:val="008B444E"/>
    <w:rsid w:val="008B569F"/>
    <w:rsid w:val="008B71B6"/>
    <w:rsid w:val="008B7220"/>
    <w:rsid w:val="008C0669"/>
    <w:rsid w:val="008C08A5"/>
    <w:rsid w:val="008C1DD7"/>
    <w:rsid w:val="008C26FA"/>
    <w:rsid w:val="008C36BB"/>
    <w:rsid w:val="008C38A4"/>
    <w:rsid w:val="008C4566"/>
    <w:rsid w:val="008C46B6"/>
    <w:rsid w:val="008C46C3"/>
    <w:rsid w:val="008C522A"/>
    <w:rsid w:val="008C5E71"/>
    <w:rsid w:val="008C64E3"/>
    <w:rsid w:val="008C6A8B"/>
    <w:rsid w:val="008C7409"/>
    <w:rsid w:val="008C77F7"/>
    <w:rsid w:val="008D00EA"/>
    <w:rsid w:val="008D0D1E"/>
    <w:rsid w:val="008D1175"/>
    <w:rsid w:val="008D13C7"/>
    <w:rsid w:val="008D1627"/>
    <w:rsid w:val="008D1DA0"/>
    <w:rsid w:val="008D284E"/>
    <w:rsid w:val="008D3E1A"/>
    <w:rsid w:val="008D4D90"/>
    <w:rsid w:val="008D4ED3"/>
    <w:rsid w:val="008D54BF"/>
    <w:rsid w:val="008D5DC6"/>
    <w:rsid w:val="008D6A11"/>
    <w:rsid w:val="008E0D4B"/>
    <w:rsid w:val="008E1A5C"/>
    <w:rsid w:val="008E1C27"/>
    <w:rsid w:val="008E1E54"/>
    <w:rsid w:val="008E2057"/>
    <w:rsid w:val="008E264D"/>
    <w:rsid w:val="008E2DA6"/>
    <w:rsid w:val="008E31EC"/>
    <w:rsid w:val="008E3512"/>
    <w:rsid w:val="008E3C88"/>
    <w:rsid w:val="008E4E17"/>
    <w:rsid w:val="008E5337"/>
    <w:rsid w:val="008E610D"/>
    <w:rsid w:val="008E6F8D"/>
    <w:rsid w:val="008E78F2"/>
    <w:rsid w:val="008E7B12"/>
    <w:rsid w:val="008F022C"/>
    <w:rsid w:val="008F0377"/>
    <w:rsid w:val="008F0E38"/>
    <w:rsid w:val="008F2A60"/>
    <w:rsid w:val="008F310D"/>
    <w:rsid w:val="008F3758"/>
    <w:rsid w:val="008F3888"/>
    <w:rsid w:val="008F3A90"/>
    <w:rsid w:val="008F3B22"/>
    <w:rsid w:val="008F43C7"/>
    <w:rsid w:val="008F4823"/>
    <w:rsid w:val="008F551B"/>
    <w:rsid w:val="008F606D"/>
    <w:rsid w:val="008F6597"/>
    <w:rsid w:val="008F7150"/>
    <w:rsid w:val="008F71CC"/>
    <w:rsid w:val="008F721C"/>
    <w:rsid w:val="008F757D"/>
    <w:rsid w:val="00900662"/>
    <w:rsid w:val="00900BFF"/>
    <w:rsid w:val="00901953"/>
    <w:rsid w:val="00901DF8"/>
    <w:rsid w:val="00902166"/>
    <w:rsid w:val="00902A0C"/>
    <w:rsid w:val="009040A1"/>
    <w:rsid w:val="009043AA"/>
    <w:rsid w:val="0090473B"/>
    <w:rsid w:val="0090487F"/>
    <w:rsid w:val="00904A1E"/>
    <w:rsid w:val="00905282"/>
    <w:rsid w:val="0090574B"/>
    <w:rsid w:val="00905908"/>
    <w:rsid w:val="00905F22"/>
    <w:rsid w:val="00906C96"/>
    <w:rsid w:val="009075A4"/>
    <w:rsid w:val="009101AF"/>
    <w:rsid w:val="00910400"/>
    <w:rsid w:val="00911808"/>
    <w:rsid w:val="00912F37"/>
    <w:rsid w:val="009131C8"/>
    <w:rsid w:val="009145FB"/>
    <w:rsid w:val="00914811"/>
    <w:rsid w:val="00915283"/>
    <w:rsid w:val="00915786"/>
    <w:rsid w:val="00917141"/>
    <w:rsid w:val="0091746C"/>
    <w:rsid w:val="00917D06"/>
    <w:rsid w:val="009207DB"/>
    <w:rsid w:val="00921879"/>
    <w:rsid w:val="00922024"/>
    <w:rsid w:val="00922A45"/>
    <w:rsid w:val="009233CE"/>
    <w:rsid w:val="00923C3F"/>
    <w:rsid w:val="00924853"/>
    <w:rsid w:val="009252E0"/>
    <w:rsid w:val="00925501"/>
    <w:rsid w:val="00926982"/>
    <w:rsid w:val="00926B5A"/>
    <w:rsid w:val="00926D4C"/>
    <w:rsid w:val="009270C4"/>
    <w:rsid w:val="00931743"/>
    <w:rsid w:val="00931AF8"/>
    <w:rsid w:val="009325F7"/>
    <w:rsid w:val="00932BCF"/>
    <w:rsid w:val="00933396"/>
    <w:rsid w:val="00933761"/>
    <w:rsid w:val="00934D73"/>
    <w:rsid w:val="00935042"/>
    <w:rsid w:val="00936CC6"/>
    <w:rsid w:val="0093740F"/>
    <w:rsid w:val="00937B4A"/>
    <w:rsid w:val="00937BE9"/>
    <w:rsid w:val="00937C1D"/>
    <w:rsid w:val="00940804"/>
    <w:rsid w:val="00940E9B"/>
    <w:rsid w:val="00940FC3"/>
    <w:rsid w:val="009410B3"/>
    <w:rsid w:val="0094131D"/>
    <w:rsid w:val="0094166C"/>
    <w:rsid w:val="00941D3B"/>
    <w:rsid w:val="00942120"/>
    <w:rsid w:val="009425F7"/>
    <w:rsid w:val="00943827"/>
    <w:rsid w:val="00943BC0"/>
    <w:rsid w:val="00943E23"/>
    <w:rsid w:val="00944BF0"/>
    <w:rsid w:val="00944F29"/>
    <w:rsid w:val="00946136"/>
    <w:rsid w:val="00946CD9"/>
    <w:rsid w:val="00947046"/>
    <w:rsid w:val="00947A00"/>
    <w:rsid w:val="009505F4"/>
    <w:rsid w:val="00951216"/>
    <w:rsid w:val="0095279B"/>
    <w:rsid w:val="00953006"/>
    <w:rsid w:val="0095316C"/>
    <w:rsid w:val="00954282"/>
    <w:rsid w:val="00954427"/>
    <w:rsid w:val="009545B9"/>
    <w:rsid w:val="009564ED"/>
    <w:rsid w:val="00956CA2"/>
    <w:rsid w:val="00960310"/>
    <w:rsid w:val="00960385"/>
    <w:rsid w:val="0096079B"/>
    <w:rsid w:val="00960CA9"/>
    <w:rsid w:val="00961D3A"/>
    <w:rsid w:val="0096218D"/>
    <w:rsid w:val="00964509"/>
    <w:rsid w:val="00964525"/>
    <w:rsid w:val="0096501B"/>
    <w:rsid w:val="0096627F"/>
    <w:rsid w:val="0096662B"/>
    <w:rsid w:val="009666AF"/>
    <w:rsid w:val="00966D65"/>
    <w:rsid w:val="00967180"/>
    <w:rsid w:val="0096797D"/>
    <w:rsid w:val="00967B7F"/>
    <w:rsid w:val="00970704"/>
    <w:rsid w:val="00970B65"/>
    <w:rsid w:val="00971127"/>
    <w:rsid w:val="0097119E"/>
    <w:rsid w:val="00971E87"/>
    <w:rsid w:val="00971EB0"/>
    <w:rsid w:val="0097272C"/>
    <w:rsid w:val="009734B8"/>
    <w:rsid w:val="00973514"/>
    <w:rsid w:val="009741E7"/>
    <w:rsid w:val="00974EEC"/>
    <w:rsid w:val="00975B47"/>
    <w:rsid w:val="00975C75"/>
    <w:rsid w:val="00975E5B"/>
    <w:rsid w:val="0097681E"/>
    <w:rsid w:val="00977506"/>
    <w:rsid w:val="0098177A"/>
    <w:rsid w:val="00982633"/>
    <w:rsid w:val="00983583"/>
    <w:rsid w:val="00983EFD"/>
    <w:rsid w:val="009855B0"/>
    <w:rsid w:val="009859A8"/>
    <w:rsid w:val="00985A7D"/>
    <w:rsid w:val="00986257"/>
    <w:rsid w:val="0098658A"/>
    <w:rsid w:val="00986861"/>
    <w:rsid w:val="00987CBC"/>
    <w:rsid w:val="00990E34"/>
    <w:rsid w:val="00991EB0"/>
    <w:rsid w:val="0099212B"/>
    <w:rsid w:val="0099245F"/>
    <w:rsid w:val="009928FA"/>
    <w:rsid w:val="009937B4"/>
    <w:rsid w:val="009940B6"/>
    <w:rsid w:val="00994B5F"/>
    <w:rsid w:val="00995768"/>
    <w:rsid w:val="00996326"/>
    <w:rsid w:val="00996B7D"/>
    <w:rsid w:val="00996F95"/>
    <w:rsid w:val="009976A3"/>
    <w:rsid w:val="00997745"/>
    <w:rsid w:val="00997EA5"/>
    <w:rsid w:val="009A07D5"/>
    <w:rsid w:val="009A1BC9"/>
    <w:rsid w:val="009A1FE7"/>
    <w:rsid w:val="009A28D9"/>
    <w:rsid w:val="009A2967"/>
    <w:rsid w:val="009A36B7"/>
    <w:rsid w:val="009A3720"/>
    <w:rsid w:val="009A42CF"/>
    <w:rsid w:val="009A44E8"/>
    <w:rsid w:val="009A4A49"/>
    <w:rsid w:val="009A581E"/>
    <w:rsid w:val="009A679E"/>
    <w:rsid w:val="009B0460"/>
    <w:rsid w:val="009B1DA5"/>
    <w:rsid w:val="009B1E1D"/>
    <w:rsid w:val="009B2602"/>
    <w:rsid w:val="009B28FD"/>
    <w:rsid w:val="009B2AD6"/>
    <w:rsid w:val="009B3172"/>
    <w:rsid w:val="009B4575"/>
    <w:rsid w:val="009B45C7"/>
    <w:rsid w:val="009B461D"/>
    <w:rsid w:val="009B5594"/>
    <w:rsid w:val="009B59ED"/>
    <w:rsid w:val="009B6EE8"/>
    <w:rsid w:val="009B729E"/>
    <w:rsid w:val="009B7498"/>
    <w:rsid w:val="009C0191"/>
    <w:rsid w:val="009C264B"/>
    <w:rsid w:val="009C34F1"/>
    <w:rsid w:val="009C381A"/>
    <w:rsid w:val="009C3B80"/>
    <w:rsid w:val="009C3D84"/>
    <w:rsid w:val="009C42E2"/>
    <w:rsid w:val="009C48C6"/>
    <w:rsid w:val="009C5D76"/>
    <w:rsid w:val="009C5DFB"/>
    <w:rsid w:val="009C5FDE"/>
    <w:rsid w:val="009C6C92"/>
    <w:rsid w:val="009C7B1D"/>
    <w:rsid w:val="009C7F10"/>
    <w:rsid w:val="009C7FF8"/>
    <w:rsid w:val="009D03F1"/>
    <w:rsid w:val="009D07CE"/>
    <w:rsid w:val="009D0921"/>
    <w:rsid w:val="009D101B"/>
    <w:rsid w:val="009D118E"/>
    <w:rsid w:val="009D1CF4"/>
    <w:rsid w:val="009D2A26"/>
    <w:rsid w:val="009D2C21"/>
    <w:rsid w:val="009D380F"/>
    <w:rsid w:val="009D57A7"/>
    <w:rsid w:val="009D6546"/>
    <w:rsid w:val="009D65EE"/>
    <w:rsid w:val="009D6FE7"/>
    <w:rsid w:val="009E0393"/>
    <w:rsid w:val="009E04BB"/>
    <w:rsid w:val="009E0525"/>
    <w:rsid w:val="009E05A9"/>
    <w:rsid w:val="009E1370"/>
    <w:rsid w:val="009E20A6"/>
    <w:rsid w:val="009E233F"/>
    <w:rsid w:val="009E2F30"/>
    <w:rsid w:val="009E323A"/>
    <w:rsid w:val="009E328B"/>
    <w:rsid w:val="009E396A"/>
    <w:rsid w:val="009E4130"/>
    <w:rsid w:val="009E6122"/>
    <w:rsid w:val="009E6DD0"/>
    <w:rsid w:val="009E6DEE"/>
    <w:rsid w:val="009E6E87"/>
    <w:rsid w:val="009E700C"/>
    <w:rsid w:val="009E7491"/>
    <w:rsid w:val="009F082A"/>
    <w:rsid w:val="009F0BD9"/>
    <w:rsid w:val="009F12B4"/>
    <w:rsid w:val="009F33FA"/>
    <w:rsid w:val="009F347C"/>
    <w:rsid w:val="009F4A46"/>
    <w:rsid w:val="009F4D19"/>
    <w:rsid w:val="009F54D7"/>
    <w:rsid w:val="009F6619"/>
    <w:rsid w:val="009F68FF"/>
    <w:rsid w:val="009F6FEE"/>
    <w:rsid w:val="009F768E"/>
    <w:rsid w:val="009F7F88"/>
    <w:rsid w:val="00A00E77"/>
    <w:rsid w:val="00A01A4C"/>
    <w:rsid w:val="00A01C1F"/>
    <w:rsid w:val="00A01C98"/>
    <w:rsid w:val="00A04B6F"/>
    <w:rsid w:val="00A054CB"/>
    <w:rsid w:val="00A05DF4"/>
    <w:rsid w:val="00A05E8F"/>
    <w:rsid w:val="00A0690B"/>
    <w:rsid w:val="00A06A54"/>
    <w:rsid w:val="00A0787D"/>
    <w:rsid w:val="00A10423"/>
    <w:rsid w:val="00A10498"/>
    <w:rsid w:val="00A10A6F"/>
    <w:rsid w:val="00A118B4"/>
    <w:rsid w:val="00A129C6"/>
    <w:rsid w:val="00A14BDD"/>
    <w:rsid w:val="00A15A52"/>
    <w:rsid w:val="00A16698"/>
    <w:rsid w:val="00A1706F"/>
    <w:rsid w:val="00A1721D"/>
    <w:rsid w:val="00A17791"/>
    <w:rsid w:val="00A17A42"/>
    <w:rsid w:val="00A17F01"/>
    <w:rsid w:val="00A20EDD"/>
    <w:rsid w:val="00A210DB"/>
    <w:rsid w:val="00A21667"/>
    <w:rsid w:val="00A220FB"/>
    <w:rsid w:val="00A223A5"/>
    <w:rsid w:val="00A22536"/>
    <w:rsid w:val="00A244A1"/>
    <w:rsid w:val="00A24BC5"/>
    <w:rsid w:val="00A2504C"/>
    <w:rsid w:val="00A26747"/>
    <w:rsid w:val="00A26E5D"/>
    <w:rsid w:val="00A276A6"/>
    <w:rsid w:val="00A276FF"/>
    <w:rsid w:val="00A30C82"/>
    <w:rsid w:val="00A31A01"/>
    <w:rsid w:val="00A31B33"/>
    <w:rsid w:val="00A321B3"/>
    <w:rsid w:val="00A32211"/>
    <w:rsid w:val="00A3287C"/>
    <w:rsid w:val="00A33758"/>
    <w:rsid w:val="00A33FDC"/>
    <w:rsid w:val="00A34114"/>
    <w:rsid w:val="00A34C81"/>
    <w:rsid w:val="00A34E19"/>
    <w:rsid w:val="00A34FF0"/>
    <w:rsid w:val="00A35165"/>
    <w:rsid w:val="00A35BE0"/>
    <w:rsid w:val="00A35C90"/>
    <w:rsid w:val="00A362F9"/>
    <w:rsid w:val="00A36F35"/>
    <w:rsid w:val="00A373CC"/>
    <w:rsid w:val="00A3760C"/>
    <w:rsid w:val="00A37704"/>
    <w:rsid w:val="00A37E59"/>
    <w:rsid w:val="00A40108"/>
    <w:rsid w:val="00A40D0C"/>
    <w:rsid w:val="00A41302"/>
    <w:rsid w:val="00A41C59"/>
    <w:rsid w:val="00A42310"/>
    <w:rsid w:val="00A4350C"/>
    <w:rsid w:val="00A43644"/>
    <w:rsid w:val="00A4383B"/>
    <w:rsid w:val="00A44BB6"/>
    <w:rsid w:val="00A45734"/>
    <w:rsid w:val="00A45B90"/>
    <w:rsid w:val="00A461B1"/>
    <w:rsid w:val="00A462F7"/>
    <w:rsid w:val="00A46659"/>
    <w:rsid w:val="00A46F1A"/>
    <w:rsid w:val="00A47029"/>
    <w:rsid w:val="00A477C3"/>
    <w:rsid w:val="00A50299"/>
    <w:rsid w:val="00A5067A"/>
    <w:rsid w:val="00A533D5"/>
    <w:rsid w:val="00A53A31"/>
    <w:rsid w:val="00A53C68"/>
    <w:rsid w:val="00A5510E"/>
    <w:rsid w:val="00A559F4"/>
    <w:rsid w:val="00A56308"/>
    <w:rsid w:val="00A56547"/>
    <w:rsid w:val="00A57079"/>
    <w:rsid w:val="00A570E0"/>
    <w:rsid w:val="00A606A0"/>
    <w:rsid w:val="00A6077B"/>
    <w:rsid w:val="00A60A60"/>
    <w:rsid w:val="00A61263"/>
    <w:rsid w:val="00A614AD"/>
    <w:rsid w:val="00A61886"/>
    <w:rsid w:val="00A61E92"/>
    <w:rsid w:val="00A621AB"/>
    <w:rsid w:val="00A62757"/>
    <w:rsid w:val="00A639E0"/>
    <w:rsid w:val="00A63D89"/>
    <w:rsid w:val="00A64368"/>
    <w:rsid w:val="00A64393"/>
    <w:rsid w:val="00A647EC"/>
    <w:rsid w:val="00A6526E"/>
    <w:rsid w:val="00A65DA4"/>
    <w:rsid w:val="00A66E04"/>
    <w:rsid w:val="00A67194"/>
    <w:rsid w:val="00A671B3"/>
    <w:rsid w:val="00A6735F"/>
    <w:rsid w:val="00A676F1"/>
    <w:rsid w:val="00A67968"/>
    <w:rsid w:val="00A7040E"/>
    <w:rsid w:val="00A70D5A"/>
    <w:rsid w:val="00A71E1C"/>
    <w:rsid w:val="00A734F2"/>
    <w:rsid w:val="00A73DEE"/>
    <w:rsid w:val="00A74254"/>
    <w:rsid w:val="00A74678"/>
    <w:rsid w:val="00A75AEA"/>
    <w:rsid w:val="00A75EA3"/>
    <w:rsid w:val="00A76063"/>
    <w:rsid w:val="00A767EB"/>
    <w:rsid w:val="00A771BF"/>
    <w:rsid w:val="00A77299"/>
    <w:rsid w:val="00A803C1"/>
    <w:rsid w:val="00A805F1"/>
    <w:rsid w:val="00A815B6"/>
    <w:rsid w:val="00A81953"/>
    <w:rsid w:val="00A82067"/>
    <w:rsid w:val="00A827C9"/>
    <w:rsid w:val="00A83BF3"/>
    <w:rsid w:val="00A85B31"/>
    <w:rsid w:val="00A860FD"/>
    <w:rsid w:val="00A861F3"/>
    <w:rsid w:val="00A866EA"/>
    <w:rsid w:val="00A86C48"/>
    <w:rsid w:val="00A90DB1"/>
    <w:rsid w:val="00A9147B"/>
    <w:rsid w:val="00A9177F"/>
    <w:rsid w:val="00A91BA8"/>
    <w:rsid w:val="00A91EF1"/>
    <w:rsid w:val="00A91EF2"/>
    <w:rsid w:val="00A9325C"/>
    <w:rsid w:val="00A93680"/>
    <w:rsid w:val="00A9430B"/>
    <w:rsid w:val="00A94483"/>
    <w:rsid w:val="00A94529"/>
    <w:rsid w:val="00A94C42"/>
    <w:rsid w:val="00A959CA"/>
    <w:rsid w:val="00A96FC6"/>
    <w:rsid w:val="00A971AF"/>
    <w:rsid w:val="00A97A16"/>
    <w:rsid w:val="00A97B61"/>
    <w:rsid w:val="00A97C2E"/>
    <w:rsid w:val="00A97CE3"/>
    <w:rsid w:val="00A97E0C"/>
    <w:rsid w:val="00AA01DA"/>
    <w:rsid w:val="00AA0925"/>
    <w:rsid w:val="00AA11BA"/>
    <w:rsid w:val="00AA182B"/>
    <w:rsid w:val="00AA2394"/>
    <w:rsid w:val="00AA2D62"/>
    <w:rsid w:val="00AA2E2C"/>
    <w:rsid w:val="00AA2E90"/>
    <w:rsid w:val="00AA3077"/>
    <w:rsid w:val="00AA36B9"/>
    <w:rsid w:val="00AA375B"/>
    <w:rsid w:val="00AA38AF"/>
    <w:rsid w:val="00AA41DE"/>
    <w:rsid w:val="00AA450C"/>
    <w:rsid w:val="00AA4B62"/>
    <w:rsid w:val="00AA571A"/>
    <w:rsid w:val="00AA5EB3"/>
    <w:rsid w:val="00AA6916"/>
    <w:rsid w:val="00AB022F"/>
    <w:rsid w:val="00AB110E"/>
    <w:rsid w:val="00AB11CF"/>
    <w:rsid w:val="00AB1287"/>
    <w:rsid w:val="00AB1CE8"/>
    <w:rsid w:val="00AB2470"/>
    <w:rsid w:val="00AB3EC9"/>
    <w:rsid w:val="00AB3FCD"/>
    <w:rsid w:val="00AB43FC"/>
    <w:rsid w:val="00AB4506"/>
    <w:rsid w:val="00AB5190"/>
    <w:rsid w:val="00AB5513"/>
    <w:rsid w:val="00AB6DFC"/>
    <w:rsid w:val="00AB6E0F"/>
    <w:rsid w:val="00AB7354"/>
    <w:rsid w:val="00AB75DD"/>
    <w:rsid w:val="00AB7C46"/>
    <w:rsid w:val="00AC071C"/>
    <w:rsid w:val="00AC2076"/>
    <w:rsid w:val="00AC3637"/>
    <w:rsid w:val="00AC3D4F"/>
    <w:rsid w:val="00AC3D5B"/>
    <w:rsid w:val="00AC3DB7"/>
    <w:rsid w:val="00AC4699"/>
    <w:rsid w:val="00AC57CD"/>
    <w:rsid w:val="00AC59DF"/>
    <w:rsid w:val="00AC63A8"/>
    <w:rsid w:val="00AC72C7"/>
    <w:rsid w:val="00AC7899"/>
    <w:rsid w:val="00AD13D6"/>
    <w:rsid w:val="00AD2C42"/>
    <w:rsid w:val="00AD4087"/>
    <w:rsid w:val="00AD5BEE"/>
    <w:rsid w:val="00AD6466"/>
    <w:rsid w:val="00AD6A21"/>
    <w:rsid w:val="00AD6BE0"/>
    <w:rsid w:val="00AD752F"/>
    <w:rsid w:val="00AE05DD"/>
    <w:rsid w:val="00AE0C8D"/>
    <w:rsid w:val="00AE0E2A"/>
    <w:rsid w:val="00AE1131"/>
    <w:rsid w:val="00AE1411"/>
    <w:rsid w:val="00AE2071"/>
    <w:rsid w:val="00AE2330"/>
    <w:rsid w:val="00AE27D6"/>
    <w:rsid w:val="00AE3354"/>
    <w:rsid w:val="00AE55BC"/>
    <w:rsid w:val="00AE56D1"/>
    <w:rsid w:val="00AE5A99"/>
    <w:rsid w:val="00AE62E7"/>
    <w:rsid w:val="00AE686D"/>
    <w:rsid w:val="00AE6B27"/>
    <w:rsid w:val="00AE77AC"/>
    <w:rsid w:val="00AF0DC0"/>
    <w:rsid w:val="00AF0F96"/>
    <w:rsid w:val="00AF17E4"/>
    <w:rsid w:val="00AF1CE6"/>
    <w:rsid w:val="00AF21D7"/>
    <w:rsid w:val="00AF282C"/>
    <w:rsid w:val="00AF28EB"/>
    <w:rsid w:val="00AF31BA"/>
    <w:rsid w:val="00AF36B6"/>
    <w:rsid w:val="00AF42CB"/>
    <w:rsid w:val="00AF4803"/>
    <w:rsid w:val="00AF4D10"/>
    <w:rsid w:val="00AF58CB"/>
    <w:rsid w:val="00AF5DB8"/>
    <w:rsid w:val="00AF7217"/>
    <w:rsid w:val="00AF726F"/>
    <w:rsid w:val="00AF783F"/>
    <w:rsid w:val="00B00506"/>
    <w:rsid w:val="00B005E2"/>
    <w:rsid w:val="00B00673"/>
    <w:rsid w:val="00B00AE7"/>
    <w:rsid w:val="00B00ED5"/>
    <w:rsid w:val="00B02315"/>
    <w:rsid w:val="00B02BF0"/>
    <w:rsid w:val="00B034DD"/>
    <w:rsid w:val="00B03AB4"/>
    <w:rsid w:val="00B04C3C"/>
    <w:rsid w:val="00B05B91"/>
    <w:rsid w:val="00B06ED4"/>
    <w:rsid w:val="00B077CC"/>
    <w:rsid w:val="00B07A28"/>
    <w:rsid w:val="00B07C8A"/>
    <w:rsid w:val="00B1123F"/>
    <w:rsid w:val="00B11A4E"/>
    <w:rsid w:val="00B13397"/>
    <w:rsid w:val="00B1400D"/>
    <w:rsid w:val="00B144AA"/>
    <w:rsid w:val="00B147C9"/>
    <w:rsid w:val="00B15BB2"/>
    <w:rsid w:val="00B1666B"/>
    <w:rsid w:val="00B16CEE"/>
    <w:rsid w:val="00B16EBE"/>
    <w:rsid w:val="00B20655"/>
    <w:rsid w:val="00B20BD6"/>
    <w:rsid w:val="00B21443"/>
    <w:rsid w:val="00B21D0E"/>
    <w:rsid w:val="00B22C57"/>
    <w:rsid w:val="00B23C76"/>
    <w:rsid w:val="00B23EEE"/>
    <w:rsid w:val="00B25E1E"/>
    <w:rsid w:val="00B267F7"/>
    <w:rsid w:val="00B27298"/>
    <w:rsid w:val="00B27384"/>
    <w:rsid w:val="00B276E4"/>
    <w:rsid w:val="00B27A6D"/>
    <w:rsid w:val="00B309F9"/>
    <w:rsid w:val="00B30DAD"/>
    <w:rsid w:val="00B31593"/>
    <w:rsid w:val="00B31782"/>
    <w:rsid w:val="00B34709"/>
    <w:rsid w:val="00B34F80"/>
    <w:rsid w:val="00B36928"/>
    <w:rsid w:val="00B37293"/>
    <w:rsid w:val="00B4076A"/>
    <w:rsid w:val="00B413EB"/>
    <w:rsid w:val="00B4253E"/>
    <w:rsid w:val="00B426B6"/>
    <w:rsid w:val="00B42C20"/>
    <w:rsid w:val="00B43AD9"/>
    <w:rsid w:val="00B443D5"/>
    <w:rsid w:val="00B44482"/>
    <w:rsid w:val="00B4498A"/>
    <w:rsid w:val="00B44CAB"/>
    <w:rsid w:val="00B45012"/>
    <w:rsid w:val="00B450D9"/>
    <w:rsid w:val="00B45D36"/>
    <w:rsid w:val="00B46FF2"/>
    <w:rsid w:val="00B539EB"/>
    <w:rsid w:val="00B53D7D"/>
    <w:rsid w:val="00B54B76"/>
    <w:rsid w:val="00B55AE3"/>
    <w:rsid w:val="00B560E5"/>
    <w:rsid w:val="00B576E1"/>
    <w:rsid w:val="00B6088D"/>
    <w:rsid w:val="00B608F1"/>
    <w:rsid w:val="00B60A96"/>
    <w:rsid w:val="00B60F79"/>
    <w:rsid w:val="00B617E2"/>
    <w:rsid w:val="00B6252C"/>
    <w:rsid w:val="00B62653"/>
    <w:rsid w:val="00B62CBE"/>
    <w:rsid w:val="00B62EFD"/>
    <w:rsid w:val="00B63999"/>
    <w:rsid w:val="00B63B4A"/>
    <w:rsid w:val="00B63DA0"/>
    <w:rsid w:val="00B64F8D"/>
    <w:rsid w:val="00B6533C"/>
    <w:rsid w:val="00B6731A"/>
    <w:rsid w:val="00B673CA"/>
    <w:rsid w:val="00B678A4"/>
    <w:rsid w:val="00B70316"/>
    <w:rsid w:val="00B70903"/>
    <w:rsid w:val="00B70930"/>
    <w:rsid w:val="00B7108D"/>
    <w:rsid w:val="00B7117A"/>
    <w:rsid w:val="00B7128A"/>
    <w:rsid w:val="00B713F0"/>
    <w:rsid w:val="00B71BD7"/>
    <w:rsid w:val="00B72053"/>
    <w:rsid w:val="00B72B7F"/>
    <w:rsid w:val="00B73D1E"/>
    <w:rsid w:val="00B74530"/>
    <w:rsid w:val="00B74E4D"/>
    <w:rsid w:val="00B75D3F"/>
    <w:rsid w:val="00B75D4C"/>
    <w:rsid w:val="00B76F2C"/>
    <w:rsid w:val="00B774EE"/>
    <w:rsid w:val="00B77723"/>
    <w:rsid w:val="00B77863"/>
    <w:rsid w:val="00B80008"/>
    <w:rsid w:val="00B801AC"/>
    <w:rsid w:val="00B809E2"/>
    <w:rsid w:val="00B815D3"/>
    <w:rsid w:val="00B81BB3"/>
    <w:rsid w:val="00B8270D"/>
    <w:rsid w:val="00B827E7"/>
    <w:rsid w:val="00B82B33"/>
    <w:rsid w:val="00B8384C"/>
    <w:rsid w:val="00B84030"/>
    <w:rsid w:val="00B843A1"/>
    <w:rsid w:val="00B854BE"/>
    <w:rsid w:val="00B85704"/>
    <w:rsid w:val="00B868D6"/>
    <w:rsid w:val="00B86965"/>
    <w:rsid w:val="00B86D0A"/>
    <w:rsid w:val="00B8748B"/>
    <w:rsid w:val="00B87B3F"/>
    <w:rsid w:val="00B91818"/>
    <w:rsid w:val="00B922D6"/>
    <w:rsid w:val="00B93E18"/>
    <w:rsid w:val="00B93E2C"/>
    <w:rsid w:val="00B948E8"/>
    <w:rsid w:val="00B94BE5"/>
    <w:rsid w:val="00B9556B"/>
    <w:rsid w:val="00B96069"/>
    <w:rsid w:val="00B968F3"/>
    <w:rsid w:val="00B96E78"/>
    <w:rsid w:val="00BA0A76"/>
    <w:rsid w:val="00BA11A9"/>
    <w:rsid w:val="00BA30C2"/>
    <w:rsid w:val="00BA31C6"/>
    <w:rsid w:val="00BA4B0A"/>
    <w:rsid w:val="00BA699B"/>
    <w:rsid w:val="00BA76AB"/>
    <w:rsid w:val="00BA7A5F"/>
    <w:rsid w:val="00BB0225"/>
    <w:rsid w:val="00BB0423"/>
    <w:rsid w:val="00BB0F8B"/>
    <w:rsid w:val="00BB1D73"/>
    <w:rsid w:val="00BB2CE4"/>
    <w:rsid w:val="00BB3C27"/>
    <w:rsid w:val="00BB4008"/>
    <w:rsid w:val="00BB42D2"/>
    <w:rsid w:val="00BB5449"/>
    <w:rsid w:val="00BB5C00"/>
    <w:rsid w:val="00BB6ECF"/>
    <w:rsid w:val="00BB74B3"/>
    <w:rsid w:val="00BB777A"/>
    <w:rsid w:val="00BB7E0B"/>
    <w:rsid w:val="00BC0560"/>
    <w:rsid w:val="00BC06FE"/>
    <w:rsid w:val="00BC1765"/>
    <w:rsid w:val="00BC1FD6"/>
    <w:rsid w:val="00BC25D7"/>
    <w:rsid w:val="00BC320C"/>
    <w:rsid w:val="00BC43C2"/>
    <w:rsid w:val="00BC464D"/>
    <w:rsid w:val="00BC4883"/>
    <w:rsid w:val="00BC5454"/>
    <w:rsid w:val="00BC5F7F"/>
    <w:rsid w:val="00BC74EE"/>
    <w:rsid w:val="00BC777E"/>
    <w:rsid w:val="00BC7E23"/>
    <w:rsid w:val="00BD219A"/>
    <w:rsid w:val="00BD2C42"/>
    <w:rsid w:val="00BD2EF9"/>
    <w:rsid w:val="00BD2F1D"/>
    <w:rsid w:val="00BD3997"/>
    <w:rsid w:val="00BD5D7E"/>
    <w:rsid w:val="00BD62E5"/>
    <w:rsid w:val="00BD68BB"/>
    <w:rsid w:val="00BD6EF9"/>
    <w:rsid w:val="00BD754C"/>
    <w:rsid w:val="00BD78C6"/>
    <w:rsid w:val="00BD7F54"/>
    <w:rsid w:val="00BE01E1"/>
    <w:rsid w:val="00BE0849"/>
    <w:rsid w:val="00BE15DA"/>
    <w:rsid w:val="00BE19AD"/>
    <w:rsid w:val="00BE1B2F"/>
    <w:rsid w:val="00BE369C"/>
    <w:rsid w:val="00BE4FBC"/>
    <w:rsid w:val="00BE5338"/>
    <w:rsid w:val="00BE534A"/>
    <w:rsid w:val="00BE5A5B"/>
    <w:rsid w:val="00BE5B7C"/>
    <w:rsid w:val="00BE61C4"/>
    <w:rsid w:val="00BE72FD"/>
    <w:rsid w:val="00BE733C"/>
    <w:rsid w:val="00BE73D4"/>
    <w:rsid w:val="00BE791F"/>
    <w:rsid w:val="00BE7AF2"/>
    <w:rsid w:val="00BF1EF8"/>
    <w:rsid w:val="00BF25A9"/>
    <w:rsid w:val="00BF2DE5"/>
    <w:rsid w:val="00BF39B7"/>
    <w:rsid w:val="00BF4111"/>
    <w:rsid w:val="00BF486D"/>
    <w:rsid w:val="00BF4C49"/>
    <w:rsid w:val="00BF4D1A"/>
    <w:rsid w:val="00BF5168"/>
    <w:rsid w:val="00BF5A5B"/>
    <w:rsid w:val="00BF6338"/>
    <w:rsid w:val="00BF6D56"/>
    <w:rsid w:val="00BF7CE1"/>
    <w:rsid w:val="00C00D03"/>
    <w:rsid w:val="00C00D9C"/>
    <w:rsid w:val="00C01DFC"/>
    <w:rsid w:val="00C02513"/>
    <w:rsid w:val="00C0270E"/>
    <w:rsid w:val="00C0282B"/>
    <w:rsid w:val="00C044E4"/>
    <w:rsid w:val="00C047A4"/>
    <w:rsid w:val="00C05013"/>
    <w:rsid w:val="00C053B5"/>
    <w:rsid w:val="00C067AD"/>
    <w:rsid w:val="00C067E0"/>
    <w:rsid w:val="00C071C7"/>
    <w:rsid w:val="00C0773D"/>
    <w:rsid w:val="00C1025D"/>
    <w:rsid w:val="00C110C7"/>
    <w:rsid w:val="00C11733"/>
    <w:rsid w:val="00C12CC1"/>
    <w:rsid w:val="00C12D93"/>
    <w:rsid w:val="00C12EE2"/>
    <w:rsid w:val="00C13103"/>
    <w:rsid w:val="00C139DE"/>
    <w:rsid w:val="00C13B55"/>
    <w:rsid w:val="00C13CB8"/>
    <w:rsid w:val="00C14CD4"/>
    <w:rsid w:val="00C151CE"/>
    <w:rsid w:val="00C15BBB"/>
    <w:rsid w:val="00C16078"/>
    <w:rsid w:val="00C16439"/>
    <w:rsid w:val="00C206DC"/>
    <w:rsid w:val="00C2092E"/>
    <w:rsid w:val="00C20F37"/>
    <w:rsid w:val="00C211AE"/>
    <w:rsid w:val="00C213FD"/>
    <w:rsid w:val="00C21C42"/>
    <w:rsid w:val="00C22441"/>
    <w:rsid w:val="00C23520"/>
    <w:rsid w:val="00C23FE1"/>
    <w:rsid w:val="00C24AE3"/>
    <w:rsid w:val="00C24F88"/>
    <w:rsid w:val="00C25082"/>
    <w:rsid w:val="00C2570A"/>
    <w:rsid w:val="00C25B91"/>
    <w:rsid w:val="00C265D4"/>
    <w:rsid w:val="00C26DC6"/>
    <w:rsid w:val="00C27447"/>
    <w:rsid w:val="00C275FC"/>
    <w:rsid w:val="00C2772B"/>
    <w:rsid w:val="00C3030F"/>
    <w:rsid w:val="00C30615"/>
    <w:rsid w:val="00C30715"/>
    <w:rsid w:val="00C30D84"/>
    <w:rsid w:val="00C3131B"/>
    <w:rsid w:val="00C317A7"/>
    <w:rsid w:val="00C31B0E"/>
    <w:rsid w:val="00C33383"/>
    <w:rsid w:val="00C33614"/>
    <w:rsid w:val="00C33AEC"/>
    <w:rsid w:val="00C35493"/>
    <w:rsid w:val="00C35C8E"/>
    <w:rsid w:val="00C361E9"/>
    <w:rsid w:val="00C3671E"/>
    <w:rsid w:val="00C36B1D"/>
    <w:rsid w:val="00C36EED"/>
    <w:rsid w:val="00C3742C"/>
    <w:rsid w:val="00C37661"/>
    <w:rsid w:val="00C37F81"/>
    <w:rsid w:val="00C410D2"/>
    <w:rsid w:val="00C411E0"/>
    <w:rsid w:val="00C41363"/>
    <w:rsid w:val="00C42209"/>
    <w:rsid w:val="00C429D5"/>
    <w:rsid w:val="00C42A78"/>
    <w:rsid w:val="00C42AD9"/>
    <w:rsid w:val="00C42DC9"/>
    <w:rsid w:val="00C437D6"/>
    <w:rsid w:val="00C45897"/>
    <w:rsid w:val="00C4601D"/>
    <w:rsid w:val="00C470F6"/>
    <w:rsid w:val="00C47B1C"/>
    <w:rsid w:val="00C504EF"/>
    <w:rsid w:val="00C509D2"/>
    <w:rsid w:val="00C51CCA"/>
    <w:rsid w:val="00C52FDA"/>
    <w:rsid w:val="00C53131"/>
    <w:rsid w:val="00C54473"/>
    <w:rsid w:val="00C55693"/>
    <w:rsid w:val="00C55945"/>
    <w:rsid w:val="00C55D94"/>
    <w:rsid w:val="00C55DCB"/>
    <w:rsid w:val="00C55FBB"/>
    <w:rsid w:val="00C56DCE"/>
    <w:rsid w:val="00C57582"/>
    <w:rsid w:val="00C608EF"/>
    <w:rsid w:val="00C60E9C"/>
    <w:rsid w:val="00C612BB"/>
    <w:rsid w:val="00C612BF"/>
    <w:rsid w:val="00C61338"/>
    <w:rsid w:val="00C6207E"/>
    <w:rsid w:val="00C62A28"/>
    <w:rsid w:val="00C6324D"/>
    <w:rsid w:val="00C64FAE"/>
    <w:rsid w:val="00C653CC"/>
    <w:rsid w:val="00C65B09"/>
    <w:rsid w:val="00C66344"/>
    <w:rsid w:val="00C66EDC"/>
    <w:rsid w:val="00C674F7"/>
    <w:rsid w:val="00C67D05"/>
    <w:rsid w:val="00C714EE"/>
    <w:rsid w:val="00C731E1"/>
    <w:rsid w:val="00C7335A"/>
    <w:rsid w:val="00C741A7"/>
    <w:rsid w:val="00C745D7"/>
    <w:rsid w:val="00C74DFB"/>
    <w:rsid w:val="00C74F7C"/>
    <w:rsid w:val="00C75F87"/>
    <w:rsid w:val="00C7702A"/>
    <w:rsid w:val="00C773C8"/>
    <w:rsid w:val="00C773CE"/>
    <w:rsid w:val="00C806B8"/>
    <w:rsid w:val="00C80A25"/>
    <w:rsid w:val="00C80E5E"/>
    <w:rsid w:val="00C81C07"/>
    <w:rsid w:val="00C82930"/>
    <w:rsid w:val="00C82C9E"/>
    <w:rsid w:val="00C83945"/>
    <w:rsid w:val="00C83DB7"/>
    <w:rsid w:val="00C83EE2"/>
    <w:rsid w:val="00C841BF"/>
    <w:rsid w:val="00C84BF3"/>
    <w:rsid w:val="00C8531E"/>
    <w:rsid w:val="00C85560"/>
    <w:rsid w:val="00C85A50"/>
    <w:rsid w:val="00C85B6C"/>
    <w:rsid w:val="00C85ECE"/>
    <w:rsid w:val="00C85F1C"/>
    <w:rsid w:val="00C86BFE"/>
    <w:rsid w:val="00C86D8A"/>
    <w:rsid w:val="00C86FF3"/>
    <w:rsid w:val="00C8757D"/>
    <w:rsid w:val="00C87E2F"/>
    <w:rsid w:val="00C900B0"/>
    <w:rsid w:val="00C900ED"/>
    <w:rsid w:val="00C9080B"/>
    <w:rsid w:val="00C90EA7"/>
    <w:rsid w:val="00C90EF9"/>
    <w:rsid w:val="00C9146C"/>
    <w:rsid w:val="00C9164E"/>
    <w:rsid w:val="00C92931"/>
    <w:rsid w:val="00C92949"/>
    <w:rsid w:val="00C9312F"/>
    <w:rsid w:val="00C93A97"/>
    <w:rsid w:val="00C94499"/>
    <w:rsid w:val="00C9491A"/>
    <w:rsid w:val="00C94BE9"/>
    <w:rsid w:val="00C95DD7"/>
    <w:rsid w:val="00C95ED6"/>
    <w:rsid w:val="00C965B2"/>
    <w:rsid w:val="00C96BBB"/>
    <w:rsid w:val="00CA04D5"/>
    <w:rsid w:val="00CA1AC8"/>
    <w:rsid w:val="00CA1FB0"/>
    <w:rsid w:val="00CA24D1"/>
    <w:rsid w:val="00CA381C"/>
    <w:rsid w:val="00CA39CC"/>
    <w:rsid w:val="00CA403D"/>
    <w:rsid w:val="00CA4743"/>
    <w:rsid w:val="00CA4818"/>
    <w:rsid w:val="00CA57FE"/>
    <w:rsid w:val="00CA5FF6"/>
    <w:rsid w:val="00CA6F32"/>
    <w:rsid w:val="00CA735E"/>
    <w:rsid w:val="00CA7BEE"/>
    <w:rsid w:val="00CB01B1"/>
    <w:rsid w:val="00CB0B34"/>
    <w:rsid w:val="00CB0EE0"/>
    <w:rsid w:val="00CB138F"/>
    <w:rsid w:val="00CB13CF"/>
    <w:rsid w:val="00CB13E0"/>
    <w:rsid w:val="00CB2343"/>
    <w:rsid w:val="00CB2F02"/>
    <w:rsid w:val="00CB387F"/>
    <w:rsid w:val="00CB44CC"/>
    <w:rsid w:val="00CB4506"/>
    <w:rsid w:val="00CB4522"/>
    <w:rsid w:val="00CB4741"/>
    <w:rsid w:val="00CB7145"/>
    <w:rsid w:val="00CB76B8"/>
    <w:rsid w:val="00CB7703"/>
    <w:rsid w:val="00CB77EE"/>
    <w:rsid w:val="00CB783B"/>
    <w:rsid w:val="00CB7AE2"/>
    <w:rsid w:val="00CC1C1E"/>
    <w:rsid w:val="00CC2611"/>
    <w:rsid w:val="00CC2803"/>
    <w:rsid w:val="00CC2813"/>
    <w:rsid w:val="00CC295E"/>
    <w:rsid w:val="00CC48D6"/>
    <w:rsid w:val="00CC544C"/>
    <w:rsid w:val="00CC559E"/>
    <w:rsid w:val="00CC707F"/>
    <w:rsid w:val="00CC708A"/>
    <w:rsid w:val="00CC79CD"/>
    <w:rsid w:val="00CD0E5B"/>
    <w:rsid w:val="00CD1841"/>
    <w:rsid w:val="00CD1BF1"/>
    <w:rsid w:val="00CD27CD"/>
    <w:rsid w:val="00CD34A5"/>
    <w:rsid w:val="00CD42CF"/>
    <w:rsid w:val="00CD4BF8"/>
    <w:rsid w:val="00CD52CD"/>
    <w:rsid w:val="00CD58F5"/>
    <w:rsid w:val="00CD644F"/>
    <w:rsid w:val="00CD64D2"/>
    <w:rsid w:val="00CD6525"/>
    <w:rsid w:val="00CD652E"/>
    <w:rsid w:val="00CD68DD"/>
    <w:rsid w:val="00CD6A0A"/>
    <w:rsid w:val="00CD6EF2"/>
    <w:rsid w:val="00CD786B"/>
    <w:rsid w:val="00CD7B8B"/>
    <w:rsid w:val="00CE01F8"/>
    <w:rsid w:val="00CE08BB"/>
    <w:rsid w:val="00CE0D51"/>
    <w:rsid w:val="00CE1657"/>
    <w:rsid w:val="00CE24B9"/>
    <w:rsid w:val="00CE2ADD"/>
    <w:rsid w:val="00CE2B04"/>
    <w:rsid w:val="00CE2C27"/>
    <w:rsid w:val="00CE2C87"/>
    <w:rsid w:val="00CE3E8B"/>
    <w:rsid w:val="00CE47DC"/>
    <w:rsid w:val="00CE5298"/>
    <w:rsid w:val="00CE5322"/>
    <w:rsid w:val="00CE58EB"/>
    <w:rsid w:val="00CE69E4"/>
    <w:rsid w:val="00CF0041"/>
    <w:rsid w:val="00CF02F9"/>
    <w:rsid w:val="00CF0D4B"/>
    <w:rsid w:val="00CF2605"/>
    <w:rsid w:val="00CF2804"/>
    <w:rsid w:val="00CF35B2"/>
    <w:rsid w:val="00CF38D4"/>
    <w:rsid w:val="00CF395A"/>
    <w:rsid w:val="00CF3D4C"/>
    <w:rsid w:val="00CF5C07"/>
    <w:rsid w:val="00CF5CFC"/>
    <w:rsid w:val="00D00655"/>
    <w:rsid w:val="00D00AF5"/>
    <w:rsid w:val="00D00E75"/>
    <w:rsid w:val="00D01917"/>
    <w:rsid w:val="00D01EBC"/>
    <w:rsid w:val="00D03DE1"/>
    <w:rsid w:val="00D03EDD"/>
    <w:rsid w:val="00D03EEF"/>
    <w:rsid w:val="00D03F69"/>
    <w:rsid w:val="00D04F08"/>
    <w:rsid w:val="00D050BB"/>
    <w:rsid w:val="00D07087"/>
    <w:rsid w:val="00D07A1B"/>
    <w:rsid w:val="00D07ACD"/>
    <w:rsid w:val="00D07DE3"/>
    <w:rsid w:val="00D07E2A"/>
    <w:rsid w:val="00D07EA6"/>
    <w:rsid w:val="00D11582"/>
    <w:rsid w:val="00D11666"/>
    <w:rsid w:val="00D11D07"/>
    <w:rsid w:val="00D124D3"/>
    <w:rsid w:val="00D138F2"/>
    <w:rsid w:val="00D1489F"/>
    <w:rsid w:val="00D1491B"/>
    <w:rsid w:val="00D159F8"/>
    <w:rsid w:val="00D15DD2"/>
    <w:rsid w:val="00D16E55"/>
    <w:rsid w:val="00D16ECF"/>
    <w:rsid w:val="00D17C04"/>
    <w:rsid w:val="00D17CFB"/>
    <w:rsid w:val="00D17E3E"/>
    <w:rsid w:val="00D2046D"/>
    <w:rsid w:val="00D217BC"/>
    <w:rsid w:val="00D21820"/>
    <w:rsid w:val="00D21F48"/>
    <w:rsid w:val="00D2255E"/>
    <w:rsid w:val="00D226B9"/>
    <w:rsid w:val="00D23437"/>
    <w:rsid w:val="00D2372E"/>
    <w:rsid w:val="00D2373E"/>
    <w:rsid w:val="00D239F4"/>
    <w:rsid w:val="00D2459A"/>
    <w:rsid w:val="00D248D9"/>
    <w:rsid w:val="00D24CD7"/>
    <w:rsid w:val="00D259E0"/>
    <w:rsid w:val="00D27131"/>
    <w:rsid w:val="00D27DDD"/>
    <w:rsid w:val="00D31AD0"/>
    <w:rsid w:val="00D31B9E"/>
    <w:rsid w:val="00D31BBD"/>
    <w:rsid w:val="00D3214E"/>
    <w:rsid w:val="00D3251C"/>
    <w:rsid w:val="00D32658"/>
    <w:rsid w:val="00D34E83"/>
    <w:rsid w:val="00D35189"/>
    <w:rsid w:val="00D352D0"/>
    <w:rsid w:val="00D35F44"/>
    <w:rsid w:val="00D3701D"/>
    <w:rsid w:val="00D37354"/>
    <w:rsid w:val="00D404B1"/>
    <w:rsid w:val="00D40C33"/>
    <w:rsid w:val="00D4104F"/>
    <w:rsid w:val="00D41EE5"/>
    <w:rsid w:val="00D4313E"/>
    <w:rsid w:val="00D43988"/>
    <w:rsid w:val="00D4707E"/>
    <w:rsid w:val="00D47238"/>
    <w:rsid w:val="00D4761E"/>
    <w:rsid w:val="00D4762C"/>
    <w:rsid w:val="00D47867"/>
    <w:rsid w:val="00D47EAF"/>
    <w:rsid w:val="00D50B2A"/>
    <w:rsid w:val="00D5132A"/>
    <w:rsid w:val="00D51517"/>
    <w:rsid w:val="00D52D7F"/>
    <w:rsid w:val="00D52FE8"/>
    <w:rsid w:val="00D53034"/>
    <w:rsid w:val="00D53103"/>
    <w:rsid w:val="00D541A8"/>
    <w:rsid w:val="00D54E13"/>
    <w:rsid w:val="00D54F79"/>
    <w:rsid w:val="00D55A05"/>
    <w:rsid w:val="00D562A8"/>
    <w:rsid w:val="00D56D22"/>
    <w:rsid w:val="00D5724E"/>
    <w:rsid w:val="00D60210"/>
    <w:rsid w:val="00D61A9F"/>
    <w:rsid w:val="00D61EDD"/>
    <w:rsid w:val="00D628AF"/>
    <w:rsid w:val="00D6294B"/>
    <w:rsid w:val="00D62A4A"/>
    <w:rsid w:val="00D62A88"/>
    <w:rsid w:val="00D654F8"/>
    <w:rsid w:val="00D66697"/>
    <w:rsid w:val="00D6732B"/>
    <w:rsid w:val="00D676B3"/>
    <w:rsid w:val="00D6787A"/>
    <w:rsid w:val="00D67ACA"/>
    <w:rsid w:val="00D67F69"/>
    <w:rsid w:val="00D71103"/>
    <w:rsid w:val="00D71213"/>
    <w:rsid w:val="00D713E4"/>
    <w:rsid w:val="00D72BF9"/>
    <w:rsid w:val="00D72FAD"/>
    <w:rsid w:val="00D7314F"/>
    <w:rsid w:val="00D73259"/>
    <w:rsid w:val="00D73AF1"/>
    <w:rsid w:val="00D73E64"/>
    <w:rsid w:val="00D74504"/>
    <w:rsid w:val="00D74639"/>
    <w:rsid w:val="00D74926"/>
    <w:rsid w:val="00D74E38"/>
    <w:rsid w:val="00D75449"/>
    <w:rsid w:val="00D770D5"/>
    <w:rsid w:val="00D809B7"/>
    <w:rsid w:val="00D81004"/>
    <w:rsid w:val="00D812A9"/>
    <w:rsid w:val="00D813B0"/>
    <w:rsid w:val="00D8141C"/>
    <w:rsid w:val="00D81A57"/>
    <w:rsid w:val="00D82664"/>
    <w:rsid w:val="00D8269A"/>
    <w:rsid w:val="00D82962"/>
    <w:rsid w:val="00D82A4C"/>
    <w:rsid w:val="00D83A65"/>
    <w:rsid w:val="00D846CF"/>
    <w:rsid w:val="00D85498"/>
    <w:rsid w:val="00D85683"/>
    <w:rsid w:val="00D86320"/>
    <w:rsid w:val="00D86D21"/>
    <w:rsid w:val="00D86D72"/>
    <w:rsid w:val="00D8772B"/>
    <w:rsid w:val="00D90114"/>
    <w:rsid w:val="00D90679"/>
    <w:rsid w:val="00D90F20"/>
    <w:rsid w:val="00D90F8A"/>
    <w:rsid w:val="00D91621"/>
    <w:rsid w:val="00D916E9"/>
    <w:rsid w:val="00D9180B"/>
    <w:rsid w:val="00D925BC"/>
    <w:rsid w:val="00D929B7"/>
    <w:rsid w:val="00D9330D"/>
    <w:rsid w:val="00D94EB6"/>
    <w:rsid w:val="00D95111"/>
    <w:rsid w:val="00D954B6"/>
    <w:rsid w:val="00D9553A"/>
    <w:rsid w:val="00D958D2"/>
    <w:rsid w:val="00D95A4C"/>
    <w:rsid w:val="00D95C5C"/>
    <w:rsid w:val="00D9623F"/>
    <w:rsid w:val="00D964B0"/>
    <w:rsid w:val="00D96B91"/>
    <w:rsid w:val="00D9740F"/>
    <w:rsid w:val="00D97545"/>
    <w:rsid w:val="00D9770C"/>
    <w:rsid w:val="00D977A2"/>
    <w:rsid w:val="00D9787B"/>
    <w:rsid w:val="00D97BA1"/>
    <w:rsid w:val="00D97F28"/>
    <w:rsid w:val="00DA09FC"/>
    <w:rsid w:val="00DA28A7"/>
    <w:rsid w:val="00DA2BB0"/>
    <w:rsid w:val="00DA2BCC"/>
    <w:rsid w:val="00DA2FCA"/>
    <w:rsid w:val="00DA348E"/>
    <w:rsid w:val="00DA373A"/>
    <w:rsid w:val="00DA456A"/>
    <w:rsid w:val="00DA5162"/>
    <w:rsid w:val="00DA59D2"/>
    <w:rsid w:val="00DA5A9C"/>
    <w:rsid w:val="00DA5F60"/>
    <w:rsid w:val="00DA60A9"/>
    <w:rsid w:val="00DA6E30"/>
    <w:rsid w:val="00DA6E9D"/>
    <w:rsid w:val="00DA6FF3"/>
    <w:rsid w:val="00DA7525"/>
    <w:rsid w:val="00DB1595"/>
    <w:rsid w:val="00DB2329"/>
    <w:rsid w:val="00DB297D"/>
    <w:rsid w:val="00DB2B7E"/>
    <w:rsid w:val="00DB2BA7"/>
    <w:rsid w:val="00DB2F6C"/>
    <w:rsid w:val="00DB345D"/>
    <w:rsid w:val="00DB53A2"/>
    <w:rsid w:val="00DB5719"/>
    <w:rsid w:val="00DB624E"/>
    <w:rsid w:val="00DB7C6B"/>
    <w:rsid w:val="00DC02EA"/>
    <w:rsid w:val="00DC0860"/>
    <w:rsid w:val="00DC1309"/>
    <w:rsid w:val="00DC1343"/>
    <w:rsid w:val="00DC16F9"/>
    <w:rsid w:val="00DC1CA6"/>
    <w:rsid w:val="00DC20CF"/>
    <w:rsid w:val="00DC27E3"/>
    <w:rsid w:val="00DC3472"/>
    <w:rsid w:val="00DC4B44"/>
    <w:rsid w:val="00DC5C38"/>
    <w:rsid w:val="00DC5C39"/>
    <w:rsid w:val="00DC61A3"/>
    <w:rsid w:val="00DC6EB6"/>
    <w:rsid w:val="00DC7E69"/>
    <w:rsid w:val="00DD0467"/>
    <w:rsid w:val="00DD15EF"/>
    <w:rsid w:val="00DD1738"/>
    <w:rsid w:val="00DD190E"/>
    <w:rsid w:val="00DD2547"/>
    <w:rsid w:val="00DD3316"/>
    <w:rsid w:val="00DD3E02"/>
    <w:rsid w:val="00DD5654"/>
    <w:rsid w:val="00DD594C"/>
    <w:rsid w:val="00DD5E57"/>
    <w:rsid w:val="00DD5E97"/>
    <w:rsid w:val="00DD5F57"/>
    <w:rsid w:val="00DD60E3"/>
    <w:rsid w:val="00DD667B"/>
    <w:rsid w:val="00DD7F9B"/>
    <w:rsid w:val="00DE2E1E"/>
    <w:rsid w:val="00DE3385"/>
    <w:rsid w:val="00DE3503"/>
    <w:rsid w:val="00DE396F"/>
    <w:rsid w:val="00DE3CA1"/>
    <w:rsid w:val="00DE4007"/>
    <w:rsid w:val="00DE4638"/>
    <w:rsid w:val="00DE4651"/>
    <w:rsid w:val="00DE47B6"/>
    <w:rsid w:val="00DE534A"/>
    <w:rsid w:val="00DE55FD"/>
    <w:rsid w:val="00DE7265"/>
    <w:rsid w:val="00DE7525"/>
    <w:rsid w:val="00DF2247"/>
    <w:rsid w:val="00DF225E"/>
    <w:rsid w:val="00DF2353"/>
    <w:rsid w:val="00DF387D"/>
    <w:rsid w:val="00DF3AB2"/>
    <w:rsid w:val="00DF5784"/>
    <w:rsid w:val="00DF58B8"/>
    <w:rsid w:val="00DF5FF8"/>
    <w:rsid w:val="00DF6EE5"/>
    <w:rsid w:val="00E0077B"/>
    <w:rsid w:val="00E00898"/>
    <w:rsid w:val="00E01BEF"/>
    <w:rsid w:val="00E029E1"/>
    <w:rsid w:val="00E03634"/>
    <w:rsid w:val="00E050B6"/>
    <w:rsid w:val="00E0557E"/>
    <w:rsid w:val="00E05D14"/>
    <w:rsid w:val="00E0628E"/>
    <w:rsid w:val="00E06460"/>
    <w:rsid w:val="00E073CF"/>
    <w:rsid w:val="00E074A3"/>
    <w:rsid w:val="00E07997"/>
    <w:rsid w:val="00E07A6A"/>
    <w:rsid w:val="00E07EB8"/>
    <w:rsid w:val="00E10388"/>
    <w:rsid w:val="00E107B2"/>
    <w:rsid w:val="00E10EB1"/>
    <w:rsid w:val="00E114CF"/>
    <w:rsid w:val="00E115E0"/>
    <w:rsid w:val="00E1200C"/>
    <w:rsid w:val="00E120E4"/>
    <w:rsid w:val="00E12928"/>
    <w:rsid w:val="00E13636"/>
    <w:rsid w:val="00E13D02"/>
    <w:rsid w:val="00E149F4"/>
    <w:rsid w:val="00E15D99"/>
    <w:rsid w:val="00E174FE"/>
    <w:rsid w:val="00E17ECD"/>
    <w:rsid w:val="00E17F53"/>
    <w:rsid w:val="00E20354"/>
    <w:rsid w:val="00E207DB"/>
    <w:rsid w:val="00E21F5A"/>
    <w:rsid w:val="00E234C7"/>
    <w:rsid w:val="00E24EC1"/>
    <w:rsid w:val="00E25124"/>
    <w:rsid w:val="00E25A4F"/>
    <w:rsid w:val="00E261F8"/>
    <w:rsid w:val="00E26B25"/>
    <w:rsid w:val="00E26BD5"/>
    <w:rsid w:val="00E26E25"/>
    <w:rsid w:val="00E27DF3"/>
    <w:rsid w:val="00E3110A"/>
    <w:rsid w:val="00E319CB"/>
    <w:rsid w:val="00E319DC"/>
    <w:rsid w:val="00E324AD"/>
    <w:rsid w:val="00E3342D"/>
    <w:rsid w:val="00E33683"/>
    <w:rsid w:val="00E33734"/>
    <w:rsid w:val="00E34AA9"/>
    <w:rsid w:val="00E368F3"/>
    <w:rsid w:val="00E36A4F"/>
    <w:rsid w:val="00E37D5F"/>
    <w:rsid w:val="00E40942"/>
    <w:rsid w:val="00E4125E"/>
    <w:rsid w:val="00E41E22"/>
    <w:rsid w:val="00E4239D"/>
    <w:rsid w:val="00E429A0"/>
    <w:rsid w:val="00E42D39"/>
    <w:rsid w:val="00E4337B"/>
    <w:rsid w:val="00E4483E"/>
    <w:rsid w:val="00E44CD4"/>
    <w:rsid w:val="00E45B91"/>
    <w:rsid w:val="00E46804"/>
    <w:rsid w:val="00E46C57"/>
    <w:rsid w:val="00E47A7B"/>
    <w:rsid w:val="00E513EE"/>
    <w:rsid w:val="00E5176B"/>
    <w:rsid w:val="00E51813"/>
    <w:rsid w:val="00E527C9"/>
    <w:rsid w:val="00E528BA"/>
    <w:rsid w:val="00E53497"/>
    <w:rsid w:val="00E534DF"/>
    <w:rsid w:val="00E537A9"/>
    <w:rsid w:val="00E55A50"/>
    <w:rsid w:val="00E565C2"/>
    <w:rsid w:val="00E56D70"/>
    <w:rsid w:val="00E56E1E"/>
    <w:rsid w:val="00E60269"/>
    <w:rsid w:val="00E60887"/>
    <w:rsid w:val="00E60C32"/>
    <w:rsid w:val="00E61582"/>
    <w:rsid w:val="00E61619"/>
    <w:rsid w:val="00E61E25"/>
    <w:rsid w:val="00E6272B"/>
    <w:rsid w:val="00E627F6"/>
    <w:rsid w:val="00E62CF0"/>
    <w:rsid w:val="00E62F1A"/>
    <w:rsid w:val="00E63F1D"/>
    <w:rsid w:val="00E63FA5"/>
    <w:rsid w:val="00E646D5"/>
    <w:rsid w:val="00E64964"/>
    <w:rsid w:val="00E64EEE"/>
    <w:rsid w:val="00E663AD"/>
    <w:rsid w:val="00E66F49"/>
    <w:rsid w:val="00E67F4F"/>
    <w:rsid w:val="00E721A9"/>
    <w:rsid w:val="00E727F8"/>
    <w:rsid w:val="00E73549"/>
    <w:rsid w:val="00E73EB9"/>
    <w:rsid w:val="00E74861"/>
    <w:rsid w:val="00E748DD"/>
    <w:rsid w:val="00E74EC9"/>
    <w:rsid w:val="00E750A5"/>
    <w:rsid w:val="00E75733"/>
    <w:rsid w:val="00E75A9D"/>
    <w:rsid w:val="00E76B19"/>
    <w:rsid w:val="00E80CF7"/>
    <w:rsid w:val="00E81581"/>
    <w:rsid w:val="00E81B8E"/>
    <w:rsid w:val="00E81ED7"/>
    <w:rsid w:val="00E82742"/>
    <w:rsid w:val="00E82FC0"/>
    <w:rsid w:val="00E8369B"/>
    <w:rsid w:val="00E8377F"/>
    <w:rsid w:val="00E83850"/>
    <w:rsid w:val="00E85244"/>
    <w:rsid w:val="00E86159"/>
    <w:rsid w:val="00E86741"/>
    <w:rsid w:val="00E86DCB"/>
    <w:rsid w:val="00E87AE4"/>
    <w:rsid w:val="00E90C1F"/>
    <w:rsid w:val="00E9124A"/>
    <w:rsid w:val="00E91A8F"/>
    <w:rsid w:val="00E9222C"/>
    <w:rsid w:val="00E92AA5"/>
    <w:rsid w:val="00E9314A"/>
    <w:rsid w:val="00E9558B"/>
    <w:rsid w:val="00E957C5"/>
    <w:rsid w:val="00E95D1B"/>
    <w:rsid w:val="00E9735C"/>
    <w:rsid w:val="00EA234B"/>
    <w:rsid w:val="00EA267F"/>
    <w:rsid w:val="00EA274B"/>
    <w:rsid w:val="00EA2EFA"/>
    <w:rsid w:val="00EA3184"/>
    <w:rsid w:val="00EA3732"/>
    <w:rsid w:val="00EA3CDD"/>
    <w:rsid w:val="00EA415C"/>
    <w:rsid w:val="00EA5028"/>
    <w:rsid w:val="00EA50D6"/>
    <w:rsid w:val="00EA5714"/>
    <w:rsid w:val="00EA60EF"/>
    <w:rsid w:val="00EA6A30"/>
    <w:rsid w:val="00EA6A41"/>
    <w:rsid w:val="00EA7662"/>
    <w:rsid w:val="00EA7CC3"/>
    <w:rsid w:val="00EB016F"/>
    <w:rsid w:val="00EB04F4"/>
    <w:rsid w:val="00EB1EAC"/>
    <w:rsid w:val="00EB2216"/>
    <w:rsid w:val="00EB27D1"/>
    <w:rsid w:val="00EB33F4"/>
    <w:rsid w:val="00EB3B9C"/>
    <w:rsid w:val="00EB3CFC"/>
    <w:rsid w:val="00EB4C04"/>
    <w:rsid w:val="00EB5513"/>
    <w:rsid w:val="00EB55AF"/>
    <w:rsid w:val="00EB57BD"/>
    <w:rsid w:val="00EB623E"/>
    <w:rsid w:val="00EB6502"/>
    <w:rsid w:val="00EB6787"/>
    <w:rsid w:val="00EB7271"/>
    <w:rsid w:val="00EB7D9C"/>
    <w:rsid w:val="00EC1076"/>
    <w:rsid w:val="00EC1406"/>
    <w:rsid w:val="00EC1526"/>
    <w:rsid w:val="00EC16C0"/>
    <w:rsid w:val="00EC1B26"/>
    <w:rsid w:val="00EC1E52"/>
    <w:rsid w:val="00EC23F3"/>
    <w:rsid w:val="00EC2677"/>
    <w:rsid w:val="00EC2AB5"/>
    <w:rsid w:val="00EC36F2"/>
    <w:rsid w:val="00EC46CC"/>
    <w:rsid w:val="00EC4856"/>
    <w:rsid w:val="00EC4B79"/>
    <w:rsid w:val="00EC4F33"/>
    <w:rsid w:val="00EC5115"/>
    <w:rsid w:val="00EC74BA"/>
    <w:rsid w:val="00EC79C5"/>
    <w:rsid w:val="00EC7E82"/>
    <w:rsid w:val="00EC7E91"/>
    <w:rsid w:val="00ED0B81"/>
    <w:rsid w:val="00ED166B"/>
    <w:rsid w:val="00ED172E"/>
    <w:rsid w:val="00ED1A64"/>
    <w:rsid w:val="00ED28DD"/>
    <w:rsid w:val="00ED2E31"/>
    <w:rsid w:val="00ED3133"/>
    <w:rsid w:val="00ED35A0"/>
    <w:rsid w:val="00ED43A6"/>
    <w:rsid w:val="00ED468B"/>
    <w:rsid w:val="00ED4965"/>
    <w:rsid w:val="00ED5F66"/>
    <w:rsid w:val="00ED69B3"/>
    <w:rsid w:val="00ED6FB9"/>
    <w:rsid w:val="00ED7371"/>
    <w:rsid w:val="00ED7E2F"/>
    <w:rsid w:val="00ED7EA8"/>
    <w:rsid w:val="00EE02A3"/>
    <w:rsid w:val="00EE0650"/>
    <w:rsid w:val="00EE1313"/>
    <w:rsid w:val="00EE1F82"/>
    <w:rsid w:val="00EE2126"/>
    <w:rsid w:val="00EE3363"/>
    <w:rsid w:val="00EE4C7E"/>
    <w:rsid w:val="00EE556D"/>
    <w:rsid w:val="00EE5E81"/>
    <w:rsid w:val="00EE6184"/>
    <w:rsid w:val="00EE641E"/>
    <w:rsid w:val="00EE7A2C"/>
    <w:rsid w:val="00EF09D3"/>
    <w:rsid w:val="00EF108A"/>
    <w:rsid w:val="00EF1240"/>
    <w:rsid w:val="00EF1F75"/>
    <w:rsid w:val="00EF2240"/>
    <w:rsid w:val="00EF3069"/>
    <w:rsid w:val="00EF31A5"/>
    <w:rsid w:val="00EF3700"/>
    <w:rsid w:val="00EF3EB5"/>
    <w:rsid w:val="00EF4939"/>
    <w:rsid w:val="00EF57B9"/>
    <w:rsid w:val="00EF57DF"/>
    <w:rsid w:val="00EF6556"/>
    <w:rsid w:val="00EF71DF"/>
    <w:rsid w:val="00F0252E"/>
    <w:rsid w:val="00F02BAD"/>
    <w:rsid w:val="00F0319D"/>
    <w:rsid w:val="00F036B0"/>
    <w:rsid w:val="00F0441A"/>
    <w:rsid w:val="00F07063"/>
    <w:rsid w:val="00F11635"/>
    <w:rsid w:val="00F12D86"/>
    <w:rsid w:val="00F131AA"/>
    <w:rsid w:val="00F131FD"/>
    <w:rsid w:val="00F1350B"/>
    <w:rsid w:val="00F13B05"/>
    <w:rsid w:val="00F13B5A"/>
    <w:rsid w:val="00F13BAF"/>
    <w:rsid w:val="00F13EA5"/>
    <w:rsid w:val="00F13EED"/>
    <w:rsid w:val="00F14263"/>
    <w:rsid w:val="00F15AF2"/>
    <w:rsid w:val="00F162CA"/>
    <w:rsid w:val="00F1673D"/>
    <w:rsid w:val="00F1674C"/>
    <w:rsid w:val="00F17C70"/>
    <w:rsid w:val="00F21290"/>
    <w:rsid w:val="00F220D3"/>
    <w:rsid w:val="00F2299F"/>
    <w:rsid w:val="00F231F0"/>
    <w:rsid w:val="00F24787"/>
    <w:rsid w:val="00F24D39"/>
    <w:rsid w:val="00F251E2"/>
    <w:rsid w:val="00F2586D"/>
    <w:rsid w:val="00F259A5"/>
    <w:rsid w:val="00F25EF1"/>
    <w:rsid w:val="00F263E5"/>
    <w:rsid w:val="00F301E0"/>
    <w:rsid w:val="00F307CC"/>
    <w:rsid w:val="00F30BBA"/>
    <w:rsid w:val="00F31630"/>
    <w:rsid w:val="00F31A8F"/>
    <w:rsid w:val="00F320C0"/>
    <w:rsid w:val="00F32318"/>
    <w:rsid w:val="00F32D63"/>
    <w:rsid w:val="00F34012"/>
    <w:rsid w:val="00F343A3"/>
    <w:rsid w:val="00F34C99"/>
    <w:rsid w:val="00F3531A"/>
    <w:rsid w:val="00F36350"/>
    <w:rsid w:val="00F36E97"/>
    <w:rsid w:val="00F4173F"/>
    <w:rsid w:val="00F41DB0"/>
    <w:rsid w:val="00F42D15"/>
    <w:rsid w:val="00F439BB"/>
    <w:rsid w:val="00F43CEB"/>
    <w:rsid w:val="00F449D7"/>
    <w:rsid w:val="00F461AE"/>
    <w:rsid w:val="00F467F9"/>
    <w:rsid w:val="00F4703C"/>
    <w:rsid w:val="00F50A96"/>
    <w:rsid w:val="00F5184D"/>
    <w:rsid w:val="00F51B88"/>
    <w:rsid w:val="00F51CB2"/>
    <w:rsid w:val="00F526F5"/>
    <w:rsid w:val="00F534D3"/>
    <w:rsid w:val="00F5421D"/>
    <w:rsid w:val="00F55022"/>
    <w:rsid w:val="00F55184"/>
    <w:rsid w:val="00F560C9"/>
    <w:rsid w:val="00F568B1"/>
    <w:rsid w:val="00F56A91"/>
    <w:rsid w:val="00F5704A"/>
    <w:rsid w:val="00F57FA7"/>
    <w:rsid w:val="00F60DF3"/>
    <w:rsid w:val="00F62057"/>
    <w:rsid w:val="00F6264B"/>
    <w:rsid w:val="00F62837"/>
    <w:rsid w:val="00F6290C"/>
    <w:rsid w:val="00F64433"/>
    <w:rsid w:val="00F646C8"/>
    <w:rsid w:val="00F66721"/>
    <w:rsid w:val="00F6773C"/>
    <w:rsid w:val="00F67988"/>
    <w:rsid w:val="00F67C01"/>
    <w:rsid w:val="00F70909"/>
    <w:rsid w:val="00F70D66"/>
    <w:rsid w:val="00F7114B"/>
    <w:rsid w:val="00F714BE"/>
    <w:rsid w:val="00F71D85"/>
    <w:rsid w:val="00F721EF"/>
    <w:rsid w:val="00F72AAF"/>
    <w:rsid w:val="00F72AC2"/>
    <w:rsid w:val="00F72F17"/>
    <w:rsid w:val="00F731F6"/>
    <w:rsid w:val="00F73923"/>
    <w:rsid w:val="00F73D91"/>
    <w:rsid w:val="00F74168"/>
    <w:rsid w:val="00F742F1"/>
    <w:rsid w:val="00F7470C"/>
    <w:rsid w:val="00F74942"/>
    <w:rsid w:val="00F75B33"/>
    <w:rsid w:val="00F76037"/>
    <w:rsid w:val="00F76171"/>
    <w:rsid w:val="00F761E0"/>
    <w:rsid w:val="00F76832"/>
    <w:rsid w:val="00F76B53"/>
    <w:rsid w:val="00F7761D"/>
    <w:rsid w:val="00F77724"/>
    <w:rsid w:val="00F77839"/>
    <w:rsid w:val="00F77AF3"/>
    <w:rsid w:val="00F77CE6"/>
    <w:rsid w:val="00F77DD1"/>
    <w:rsid w:val="00F77E8E"/>
    <w:rsid w:val="00F8023F"/>
    <w:rsid w:val="00F81349"/>
    <w:rsid w:val="00F82021"/>
    <w:rsid w:val="00F82080"/>
    <w:rsid w:val="00F82566"/>
    <w:rsid w:val="00F82A7B"/>
    <w:rsid w:val="00F8476C"/>
    <w:rsid w:val="00F84D67"/>
    <w:rsid w:val="00F850A1"/>
    <w:rsid w:val="00F855B8"/>
    <w:rsid w:val="00F85CBD"/>
    <w:rsid w:val="00F86B84"/>
    <w:rsid w:val="00F905B8"/>
    <w:rsid w:val="00F91164"/>
    <w:rsid w:val="00F9181F"/>
    <w:rsid w:val="00F91D47"/>
    <w:rsid w:val="00F92B0F"/>
    <w:rsid w:val="00F9354E"/>
    <w:rsid w:val="00F941FC"/>
    <w:rsid w:val="00F96365"/>
    <w:rsid w:val="00F96D24"/>
    <w:rsid w:val="00F97093"/>
    <w:rsid w:val="00F97FF3"/>
    <w:rsid w:val="00FA0091"/>
    <w:rsid w:val="00FA0426"/>
    <w:rsid w:val="00FA1AA9"/>
    <w:rsid w:val="00FA2C8B"/>
    <w:rsid w:val="00FA2CE3"/>
    <w:rsid w:val="00FA3E0C"/>
    <w:rsid w:val="00FA4F9B"/>
    <w:rsid w:val="00FA4FBA"/>
    <w:rsid w:val="00FA5580"/>
    <w:rsid w:val="00FA655A"/>
    <w:rsid w:val="00FA69C3"/>
    <w:rsid w:val="00FA6AAC"/>
    <w:rsid w:val="00FA6CBC"/>
    <w:rsid w:val="00FA6D48"/>
    <w:rsid w:val="00FA7027"/>
    <w:rsid w:val="00FA7206"/>
    <w:rsid w:val="00FA7EC0"/>
    <w:rsid w:val="00FB1729"/>
    <w:rsid w:val="00FB2DB8"/>
    <w:rsid w:val="00FB30A2"/>
    <w:rsid w:val="00FB429B"/>
    <w:rsid w:val="00FB5119"/>
    <w:rsid w:val="00FB6970"/>
    <w:rsid w:val="00FB6AEE"/>
    <w:rsid w:val="00FC072E"/>
    <w:rsid w:val="00FC1C02"/>
    <w:rsid w:val="00FC3497"/>
    <w:rsid w:val="00FC4323"/>
    <w:rsid w:val="00FC51AE"/>
    <w:rsid w:val="00FC550A"/>
    <w:rsid w:val="00FC551E"/>
    <w:rsid w:val="00FC5790"/>
    <w:rsid w:val="00FC5C41"/>
    <w:rsid w:val="00FC6275"/>
    <w:rsid w:val="00FD039F"/>
    <w:rsid w:val="00FD053B"/>
    <w:rsid w:val="00FD0AF0"/>
    <w:rsid w:val="00FD0D5E"/>
    <w:rsid w:val="00FD1234"/>
    <w:rsid w:val="00FD18F3"/>
    <w:rsid w:val="00FD194F"/>
    <w:rsid w:val="00FD1995"/>
    <w:rsid w:val="00FD2333"/>
    <w:rsid w:val="00FD25C9"/>
    <w:rsid w:val="00FD25E1"/>
    <w:rsid w:val="00FD31B5"/>
    <w:rsid w:val="00FD5688"/>
    <w:rsid w:val="00FD5725"/>
    <w:rsid w:val="00FD5E1C"/>
    <w:rsid w:val="00FD5F36"/>
    <w:rsid w:val="00FD7F6B"/>
    <w:rsid w:val="00FE0948"/>
    <w:rsid w:val="00FE0E33"/>
    <w:rsid w:val="00FE1880"/>
    <w:rsid w:val="00FE2032"/>
    <w:rsid w:val="00FE2B7B"/>
    <w:rsid w:val="00FE3256"/>
    <w:rsid w:val="00FE3990"/>
    <w:rsid w:val="00FE3B9B"/>
    <w:rsid w:val="00FE3F8E"/>
    <w:rsid w:val="00FE47ED"/>
    <w:rsid w:val="00FE5101"/>
    <w:rsid w:val="00FE61DC"/>
    <w:rsid w:val="00FE67D0"/>
    <w:rsid w:val="00FE689B"/>
    <w:rsid w:val="00FE79CE"/>
    <w:rsid w:val="00FE7E56"/>
    <w:rsid w:val="00FF02D0"/>
    <w:rsid w:val="00FF081E"/>
    <w:rsid w:val="00FF1406"/>
    <w:rsid w:val="00FF145C"/>
    <w:rsid w:val="00FF26EE"/>
    <w:rsid w:val="00FF28EC"/>
    <w:rsid w:val="00FF47A3"/>
    <w:rsid w:val="00FF4B3F"/>
    <w:rsid w:val="00FF4B43"/>
    <w:rsid w:val="00FF574F"/>
    <w:rsid w:val="00FF6146"/>
    <w:rsid w:val="00FF7956"/>
    <w:rsid w:val="021967E1"/>
    <w:rsid w:val="030D7E3E"/>
    <w:rsid w:val="0334205E"/>
    <w:rsid w:val="034856A5"/>
    <w:rsid w:val="03D07714"/>
    <w:rsid w:val="05D11D1B"/>
    <w:rsid w:val="05FA7789"/>
    <w:rsid w:val="067D4F9E"/>
    <w:rsid w:val="07AF301F"/>
    <w:rsid w:val="08204893"/>
    <w:rsid w:val="083E04BA"/>
    <w:rsid w:val="086F7E62"/>
    <w:rsid w:val="08E27D9B"/>
    <w:rsid w:val="093A1D5C"/>
    <w:rsid w:val="099512B1"/>
    <w:rsid w:val="09F07824"/>
    <w:rsid w:val="0A40746F"/>
    <w:rsid w:val="0B0104DC"/>
    <w:rsid w:val="0B5C3E34"/>
    <w:rsid w:val="0B9340C0"/>
    <w:rsid w:val="0BB26C18"/>
    <w:rsid w:val="0BDF6813"/>
    <w:rsid w:val="0CBA3508"/>
    <w:rsid w:val="0D1077DD"/>
    <w:rsid w:val="0D646E2A"/>
    <w:rsid w:val="0ECD6BB9"/>
    <w:rsid w:val="0F5170F1"/>
    <w:rsid w:val="102A1CBB"/>
    <w:rsid w:val="107C061C"/>
    <w:rsid w:val="109C2F25"/>
    <w:rsid w:val="111451B1"/>
    <w:rsid w:val="11205904"/>
    <w:rsid w:val="114A387E"/>
    <w:rsid w:val="11543BAC"/>
    <w:rsid w:val="11A5684D"/>
    <w:rsid w:val="12042B30"/>
    <w:rsid w:val="120E7E09"/>
    <w:rsid w:val="123D4E07"/>
    <w:rsid w:val="13F74556"/>
    <w:rsid w:val="14B85A81"/>
    <w:rsid w:val="14F90946"/>
    <w:rsid w:val="151469B7"/>
    <w:rsid w:val="152850C5"/>
    <w:rsid w:val="15956C4F"/>
    <w:rsid w:val="159F2DAC"/>
    <w:rsid w:val="16B94475"/>
    <w:rsid w:val="17853B61"/>
    <w:rsid w:val="17BE3B06"/>
    <w:rsid w:val="19006747"/>
    <w:rsid w:val="19EA6260"/>
    <w:rsid w:val="1A4474E8"/>
    <w:rsid w:val="1A4511A7"/>
    <w:rsid w:val="1AFB05F2"/>
    <w:rsid w:val="1BCE272A"/>
    <w:rsid w:val="1C292DEF"/>
    <w:rsid w:val="1D2B1804"/>
    <w:rsid w:val="1E3950C5"/>
    <w:rsid w:val="1E4808ED"/>
    <w:rsid w:val="1E9B3AFC"/>
    <w:rsid w:val="1FE46AA9"/>
    <w:rsid w:val="20476A09"/>
    <w:rsid w:val="21F77FBB"/>
    <w:rsid w:val="22E67766"/>
    <w:rsid w:val="23286980"/>
    <w:rsid w:val="23486984"/>
    <w:rsid w:val="23FF13A9"/>
    <w:rsid w:val="245E4A59"/>
    <w:rsid w:val="25184241"/>
    <w:rsid w:val="25E22D55"/>
    <w:rsid w:val="26024279"/>
    <w:rsid w:val="260E7FC9"/>
    <w:rsid w:val="26284DDB"/>
    <w:rsid w:val="27382BB4"/>
    <w:rsid w:val="27BF3329"/>
    <w:rsid w:val="27D72D69"/>
    <w:rsid w:val="284F75D7"/>
    <w:rsid w:val="28C768EF"/>
    <w:rsid w:val="28DD6E23"/>
    <w:rsid w:val="29422464"/>
    <w:rsid w:val="2A31206B"/>
    <w:rsid w:val="2ACE1AD5"/>
    <w:rsid w:val="2AD24C56"/>
    <w:rsid w:val="2B9C7E34"/>
    <w:rsid w:val="2BA96061"/>
    <w:rsid w:val="2BB76C46"/>
    <w:rsid w:val="2CED6C3A"/>
    <w:rsid w:val="2D0C788F"/>
    <w:rsid w:val="2D295F9A"/>
    <w:rsid w:val="2E2B27AB"/>
    <w:rsid w:val="2E921DA5"/>
    <w:rsid w:val="2EBB09DD"/>
    <w:rsid w:val="30006A18"/>
    <w:rsid w:val="30045057"/>
    <w:rsid w:val="30667B76"/>
    <w:rsid w:val="307410C2"/>
    <w:rsid w:val="313C5E2A"/>
    <w:rsid w:val="315A5FD3"/>
    <w:rsid w:val="31C63CF3"/>
    <w:rsid w:val="33052E4F"/>
    <w:rsid w:val="34CC52D7"/>
    <w:rsid w:val="34FF745B"/>
    <w:rsid w:val="35AF558A"/>
    <w:rsid w:val="364A5420"/>
    <w:rsid w:val="37FA3B07"/>
    <w:rsid w:val="38125841"/>
    <w:rsid w:val="393435C0"/>
    <w:rsid w:val="3A660185"/>
    <w:rsid w:val="3BDD4E74"/>
    <w:rsid w:val="3BF16943"/>
    <w:rsid w:val="3C254167"/>
    <w:rsid w:val="3C54617F"/>
    <w:rsid w:val="3D885C45"/>
    <w:rsid w:val="3DC6005E"/>
    <w:rsid w:val="3DF02037"/>
    <w:rsid w:val="3E734A16"/>
    <w:rsid w:val="3E80785E"/>
    <w:rsid w:val="3EDE6333"/>
    <w:rsid w:val="3FA34647"/>
    <w:rsid w:val="411529FB"/>
    <w:rsid w:val="41CA2D0D"/>
    <w:rsid w:val="41CF23DC"/>
    <w:rsid w:val="41DB399D"/>
    <w:rsid w:val="42A11473"/>
    <w:rsid w:val="454C7069"/>
    <w:rsid w:val="458F0387"/>
    <w:rsid w:val="45E17242"/>
    <w:rsid w:val="46634A89"/>
    <w:rsid w:val="46BE3798"/>
    <w:rsid w:val="47462CC7"/>
    <w:rsid w:val="4764220C"/>
    <w:rsid w:val="47833F1C"/>
    <w:rsid w:val="47B6656B"/>
    <w:rsid w:val="48DF3CF4"/>
    <w:rsid w:val="49F76548"/>
    <w:rsid w:val="4A8907BB"/>
    <w:rsid w:val="4B110B90"/>
    <w:rsid w:val="4C2149E6"/>
    <w:rsid w:val="4D986247"/>
    <w:rsid w:val="4DE33966"/>
    <w:rsid w:val="4E8135B3"/>
    <w:rsid w:val="4F267444"/>
    <w:rsid w:val="503C40AD"/>
    <w:rsid w:val="508D27A6"/>
    <w:rsid w:val="51C4760A"/>
    <w:rsid w:val="53083749"/>
    <w:rsid w:val="53312AE1"/>
    <w:rsid w:val="55B84EAE"/>
    <w:rsid w:val="56382C47"/>
    <w:rsid w:val="59171178"/>
    <w:rsid w:val="597B4491"/>
    <w:rsid w:val="59A57D21"/>
    <w:rsid w:val="5A616952"/>
    <w:rsid w:val="5A9B6510"/>
    <w:rsid w:val="5C1B17B8"/>
    <w:rsid w:val="5C8A1451"/>
    <w:rsid w:val="5D0A42CB"/>
    <w:rsid w:val="5ED8763C"/>
    <w:rsid w:val="5F0E70B0"/>
    <w:rsid w:val="5F221E14"/>
    <w:rsid w:val="5F6D308F"/>
    <w:rsid w:val="5FFC7D0A"/>
    <w:rsid w:val="60515EE8"/>
    <w:rsid w:val="61250170"/>
    <w:rsid w:val="61603C1A"/>
    <w:rsid w:val="61910E2C"/>
    <w:rsid w:val="62324D67"/>
    <w:rsid w:val="62854069"/>
    <w:rsid w:val="62A241F2"/>
    <w:rsid w:val="63331D15"/>
    <w:rsid w:val="64220BB4"/>
    <w:rsid w:val="64F40429"/>
    <w:rsid w:val="651E6376"/>
    <w:rsid w:val="660D7080"/>
    <w:rsid w:val="6658788B"/>
    <w:rsid w:val="67297071"/>
    <w:rsid w:val="67E1648C"/>
    <w:rsid w:val="69215C67"/>
    <w:rsid w:val="69A9410F"/>
    <w:rsid w:val="6A217DF6"/>
    <w:rsid w:val="6A371DEF"/>
    <w:rsid w:val="6B100175"/>
    <w:rsid w:val="6B122952"/>
    <w:rsid w:val="6B37721A"/>
    <w:rsid w:val="6C662F7C"/>
    <w:rsid w:val="6C804AB4"/>
    <w:rsid w:val="6DE55656"/>
    <w:rsid w:val="6E261BA7"/>
    <w:rsid w:val="70507028"/>
    <w:rsid w:val="715440AF"/>
    <w:rsid w:val="732E2E41"/>
    <w:rsid w:val="73762E92"/>
    <w:rsid w:val="74B75416"/>
    <w:rsid w:val="751050E8"/>
    <w:rsid w:val="768C6099"/>
    <w:rsid w:val="772C2D03"/>
    <w:rsid w:val="784576F8"/>
    <w:rsid w:val="78767A5E"/>
    <w:rsid w:val="79960562"/>
    <w:rsid w:val="79FA5A10"/>
    <w:rsid w:val="7A2307C6"/>
    <w:rsid w:val="7A54626B"/>
    <w:rsid w:val="7B197D47"/>
    <w:rsid w:val="7BF02C60"/>
    <w:rsid w:val="7C050DEC"/>
    <w:rsid w:val="7C8D66C7"/>
    <w:rsid w:val="7D0050EB"/>
    <w:rsid w:val="7D50755D"/>
    <w:rsid w:val="7DBD34B1"/>
    <w:rsid w:val="7DFD76C5"/>
    <w:rsid w:val="7DFF53A3"/>
    <w:rsid w:val="7E816BC7"/>
    <w:rsid w:val="7ECA59B1"/>
    <w:rsid w:val="7F6C2EA6"/>
    <w:rsid w:val="7FD558D4"/>
    <w:rsid w:val="7FFB29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62"/>
    <w:qFormat/>
    <w:uiPriority w:val="0"/>
    <w:pPr>
      <w:spacing w:before="340" w:after="330" w:line="360" w:lineRule="auto"/>
      <w:jc w:val="center"/>
      <w:outlineLvl w:val="0"/>
    </w:pPr>
    <w:rPr>
      <w:rFonts w:eastAsia="黑体"/>
      <w:kern w:val="44"/>
      <w:szCs w:val="44"/>
    </w:rPr>
  </w:style>
  <w:style w:type="paragraph" w:styleId="6">
    <w:name w:val="heading 2"/>
    <w:basedOn w:val="4"/>
    <w:next w:val="5"/>
    <w:link w:val="77"/>
    <w:qFormat/>
    <w:uiPriority w:val="0"/>
    <w:pPr>
      <w:adjustRightInd w:val="0"/>
      <w:jc w:val="center"/>
      <w:textAlignment w:val="baseline"/>
      <w:outlineLvl w:val="1"/>
    </w:pPr>
    <w:rPr>
      <w:kern w:val="0"/>
      <w:sz w:val="24"/>
      <w:szCs w:val="20"/>
    </w:rPr>
  </w:style>
  <w:style w:type="paragraph" w:styleId="4">
    <w:name w:val="heading 3"/>
    <w:basedOn w:val="5"/>
    <w:next w:val="1"/>
    <w:link w:val="61"/>
    <w:qFormat/>
    <w:uiPriority w:val="9"/>
    <w:pPr>
      <w:spacing w:before="260" w:after="260" w:line="240" w:lineRule="auto"/>
      <w:outlineLvl w:val="2"/>
    </w:pPr>
    <w:rPr>
      <w:rFonts w:ascii="宋体" w:hAnsi="宋体" w:eastAsia="宋体"/>
      <w:szCs w:val="32"/>
    </w:rPr>
  </w:style>
  <w:style w:type="paragraph" w:styleId="5">
    <w:name w:val="heading 4"/>
    <w:basedOn w:val="1"/>
    <w:next w:val="1"/>
    <w:link w:val="59"/>
    <w:qFormat/>
    <w:uiPriority w:val="9"/>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86"/>
    <w:qFormat/>
    <w:uiPriority w:val="0"/>
    <w:pPr>
      <w:keepNext/>
      <w:keepLines/>
      <w:spacing w:before="280" w:after="290" w:line="376" w:lineRule="auto"/>
      <w:outlineLvl w:val="4"/>
    </w:pPr>
    <w:rPr>
      <w:b/>
      <w:sz w:val="28"/>
      <w:szCs w:val="20"/>
    </w:rPr>
  </w:style>
  <w:style w:type="paragraph" w:styleId="9">
    <w:name w:val="heading 6"/>
    <w:basedOn w:val="1"/>
    <w:next w:val="8"/>
    <w:link w:val="89"/>
    <w:qFormat/>
    <w:uiPriority w:val="0"/>
    <w:pPr>
      <w:keepNext/>
      <w:keepLines/>
      <w:spacing w:before="240" w:after="64" w:line="320" w:lineRule="auto"/>
      <w:outlineLvl w:val="5"/>
    </w:pPr>
    <w:rPr>
      <w:rFonts w:ascii="Arial" w:hAnsi="Arial" w:eastAsia="黑体"/>
      <w:b/>
      <w:sz w:val="24"/>
      <w:szCs w:val="20"/>
    </w:rPr>
  </w:style>
  <w:style w:type="paragraph" w:styleId="10">
    <w:name w:val="heading 7"/>
    <w:basedOn w:val="1"/>
    <w:next w:val="8"/>
    <w:link w:val="90"/>
    <w:qFormat/>
    <w:uiPriority w:val="0"/>
    <w:pPr>
      <w:keepNext/>
      <w:keepLines/>
      <w:spacing w:before="240" w:after="64" w:line="320" w:lineRule="auto"/>
      <w:outlineLvl w:val="6"/>
    </w:pPr>
    <w:rPr>
      <w:b/>
      <w:sz w:val="24"/>
      <w:szCs w:val="20"/>
    </w:rPr>
  </w:style>
  <w:style w:type="paragraph" w:styleId="11">
    <w:name w:val="heading 8"/>
    <w:basedOn w:val="1"/>
    <w:next w:val="8"/>
    <w:link w:val="91"/>
    <w:qFormat/>
    <w:uiPriority w:val="0"/>
    <w:pPr>
      <w:keepNext/>
      <w:keepLines/>
      <w:spacing w:before="240" w:after="64" w:line="320" w:lineRule="auto"/>
      <w:outlineLvl w:val="7"/>
    </w:pPr>
    <w:rPr>
      <w:rFonts w:ascii="Arial" w:hAnsi="Arial" w:eastAsia="黑体"/>
      <w:sz w:val="24"/>
      <w:szCs w:val="20"/>
    </w:rPr>
  </w:style>
  <w:style w:type="paragraph" w:styleId="12">
    <w:name w:val="heading 9"/>
    <w:basedOn w:val="1"/>
    <w:next w:val="8"/>
    <w:link w:val="92"/>
    <w:qFormat/>
    <w:uiPriority w:val="0"/>
    <w:pPr>
      <w:keepNext/>
      <w:keepLines/>
      <w:spacing w:before="240" w:after="64" w:line="320" w:lineRule="auto"/>
      <w:outlineLvl w:val="8"/>
    </w:pPr>
    <w:rPr>
      <w:rFonts w:ascii="Arial" w:hAnsi="Arial" w:eastAsia="黑体"/>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98"/>
    <w:qFormat/>
    <w:uiPriority w:val="0"/>
    <w:pPr>
      <w:spacing w:line="360" w:lineRule="auto"/>
    </w:pPr>
    <w:rPr>
      <w:b/>
      <w:bCs/>
      <w:sz w:val="24"/>
    </w:rPr>
  </w:style>
  <w:style w:type="paragraph" w:styleId="8">
    <w:name w:val="Normal Indent"/>
    <w:basedOn w:val="1"/>
    <w:next w:val="2"/>
    <w:link w:val="63"/>
    <w:qFormat/>
    <w:uiPriority w:val="0"/>
    <w:pPr>
      <w:ind w:firstLine="420"/>
    </w:pPr>
    <w:rPr>
      <w:szCs w:val="20"/>
    </w:rPr>
  </w:style>
  <w:style w:type="paragraph" w:styleId="13">
    <w:name w:val="toc 7"/>
    <w:basedOn w:val="1"/>
    <w:next w:val="1"/>
    <w:semiHidden/>
    <w:qFormat/>
    <w:uiPriority w:val="0"/>
    <w:pPr>
      <w:ind w:left="1260"/>
      <w:jc w:val="left"/>
    </w:pPr>
    <w:rPr>
      <w:szCs w:val="21"/>
    </w:rPr>
  </w:style>
  <w:style w:type="paragraph" w:styleId="14">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5">
    <w:name w:val="List Bullet"/>
    <w:basedOn w:val="1"/>
    <w:qFormat/>
    <w:uiPriority w:val="0"/>
    <w:pPr>
      <w:numPr>
        <w:ilvl w:val="0"/>
        <w:numId w:val="1"/>
      </w:numPr>
    </w:pPr>
    <w:rPr>
      <w:szCs w:val="20"/>
    </w:rPr>
  </w:style>
  <w:style w:type="paragraph" w:styleId="16">
    <w:name w:val="Document Map"/>
    <w:basedOn w:val="1"/>
    <w:semiHidden/>
    <w:qFormat/>
    <w:uiPriority w:val="0"/>
    <w:pPr>
      <w:shd w:val="clear" w:color="auto" w:fill="000080"/>
    </w:pPr>
  </w:style>
  <w:style w:type="paragraph" w:styleId="17">
    <w:name w:val="annotation text"/>
    <w:basedOn w:val="1"/>
    <w:link w:val="190"/>
    <w:qFormat/>
    <w:uiPriority w:val="0"/>
    <w:pPr>
      <w:autoSpaceDE w:val="0"/>
      <w:autoSpaceDN w:val="0"/>
      <w:adjustRightInd w:val="0"/>
      <w:jc w:val="left"/>
      <w:textAlignment w:val="baseline"/>
    </w:pPr>
    <w:rPr>
      <w:rFonts w:ascii="宋体"/>
      <w:kern w:val="0"/>
      <w:sz w:val="34"/>
      <w:szCs w:val="20"/>
    </w:rPr>
  </w:style>
  <w:style w:type="paragraph" w:styleId="18">
    <w:name w:val="Body Text 3"/>
    <w:basedOn w:val="1"/>
    <w:link w:val="104"/>
    <w:qFormat/>
    <w:uiPriority w:val="0"/>
    <w:pPr>
      <w:spacing w:after="120"/>
    </w:pPr>
    <w:rPr>
      <w:sz w:val="16"/>
      <w:szCs w:val="16"/>
    </w:rPr>
  </w:style>
  <w:style w:type="paragraph" w:styleId="19">
    <w:name w:val="Body Text Indent"/>
    <w:basedOn w:val="1"/>
    <w:link w:val="85"/>
    <w:qFormat/>
    <w:uiPriority w:val="0"/>
    <w:pPr>
      <w:spacing w:line="360" w:lineRule="auto"/>
      <w:ind w:firstLine="420" w:firstLineChars="200"/>
    </w:pPr>
  </w:style>
  <w:style w:type="paragraph" w:styleId="20">
    <w:name w:val="toc 5"/>
    <w:basedOn w:val="1"/>
    <w:next w:val="1"/>
    <w:semiHidden/>
    <w:qFormat/>
    <w:uiPriority w:val="0"/>
    <w:pPr>
      <w:ind w:left="840"/>
      <w:jc w:val="left"/>
    </w:pPr>
    <w:rPr>
      <w:szCs w:val="21"/>
    </w:rPr>
  </w:style>
  <w:style w:type="paragraph" w:styleId="21">
    <w:name w:val="toc 3"/>
    <w:basedOn w:val="1"/>
    <w:next w:val="1"/>
    <w:semiHidden/>
    <w:qFormat/>
    <w:uiPriority w:val="0"/>
    <w:pPr>
      <w:ind w:left="420"/>
      <w:jc w:val="left"/>
    </w:pPr>
    <w:rPr>
      <w:i/>
      <w:iCs/>
    </w:rPr>
  </w:style>
  <w:style w:type="paragraph" w:styleId="22">
    <w:name w:val="Plain Text"/>
    <w:basedOn w:val="1"/>
    <w:link w:val="96"/>
    <w:qFormat/>
    <w:uiPriority w:val="0"/>
    <w:rPr>
      <w:rFonts w:ascii="宋体" w:hAnsi="Courier New"/>
      <w:szCs w:val="20"/>
    </w:rPr>
  </w:style>
  <w:style w:type="paragraph" w:styleId="23">
    <w:name w:val="toc 8"/>
    <w:basedOn w:val="1"/>
    <w:next w:val="1"/>
    <w:semiHidden/>
    <w:qFormat/>
    <w:uiPriority w:val="0"/>
    <w:pPr>
      <w:ind w:left="1470"/>
      <w:jc w:val="left"/>
    </w:pPr>
    <w:rPr>
      <w:szCs w:val="21"/>
    </w:rPr>
  </w:style>
  <w:style w:type="paragraph" w:styleId="24">
    <w:name w:val="Date"/>
    <w:basedOn w:val="1"/>
    <w:next w:val="1"/>
    <w:link w:val="94"/>
    <w:qFormat/>
    <w:uiPriority w:val="0"/>
    <w:rPr>
      <w:rFonts w:ascii="宋体" w:hAnsi="Courier New"/>
      <w:sz w:val="32"/>
      <w:szCs w:val="20"/>
    </w:rPr>
  </w:style>
  <w:style w:type="paragraph" w:styleId="25">
    <w:name w:val="Body Text Indent 2"/>
    <w:basedOn w:val="1"/>
    <w:link w:val="99"/>
    <w:qFormat/>
    <w:uiPriority w:val="0"/>
    <w:pPr>
      <w:spacing w:beforeLines="50" w:afterLines="50" w:line="120" w:lineRule="auto"/>
      <w:ind w:firstLine="840" w:firstLineChars="400"/>
      <w:jc w:val="left"/>
    </w:pPr>
    <w:rPr>
      <w:rFonts w:ascii="宋体" w:hAnsi="宋体"/>
    </w:rPr>
  </w:style>
  <w:style w:type="paragraph" w:styleId="26">
    <w:name w:val="Balloon Text"/>
    <w:basedOn w:val="1"/>
    <w:link w:val="105"/>
    <w:semiHidden/>
    <w:qFormat/>
    <w:uiPriority w:val="99"/>
    <w:rPr>
      <w:sz w:val="18"/>
      <w:szCs w:val="18"/>
    </w:rPr>
  </w:style>
  <w:style w:type="paragraph" w:styleId="27">
    <w:name w:val="footer"/>
    <w:basedOn w:val="1"/>
    <w:link w:val="103"/>
    <w:qFormat/>
    <w:uiPriority w:val="0"/>
    <w:pPr>
      <w:tabs>
        <w:tab w:val="center" w:pos="4153"/>
        <w:tab w:val="right" w:pos="8306"/>
      </w:tabs>
      <w:snapToGrid w:val="0"/>
      <w:jc w:val="left"/>
    </w:pPr>
    <w:rPr>
      <w:sz w:val="18"/>
      <w:szCs w:val="18"/>
    </w:rPr>
  </w:style>
  <w:style w:type="paragraph" w:styleId="28">
    <w:name w:val="header"/>
    <w:basedOn w:val="1"/>
    <w:link w:val="100"/>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pPr>
      <w:spacing w:before="120" w:after="120"/>
      <w:jc w:val="left"/>
    </w:pPr>
    <w:rPr>
      <w:b/>
      <w:bCs/>
      <w:caps/>
    </w:rPr>
  </w:style>
  <w:style w:type="paragraph" w:styleId="30">
    <w:name w:val="toc 4"/>
    <w:basedOn w:val="1"/>
    <w:next w:val="1"/>
    <w:semiHidden/>
    <w:qFormat/>
    <w:uiPriority w:val="0"/>
    <w:pPr>
      <w:ind w:left="630"/>
      <w:jc w:val="left"/>
    </w:pPr>
    <w:rPr>
      <w:szCs w:val="21"/>
    </w:rPr>
  </w:style>
  <w:style w:type="paragraph" w:styleId="31">
    <w:name w:val="toc 6"/>
    <w:basedOn w:val="1"/>
    <w:next w:val="1"/>
    <w:semiHidden/>
    <w:qFormat/>
    <w:uiPriority w:val="0"/>
    <w:pPr>
      <w:ind w:left="1050"/>
      <w:jc w:val="left"/>
    </w:pPr>
    <w:rPr>
      <w:szCs w:val="21"/>
    </w:rPr>
  </w:style>
  <w:style w:type="paragraph" w:styleId="32">
    <w:name w:val="Body Text Indent 3"/>
    <w:basedOn w:val="1"/>
    <w:link w:val="101"/>
    <w:qFormat/>
    <w:uiPriority w:val="0"/>
    <w:pPr>
      <w:spacing w:line="360" w:lineRule="auto"/>
      <w:ind w:firstLine="482" w:firstLineChars="200"/>
    </w:pPr>
    <w:rPr>
      <w:rFonts w:ascii="宋体"/>
      <w:b/>
      <w:bCs/>
      <w:sz w:val="24"/>
    </w:rPr>
  </w:style>
  <w:style w:type="paragraph" w:styleId="33">
    <w:name w:val="toc 2"/>
    <w:basedOn w:val="1"/>
    <w:next w:val="1"/>
    <w:semiHidden/>
    <w:qFormat/>
    <w:uiPriority w:val="0"/>
    <w:pPr>
      <w:tabs>
        <w:tab w:val="right" w:leader="dot" w:pos="8296"/>
      </w:tabs>
      <w:ind w:left="210"/>
      <w:jc w:val="left"/>
    </w:pPr>
    <w:rPr>
      <w:smallCaps/>
    </w:rPr>
  </w:style>
  <w:style w:type="paragraph" w:styleId="34">
    <w:name w:val="toc 9"/>
    <w:basedOn w:val="1"/>
    <w:next w:val="1"/>
    <w:semiHidden/>
    <w:qFormat/>
    <w:uiPriority w:val="0"/>
    <w:pPr>
      <w:ind w:left="1680"/>
      <w:jc w:val="left"/>
    </w:pPr>
    <w:rPr>
      <w:szCs w:val="21"/>
    </w:rPr>
  </w:style>
  <w:style w:type="paragraph" w:styleId="35">
    <w:name w:val="Body Text 2"/>
    <w:basedOn w:val="1"/>
    <w:next w:val="2"/>
    <w:link w:val="102"/>
    <w:qFormat/>
    <w:uiPriority w:val="0"/>
    <w:pPr>
      <w:spacing w:line="360" w:lineRule="auto"/>
    </w:pPr>
    <w:rPr>
      <w:sz w:val="24"/>
    </w:rPr>
  </w:style>
  <w:style w:type="paragraph" w:styleId="36">
    <w:name w:val="HTML Preformatted"/>
    <w:basedOn w:val="1"/>
    <w:link w:val="9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7">
    <w:name w:val="Normal (Web)"/>
    <w:basedOn w:val="1"/>
    <w:link w:val="196"/>
    <w:qFormat/>
    <w:uiPriority w:val="99"/>
    <w:rPr>
      <w:sz w:val="24"/>
    </w:rPr>
  </w:style>
  <w:style w:type="paragraph" w:styleId="38">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39">
    <w:name w:val="Title"/>
    <w:basedOn w:val="1"/>
    <w:next w:val="1"/>
    <w:link w:val="93"/>
    <w:qFormat/>
    <w:uiPriority w:val="0"/>
    <w:pPr>
      <w:spacing w:before="240" w:after="60"/>
      <w:jc w:val="center"/>
      <w:outlineLvl w:val="0"/>
    </w:pPr>
    <w:rPr>
      <w:rFonts w:ascii="Arial" w:hAnsi="Arial" w:eastAsia="隶书" w:cs="Arial"/>
      <w:b/>
      <w:bCs/>
      <w:sz w:val="32"/>
      <w:szCs w:val="32"/>
    </w:rPr>
  </w:style>
  <w:style w:type="paragraph" w:styleId="40">
    <w:name w:val="annotation subject"/>
    <w:basedOn w:val="17"/>
    <w:next w:val="17"/>
    <w:link w:val="191"/>
    <w:qFormat/>
    <w:uiPriority w:val="99"/>
    <w:pPr>
      <w:autoSpaceDE/>
      <w:autoSpaceDN/>
      <w:adjustRightInd/>
      <w:textAlignment w:val="auto"/>
    </w:pPr>
    <w:rPr>
      <w:rFonts w:ascii="Times New Roman"/>
      <w:b/>
      <w:bCs/>
      <w:kern w:val="2"/>
      <w:sz w:val="21"/>
      <w:szCs w:val="24"/>
    </w:rPr>
  </w:style>
  <w:style w:type="paragraph" w:styleId="41">
    <w:name w:val="Body Text First Indent"/>
    <w:basedOn w:val="2"/>
    <w:link w:val="136"/>
    <w:qFormat/>
    <w:uiPriority w:val="0"/>
    <w:pPr>
      <w:spacing w:after="120" w:line="240" w:lineRule="auto"/>
      <w:ind w:firstLine="420" w:firstLineChars="100"/>
    </w:pPr>
    <w:rPr>
      <w:sz w:val="21"/>
    </w:r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0"/>
    <w:rPr>
      <w:color w:val="800080"/>
      <w:u w:val="single"/>
    </w:rPr>
  </w:style>
  <w:style w:type="character" w:styleId="48">
    <w:name w:val="HTML Definition"/>
    <w:basedOn w:val="44"/>
    <w:semiHidden/>
    <w:unhideWhenUsed/>
    <w:qFormat/>
    <w:uiPriority w:val="0"/>
  </w:style>
  <w:style w:type="character" w:styleId="49">
    <w:name w:val="HTML Typewriter"/>
    <w:basedOn w:val="44"/>
    <w:semiHidden/>
    <w:unhideWhenUsed/>
    <w:qFormat/>
    <w:uiPriority w:val="0"/>
    <w:rPr>
      <w:rFonts w:hint="default" w:ascii="monospace" w:hAnsi="monospace" w:eastAsia="monospace" w:cs="monospace"/>
      <w:sz w:val="20"/>
    </w:rPr>
  </w:style>
  <w:style w:type="character" w:styleId="50">
    <w:name w:val="HTML Acronym"/>
    <w:basedOn w:val="44"/>
    <w:semiHidden/>
    <w:unhideWhenUsed/>
    <w:qFormat/>
    <w:uiPriority w:val="0"/>
  </w:style>
  <w:style w:type="character" w:styleId="51">
    <w:name w:val="HTML Variable"/>
    <w:basedOn w:val="44"/>
    <w:semiHidden/>
    <w:unhideWhenUsed/>
    <w:qFormat/>
    <w:uiPriority w:val="0"/>
  </w:style>
  <w:style w:type="character" w:styleId="52">
    <w:name w:val="Hyperlink"/>
    <w:qFormat/>
    <w:uiPriority w:val="0"/>
    <w:rPr>
      <w:color w:val="0000FF"/>
      <w:u w:val="single"/>
    </w:rPr>
  </w:style>
  <w:style w:type="character" w:styleId="53">
    <w:name w:val="HTML Code"/>
    <w:basedOn w:val="44"/>
    <w:semiHidden/>
    <w:unhideWhenUsed/>
    <w:qFormat/>
    <w:uiPriority w:val="0"/>
    <w:rPr>
      <w:rFonts w:hint="default" w:ascii="monospace" w:hAnsi="monospace" w:eastAsia="monospace" w:cs="monospace"/>
      <w:sz w:val="20"/>
    </w:rPr>
  </w:style>
  <w:style w:type="character" w:styleId="54">
    <w:name w:val="annotation reference"/>
    <w:basedOn w:val="44"/>
    <w:qFormat/>
    <w:uiPriority w:val="99"/>
    <w:rPr>
      <w:sz w:val="21"/>
      <w:szCs w:val="21"/>
    </w:rPr>
  </w:style>
  <w:style w:type="character" w:styleId="55">
    <w:name w:val="HTML Cite"/>
    <w:basedOn w:val="44"/>
    <w:semiHidden/>
    <w:unhideWhenUsed/>
    <w:qFormat/>
    <w:uiPriority w:val="0"/>
  </w:style>
  <w:style w:type="character" w:styleId="56">
    <w:name w:val="HTML Keyboard"/>
    <w:basedOn w:val="44"/>
    <w:semiHidden/>
    <w:unhideWhenUsed/>
    <w:qFormat/>
    <w:uiPriority w:val="0"/>
    <w:rPr>
      <w:rFonts w:hint="default" w:ascii="monospace" w:hAnsi="monospace" w:eastAsia="monospace" w:cs="monospace"/>
      <w:sz w:val="20"/>
    </w:rPr>
  </w:style>
  <w:style w:type="character" w:styleId="57">
    <w:name w:val="HTML Sample"/>
    <w:basedOn w:val="44"/>
    <w:semiHidden/>
    <w:unhideWhenUsed/>
    <w:qFormat/>
    <w:uiPriority w:val="0"/>
    <w:rPr>
      <w:rFonts w:ascii="monospace" w:hAnsi="monospace" w:eastAsia="monospace" w:cs="monospace"/>
    </w:rPr>
  </w:style>
  <w:style w:type="paragraph" w:styleId="58">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59">
    <w:name w:val="标题 4 字符"/>
    <w:link w:val="5"/>
    <w:qFormat/>
    <w:uiPriority w:val="9"/>
    <w:rPr>
      <w:rFonts w:ascii="Arial" w:hAnsi="Arial" w:eastAsia="黑体"/>
      <w:b/>
      <w:bCs/>
      <w:kern w:val="2"/>
      <w:sz w:val="28"/>
      <w:szCs w:val="28"/>
      <w:lang w:val="en-US" w:eastAsia="zh-CN" w:bidi="ar-SA"/>
    </w:rPr>
  </w:style>
  <w:style w:type="paragraph" w:customStyle="1" w:styleId="60">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1">
    <w:name w:val="标题 3 字符"/>
    <w:link w:val="4"/>
    <w:qFormat/>
    <w:uiPriority w:val="9"/>
    <w:rPr>
      <w:rFonts w:ascii="宋体" w:hAnsi="宋体" w:eastAsia="宋体"/>
      <w:b/>
      <w:bCs/>
      <w:kern w:val="2"/>
      <w:sz w:val="28"/>
      <w:szCs w:val="32"/>
      <w:lang w:val="en-US" w:eastAsia="zh-CN" w:bidi="ar-SA"/>
    </w:rPr>
  </w:style>
  <w:style w:type="character" w:customStyle="1" w:styleId="62">
    <w:name w:val="标题 1 字符"/>
    <w:link w:val="3"/>
    <w:qFormat/>
    <w:uiPriority w:val="0"/>
    <w:rPr>
      <w:rFonts w:ascii="宋体" w:hAnsi="宋体" w:eastAsia="黑体"/>
      <w:b/>
      <w:bCs/>
      <w:kern w:val="44"/>
      <w:sz w:val="28"/>
      <w:szCs w:val="44"/>
      <w:lang w:val="en-US" w:eastAsia="zh-CN" w:bidi="ar-SA"/>
    </w:rPr>
  </w:style>
  <w:style w:type="character" w:customStyle="1" w:styleId="63">
    <w:name w:val="正文缩进 字符"/>
    <w:link w:val="8"/>
    <w:qFormat/>
    <w:uiPriority w:val="0"/>
    <w:rPr>
      <w:rFonts w:eastAsia="宋体"/>
      <w:kern w:val="2"/>
      <w:sz w:val="21"/>
      <w:lang w:val="en-US" w:eastAsia="zh-CN" w:bidi="ar-SA"/>
    </w:rPr>
  </w:style>
  <w:style w:type="character" w:customStyle="1" w:styleId="64">
    <w:name w:val="标题 3 Char"/>
    <w:qFormat/>
    <w:uiPriority w:val="0"/>
    <w:rPr>
      <w:rFonts w:ascii="黑体" w:eastAsia="黑体"/>
      <w:bCs/>
      <w:sz w:val="30"/>
    </w:rPr>
  </w:style>
  <w:style w:type="paragraph" w:customStyle="1" w:styleId="65">
    <w:name w:val="样式41"/>
    <w:basedOn w:val="1"/>
    <w:qFormat/>
    <w:uiPriority w:val="0"/>
    <w:pPr>
      <w:numPr>
        <w:ilvl w:val="0"/>
        <w:numId w:val="2"/>
      </w:numPr>
      <w:tabs>
        <w:tab w:val="left" w:pos="945"/>
      </w:tabs>
      <w:spacing w:line="360" w:lineRule="auto"/>
    </w:pPr>
    <w:rPr>
      <w:b/>
      <w:color w:val="000000"/>
      <w:sz w:val="24"/>
      <w:szCs w:val="20"/>
    </w:rPr>
  </w:style>
  <w:style w:type="paragraph" w:customStyle="1" w:styleId="66">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67">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68">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9">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0">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72">
    <w:name w:val="自定义正文"/>
    <w:basedOn w:val="1"/>
    <w:qFormat/>
    <w:uiPriority w:val="0"/>
    <w:pPr>
      <w:spacing w:afterLines="50"/>
      <w:ind w:left="600" w:leftChars="600"/>
    </w:pPr>
  </w:style>
  <w:style w:type="paragraph" w:customStyle="1" w:styleId="73">
    <w:name w:val="Char Char Char Char Char"/>
    <w:basedOn w:val="1"/>
    <w:qFormat/>
    <w:uiPriority w:val="0"/>
    <w:rPr>
      <w:rFonts w:ascii="Tahoma" w:hAnsi="Tahoma"/>
      <w:sz w:val="24"/>
      <w:szCs w:val="20"/>
    </w:rPr>
  </w:style>
  <w:style w:type="paragraph" w:customStyle="1" w:styleId="74">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5">
    <w:name w:val="Char Char"/>
    <w:basedOn w:val="1"/>
    <w:qFormat/>
    <w:uiPriority w:val="0"/>
    <w:rPr>
      <w:rFonts w:ascii="Tahoma" w:hAnsi="Tahoma"/>
      <w:sz w:val="24"/>
      <w:szCs w:val="20"/>
    </w:rPr>
  </w:style>
  <w:style w:type="paragraph" w:customStyle="1" w:styleId="76">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77">
    <w:name w:val="标题 2 字符"/>
    <w:link w:val="6"/>
    <w:qFormat/>
    <w:uiPriority w:val="0"/>
    <w:rPr>
      <w:rFonts w:ascii="宋体" w:hAnsi="宋体" w:eastAsia="宋体"/>
      <w:b/>
      <w:bCs/>
      <w:sz w:val="24"/>
      <w:lang w:val="en-US" w:eastAsia="zh-CN" w:bidi="ar-SA"/>
    </w:rPr>
  </w:style>
  <w:style w:type="paragraph" w:customStyle="1" w:styleId="7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styleId="79">
    <w:name w:val="List Paragraph"/>
    <w:basedOn w:val="1"/>
    <w:qFormat/>
    <w:uiPriority w:val="34"/>
    <w:pPr>
      <w:ind w:firstLine="420" w:firstLineChars="200"/>
    </w:pPr>
    <w:rPr>
      <w:rFonts w:ascii="Calibri" w:hAnsi="Calibri"/>
      <w:szCs w:val="22"/>
    </w:rPr>
  </w:style>
  <w:style w:type="paragraph" w:customStyle="1" w:styleId="80">
    <w:name w:val="USE 1"/>
    <w:basedOn w:val="1"/>
    <w:qFormat/>
    <w:uiPriority w:val="0"/>
    <w:pPr>
      <w:spacing w:line="200" w:lineRule="atLeast"/>
      <w:jc w:val="left"/>
    </w:pPr>
    <w:rPr>
      <w:rFonts w:ascii="宋体" w:hAnsi="宋体"/>
      <w:b/>
      <w:sz w:val="24"/>
      <w:szCs w:val="28"/>
    </w:rPr>
  </w:style>
  <w:style w:type="paragraph" w:customStyle="1" w:styleId="81">
    <w:name w:val="RFI text from 3rd Level"/>
    <w:basedOn w:val="1"/>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82">
    <w:name w:val="正文文字缩进项目"/>
    <w:basedOn w:val="19"/>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83">
    <w:name w:val="样式 标题 2 + 段前: 13 磅 段后: 13 磅 行距: 单倍行距"/>
    <w:basedOn w:val="6"/>
    <w:qFormat/>
    <w:uiPriority w:val="0"/>
    <w:pPr>
      <w:adjustRightInd/>
      <w:jc w:val="both"/>
      <w:textAlignment w:val="auto"/>
    </w:pPr>
    <w:rPr>
      <w:rFonts w:ascii="Cambria" w:hAnsi="Cambria" w:cs="宋体"/>
      <w:kern w:val="2"/>
      <w:sz w:val="32"/>
    </w:rPr>
  </w:style>
  <w:style w:type="character" w:customStyle="1" w:styleId="84">
    <w:name w:val="H4 Char2"/>
    <w:qFormat/>
    <w:uiPriority w:val="0"/>
    <w:rPr>
      <w:rFonts w:ascii="Arial" w:hAnsi="Arial" w:eastAsia="黑体"/>
      <w:b/>
      <w:bCs/>
      <w:kern w:val="2"/>
      <w:sz w:val="28"/>
      <w:szCs w:val="28"/>
      <w:lang w:val="en-US" w:eastAsia="zh-CN" w:bidi="ar-SA"/>
    </w:rPr>
  </w:style>
  <w:style w:type="character" w:customStyle="1" w:styleId="85">
    <w:name w:val="正文文本缩进 字符"/>
    <w:link w:val="19"/>
    <w:qFormat/>
    <w:uiPriority w:val="0"/>
    <w:rPr>
      <w:rFonts w:eastAsia="宋体"/>
      <w:kern w:val="2"/>
      <w:sz w:val="21"/>
      <w:szCs w:val="24"/>
      <w:lang w:val="en-US" w:eastAsia="zh-CN" w:bidi="ar-SA"/>
    </w:rPr>
  </w:style>
  <w:style w:type="character" w:customStyle="1" w:styleId="86">
    <w:name w:val="标题 5 字符"/>
    <w:link w:val="7"/>
    <w:qFormat/>
    <w:uiPriority w:val="0"/>
    <w:rPr>
      <w:rFonts w:eastAsia="宋体"/>
      <w:b/>
      <w:kern w:val="2"/>
      <w:sz w:val="28"/>
      <w:lang w:val="en-US" w:eastAsia="zh-CN" w:bidi="ar-SA"/>
    </w:rPr>
  </w:style>
  <w:style w:type="character" w:customStyle="1" w:styleId="87">
    <w:name w:val="第*章 Char"/>
    <w:qFormat/>
    <w:uiPriority w:val="0"/>
    <w:rPr>
      <w:rFonts w:ascii="Arial" w:hAnsi="Arial" w:eastAsia="黑体"/>
      <w:b/>
      <w:bCs/>
      <w:kern w:val="2"/>
      <w:sz w:val="32"/>
      <w:szCs w:val="32"/>
    </w:rPr>
  </w:style>
  <w:style w:type="character" w:customStyle="1" w:styleId="88">
    <w:name w:val="章标题1 Char"/>
    <w:qFormat/>
    <w:uiPriority w:val="0"/>
    <w:rPr>
      <w:rFonts w:eastAsia="宋体"/>
      <w:b/>
      <w:bCs/>
      <w:kern w:val="2"/>
      <w:sz w:val="32"/>
      <w:szCs w:val="32"/>
      <w:lang w:val="en-US" w:eastAsia="zh-CN" w:bidi="ar-SA"/>
    </w:rPr>
  </w:style>
  <w:style w:type="character" w:customStyle="1" w:styleId="89">
    <w:name w:val="标题 6 字符"/>
    <w:link w:val="9"/>
    <w:qFormat/>
    <w:uiPriority w:val="0"/>
    <w:rPr>
      <w:rFonts w:ascii="Arial" w:hAnsi="Arial" w:eastAsia="黑体"/>
      <w:b/>
      <w:kern w:val="2"/>
      <w:sz w:val="24"/>
      <w:lang w:val="en-US" w:eastAsia="zh-CN" w:bidi="ar-SA"/>
    </w:rPr>
  </w:style>
  <w:style w:type="character" w:customStyle="1" w:styleId="90">
    <w:name w:val="标题 7 字符"/>
    <w:link w:val="10"/>
    <w:qFormat/>
    <w:uiPriority w:val="0"/>
    <w:rPr>
      <w:rFonts w:eastAsia="宋体"/>
      <w:b/>
      <w:kern w:val="2"/>
      <w:sz w:val="24"/>
      <w:lang w:val="en-US" w:eastAsia="zh-CN" w:bidi="ar-SA"/>
    </w:rPr>
  </w:style>
  <w:style w:type="character" w:customStyle="1" w:styleId="91">
    <w:name w:val="标题 8 字符"/>
    <w:link w:val="11"/>
    <w:qFormat/>
    <w:uiPriority w:val="0"/>
    <w:rPr>
      <w:rFonts w:ascii="Arial" w:hAnsi="Arial" w:eastAsia="黑体"/>
      <w:kern w:val="2"/>
      <w:sz w:val="24"/>
      <w:lang w:val="en-US" w:eastAsia="zh-CN" w:bidi="ar-SA"/>
    </w:rPr>
  </w:style>
  <w:style w:type="character" w:customStyle="1" w:styleId="92">
    <w:name w:val="标题 9 字符"/>
    <w:link w:val="12"/>
    <w:qFormat/>
    <w:uiPriority w:val="0"/>
    <w:rPr>
      <w:rFonts w:ascii="Arial" w:hAnsi="Arial" w:eastAsia="黑体"/>
      <w:kern w:val="2"/>
      <w:sz w:val="21"/>
      <w:lang w:val="en-US" w:eastAsia="zh-CN" w:bidi="ar-SA"/>
    </w:rPr>
  </w:style>
  <w:style w:type="character" w:customStyle="1" w:styleId="93">
    <w:name w:val="标题 字符"/>
    <w:link w:val="39"/>
    <w:qFormat/>
    <w:uiPriority w:val="0"/>
    <w:rPr>
      <w:rFonts w:ascii="Arial" w:hAnsi="Arial" w:eastAsia="隶书" w:cs="Arial"/>
      <w:b/>
      <w:bCs/>
      <w:kern w:val="2"/>
      <w:sz w:val="32"/>
      <w:szCs w:val="32"/>
      <w:lang w:val="en-US" w:eastAsia="zh-CN" w:bidi="ar-SA"/>
    </w:rPr>
  </w:style>
  <w:style w:type="character" w:customStyle="1" w:styleId="94">
    <w:name w:val="日期 字符"/>
    <w:link w:val="24"/>
    <w:qFormat/>
    <w:uiPriority w:val="0"/>
    <w:rPr>
      <w:rFonts w:ascii="宋体" w:hAnsi="Courier New" w:eastAsia="宋体"/>
      <w:kern w:val="2"/>
      <w:sz w:val="32"/>
      <w:lang w:val="en-US" w:eastAsia="zh-CN" w:bidi="ar-SA"/>
    </w:rPr>
  </w:style>
  <w:style w:type="character" w:customStyle="1" w:styleId="95">
    <w:name w:val="HTML 预设格式 字符"/>
    <w:link w:val="36"/>
    <w:qFormat/>
    <w:uiPriority w:val="0"/>
    <w:rPr>
      <w:rFonts w:ascii="Arial Unicode MS" w:hAnsi="Arial Unicode MS" w:eastAsia="Arial Unicode MS"/>
      <w:color w:val="000000"/>
      <w:lang w:val="en-US" w:eastAsia="zh-CN" w:bidi="ar-SA"/>
    </w:rPr>
  </w:style>
  <w:style w:type="character" w:customStyle="1" w:styleId="96">
    <w:name w:val="纯文本 字符"/>
    <w:link w:val="22"/>
    <w:qFormat/>
    <w:uiPriority w:val="0"/>
    <w:rPr>
      <w:rFonts w:ascii="宋体" w:hAnsi="Courier New" w:eastAsia="宋体"/>
      <w:kern w:val="2"/>
      <w:sz w:val="21"/>
      <w:lang w:val="en-US" w:eastAsia="zh-CN" w:bidi="ar-SA"/>
    </w:rPr>
  </w:style>
  <w:style w:type="character" w:customStyle="1" w:styleId="97">
    <w:name w:val="正文文字首行缩进 Char"/>
    <w:qFormat/>
    <w:uiPriority w:val="0"/>
    <w:rPr>
      <w:kern w:val="2"/>
      <w:sz w:val="21"/>
      <w:szCs w:val="24"/>
    </w:rPr>
  </w:style>
  <w:style w:type="character" w:customStyle="1" w:styleId="98">
    <w:name w:val="正文文本 字符"/>
    <w:link w:val="2"/>
    <w:qFormat/>
    <w:uiPriority w:val="0"/>
    <w:rPr>
      <w:rFonts w:eastAsia="宋体"/>
      <w:b/>
      <w:bCs/>
      <w:kern w:val="2"/>
      <w:sz w:val="24"/>
      <w:szCs w:val="24"/>
      <w:lang w:val="en-US" w:eastAsia="zh-CN" w:bidi="ar-SA"/>
    </w:rPr>
  </w:style>
  <w:style w:type="character" w:customStyle="1" w:styleId="99">
    <w:name w:val="正文文本缩进 2 字符"/>
    <w:link w:val="25"/>
    <w:qFormat/>
    <w:uiPriority w:val="0"/>
    <w:rPr>
      <w:rFonts w:ascii="宋体" w:hAnsi="宋体" w:eastAsia="宋体"/>
      <w:kern w:val="2"/>
      <w:sz w:val="21"/>
      <w:szCs w:val="24"/>
      <w:lang w:val="en-US" w:eastAsia="zh-CN" w:bidi="ar-SA"/>
    </w:rPr>
  </w:style>
  <w:style w:type="character" w:customStyle="1" w:styleId="100">
    <w:name w:val="页眉 字符"/>
    <w:link w:val="28"/>
    <w:qFormat/>
    <w:uiPriority w:val="99"/>
    <w:rPr>
      <w:rFonts w:eastAsia="宋体"/>
      <w:kern w:val="2"/>
      <w:sz w:val="18"/>
      <w:szCs w:val="18"/>
      <w:lang w:val="en-US" w:eastAsia="zh-CN" w:bidi="ar-SA"/>
    </w:rPr>
  </w:style>
  <w:style w:type="character" w:customStyle="1" w:styleId="101">
    <w:name w:val="正文文本缩进 3 字符"/>
    <w:link w:val="32"/>
    <w:qFormat/>
    <w:uiPriority w:val="0"/>
    <w:rPr>
      <w:rFonts w:ascii="宋体" w:eastAsia="宋体"/>
      <w:b/>
      <w:bCs/>
      <w:kern w:val="2"/>
      <w:sz w:val="24"/>
      <w:szCs w:val="24"/>
      <w:lang w:val="en-US" w:eastAsia="zh-CN" w:bidi="ar-SA"/>
    </w:rPr>
  </w:style>
  <w:style w:type="character" w:customStyle="1" w:styleId="102">
    <w:name w:val="正文文本 2 字符"/>
    <w:link w:val="35"/>
    <w:qFormat/>
    <w:uiPriority w:val="0"/>
    <w:rPr>
      <w:rFonts w:eastAsia="宋体"/>
      <w:kern w:val="2"/>
      <w:sz w:val="24"/>
      <w:szCs w:val="24"/>
      <w:lang w:val="en-US" w:eastAsia="zh-CN" w:bidi="ar-SA"/>
    </w:rPr>
  </w:style>
  <w:style w:type="character" w:customStyle="1" w:styleId="103">
    <w:name w:val="页脚 字符"/>
    <w:link w:val="27"/>
    <w:qFormat/>
    <w:uiPriority w:val="0"/>
    <w:rPr>
      <w:rFonts w:eastAsia="宋体"/>
      <w:kern w:val="2"/>
      <w:sz w:val="18"/>
      <w:szCs w:val="18"/>
      <w:lang w:val="en-US" w:eastAsia="zh-CN" w:bidi="ar-SA"/>
    </w:rPr>
  </w:style>
  <w:style w:type="character" w:customStyle="1" w:styleId="104">
    <w:name w:val="正文文本 3 字符"/>
    <w:link w:val="18"/>
    <w:qFormat/>
    <w:uiPriority w:val="0"/>
    <w:rPr>
      <w:rFonts w:eastAsia="宋体"/>
      <w:kern w:val="2"/>
      <w:sz w:val="16"/>
      <w:szCs w:val="16"/>
      <w:lang w:val="en-US" w:eastAsia="zh-CN" w:bidi="ar-SA"/>
    </w:rPr>
  </w:style>
  <w:style w:type="character" w:customStyle="1" w:styleId="105">
    <w:name w:val="批注框文本 字符"/>
    <w:link w:val="26"/>
    <w:semiHidden/>
    <w:qFormat/>
    <w:uiPriority w:val="99"/>
    <w:rPr>
      <w:rFonts w:eastAsia="宋体"/>
      <w:kern w:val="2"/>
      <w:sz w:val="18"/>
      <w:szCs w:val="18"/>
      <w:lang w:val="en-US" w:eastAsia="zh-CN" w:bidi="ar-SA"/>
    </w:rPr>
  </w:style>
  <w:style w:type="paragraph" w:customStyle="1" w:styleId="106">
    <w:name w:val="样式1"/>
    <w:basedOn w:val="39"/>
    <w:qFormat/>
    <w:uiPriority w:val="0"/>
    <w:pPr>
      <w:spacing w:before="120" w:after="120"/>
    </w:pPr>
    <w:rPr>
      <w:rFonts w:eastAsia="黑体"/>
      <w:b w:val="0"/>
      <w:sz w:val="30"/>
      <w:szCs w:val="21"/>
    </w:rPr>
  </w:style>
  <w:style w:type="paragraph" w:customStyle="1" w:styleId="107">
    <w:name w:val="样式2"/>
    <w:basedOn w:val="39"/>
    <w:next w:val="106"/>
    <w:qFormat/>
    <w:uiPriority w:val="0"/>
    <w:pPr>
      <w:spacing w:before="120" w:after="120"/>
    </w:pPr>
    <w:rPr>
      <w:rFonts w:eastAsia="黑体"/>
      <w:b w:val="0"/>
      <w:sz w:val="30"/>
      <w:szCs w:val="30"/>
    </w:rPr>
  </w:style>
  <w:style w:type="character" w:customStyle="1" w:styleId="108">
    <w:name w:val="标题 3 Char Char"/>
    <w:qFormat/>
    <w:uiPriority w:val="0"/>
    <w:rPr>
      <w:rFonts w:eastAsia="宋体"/>
      <w:b/>
      <w:bCs/>
      <w:kern w:val="2"/>
      <w:sz w:val="32"/>
      <w:szCs w:val="32"/>
      <w:lang w:val="en-US" w:eastAsia="zh-CN" w:bidi="ar-SA"/>
    </w:rPr>
  </w:style>
  <w:style w:type="paragraph" w:customStyle="1" w:styleId="109">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0">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11">
    <w:name w:val="--规划正文"/>
    <w:basedOn w:val="1"/>
    <w:qFormat/>
    <w:uiPriority w:val="0"/>
    <w:pPr>
      <w:spacing w:line="360" w:lineRule="auto"/>
      <w:ind w:firstLine="200" w:firstLineChars="200"/>
    </w:pPr>
    <w:rPr>
      <w:szCs w:val="20"/>
    </w:rPr>
  </w:style>
  <w:style w:type="paragraph" w:customStyle="1" w:styleId="112">
    <w:name w:val="设计依据"/>
    <w:basedOn w:val="2"/>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3">
    <w:name w:val="方案要点"/>
    <w:basedOn w:val="1"/>
    <w:qFormat/>
    <w:uiPriority w:val="0"/>
    <w:pPr>
      <w:numPr>
        <w:ilvl w:val="0"/>
        <w:numId w:val="4"/>
      </w:numPr>
      <w:spacing w:line="360" w:lineRule="auto"/>
    </w:pPr>
    <w:rPr>
      <w:rFonts w:ascii="仿宋_GB2312" w:hAnsi="宋体" w:eastAsia="仿宋_GB2312"/>
      <w:color w:val="000000"/>
      <w:sz w:val="28"/>
      <w:szCs w:val="28"/>
    </w:rPr>
  </w:style>
  <w:style w:type="paragraph" w:customStyle="1" w:styleId="114">
    <w:name w:val="样式4"/>
    <w:basedOn w:val="1"/>
    <w:qFormat/>
    <w:uiPriority w:val="0"/>
    <w:pPr>
      <w:tabs>
        <w:tab w:val="left" w:pos="842"/>
      </w:tabs>
      <w:spacing w:line="360" w:lineRule="auto"/>
      <w:ind w:left="842" w:hanging="420"/>
    </w:pPr>
    <w:rPr>
      <w:sz w:val="24"/>
    </w:rPr>
  </w:style>
  <w:style w:type="paragraph" w:customStyle="1" w:styleId="115">
    <w:name w:val="文字"/>
    <w:basedOn w:val="1"/>
    <w:qFormat/>
    <w:uiPriority w:val="0"/>
    <w:pPr>
      <w:tabs>
        <w:tab w:val="left" w:pos="8520"/>
      </w:tabs>
      <w:spacing w:line="312" w:lineRule="auto"/>
      <w:ind w:right="-210" w:firstLine="556"/>
    </w:pPr>
    <w:rPr>
      <w:rFonts w:ascii="宋体"/>
      <w:sz w:val="28"/>
      <w:szCs w:val="20"/>
    </w:rPr>
  </w:style>
  <w:style w:type="paragraph" w:customStyle="1" w:styleId="116">
    <w:name w:val="--规划-表格-居左"/>
    <w:basedOn w:val="111"/>
    <w:qFormat/>
    <w:uiPriority w:val="0"/>
    <w:pPr>
      <w:spacing w:line="240" w:lineRule="auto"/>
      <w:ind w:firstLine="0" w:firstLineChars="0"/>
    </w:pPr>
    <w:rPr>
      <w:sz w:val="20"/>
    </w:rPr>
  </w:style>
  <w:style w:type="paragraph" w:customStyle="1" w:styleId="117">
    <w:name w:val="--规划-表格-居中"/>
    <w:basedOn w:val="111"/>
    <w:qFormat/>
    <w:uiPriority w:val="0"/>
    <w:pPr>
      <w:spacing w:line="240" w:lineRule="auto"/>
      <w:ind w:firstLine="0" w:firstLineChars="0"/>
      <w:jc w:val="center"/>
    </w:pPr>
    <w:rPr>
      <w:sz w:val="20"/>
    </w:rPr>
  </w:style>
  <w:style w:type="paragraph" w:customStyle="1" w:styleId="118">
    <w:name w:val="--编号内缩进"/>
    <w:basedOn w:val="1"/>
    <w:qFormat/>
    <w:uiPriority w:val="0"/>
    <w:pPr>
      <w:spacing w:line="360" w:lineRule="auto"/>
      <w:ind w:left="420" w:firstLine="200" w:firstLineChars="200"/>
    </w:pPr>
    <w:rPr>
      <w:szCs w:val="21"/>
    </w:rPr>
  </w:style>
  <w:style w:type="paragraph" w:customStyle="1" w:styleId="119">
    <w:name w:val="--规划-题注"/>
    <w:basedOn w:val="1"/>
    <w:next w:val="111"/>
    <w:qFormat/>
    <w:uiPriority w:val="0"/>
    <w:pPr>
      <w:spacing w:line="360" w:lineRule="auto"/>
      <w:jc w:val="center"/>
    </w:pPr>
    <w:rPr>
      <w:rFonts w:eastAsia="黑体"/>
    </w:rPr>
  </w:style>
  <w:style w:type="paragraph" w:customStyle="1" w:styleId="120">
    <w:name w:val="--规划-图和表"/>
    <w:next w:val="111"/>
    <w:qFormat/>
    <w:uiPriority w:val="0"/>
    <w:pPr>
      <w:jc w:val="center"/>
    </w:pPr>
    <w:rPr>
      <w:rFonts w:ascii="Times New Roman" w:hAnsi="Times New Roman" w:eastAsia="宋体" w:cs="Times New Roman"/>
      <w:kern w:val="2"/>
      <w:sz w:val="21"/>
      <w:lang w:val="en-US" w:eastAsia="zh-CN" w:bidi="ar-SA"/>
    </w:rPr>
  </w:style>
  <w:style w:type="paragraph" w:customStyle="1" w:styleId="121">
    <w:name w:val="--规划-小标题"/>
    <w:basedOn w:val="1"/>
    <w:next w:val="111"/>
    <w:qFormat/>
    <w:uiPriority w:val="0"/>
    <w:pPr>
      <w:keepNext/>
      <w:keepLines/>
      <w:spacing w:line="360" w:lineRule="auto"/>
      <w:outlineLvl w:val="4"/>
    </w:pPr>
    <w:rPr>
      <w:rFonts w:eastAsia="黑体"/>
    </w:rPr>
  </w:style>
  <w:style w:type="paragraph" w:customStyle="1" w:styleId="122">
    <w:name w:val="--规划正文 Char"/>
    <w:basedOn w:val="1"/>
    <w:qFormat/>
    <w:uiPriority w:val="0"/>
    <w:pPr>
      <w:spacing w:line="360" w:lineRule="auto"/>
      <w:ind w:firstLine="200" w:firstLineChars="200"/>
    </w:pPr>
    <w:rPr>
      <w:sz w:val="24"/>
    </w:rPr>
  </w:style>
  <w:style w:type="paragraph" w:customStyle="1" w:styleId="123">
    <w:name w:val="缺省文本"/>
    <w:basedOn w:val="1"/>
    <w:qFormat/>
    <w:uiPriority w:val="0"/>
    <w:pPr>
      <w:autoSpaceDE w:val="0"/>
      <w:autoSpaceDN w:val="0"/>
      <w:adjustRightInd w:val="0"/>
      <w:jc w:val="left"/>
    </w:pPr>
    <w:rPr>
      <w:kern w:val="0"/>
    </w:rPr>
  </w:style>
  <w:style w:type="paragraph" w:customStyle="1" w:styleId="124">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125">
    <w:name w:val="--规划正文 Char Char"/>
    <w:qFormat/>
    <w:uiPriority w:val="0"/>
    <w:rPr>
      <w:rFonts w:eastAsia="宋体"/>
      <w:kern w:val="2"/>
      <w:sz w:val="24"/>
      <w:szCs w:val="24"/>
      <w:lang w:val="en-US" w:eastAsia="zh-CN" w:bidi="ar-SA"/>
    </w:rPr>
  </w:style>
  <w:style w:type="paragraph" w:customStyle="1" w:styleId="126">
    <w:name w:val="样式3"/>
    <w:basedOn w:val="3"/>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7">
    <w:name w:val="--规划正文 Char1"/>
    <w:qFormat/>
    <w:uiPriority w:val="0"/>
    <w:rPr>
      <w:rFonts w:eastAsia="宋体"/>
      <w:kern w:val="2"/>
      <w:sz w:val="21"/>
      <w:lang w:val="en-US" w:eastAsia="zh-CN" w:bidi="ar-SA"/>
    </w:rPr>
  </w:style>
  <w:style w:type="paragraph" w:customStyle="1" w:styleId="128">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29">
    <w:name w:val="列表项目"/>
    <w:basedOn w:val="1"/>
    <w:qFormat/>
    <w:uiPriority w:val="0"/>
    <w:pPr>
      <w:tabs>
        <w:tab w:val="left" w:pos="420"/>
        <w:tab w:val="left" w:pos="1080"/>
      </w:tabs>
      <w:spacing w:line="288" w:lineRule="auto"/>
      <w:ind w:left="1080" w:hanging="360"/>
    </w:pPr>
    <w:rPr>
      <w:sz w:val="24"/>
      <w:szCs w:val="20"/>
    </w:rPr>
  </w:style>
  <w:style w:type="character" w:customStyle="1" w:styleId="130">
    <w:name w:val="content1"/>
    <w:qFormat/>
    <w:uiPriority w:val="0"/>
    <w:rPr>
      <w:rFonts w:hint="default" w:ascii="??" w:hAnsi="??"/>
      <w:sz w:val="16"/>
      <w:szCs w:val="16"/>
      <w:u w:val="none"/>
    </w:rPr>
  </w:style>
  <w:style w:type="character" w:customStyle="1" w:styleId="131">
    <w:name w:val="unnamed4"/>
    <w:basedOn w:val="44"/>
    <w:qFormat/>
    <w:uiPriority w:val="0"/>
  </w:style>
  <w:style w:type="character" w:customStyle="1" w:styleId="132">
    <w:name w:val="font2"/>
    <w:basedOn w:val="44"/>
    <w:qFormat/>
    <w:uiPriority w:val="0"/>
  </w:style>
  <w:style w:type="character" w:customStyle="1" w:styleId="133">
    <w:name w:val="font41"/>
    <w:qFormat/>
    <w:uiPriority w:val="0"/>
    <w:rPr>
      <w:color w:val="000000"/>
      <w:spacing w:val="260"/>
      <w:sz w:val="18"/>
      <w:szCs w:val="18"/>
      <w:u w:val="none"/>
    </w:rPr>
  </w:style>
  <w:style w:type="paragraph" w:customStyle="1" w:styleId="134">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5">
    <w:name w:val="xl72"/>
    <w:basedOn w:val="1"/>
    <w:qFormat/>
    <w:uiPriority w:val="0"/>
    <w:pPr>
      <w:widowControl/>
      <w:spacing w:before="100" w:beforeAutospacing="1" w:after="100" w:afterAutospacing="1"/>
      <w:jc w:val="left"/>
    </w:pPr>
    <w:rPr>
      <w:rFonts w:ascii="宋体" w:hAnsi="宋体"/>
      <w:b/>
      <w:bCs/>
      <w:kern w:val="0"/>
      <w:sz w:val="28"/>
      <w:szCs w:val="28"/>
    </w:rPr>
  </w:style>
  <w:style w:type="character" w:customStyle="1" w:styleId="136">
    <w:name w:val="正文文本首行缩进 字符"/>
    <w:link w:val="41"/>
    <w:qFormat/>
    <w:uiPriority w:val="0"/>
    <w:rPr>
      <w:rFonts w:eastAsia="宋体"/>
      <w:b/>
      <w:bCs/>
      <w:kern w:val="2"/>
      <w:sz w:val="21"/>
      <w:szCs w:val="24"/>
      <w:lang w:val="en-US" w:eastAsia="zh-CN" w:bidi="ar-SA"/>
    </w:rPr>
  </w:style>
  <w:style w:type="paragraph" w:customStyle="1" w:styleId="137">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38">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39">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40">
    <w:name w:val="mode"/>
    <w:basedOn w:val="44"/>
    <w:qFormat/>
    <w:uiPriority w:val="0"/>
  </w:style>
  <w:style w:type="paragraph" w:customStyle="1" w:styleId="141">
    <w:name w:val="9"/>
    <w:basedOn w:val="1"/>
    <w:next w:val="8"/>
    <w:qFormat/>
    <w:uiPriority w:val="0"/>
    <w:pPr>
      <w:autoSpaceDE w:val="0"/>
      <w:autoSpaceDN w:val="0"/>
      <w:adjustRightInd w:val="0"/>
      <w:ind w:firstLine="420"/>
      <w:jc w:val="left"/>
      <w:textAlignment w:val="baseline"/>
    </w:pPr>
    <w:rPr>
      <w:rFonts w:ascii="宋体"/>
      <w:kern w:val="0"/>
      <w:sz w:val="34"/>
      <w:szCs w:val="20"/>
    </w:rPr>
  </w:style>
  <w:style w:type="character" w:customStyle="1" w:styleId="142">
    <w:name w:val="unnamed3"/>
    <w:basedOn w:val="44"/>
    <w:qFormat/>
    <w:uiPriority w:val="0"/>
  </w:style>
  <w:style w:type="paragraph" w:customStyle="1" w:styleId="143">
    <w:name w:val="8"/>
    <w:basedOn w:val="1"/>
    <w:next w:val="19"/>
    <w:qFormat/>
    <w:uiPriority w:val="0"/>
    <w:pPr>
      <w:spacing w:after="120"/>
      <w:ind w:left="420" w:leftChars="200"/>
    </w:pPr>
  </w:style>
  <w:style w:type="paragraph" w:customStyle="1" w:styleId="144">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45">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46">
    <w:name w:val="5"/>
    <w:basedOn w:val="1"/>
    <w:qFormat/>
    <w:uiPriority w:val="0"/>
    <w:pPr>
      <w:autoSpaceDE w:val="0"/>
      <w:autoSpaceDN w:val="0"/>
      <w:adjustRightInd w:val="0"/>
      <w:jc w:val="left"/>
    </w:pPr>
    <w:rPr>
      <w:rFonts w:ascii="宋体"/>
      <w:b/>
      <w:bCs/>
      <w:kern w:val="0"/>
      <w:sz w:val="18"/>
      <w:szCs w:val="18"/>
    </w:rPr>
  </w:style>
  <w:style w:type="paragraph" w:customStyle="1" w:styleId="147">
    <w:name w:val="6"/>
    <w:basedOn w:val="146"/>
    <w:qFormat/>
    <w:uiPriority w:val="0"/>
    <w:pPr>
      <w:spacing w:line="270" w:lineRule="atLeast"/>
      <w:jc w:val="both"/>
    </w:pPr>
    <w:rPr>
      <w:b w:val="0"/>
      <w:bCs w:val="0"/>
    </w:rPr>
  </w:style>
  <w:style w:type="paragraph" w:customStyle="1" w:styleId="148">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49">
    <w:name w:val="姜文清定义的正文"/>
    <w:basedOn w:val="1"/>
    <w:qFormat/>
    <w:uiPriority w:val="0"/>
    <w:pPr>
      <w:spacing w:line="240" w:lineRule="atLeast"/>
      <w:ind w:firstLine="567"/>
    </w:pPr>
    <w:rPr>
      <w:szCs w:val="20"/>
    </w:rPr>
  </w:style>
  <w:style w:type="paragraph" w:customStyle="1" w:styleId="150">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51">
    <w:name w:val="CM2"/>
    <w:basedOn w:val="150"/>
    <w:next w:val="150"/>
    <w:qFormat/>
    <w:uiPriority w:val="0"/>
    <w:pPr>
      <w:spacing w:line="200" w:lineRule="atLeast"/>
    </w:pPr>
    <w:rPr>
      <w:rFonts w:ascii="Arial" w:hAnsi="Arial" w:eastAsia="宋体" w:cs="Times New Roman"/>
      <w:color w:val="auto"/>
    </w:rPr>
  </w:style>
  <w:style w:type="paragraph" w:customStyle="1" w:styleId="152">
    <w:name w:val="Normal Paragraph"/>
    <w:basedOn w:val="1"/>
    <w:qFormat/>
    <w:uiPriority w:val="0"/>
    <w:pPr>
      <w:widowControl/>
      <w:spacing w:before="120" w:line="360" w:lineRule="auto"/>
      <w:ind w:firstLine="425"/>
    </w:pPr>
    <w:rPr>
      <w:kern w:val="0"/>
      <w:sz w:val="24"/>
    </w:rPr>
  </w:style>
  <w:style w:type="character" w:customStyle="1" w:styleId="153">
    <w:name w:val="blue"/>
    <w:basedOn w:val="44"/>
    <w:qFormat/>
    <w:uiPriority w:val="0"/>
  </w:style>
  <w:style w:type="paragraph" w:customStyle="1" w:styleId="154">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155">
    <w:name w:val="font"/>
    <w:basedOn w:val="44"/>
    <w:qFormat/>
    <w:uiPriority w:val="0"/>
  </w:style>
  <w:style w:type="character" w:customStyle="1" w:styleId="156">
    <w:name w:val="font11"/>
    <w:qFormat/>
    <w:uiPriority w:val="0"/>
    <w:rPr>
      <w:rFonts w:hint="default" w:ascii="ˎ̥" w:hAnsi="ˎ̥"/>
    </w:rPr>
  </w:style>
  <w:style w:type="paragraph" w:customStyle="1" w:styleId="157">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58">
    <w:name w:val="proddescription"/>
    <w:basedOn w:val="44"/>
    <w:qFormat/>
    <w:uiPriority w:val="0"/>
  </w:style>
  <w:style w:type="character" w:customStyle="1" w:styleId="159">
    <w:name w:val="prodheadlines"/>
    <w:basedOn w:val="44"/>
    <w:qFormat/>
    <w:uiPriority w:val="0"/>
  </w:style>
  <w:style w:type="character" w:customStyle="1" w:styleId="160">
    <w:name w:val="text"/>
    <w:basedOn w:val="44"/>
    <w:qFormat/>
    <w:uiPriority w:val="0"/>
  </w:style>
  <w:style w:type="paragraph" w:customStyle="1" w:styleId="161">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2">
    <w:name w:val="z-窗体顶端1"/>
    <w:basedOn w:val="1"/>
    <w:next w:val="1"/>
    <w:hidden/>
    <w:qFormat/>
    <w:uiPriority w:val="0"/>
    <w:pPr>
      <w:widowControl/>
      <w:pBdr>
        <w:bottom w:val="single" w:color="auto" w:sz="6" w:space="1"/>
      </w:pBdr>
      <w:jc w:val="center"/>
    </w:pPr>
    <w:rPr>
      <w:rFonts w:ascii="Arial" w:hAnsi="Arial" w:cs="Arial"/>
      <w:vanish/>
      <w:kern w:val="0"/>
      <w:sz w:val="16"/>
      <w:szCs w:val="16"/>
    </w:rPr>
  </w:style>
  <w:style w:type="paragraph" w:customStyle="1" w:styleId="163">
    <w:name w:val="z-窗体底端1"/>
    <w:basedOn w:val="1"/>
    <w:next w:val="1"/>
    <w:hidden/>
    <w:qFormat/>
    <w:uiPriority w:val="0"/>
    <w:pPr>
      <w:widowControl/>
      <w:pBdr>
        <w:top w:val="single" w:color="auto" w:sz="6" w:space="1"/>
      </w:pBdr>
      <w:jc w:val="center"/>
    </w:pPr>
    <w:rPr>
      <w:rFonts w:ascii="Arial" w:hAnsi="Arial" w:cs="Arial"/>
      <w:vanish/>
      <w:kern w:val="0"/>
      <w:sz w:val="16"/>
      <w:szCs w:val="16"/>
    </w:rPr>
  </w:style>
  <w:style w:type="paragraph" w:customStyle="1" w:styleId="164">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5">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6">
    <w:name w:val="段落正文"/>
    <w:basedOn w:val="22"/>
    <w:qFormat/>
    <w:uiPriority w:val="0"/>
    <w:pPr>
      <w:ind w:firstLine="560" w:firstLineChars="200"/>
    </w:pPr>
    <w:rPr>
      <w:sz w:val="28"/>
    </w:rPr>
  </w:style>
  <w:style w:type="character" w:customStyle="1" w:styleId="167">
    <w:name w:val="gray6"/>
    <w:basedOn w:val="44"/>
    <w:qFormat/>
    <w:uiPriority w:val="0"/>
  </w:style>
  <w:style w:type="character" w:customStyle="1" w:styleId="168">
    <w:name w:val="style9"/>
    <w:basedOn w:val="44"/>
    <w:qFormat/>
    <w:uiPriority w:val="0"/>
  </w:style>
  <w:style w:type="paragraph" w:customStyle="1" w:styleId="169">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170">
    <w:name w:val="grame"/>
    <w:basedOn w:val="44"/>
    <w:qFormat/>
    <w:uiPriority w:val="0"/>
  </w:style>
  <w:style w:type="paragraph" w:customStyle="1" w:styleId="171">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2">
    <w:name w:val="Char1"/>
    <w:basedOn w:val="1"/>
    <w:qFormat/>
    <w:uiPriority w:val="0"/>
    <w:pPr>
      <w:jc w:val="left"/>
    </w:pPr>
    <w:rPr>
      <w:rFonts w:ascii="Tahoma" w:hAnsi="Tahoma"/>
      <w:sz w:val="24"/>
      <w:szCs w:val="20"/>
    </w:rPr>
  </w:style>
  <w:style w:type="paragraph" w:customStyle="1" w:styleId="173">
    <w:name w:val="编号1"/>
    <w:basedOn w:val="1"/>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4">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75">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76">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7">
    <w:name w:val="font6"/>
    <w:basedOn w:val="1"/>
    <w:qFormat/>
    <w:uiPriority w:val="0"/>
    <w:pPr>
      <w:widowControl/>
      <w:spacing w:before="100" w:beforeAutospacing="1" w:after="100" w:afterAutospacing="1"/>
      <w:jc w:val="left"/>
    </w:pPr>
    <w:rPr>
      <w:kern w:val="0"/>
      <w:sz w:val="24"/>
    </w:rPr>
  </w:style>
  <w:style w:type="paragraph" w:customStyle="1" w:styleId="17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7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0">
    <w:name w:val="表格字"/>
    <w:basedOn w:val="1"/>
    <w:qFormat/>
    <w:uiPriority w:val="0"/>
    <w:pPr>
      <w:adjustRightInd w:val="0"/>
      <w:jc w:val="center"/>
    </w:pPr>
    <w:rPr>
      <w:rFonts w:ascii="宋体"/>
      <w:sz w:val="24"/>
      <w:szCs w:val="20"/>
    </w:rPr>
  </w:style>
  <w:style w:type="character" w:customStyle="1" w:styleId="181">
    <w:name w:val="样式 小三 加粗"/>
    <w:qFormat/>
    <w:uiPriority w:val="0"/>
    <w:rPr>
      <w:rFonts w:eastAsia="宋体"/>
      <w:b/>
      <w:bCs/>
      <w:sz w:val="32"/>
    </w:rPr>
  </w:style>
  <w:style w:type="paragraph" w:customStyle="1" w:styleId="1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3">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4">
    <w:name w:val="Char Char Char"/>
    <w:basedOn w:val="1"/>
    <w:qFormat/>
    <w:uiPriority w:val="0"/>
    <w:rPr>
      <w:rFonts w:ascii="Tahoma" w:hAnsi="Tahoma"/>
      <w:sz w:val="24"/>
      <w:szCs w:val="20"/>
    </w:rPr>
  </w:style>
  <w:style w:type="paragraph" w:customStyle="1" w:styleId="185">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6">
    <w:name w:val="info4"/>
    <w:basedOn w:val="44"/>
    <w:qFormat/>
    <w:uiPriority w:val="0"/>
  </w:style>
  <w:style w:type="paragraph" w:customStyle="1" w:styleId="187">
    <w:name w:val="缩进正文"/>
    <w:basedOn w:val="1"/>
    <w:link w:val="188"/>
    <w:qFormat/>
    <w:uiPriority w:val="0"/>
    <w:pPr>
      <w:ind w:firstLine="560" w:firstLineChars="200"/>
    </w:pPr>
    <w:rPr>
      <w:rFonts w:eastAsia="仿宋_GB2312" w:cs="宋体"/>
      <w:sz w:val="28"/>
      <w:szCs w:val="20"/>
    </w:rPr>
  </w:style>
  <w:style w:type="character" w:customStyle="1" w:styleId="188">
    <w:name w:val="缩进正文 Char"/>
    <w:link w:val="187"/>
    <w:qFormat/>
    <w:uiPriority w:val="0"/>
    <w:rPr>
      <w:rFonts w:eastAsia="仿宋_GB2312" w:cs="宋体"/>
      <w:kern w:val="2"/>
      <w:sz w:val="28"/>
      <w:lang w:val="en-US" w:eastAsia="zh-CN" w:bidi="ar-SA"/>
    </w:rPr>
  </w:style>
  <w:style w:type="paragraph" w:customStyle="1" w:styleId="189">
    <w:name w:val="列出段落1"/>
    <w:basedOn w:val="1"/>
    <w:qFormat/>
    <w:uiPriority w:val="0"/>
    <w:pPr>
      <w:ind w:firstLine="420" w:firstLineChars="200"/>
    </w:pPr>
    <w:rPr>
      <w:rFonts w:ascii="Calibri" w:hAnsi="Calibri" w:cs="Calibri"/>
      <w:szCs w:val="21"/>
    </w:rPr>
  </w:style>
  <w:style w:type="character" w:customStyle="1" w:styleId="190">
    <w:name w:val="批注文字 字符"/>
    <w:basedOn w:val="44"/>
    <w:link w:val="17"/>
    <w:qFormat/>
    <w:uiPriority w:val="0"/>
    <w:rPr>
      <w:rFonts w:ascii="宋体"/>
      <w:sz w:val="34"/>
    </w:rPr>
  </w:style>
  <w:style w:type="character" w:customStyle="1" w:styleId="191">
    <w:name w:val="批注主题 字符"/>
    <w:basedOn w:val="190"/>
    <w:link w:val="40"/>
    <w:qFormat/>
    <w:uiPriority w:val="99"/>
    <w:rPr>
      <w:rFonts w:ascii="宋体"/>
      <w:sz w:val="34"/>
    </w:rPr>
  </w:style>
  <w:style w:type="paragraph" w:customStyle="1" w:styleId="192">
    <w:name w:val="评价"/>
    <w:basedOn w:val="1"/>
    <w:qFormat/>
    <w:uiPriority w:val="0"/>
    <w:pPr>
      <w:spacing w:afterLines="20"/>
      <w:ind w:firstLine="1446" w:firstLineChars="200"/>
    </w:pPr>
    <w:rPr>
      <w:rFonts w:ascii="Calibri" w:hAnsi="Calibri"/>
      <w:sz w:val="24"/>
    </w:rPr>
  </w:style>
  <w:style w:type="paragraph" w:customStyle="1" w:styleId="19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94">
    <w:name w:val="alt-edited1"/>
    <w:qFormat/>
    <w:uiPriority w:val="0"/>
    <w:rPr>
      <w:color w:val="4D90F0"/>
    </w:rPr>
  </w:style>
  <w:style w:type="character" w:customStyle="1" w:styleId="195">
    <w:name w:val="body text Char1"/>
    <w:qFormat/>
    <w:uiPriority w:val="0"/>
    <w:rPr>
      <w:rFonts w:eastAsia="宋体"/>
      <w:kern w:val="2"/>
      <w:sz w:val="21"/>
      <w:lang w:val="en-US" w:eastAsia="zh-CN" w:bidi="ar-SA"/>
    </w:rPr>
  </w:style>
  <w:style w:type="character" w:customStyle="1" w:styleId="196">
    <w:name w:val="普通(网站) 字符"/>
    <w:link w:val="37"/>
    <w:qFormat/>
    <w:uiPriority w:val="0"/>
    <w:rPr>
      <w:kern w:val="2"/>
      <w:sz w:val="24"/>
      <w:szCs w:val="24"/>
    </w:rPr>
  </w:style>
  <w:style w:type="character" w:customStyle="1" w:styleId="197">
    <w:name w:val="批注文字 Char1"/>
    <w:qFormat/>
    <w:uiPriority w:val="99"/>
    <w:rPr>
      <w:rFonts w:ascii="宋体"/>
      <w:sz w:val="34"/>
    </w:rPr>
  </w:style>
  <w:style w:type="character" w:customStyle="1" w:styleId="198">
    <w:name w:val="正文缩进 Char1"/>
    <w:qFormat/>
    <w:uiPriority w:val="0"/>
    <w:rPr>
      <w:rFonts w:eastAsia="宋体"/>
      <w:kern w:val="2"/>
      <w:sz w:val="21"/>
      <w:lang w:val="en-US" w:eastAsia="zh-CN" w:bidi="ar-SA"/>
    </w:rPr>
  </w:style>
  <w:style w:type="character" w:customStyle="1" w:styleId="199">
    <w:name w:val="layui-this"/>
    <w:basedOn w:val="44"/>
    <w:qFormat/>
    <w:uiPriority w:val="0"/>
    <w:rPr>
      <w:bdr w:val="single" w:color="EEEEEE" w:sz="4" w:space="0"/>
      <w:shd w:val="clear" w:color="auto" w:fill="FFFFFF"/>
    </w:rPr>
  </w:style>
  <w:style w:type="character" w:customStyle="1" w:styleId="200">
    <w:name w:val="first-child"/>
    <w:basedOn w:val="44"/>
    <w:qFormat/>
    <w:uiPriority w:val="0"/>
  </w:style>
  <w:style w:type="paragraph" w:customStyle="1" w:styleId="201">
    <w:name w:val="修订2"/>
    <w:hidden/>
    <w:semiHidden/>
    <w:qFormat/>
    <w:uiPriority w:val="99"/>
    <w:rPr>
      <w:rFonts w:ascii="Times New Roman" w:hAnsi="Times New Roman" w:eastAsia="宋体" w:cs="Times New Roman"/>
      <w:kern w:val="2"/>
      <w:sz w:val="21"/>
      <w:szCs w:val="24"/>
      <w:lang w:val="en-US" w:eastAsia="zh-CN" w:bidi="ar-SA"/>
    </w:rPr>
  </w:style>
  <w:style w:type="table" w:customStyle="1" w:styleId="202">
    <w:name w:val="网格型1"/>
    <w:basedOn w:val="42"/>
    <w:qFormat/>
    <w:uiPriority w:val="0"/>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03">
    <w:name w:val="font51"/>
    <w:basedOn w:val="44"/>
    <w:qFormat/>
    <w:uiPriority w:val="0"/>
    <w:rPr>
      <w:rFonts w:hint="eastAsia" w:ascii="仿宋" w:hAnsi="仿宋" w:eastAsia="仿宋" w:cs="仿宋"/>
      <w:color w:val="0000FF"/>
      <w:sz w:val="21"/>
      <w:szCs w:val="21"/>
      <w:u w:val="single"/>
    </w:rPr>
  </w:style>
  <w:style w:type="character" w:customStyle="1" w:styleId="204">
    <w:name w:val="font01"/>
    <w:basedOn w:val="44"/>
    <w:qFormat/>
    <w:uiPriority w:val="0"/>
    <w:rPr>
      <w:rFonts w:hint="eastAsia" w:ascii="仿宋" w:hAnsi="仿宋" w:eastAsia="仿宋" w:cs="仿宋"/>
      <w:color w:val="0000FF"/>
      <w:sz w:val="21"/>
      <w:szCs w:val="21"/>
      <w:u w:val="none"/>
    </w:rPr>
  </w:style>
  <w:style w:type="character" w:customStyle="1" w:styleId="205">
    <w:name w:val="font61"/>
    <w:basedOn w:val="44"/>
    <w:qFormat/>
    <w:uiPriority w:val="0"/>
    <w:rPr>
      <w:rFonts w:hint="eastAsia" w:ascii="仿宋" w:hAnsi="仿宋" w:eastAsia="仿宋" w:cs="仿宋"/>
      <w:color w:val="000000"/>
      <w:sz w:val="21"/>
      <w:szCs w:val="21"/>
      <w:u w:val="none"/>
    </w:rPr>
  </w:style>
  <w:style w:type="character" w:customStyle="1" w:styleId="206">
    <w:name w:val="font21"/>
    <w:basedOn w:val="44"/>
    <w:qFormat/>
    <w:uiPriority w:val="0"/>
    <w:rPr>
      <w:rFonts w:hint="eastAsia" w:ascii="仿宋_GB2312" w:eastAsia="仿宋_GB2312" w:cs="仿宋_GB2312"/>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292A2-44D4-4866-B7C3-B84112E4B6E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78</Pages>
  <Words>63729</Words>
  <Characters>66735</Characters>
  <Lines>339</Lines>
  <Paragraphs>95</Paragraphs>
  <TotalTime>0</TotalTime>
  <ScaleCrop>false</ScaleCrop>
  <LinksUpToDate>false</LinksUpToDate>
  <CharactersWithSpaces>72897</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2024-06-27T01:45:00Z</dcterms:created>
  <dc:creator>thsware</dc:creator>
  <cp:lastModifiedBy>张泓</cp:lastModifiedBy>
  <cp:lastPrinted>2021-05-09T08:02:00Z</cp:lastPrinted>
  <dcterms:modified xsi:type="dcterms:W3CDTF">2025-04-01T08:07:33Z</dcterms:modified>
  <dc:title>招  标　文　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394F47D73D6D4A639862EAF1EF7E0B56_13</vt:lpwstr>
  </property>
</Properties>
</file>