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pPr>
        <w:pStyle w:val="2"/>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pPr>
        <w:pStyle w:val="16"/>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8"/>
        <w:tblW w:w="7943" w:type="dxa"/>
        <w:jc w:val="center"/>
        <w:tblCellSpacing w:w="0" w:type="dxa"/>
        <w:tblLayout w:type="fixed"/>
        <w:tblCellMar>
          <w:top w:w="45" w:type="dxa"/>
          <w:left w:w="45" w:type="dxa"/>
          <w:bottom w:w="45" w:type="dxa"/>
          <w:right w:w="45" w:type="dxa"/>
        </w:tblCellMar>
      </w:tblPr>
      <w:tblGrid>
        <w:gridCol w:w="2723"/>
        <w:gridCol w:w="5220"/>
      </w:tblGrid>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pPr>
              <w:rPr>
                <w:rFonts w:hint="eastAsia" w:eastAsiaTheme="minorEastAsia"/>
                <w:sz w:val="30"/>
                <w:szCs w:val="30"/>
                <w:lang w:eastAsia="zh-CN"/>
              </w:rPr>
            </w:pPr>
            <w:r>
              <w:rPr>
                <w:rFonts w:hint="eastAsia" w:ascii="宋体" w:hAnsi="宋体"/>
                <w:sz w:val="30"/>
                <w:szCs w:val="30"/>
                <w:lang w:eastAsia="zh-CN"/>
              </w:rPr>
              <w:t>BAZXCG-2025-00137</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pPr>
              <w:rPr>
                <w:rFonts w:hint="eastAsia" w:eastAsiaTheme="minorEastAsia"/>
                <w:sz w:val="30"/>
                <w:szCs w:val="30"/>
                <w:lang w:eastAsia="zh-CN"/>
              </w:rPr>
            </w:pPr>
            <w:r>
              <w:rPr>
                <w:rFonts w:hint="eastAsia" w:ascii="宋体" w:hAnsi="宋体"/>
                <w:sz w:val="30"/>
                <w:szCs w:val="30"/>
                <w:lang w:eastAsia="zh-CN"/>
              </w:rPr>
              <w:t>深圳市宝安区松岗街道中心幼儿园（璟城一幼）2025年度班组设备采购</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A</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货物类</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公开招标</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人民币</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综合评分法</w:t>
            </w:r>
          </w:p>
        </w:tc>
      </w:tr>
      <w:bookmarkEnd w:id="0"/>
    </w:tbl>
    <w:p>
      <w:pPr>
        <w:pStyle w:val="16"/>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pPr>
        <w:pStyle w:val="16"/>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pPr>
        <w:pStyle w:val="16"/>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lang w:val="en-US" w:eastAsia="zh-CN"/>
              </w:rPr>
              <w:t>不得</w:t>
            </w:r>
            <w:r>
              <w:rPr>
                <w:rFonts w:hint="eastAsia"/>
              </w:rPr>
              <w:t>将一个包的内容拆开投标；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投标文件存在列放位置错误，导致属于信息公开情形的没有被公开；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投标文件用不属于本公司的电子密钥或电子营业执照进行加密的；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法律、法规、规章、规范性文件规定的其他情形。</w:t>
            </w:r>
          </w:p>
        </w:tc>
      </w:tr>
    </w:tbl>
    <w:p>
      <w:pPr>
        <w:pStyle w:val="16"/>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pPr>
        <w:pStyle w:val="16"/>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18"/>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9078"/>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tblCellSpacing w:w="0" w:type="dxa"/>
          <w:jc w:val="center"/>
        </w:trPr>
        <w:tc>
          <w:tcPr>
            <w:tcW w:w="9078" w:type="dxa"/>
            <w:shd w:val="clear" w:color="auto" w:fill="auto"/>
            <w:vAlign w:val="center"/>
          </w:tcPr>
          <w:p>
            <w:pPr>
              <w:jc w:val="left"/>
              <w:rPr>
                <w:rFonts w:ascii="宋体"/>
                <w:b/>
                <w:bCs/>
                <w:sz w:val="24"/>
              </w:rPr>
            </w:pPr>
            <w:r>
              <w:rPr>
                <w:b/>
                <w:bCs/>
              </w:rPr>
              <w:t>评标方法：综合评分法</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tblCellSpacing w:w="0" w:type="dxa"/>
          <w:jc w:val="center"/>
        </w:trPr>
        <w:tc>
          <w:tcPr>
            <w:tcW w:w="9078" w:type="dxa"/>
            <w:shd w:val="clear" w:color="auto" w:fill="auto"/>
            <w:vAlign w:val="center"/>
          </w:tcPr>
          <w:p>
            <w:pPr>
              <w:pStyle w:val="8"/>
              <w:rPr>
                <w:sz w:val="21"/>
                <w:szCs w:val="21"/>
              </w:rPr>
            </w:pP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综合评分法，是指投标文件满足招标文件全部实质性要求，且按照评审因素的量化指标评审得分最高的投标人为中标候选人的评标方法。</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pPr>
              <w:pStyle w:val="16"/>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b/>
                <w:bCs/>
                <w:color w:val="FF0000"/>
                <w:sz w:val="21"/>
                <w:szCs w:val="21"/>
              </w:rPr>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p>
            <w:pPr>
              <w:pStyle w:val="16"/>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b/>
                <w:bCs/>
                <w:color w:val="FF0000"/>
                <w:sz w:val="21"/>
                <w:szCs w:val="21"/>
              </w:rPr>
            </w:pPr>
          </w:p>
          <w:p>
            <w:pPr>
              <w:pStyle w:val="16"/>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b/>
                <w:bCs/>
                <w:color w:val="FF0000"/>
                <w:sz w:val="21"/>
                <w:szCs w:val="21"/>
              </w:rPr>
            </w:pPr>
          </w:p>
          <w:p>
            <w:pPr>
              <w:pStyle w:val="16"/>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b/>
                <w:bCs/>
                <w:color w:val="FF0000"/>
                <w:sz w:val="21"/>
                <w:szCs w:val="21"/>
              </w:rPr>
            </w:pPr>
          </w:p>
        </w:tc>
      </w:tr>
    </w:tbl>
    <w:p/>
    <w:p>
      <w:pPr>
        <w:pStyle w:val="2"/>
      </w:pPr>
    </w:p>
    <w:tbl>
      <w:tblPr>
        <w:tblStyle w:val="18"/>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Layout w:type="autofit"/>
        <w:tblCellMar>
          <w:top w:w="20" w:type="dxa"/>
          <w:left w:w="108" w:type="dxa"/>
          <w:bottom w:w="20" w:type="dxa"/>
          <w:right w:w="108" w:type="dxa"/>
        </w:tblCellMar>
      </w:tblPr>
      <w:tblGrid>
        <w:gridCol w:w="700"/>
        <w:gridCol w:w="660"/>
        <w:gridCol w:w="1793"/>
        <w:gridCol w:w="1100"/>
        <w:gridCol w:w="481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jc w:val="center"/>
        </w:trPr>
        <w:tc>
          <w:tcPr>
            <w:tcW w:w="700" w:type="dxa"/>
            <w:tcBorders>
              <w:top w:val="single" w:color="000000" w:sz="8" w:space="0"/>
              <w:left w:val="single" w:color="000000" w:sz="8" w:space="0"/>
              <w:bottom w:val="single" w:color="000000" w:sz="8" w:space="0"/>
              <w:right w:val="single" w:color="000000" w:sz="8" w:space="0"/>
            </w:tcBorders>
            <w:shd w:val="clear" w:color="auto" w:fill="C6D9F0"/>
            <w:vAlign w:val="center"/>
          </w:tcPr>
          <w:p>
            <w:pPr>
              <w:snapToGrid w:val="0"/>
              <w:spacing w:line="320" w:lineRule="exact"/>
              <w:jc w:val="center"/>
              <w:rPr>
                <w:rFonts w:ascii="宋体" w:hAnsi="宋体" w:eastAsia="宋体" w:cs="宋体"/>
                <w:b/>
                <w:bCs/>
                <w:szCs w:val="21"/>
              </w:rPr>
            </w:pPr>
            <w:r>
              <w:rPr>
                <w:rFonts w:hint="eastAsia" w:ascii="宋体" w:hAnsi="宋体" w:eastAsia="宋体" w:cs="宋体"/>
                <w:b/>
                <w:bCs/>
                <w:szCs w:val="21"/>
              </w:rPr>
              <w:t>序号</w:t>
            </w:r>
          </w:p>
        </w:tc>
        <w:tc>
          <w:tcPr>
            <w:tcW w:w="3553" w:type="dxa"/>
            <w:gridSpan w:val="3"/>
            <w:tcBorders>
              <w:top w:val="single" w:color="000000" w:sz="8" w:space="0"/>
              <w:left w:val="single" w:color="000000" w:sz="8" w:space="0"/>
              <w:bottom w:val="single" w:color="000000" w:sz="8" w:space="0"/>
              <w:right w:val="single" w:color="000000" w:sz="8" w:space="0"/>
            </w:tcBorders>
            <w:shd w:val="clear" w:color="auto" w:fill="C6D9F0"/>
            <w:vAlign w:val="center"/>
          </w:tcPr>
          <w:p>
            <w:pPr>
              <w:snapToGrid w:val="0"/>
              <w:spacing w:line="320" w:lineRule="exact"/>
              <w:jc w:val="center"/>
              <w:rPr>
                <w:rFonts w:ascii="宋体" w:hAnsi="宋体" w:eastAsia="宋体" w:cs="宋体"/>
                <w:b/>
                <w:bCs/>
                <w:szCs w:val="21"/>
              </w:rPr>
            </w:pPr>
            <w:r>
              <w:rPr>
                <w:rFonts w:hint="eastAsia" w:ascii="宋体" w:hAnsi="宋体" w:eastAsia="宋体" w:cs="宋体"/>
                <w:b/>
                <w:bCs/>
                <w:szCs w:val="21"/>
              </w:rPr>
              <w:t>评分项</w:t>
            </w:r>
          </w:p>
        </w:tc>
        <w:tc>
          <w:tcPr>
            <w:tcW w:w="4819" w:type="dxa"/>
            <w:tcBorders>
              <w:top w:val="single" w:color="000000" w:sz="8" w:space="0"/>
              <w:left w:val="single" w:color="000000" w:sz="8" w:space="0"/>
              <w:bottom w:val="single" w:color="000000" w:sz="8" w:space="0"/>
              <w:right w:val="single" w:color="000000" w:sz="8" w:space="0"/>
            </w:tcBorders>
            <w:shd w:val="clear" w:color="auto" w:fill="C6D9F0"/>
            <w:vAlign w:val="center"/>
          </w:tcPr>
          <w:p>
            <w:pPr>
              <w:snapToGrid w:val="0"/>
              <w:spacing w:line="320" w:lineRule="exact"/>
              <w:jc w:val="center"/>
              <w:rPr>
                <w:rFonts w:ascii="宋体" w:hAnsi="宋体" w:eastAsia="宋体" w:cs="宋体"/>
                <w:b/>
                <w:bCs/>
                <w:szCs w:val="21"/>
              </w:rPr>
            </w:pPr>
            <w:r>
              <w:rPr>
                <w:rFonts w:hint="eastAsia" w:ascii="宋体" w:hAnsi="宋体" w:eastAsia="宋体" w:cs="宋体"/>
                <w:b/>
                <w:bCs/>
                <w:szCs w:val="21"/>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jc w:val="center"/>
        </w:trPr>
        <w:tc>
          <w:tcPr>
            <w:tcW w:w="700" w:type="dxa"/>
            <w:tcBorders>
              <w:top w:val="single" w:color="000000" w:sz="8" w:space="0"/>
              <w:left w:val="single" w:color="000000" w:sz="8" w:space="0"/>
              <w:bottom w:val="single" w:color="000000" w:sz="8" w:space="0"/>
              <w:right w:val="single" w:color="000000" w:sz="8" w:space="0"/>
            </w:tcBorders>
            <w:shd w:val="clear" w:color="auto" w:fill="FFFFFF"/>
          </w:tcPr>
          <w:p>
            <w:pPr>
              <w:snapToGrid w:val="0"/>
              <w:spacing w:line="320" w:lineRule="exact"/>
              <w:jc w:val="center"/>
              <w:rPr>
                <w:rFonts w:ascii="宋体" w:hAnsi="宋体" w:eastAsia="宋体" w:cs="宋体"/>
                <w:b/>
                <w:bCs/>
                <w:szCs w:val="21"/>
              </w:rPr>
            </w:pPr>
            <w:r>
              <w:rPr>
                <w:rFonts w:hint="eastAsia" w:ascii="宋体" w:hAnsi="宋体" w:eastAsia="宋体" w:cs="宋体"/>
                <w:b/>
                <w:bCs/>
                <w:szCs w:val="21"/>
              </w:rPr>
              <w:t>1</w:t>
            </w:r>
          </w:p>
        </w:tc>
        <w:tc>
          <w:tcPr>
            <w:tcW w:w="3553" w:type="dxa"/>
            <w:gridSpan w:val="3"/>
            <w:tcBorders>
              <w:top w:val="single" w:color="000000" w:sz="8" w:space="0"/>
              <w:left w:val="single" w:color="000000" w:sz="8" w:space="0"/>
              <w:bottom w:val="single" w:color="000000" w:sz="8" w:space="0"/>
              <w:right w:val="single" w:color="000000" w:sz="8" w:space="0"/>
            </w:tcBorders>
            <w:shd w:val="clear" w:color="auto" w:fill="FFFFFF"/>
          </w:tcPr>
          <w:p>
            <w:pPr>
              <w:snapToGrid w:val="0"/>
              <w:spacing w:line="320" w:lineRule="exact"/>
              <w:jc w:val="center"/>
              <w:rPr>
                <w:rFonts w:ascii="宋体" w:hAnsi="宋体" w:eastAsia="宋体" w:cs="宋体"/>
                <w:b/>
                <w:bCs/>
                <w:szCs w:val="21"/>
              </w:rPr>
            </w:pPr>
            <w:r>
              <w:rPr>
                <w:rFonts w:hint="eastAsia" w:ascii="宋体" w:hAnsi="宋体" w:eastAsia="宋体" w:cs="宋体"/>
                <w:b/>
                <w:bCs/>
                <w:szCs w:val="21"/>
              </w:rPr>
              <w:t>价格</w:t>
            </w:r>
          </w:p>
        </w:tc>
        <w:tc>
          <w:tcPr>
            <w:tcW w:w="4819" w:type="dxa"/>
            <w:tcBorders>
              <w:top w:val="single" w:color="000000" w:sz="8" w:space="0"/>
              <w:left w:val="single" w:color="000000" w:sz="8" w:space="0"/>
              <w:bottom w:val="single" w:color="000000" w:sz="8" w:space="0"/>
              <w:right w:val="single" w:color="000000" w:sz="8" w:space="0"/>
            </w:tcBorders>
            <w:shd w:val="clear" w:color="auto" w:fill="FFFFFF"/>
          </w:tcPr>
          <w:p>
            <w:pPr>
              <w:snapToGrid w:val="0"/>
              <w:spacing w:line="320" w:lineRule="exact"/>
              <w:jc w:val="center"/>
              <w:rPr>
                <w:rFonts w:ascii="宋体" w:hAnsi="宋体" w:eastAsia="宋体" w:cs="宋体"/>
                <w:b/>
                <w:bCs/>
                <w:szCs w:val="21"/>
              </w:rPr>
            </w:pPr>
            <w:r>
              <w:rPr>
                <w:rFonts w:hint="eastAsia" w:ascii="宋体" w:hAnsi="宋体" w:eastAsia="宋体" w:cs="宋体"/>
                <w:b/>
                <w:bCs/>
                <w:szCs w:val="21"/>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jc w:val="center"/>
        </w:trPr>
        <w:tc>
          <w:tcPr>
            <w:tcW w:w="700" w:type="dxa"/>
            <w:vMerge w:val="restart"/>
            <w:tcBorders>
              <w:top w:val="single" w:color="000000" w:sz="8" w:space="0"/>
              <w:left w:val="single" w:color="000000" w:sz="8" w:space="0"/>
              <w:bottom w:val="single" w:color="000000" w:sz="8" w:space="0"/>
              <w:right w:val="single" w:color="000000" w:sz="8" w:space="0"/>
            </w:tcBorders>
            <w:shd w:val="clear" w:color="auto" w:fill="FFFFFF"/>
          </w:tcPr>
          <w:p>
            <w:pPr>
              <w:snapToGrid w:val="0"/>
              <w:spacing w:line="320" w:lineRule="exact"/>
              <w:jc w:val="center"/>
              <w:rPr>
                <w:rFonts w:ascii="宋体" w:hAnsi="宋体" w:eastAsia="宋体" w:cs="宋体"/>
                <w:b/>
                <w:bCs/>
                <w:szCs w:val="21"/>
              </w:rPr>
            </w:pPr>
            <w:r>
              <w:rPr>
                <w:rFonts w:hint="eastAsia" w:ascii="宋体" w:hAnsi="宋体" w:eastAsia="宋体" w:cs="宋体"/>
                <w:b/>
                <w:bCs/>
                <w:szCs w:val="21"/>
              </w:rPr>
              <w:t>2</w:t>
            </w:r>
          </w:p>
        </w:tc>
        <w:tc>
          <w:tcPr>
            <w:tcW w:w="3553" w:type="dxa"/>
            <w:gridSpan w:val="3"/>
            <w:tcBorders>
              <w:top w:val="single" w:color="000000" w:sz="8" w:space="0"/>
              <w:left w:val="single" w:color="000000" w:sz="8" w:space="0"/>
              <w:bottom w:val="single" w:color="000000" w:sz="8" w:space="0"/>
              <w:right w:val="single" w:color="000000" w:sz="8" w:space="0"/>
            </w:tcBorders>
            <w:shd w:val="clear" w:color="auto" w:fill="FFFFFF"/>
          </w:tcPr>
          <w:p>
            <w:pPr>
              <w:snapToGrid w:val="0"/>
              <w:spacing w:line="320" w:lineRule="exact"/>
              <w:jc w:val="center"/>
              <w:rPr>
                <w:rFonts w:ascii="宋体" w:hAnsi="宋体" w:eastAsia="宋体" w:cs="宋体"/>
                <w:b/>
                <w:bCs/>
                <w:szCs w:val="21"/>
              </w:rPr>
            </w:pPr>
            <w:r>
              <w:rPr>
                <w:rFonts w:hint="eastAsia" w:ascii="宋体" w:hAnsi="宋体" w:eastAsia="宋体" w:cs="宋体"/>
                <w:b/>
                <w:bCs/>
                <w:szCs w:val="21"/>
              </w:rPr>
              <w:t>技术部分</w:t>
            </w:r>
          </w:p>
        </w:tc>
        <w:tc>
          <w:tcPr>
            <w:tcW w:w="4819" w:type="dxa"/>
            <w:tcBorders>
              <w:top w:val="single" w:color="000000" w:sz="8" w:space="0"/>
              <w:left w:val="single" w:color="000000" w:sz="8" w:space="0"/>
              <w:bottom w:val="single" w:color="000000" w:sz="8" w:space="0"/>
              <w:right w:val="single" w:color="000000" w:sz="8" w:space="0"/>
            </w:tcBorders>
            <w:shd w:val="clear" w:color="auto" w:fill="FFFFFF"/>
          </w:tcPr>
          <w:p>
            <w:pPr>
              <w:snapToGrid w:val="0"/>
              <w:spacing w:line="320" w:lineRule="exact"/>
              <w:jc w:val="center"/>
              <w:rPr>
                <w:rFonts w:hint="eastAsia" w:ascii="宋体" w:hAnsi="宋体" w:eastAsia="宋体" w:cs="宋体"/>
                <w:b/>
                <w:bCs/>
                <w:szCs w:val="21"/>
                <w:lang w:val="en-US" w:eastAsia="zh-CN"/>
              </w:rPr>
            </w:pPr>
            <w:r>
              <w:rPr>
                <w:rFonts w:ascii="宋体" w:hAnsi="宋体" w:eastAsia="宋体" w:cs="宋体"/>
                <w:b/>
                <w:bCs/>
                <w:szCs w:val="21"/>
              </w:rPr>
              <w:t>6</w:t>
            </w:r>
            <w:r>
              <w:rPr>
                <w:rFonts w:hint="eastAsia" w:ascii="宋体" w:hAnsi="宋体" w:eastAsia="宋体" w:cs="宋体"/>
                <w:b/>
                <w:bCs/>
                <w:szCs w:val="21"/>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jc w:val="center"/>
        </w:trPr>
        <w:tc>
          <w:tcPr>
            <w:tcW w:w="700"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line="320" w:lineRule="exact"/>
              <w:rPr>
                <w:rFonts w:ascii="宋体" w:hAnsi="宋体" w:eastAsia="宋体" w:cs="宋体"/>
                <w:b/>
                <w:bCs/>
                <w:szCs w:val="21"/>
              </w:rPr>
            </w:pPr>
          </w:p>
        </w:tc>
        <w:tc>
          <w:tcPr>
            <w:tcW w:w="66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napToGrid w:val="0"/>
              <w:spacing w:line="320" w:lineRule="exact"/>
              <w:jc w:val="center"/>
              <w:rPr>
                <w:rFonts w:ascii="宋体" w:hAnsi="宋体" w:eastAsia="宋体" w:cs="宋体"/>
                <w:b/>
                <w:bCs/>
                <w:szCs w:val="21"/>
              </w:rPr>
            </w:pPr>
            <w:r>
              <w:rPr>
                <w:rFonts w:hint="eastAsia" w:ascii="宋体" w:hAnsi="宋体" w:eastAsia="宋体" w:cs="宋体"/>
                <w:b/>
                <w:bCs/>
                <w:szCs w:val="21"/>
              </w:rPr>
              <w:t>序号</w:t>
            </w:r>
          </w:p>
        </w:tc>
        <w:tc>
          <w:tcPr>
            <w:tcW w:w="179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napToGrid w:val="0"/>
              <w:spacing w:line="320" w:lineRule="exact"/>
              <w:jc w:val="center"/>
              <w:rPr>
                <w:rFonts w:ascii="宋体" w:hAnsi="宋体" w:eastAsia="宋体" w:cs="宋体"/>
                <w:b/>
                <w:bCs/>
                <w:szCs w:val="21"/>
              </w:rPr>
            </w:pPr>
            <w:r>
              <w:rPr>
                <w:rFonts w:hint="eastAsia" w:ascii="宋体" w:hAnsi="宋体" w:eastAsia="宋体" w:cs="宋体"/>
                <w:b/>
                <w:bCs/>
                <w:szCs w:val="21"/>
              </w:rPr>
              <w:t>评分因素</w:t>
            </w:r>
          </w:p>
        </w:tc>
        <w:tc>
          <w:tcPr>
            <w:tcW w:w="110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napToGrid w:val="0"/>
              <w:spacing w:line="320" w:lineRule="exact"/>
              <w:jc w:val="center"/>
              <w:rPr>
                <w:rFonts w:ascii="宋体" w:hAnsi="宋体" w:eastAsia="宋体" w:cs="宋体"/>
                <w:b/>
                <w:bCs/>
                <w:szCs w:val="21"/>
              </w:rPr>
            </w:pPr>
            <w:r>
              <w:rPr>
                <w:rFonts w:hint="eastAsia" w:ascii="宋体" w:hAnsi="宋体" w:eastAsia="宋体" w:cs="宋体"/>
                <w:b/>
                <w:bCs/>
                <w:szCs w:val="21"/>
              </w:rPr>
              <w:t>权重（%）</w:t>
            </w:r>
          </w:p>
        </w:tc>
        <w:tc>
          <w:tcPr>
            <w:tcW w:w="4819" w:type="dxa"/>
            <w:tcBorders>
              <w:top w:val="outset" w:color="000000" w:sz="6" w:space="0"/>
              <w:left w:val="outset" w:color="000000" w:sz="6" w:space="0"/>
              <w:bottom w:val="outset" w:color="000000" w:sz="6" w:space="0"/>
              <w:right w:val="outset" w:color="000000" w:sz="6" w:space="0"/>
            </w:tcBorders>
            <w:shd w:val="clear" w:color="auto" w:fill="FFFFFF"/>
            <w:vAlign w:val="center"/>
          </w:tcPr>
          <w:p>
            <w:pPr>
              <w:snapToGrid w:val="0"/>
              <w:spacing w:line="320" w:lineRule="exact"/>
              <w:jc w:val="center"/>
              <w:rPr>
                <w:rFonts w:ascii="宋体" w:hAnsi="宋体" w:eastAsia="宋体" w:cs="宋体"/>
                <w:b/>
                <w:bCs/>
                <w:szCs w:val="21"/>
              </w:rPr>
            </w:pPr>
            <w:r>
              <w:rPr>
                <w:rFonts w:hint="eastAsia" w:ascii="宋体" w:hAnsi="宋体" w:eastAsia="宋体" w:cs="宋体"/>
                <w:b/>
                <w:bCs/>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jc w:val="center"/>
        </w:trPr>
        <w:tc>
          <w:tcPr>
            <w:tcW w:w="700"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line="320" w:lineRule="exact"/>
              <w:rPr>
                <w:rFonts w:ascii="宋体" w:hAnsi="宋体" w:eastAsia="宋体" w:cs="宋体"/>
                <w:b/>
                <w:bCs/>
                <w:szCs w:val="21"/>
              </w:rPr>
            </w:pPr>
          </w:p>
        </w:tc>
        <w:tc>
          <w:tcPr>
            <w:tcW w:w="66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line="320" w:lineRule="exact"/>
              <w:jc w:val="center"/>
              <w:rPr>
                <w:rFonts w:ascii="宋体" w:hAnsi="宋体" w:eastAsia="宋体" w:cs="宋体"/>
                <w:szCs w:val="21"/>
              </w:rPr>
            </w:pPr>
            <w:r>
              <w:rPr>
                <w:rFonts w:hint="eastAsia" w:ascii="宋体" w:hAnsi="宋体" w:eastAsia="宋体" w:cs="宋体"/>
                <w:szCs w:val="21"/>
              </w:rPr>
              <w:t>1</w:t>
            </w:r>
          </w:p>
        </w:tc>
        <w:tc>
          <w:tcPr>
            <w:tcW w:w="179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80" w:lineRule="exact"/>
              <w:jc w:val="center"/>
              <w:rPr>
                <w:rFonts w:ascii="Arial" w:hAnsi="Arial" w:eastAsia="宋体" w:cs="Times New Roman"/>
                <w:b/>
                <w:szCs w:val="21"/>
                <w:highlight w:val="green"/>
              </w:rPr>
            </w:pPr>
            <w:r>
              <w:rPr>
                <w:rFonts w:ascii="宋体" w:hAnsi="宋体" w:eastAsia="宋体" w:cs="宋体"/>
                <w:bCs/>
                <w:szCs w:val="21"/>
              </w:rPr>
              <w:t>“</w:t>
            </w:r>
            <w:r>
              <w:rPr>
                <w:rFonts w:hint="eastAsia" w:ascii="宋体" w:hAnsi="宋体" w:eastAsia="宋体" w:cs="宋体"/>
                <w:bCs/>
                <w:szCs w:val="21"/>
              </w:rPr>
              <w:t>▲</w:t>
            </w:r>
            <w:r>
              <w:rPr>
                <w:rFonts w:ascii="宋体" w:hAnsi="宋体" w:eastAsia="宋体" w:cs="宋体"/>
                <w:bCs/>
                <w:szCs w:val="21"/>
              </w:rPr>
              <w:t>”</w:t>
            </w:r>
            <w:r>
              <w:rPr>
                <w:rFonts w:hint="eastAsia" w:ascii="宋体" w:hAnsi="宋体" w:eastAsia="宋体" w:cs="宋体"/>
                <w:bCs/>
                <w:szCs w:val="21"/>
              </w:rPr>
              <w:t>参数响应情况评价</w:t>
            </w:r>
          </w:p>
        </w:tc>
        <w:tc>
          <w:tcPr>
            <w:tcW w:w="11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0" w:lineRule="exact"/>
              <w:jc w:val="center"/>
              <w:rPr>
                <w:rFonts w:ascii="宋体" w:hAnsi="宋体" w:eastAsia="宋体" w:cs="宋体"/>
                <w:szCs w:val="21"/>
              </w:rPr>
            </w:pPr>
            <w:r>
              <w:rPr>
                <w:rFonts w:hint="eastAsia" w:ascii="宋体" w:hAnsi="宋体" w:eastAsia="宋体" w:cs="宋体"/>
                <w:bCs/>
                <w:szCs w:val="21"/>
              </w:rPr>
              <w:t>3</w:t>
            </w:r>
            <w:r>
              <w:rPr>
                <w:rFonts w:ascii="宋体" w:hAnsi="宋体" w:eastAsia="宋体" w:cs="宋体"/>
                <w:bCs/>
                <w:szCs w:val="21"/>
              </w:rPr>
              <w:t>5</w:t>
            </w:r>
          </w:p>
        </w:tc>
        <w:tc>
          <w:tcPr>
            <w:tcW w:w="4819" w:type="dxa"/>
            <w:tcBorders>
              <w:top w:val="single" w:color="000000" w:sz="8" w:space="0"/>
              <w:left w:val="single" w:color="000000" w:sz="8" w:space="0"/>
              <w:bottom w:val="single" w:color="000000" w:sz="8" w:space="0"/>
              <w:right w:val="single" w:color="000000" w:sz="8" w:space="0"/>
            </w:tcBorders>
            <w:shd w:val="clear" w:color="auto" w:fill="FFFFFF"/>
          </w:tcPr>
          <w:p>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（一）评审内容：</w:t>
            </w:r>
          </w:p>
          <w:p>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考察投标人对招标文件</w:t>
            </w:r>
            <w:r>
              <w:rPr>
                <w:rFonts w:hint="eastAsia" w:ascii="宋体" w:hAnsi="宋体" w:eastAsia="宋体" w:cs="宋体"/>
                <w:b/>
                <w:bCs/>
                <w:color w:val="auto"/>
                <w:kern w:val="0"/>
                <w:szCs w:val="21"/>
                <w:highlight w:val="none"/>
              </w:rPr>
              <w:t>《第一册 专用条款 第三章 用户需求书：</w:t>
            </w:r>
            <w:r>
              <w:rPr>
                <w:rFonts w:hint="eastAsia" w:ascii="宋体" w:hAnsi="宋体" w:eastAsia="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color w:val="auto"/>
                <w:kern w:val="0"/>
                <w:szCs w:val="21"/>
                <w:highlight w:val="none"/>
              </w:rPr>
              <w:t>内容中的</w:t>
            </w:r>
            <w:r>
              <w:rPr>
                <w:rFonts w:hint="eastAsia" w:ascii="宋体" w:hAnsi="宋体" w:eastAsia="宋体" w:cs="宋体"/>
                <w:b/>
                <w:bCs/>
                <w:color w:val="auto"/>
                <w:kern w:val="0"/>
                <w:szCs w:val="21"/>
                <w:highlight w:val="none"/>
              </w:rPr>
              <w:t>“▲”参数响应</w:t>
            </w:r>
            <w:r>
              <w:rPr>
                <w:rFonts w:hint="eastAsia" w:ascii="宋体" w:hAnsi="宋体" w:eastAsia="宋体" w:cs="宋体"/>
                <w:color w:val="auto"/>
                <w:kern w:val="0"/>
                <w:szCs w:val="21"/>
                <w:highlight w:val="none"/>
              </w:rPr>
              <w:t>情况。</w:t>
            </w:r>
          </w:p>
          <w:p>
            <w:pPr>
              <w:snapToGrid w:val="0"/>
              <w:rPr>
                <w:rFonts w:hint="eastAsia" w:ascii="宋体" w:hAnsi="宋体" w:eastAsia="宋体" w:cs="宋体"/>
                <w:color w:val="0000FF"/>
                <w:kern w:val="0"/>
                <w:szCs w:val="21"/>
                <w:highlight w:val="none"/>
                <w:lang w:eastAsia="zh-CN"/>
              </w:rPr>
            </w:pPr>
            <w:r>
              <w:rPr>
                <w:rFonts w:hint="eastAsia" w:ascii="宋体" w:hAnsi="宋体" w:eastAsia="宋体" w:cs="宋体"/>
                <w:color w:val="0000FF"/>
                <w:kern w:val="0"/>
                <w:szCs w:val="21"/>
                <w:highlight w:val="none"/>
              </w:rPr>
              <w:t>（二）评审依据：</w:t>
            </w:r>
          </w:p>
          <w:p>
            <w:pPr>
              <w:snapToGrid w:val="0"/>
              <w:spacing w:line="320" w:lineRule="exact"/>
              <w:rPr>
                <w:rFonts w:ascii="宋体" w:hAnsi="宋体" w:eastAsia="宋体" w:cs="宋体"/>
                <w:szCs w:val="21"/>
              </w:rPr>
            </w:pPr>
            <w:r>
              <w:rPr>
                <w:rFonts w:hint="eastAsia" w:ascii="宋体" w:hAnsi="宋体" w:eastAsia="宋体" w:cs="宋体"/>
                <w:color w:val="0000FF"/>
                <w:kern w:val="0"/>
                <w:szCs w:val="21"/>
                <w:highlight w:val="none"/>
              </w:rPr>
              <w:t>以投标文件《技术要求偏离表》为评审依据，完全符合招标要求的，得100分。</w:t>
            </w:r>
            <w:r>
              <w:rPr>
                <w:rFonts w:hint="eastAsia" w:ascii="宋体" w:hAnsi="宋体" w:eastAsia="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1项“▲”参数不符合招标要求（或缺漏）的扣</w:t>
            </w:r>
            <w:r>
              <w:rPr>
                <w:rFonts w:hint="eastAsia" w:ascii="宋体" w:hAnsi="宋体" w:eastAsia="宋体" w:cs="宋体"/>
                <w:color w:val="0000FF"/>
                <w:kern w:val="0"/>
                <w:szCs w:val="21"/>
                <w:highlight w:val="none"/>
                <w:lang w:val="en-US" w:eastAsia="zh-CN"/>
              </w:rPr>
              <w:t>8.34</w:t>
            </w:r>
            <w:r>
              <w:rPr>
                <w:rFonts w:hint="eastAsia" w:ascii="宋体" w:hAnsi="宋体" w:eastAsia="宋体" w:cs="宋体"/>
                <w:color w:val="0000FF"/>
                <w:kern w:val="0"/>
                <w:szCs w:val="21"/>
                <w:highlight w:val="none"/>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jc w:val="center"/>
        </w:trPr>
        <w:tc>
          <w:tcPr>
            <w:tcW w:w="700"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line="320" w:lineRule="exact"/>
              <w:rPr>
                <w:rFonts w:ascii="宋体" w:hAnsi="宋体" w:eastAsia="宋体" w:cs="宋体"/>
                <w:b/>
                <w:bCs/>
                <w:szCs w:val="21"/>
              </w:rPr>
            </w:pPr>
          </w:p>
        </w:tc>
        <w:tc>
          <w:tcPr>
            <w:tcW w:w="66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line="320" w:lineRule="exact"/>
              <w:jc w:val="center"/>
              <w:rPr>
                <w:rFonts w:ascii="宋体" w:hAnsi="宋体" w:eastAsia="宋体" w:cs="宋体"/>
                <w:szCs w:val="21"/>
              </w:rPr>
            </w:pPr>
            <w:r>
              <w:rPr>
                <w:rFonts w:hint="eastAsia" w:ascii="宋体" w:hAnsi="宋体" w:eastAsia="宋体" w:cs="宋体"/>
                <w:szCs w:val="21"/>
              </w:rPr>
              <w:t>2</w:t>
            </w:r>
          </w:p>
        </w:tc>
        <w:tc>
          <w:tcPr>
            <w:tcW w:w="179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80" w:lineRule="exact"/>
              <w:jc w:val="center"/>
              <w:rPr>
                <w:rFonts w:ascii="Arial" w:hAnsi="Arial" w:eastAsia="宋体" w:cs="Times New Roman"/>
                <w:b/>
                <w:szCs w:val="21"/>
                <w:highlight w:val="green"/>
              </w:rPr>
            </w:pPr>
            <w:r>
              <w:rPr>
                <w:rFonts w:hint="eastAsia" w:ascii="宋体" w:hAnsi="宋体" w:eastAsia="宋体" w:cs="宋体"/>
                <w:bCs/>
                <w:szCs w:val="21"/>
              </w:rPr>
              <w:t>非</w:t>
            </w:r>
            <w:r>
              <w:rPr>
                <w:rFonts w:ascii="宋体" w:hAnsi="宋体" w:eastAsia="宋体" w:cs="宋体"/>
                <w:bCs/>
                <w:szCs w:val="21"/>
              </w:rPr>
              <w:t>“</w:t>
            </w:r>
            <w:r>
              <w:rPr>
                <w:rFonts w:hint="eastAsia" w:ascii="宋体" w:hAnsi="宋体" w:eastAsia="宋体" w:cs="宋体"/>
                <w:bCs/>
                <w:szCs w:val="21"/>
              </w:rPr>
              <w:t>▲</w:t>
            </w:r>
            <w:r>
              <w:rPr>
                <w:rFonts w:ascii="宋体" w:hAnsi="宋体" w:eastAsia="宋体" w:cs="宋体"/>
                <w:bCs/>
                <w:szCs w:val="21"/>
              </w:rPr>
              <w:t>”</w:t>
            </w:r>
            <w:r>
              <w:rPr>
                <w:rFonts w:hint="eastAsia" w:ascii="宋体" w:hAnsi="宋体" w:eastAsia="宋体" w:cs="宋体"/>
                <w:bCs/>
                <w:szCs w:val="21"/>
              </w:rPr>
              <w:t>参数响应情况评价</w:t>
            </w:r>
          </w:p>
        </w:tc>
        <w:tc>
          <w:tcPr>
            <w:tcW w:w="11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0" w:lineRule="exact"/>
              <w:jc w:val="center"/>
              <w:rPr>
                <w:rFonts w:ascii="宋体" w:hAnsi="宋体" w:eastAsia="宋体" w:cs="宋体"/>
                <w:szCs w:val="21"/>
              </w:rPr>
            </w:pPr>
            <w:r>
              <w:rPr>
                <w:rFonts w:hint="eastAsia" w:ascii="宋体" w:hAnsi="宋体" w:eastAsia="宋体" w:cs="宋体"/>
                <w:bCs/>
                <w:szCs w:val="21"/>
              </w:rPr>
              <w:t>1</w:t>
            </w:r>
            <w:r>
              <w:rPr>
                <w:rFonts w:ascii="宋体" w:hAnsi="宋体" w:eastAsia="宋体" w:cs="宋体"/>
                <w:bCs/>
                <w:szCs w:val="21"/>
              </w:rPr>
              <w:t>0</w:t>
            </w:r>
          </w:p>
        </w:tc>
        <w:tc>
          <w:tcPr>
            <w:tcW w:w="4819" w:type="dxa"/>
            <w:tcBorders>
              <w:top w:val="single" w:color="000000" w:sz="8" w:space="0"/>
              <w:left w:val="single" w:color="000000" w:sz="8" w:space="0"/>
              <w:bottom w:val="single" w:color="000000" w:sz="8" w:space="0"/>
              <w:right w:val="single" w:color="000000" w:sz="8" w:space="0"/>
            </w:tcBorders>
            <w:shd w:val="clear" w:color="auto" w:fill="FFFFFF"/>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考察投标人对招标文件</w:t>
            </w:r>
            <w:r>
              <w:rPr>
                <w:rFonts w:hint="eastAsia" w:ascii="宋体" w:hAnsi="宋体" w:eastAsia="宋体" w:cs="宋体"/>
                <w:b/>
                <w:bCs/>
                <w:kern w:val="0"/>
                <w:szCs w:val="21"/>
                <w:highlight w:val="none"/>
              </w:rPr>
              <w:t>《第一册 专用条款 第三章 用户需求书：</w:t>
            </w:r>
            <w:r>
              <w:rPr>
                <w:rFonts w:hint="eastAsia" w:ascii="宋体" w:hAnsi="宋体" w:eastAsia="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b/>
                <w:bCs/>
                <w:kern w:val="0"/>
                <w:szCs w:val="21"/>
                <w:highlight w:val="none"/>
              </w:rPr>
              <w:t>》</w:t>
            </w:r>
            <w:r>
              <w:rPr>
                <w:rFonts w:hint="eastAsia" w:ascii="宋体" w:hAnsi="宋体" w:eastAsia="宋体" w:cs="宋体"/>
                <w:kern w:val="0"/>
                <w:szCs w:val="21"/>
                <w:highlight w:val="none"/>
              </w:rPr>
              <w:t>内容中的</w:t>
            </w:r>
            <w:r>
              <w:rPr>
                <w:rFonts w:hint="eastAsia" w:ascii="宋体" w:hAnsi="宋体" w:eastAsia="宋体" w:cs="宋体"/>
                <w:b/>
                <w:kern w:val="0"/>
                <w:szCs w:val="21"/>
                <w:highlight w:val="none"/>
              </w:rPr>
              <w:t>非“▲”参数响应</w:t>
            </w:r>
            <w:r>
              <w:rPr>
                <w:rFonts w:hint="eastAsia" w:ascii="宋体" w:hAnsi="宋体" w:eastAsia="宋体" w:cs="宋体"/>
                <w:kern w:val="0"/>
                <w:szCs w:val="21"/>
                <w:highlight w:val="none"/>
              </w:rPr>
              <w:t>情况。</w:t>
            </w:r>
          </w:p>
          <w:p>
            <w:pPr>
              <w:keepNext w:val="0"/>
              <w:keepLines w:val="0"/>
              <w:suppressLineNumbers w:val="0"/>
              <w:spacing w:before="0" w:beforeAutospacing="0" w:after="0" w:afterAutospacing="0" w:line="300" w:lineRule="exact"/>
              <w:ind w:left="0" w:right="0"/>
              <w:rPr>
                <w:rFonts w:hint="default" w:ascii="宋体" w:hAnsi="宋体" w:eastAsia="宋体" w:cs="宋体"/>
                <w:color w:val="0000FF"/>
                <w:szCs w:val="21"/>
                <w:highlight w:val="none"/>
              </w:rPr>
            </w:pPr>
            <w:r>
              <w:rPr>
                <w:rFonts w:hint="eastAsia" w:ascii="宋体" w:hAnsi="宋体" w:eastAsia="宋体" w:cs="宋体"/>
                <w:color w:val="0000FF"/>
                <w:szCs w:val="21"/>
                <w:highlight w:val="none"/>
              </w:rPr>
              <w:t>（二）评审依据：</w:t>
            </w:r>
          </w:p>
          <w:p>
            <w:pPr>
              <w:snapToGrid w:val="0"/>
              <w:spacing w:line="320" w:lineRule="exact"/>
              <w:rPr>
                <w:rFonts w:ascii="宋体" w:hAnsi="宋体" w:eastAsia="宋体" w:cs="宋体"/>
                <w:szCs w:val="21"/>
              </w:rPr>
            </w:pPr>
            <w:r>
              <w:rPr>
                <w:rFonts w:hint="eastAsia" w:ascii="宋体" w:hAnsi="宋体" w:eastAsia="宋体" w:cs="宋体"/>
                <w:color w:val="0000FF"/>
                <w:kern w:val="0"/>
                <w:szCs w:val="21"/>
                <w:highlight w:val="none"/>
              </w:rPr>
              <w:t>以投标文件《技术</w:t>
            </w:r>
            <w:r>
              <w:rPr>
                <w:rFonts w:hint="eastAsia" w:ascii="宋体" w:hAnsi="宋体" w:eastAsia="宋体" w:cs="宋体"/>
                <w:color w:val="0000FF"/>
                <w:kern w:val="0"/>
                <w:szCs w:val="21"/>
                <w:highlight w:val="none"/>
                <w:lang w:val="en-US" w:eastAsia="zh-CN"/>
              </w:rPr>
              <w:t>要求</w:t>
            </w:r>
            <w:r>
              <w:rPr>
                <w:rFonts w:hint="eastAsia" w:ascii="宋体" w:hAnsi="宋体" w:eastAsia="宋体" w:cs="宋体"/>
                <w:color w:val="0000FF"/>
                <w:kern w:val="0"/>
                <w:szCs w:val="21"/>
                <w:highlight w:val="none"/>
              </w:rPr>
              <w:t>偏离表》为评审依据，完全符合招标要求的，得100分。</w:t>
            </w:r>
            <w:r>
              <w:rPr>
                <w:rFonts w:hint="eastAsia" w:ascii="宋体" w:hAnsi="宋体" w:eastAsia="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1项非“▲”参数不符合招标要求（或缺漏）的扣</w:t>
            </w:r>
            <w:r>
              <w:rPr>
                <w:rFonts w:hint="eastAsia" w:ascii="宋体" w:hAnsi="宋体" w:eastAsia="宋体" w:cs="宋体"/>
                <w:color w:val="0000FF"/>
                <w:kern w:val="0"/>
                <w:szCs w:val="21"/>
                <w:highlight w:val="none"/>
                <w:lang w:val="en-US" w:eastAsia="zh-CN"/>
              </w:rPr>
              <w:t>0.72</w:t>
            </w:r>
            <w:r>
              <w:rPr>
                <w:rFonts w:hint="eastAsia" w:ascii="宋体" w:hAnsi="宋体" w:eastAsia="宋体" w:cs="宋体"/>
                <w:color w:val="0000FF"/>
                <w:kern w:val="0"/>
                <w:szCs w:val="21"/>
                <w:highlight w:val="none"/>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00"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line="320" w:lineRule="exact"/>
              <w:rPr>
                <w:rFonts w:ascii="宋体" w:hAnsi="宋体" w:eastAsia="宋体" w:cs="宋体"/>
                <w:b/>
                <w:bCs/>
                <w:szCs w:val="21"/>
              </w:rPr>
            </w:pPr>
          </w:p>
        </w:tc>
        <w:tc>
          <w:tcPr>
            <w:tcW w:w="66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line="32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3</w:t>
            </w:r>
          </w:p>
        </w:tc>
        <w:tc>
          <w:tcPr>
            <w:tcW w:w="179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80" w:lineRule="exact"/>
              <w:jc w:val="center"/>
              <w:rPr>
                <w:rFonts w:hint="eastAsia" w:ascii="宋体" w:hAnsi="宋体" w:eastAsia="宋体" w:cs="宋体"/>
                <w:bCs/>
                <w:szCs w:val="21"/>
              </w:rPr>
            </w:pPr>
            <w:r>
              <w:rPr>
                <w:rFonts w:hint="eastAsia" w:ascii="宋体" w:hAnsi="宋体" w:eastAsia="宋体" w:cs="宋体"/>
                <w:szCs w:val="21"/>
              </w:rPr>
              <w:t>政府采购节能环保产品情况</w:t>
            </w:r>
          </w:p>
        </w:tc>
        <w:tc>
          <w:tcPr>
            <w:tcW w:w="11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0" w:lineRule="exact"/>
              <w:jc w:val="center"/>
              <w:rPr>
                <w:rFonts w:hint="eastAsia" w:ascii="宋体" w:hAnsi="宋体" w:eastAsia="宋体" w:cs="宋体"/>
                <w:bCs/>
                <w:szCs w:val="21"/>
                <w:lang w:val="en-US" w:eastAsia="zh-CN"/>
              </w:rPr>
            </w:pPr>
            <w:r>
              <w:rPr>
                <w:rFonts w:hint="eastAsia" w:ascii="宋体" w:hAnsi="宋体" w:eastAsia="宋体" w:cs="宋体"/>
                <w:bCs/>
                <w:szCs w:val="21"/>
                <w:lang w:val="en-US" w:eastAsia="zh-CN"/>
              </w:rPr>
              <w:t>1</w:t>
            </w:r>
          </w:p>
        </w:tc>
        <w:tc>
          <w:tcPr>
            <w:tcW w:w="4819" w:type="dxa"/>
            <w:tcBorders>
              <w:top w:val="single" w:color="000000" w:sz="8" w:space="0"/>
              <w:left w:val="single" w:color="000000" w:sz="8" w:space="0"/>
              <w:bottom w:val="single" w:color="000000" w:sz="8" w:space="0"/>
              <w:right w:val="single" w:color="000000" w:sz="8" w:space="0"/>
            </w:tcBorders>
            <w:shd w:val="clear" w:color="auto" w:fill="FFFFFF"/>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keepNext w:val="0"/>
              <w:keepLines w:val="0"/>
              <w:suppressLineNumbers w:val="0"/>
              <w:spacing w:before="0" w:beforeAutospacing="0" w:after="0" w:afterAutospacing="0" w:line="300" w:lineRule="exact"/>
              <w:ind w:left="0" w:right="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根据《关于印发节能产品政府采购品目清单的通知》（财库〔2019〕19号）以及《关于印发环境标志产品政府采购品目清单的通知》（财库〔2019〕18号）的要求，投标人所投任一产品（以第三章 用户需求书 二、货物需求明细中“货物名称”为准）被列入节能产品政府采购品目清单（政府强制采购产品除外）或环境标志产品政府采购品目清单的得100分。</w:t>
            </w:r>
          </w:p>
          <w:p>
            <w:pPr>
              <w:keepNext w:val="0"/>
              <w:keepLines w:val="0"/>
              <w:suppressLineNumbers w:val="0"/>
              <w:spacing w:before="0" w:beforeAutospacing="0" w:after="0" w:afterAutospacing="0" w:line="300" w:lineRule="exact"/>
              <w:ind w:left="0" w:right="0"/>
              <w:rPr>
                <w:rFonts w:hint="eastAsia" w:ascii="宋体" w:hAnsi="宋体" w:eastAsia="宋体" w:cs="宋体"/>
                <w:kern w:val="2"/>
                <w:sz w:val="21"/>
                <w:szCs w:val="21"/>
                <w:lang w:val="en-US" w:eastAsia="zh-CN" w:bidi="ar-SA"/>
              </w:rPr>
            </w:pPr>
            <w:r>
              <w:rPr>
                <w:rFonts w:hint="eastAsia" w:ascii="宋体" w:hAnsi="宋体" w:eastAsia="宋体" w:cs="宋体"/>
                <w:color w:val="0000FF"/>
                <w:szCs w:val="21"/>
                <w:highlight w:val="none"/>
              </w:rPr>
              <w:t>（二）评审依据：</w:t>
            </w:r>
          </w:p>
          <w:p>
            <w:pPr>
              <w:snapToGrid w:val="0"/>
              <w:spacing w:line="320" w:lineRule="exact"/>
              <w:rPr>
                <w:rFonts w:hint="eastAsia" w:ascii="宋体" w:hAnsi="宋体" w:eastAsia="宋体" w:cs="宋体"/>
                <w:color w:val="0000FF"/>
                <w:kern w:val="0"/>
                <w:szCs w:val="21"/>
                <w:highlight w:val="none"/>
              </w:rPr>
            </w:pPr>
            <w:r>
              <w:rPr>
                <w:rFonts w:hint="eastAsia" w:ascii="宋体" w:hAnsi="宋体" w:eastAsia="宋体" w:cs="宋体"/>
                <w:kern w:val="2"/>
                <w:sz w:val="21"/>
                <w:szCs w:val="21"/>
                <w:lang w:val="en-US" w:eastAsia="zh-CN" w:bidi="ar-SA"/>
              </w:rPr>
              <w:t>需提供依据《市场监管总局关于发布参与实施政府采购节能产品、环境标志产品认证机构名录的公告》（2019年第16号）确定的认证机构出具的、处于有效期之内的节能产品、环境标志产品认证证书扫描件，原件备查。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jc w:val="center"/>
        </w:trPr>
        <w:tc>
          <w:tcPr>
            <w:tcW w:w="700"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line="320" w:lineRule="exact"/>
              <w:rPr>
                <w:rFonts w:ascii="宋体" w:hAnsi="宋体" w:eastAsia="宋体" w:cs="宋体"/>
                <w:b/>
                <w:bCs/>
                <w:szCs w:val="21"/>
              </w:rPr>
            </w:pPr>
          </w:p>
        </w:tc>
        <w:tc>
          <w:tcPr>
            <w:tcW w:w="66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line="32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4</w:t>
            </w:r>
          </w:p>
        </w:tc>
        <w:tc>
          <w:tcPr>
            <w:tcW w:w="179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80" w:lineRule="exact"/>
              <w:jc w:val="center"/>
              <w:rPr>
                <w:rFonts w:hint="eastAsia" w:ascii="宋体" w:hAnsi="宋体" w:eastAsia="宋体" w:cs="宋体"/>
                <w:bCs/>
                <w:szCs w:val="21"/>
              </w:rPr>
            </w:pPr>
            <w:r>
              <w:rPr>
                <w:rFonts w:hint="eastAsia" w:ascii="宋体" w:hAnsi="宋体" w:eastAsia="宋体" w:cs="宋体"/>
                <w:szCs w:val="21"/>
              </w:rPr>
              <w:t>绿色采购情况</w:t>
            </w:r>
          </w:p>
        </w:tc>
        <w:tc>
          <w:tcPr>
            <w:tcW w:w="11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0" w:lineRule="exact"/>
              <w:jc w:val="center"/>
              <w:rPr>
                <w:rFonts w:hint="eastAsia" w:ascii="宋体" w:hAnsi="宋体" w:eastAsia="宋体" w:cs="宋体"/>
                <w:bCs/>
                <w:szCs w:val="21"/>
                <w:lang w:val="en-US" w:eastAsia="zh-CN"/>
              </w:rPr>
            </w:pPr>
            <w:r>
              <w:rPr>
                <w:rFonts w:hint="eastAsia" w:ascii="宋体" w:hAnsi="宋体" w:eastAsia="宋体" w:cs="宋体"/>
                <w:bCs/>
                <w:szCs w:val="21"/>
                <w:lang w:val="en-US" w:eastAsia="zh-CN"/>
              </w:rPr>
              <w:t>1</w:t>
            </w:r>
          </w:p>
        </w:tc>
        <w:tc>
          <w:tcPr>
            <w:tcW w:w="4819" w:type="dxa"/>
            <w:tcBorders>
              <w:top w:val="single" w:color="000000" w:sz="8" w:space="0"/>
              <w:left w:val="single" w:color="000000" w:sz="8" w:space="0"/>
              <w:bottom w:val="single" w:color="000000" w:sz="8" w:space="0"/>
              <w:right w:val="single" w:color="000000" w:sz="8" w:space="0"/>
            </w:tcBorders>
            <w:shd w:val="clear" w:color="auto" w:fill="FFFFFF"/>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snapToGrid w:val="0"/>
              <w:ind w:firstLine="420" w:firstLineChars="200"/>
              <w:jc w:val="both"/>
              <w:rPr>
                <w:rFonts w:hint="eastAsia" w:ascii="Times New Roman" w:hAnsi="Times New Roman" w:eastAsia="宋体" w:cs="Times New Roman"/>
                <w:szCs w:val="21"/>
              </w:rPr>
            </w:pPr>
            <w:r>
              <w:rPr>
                <w:rFonts w:hint="eastAsia" w:ascii="Times New Roman" w:hAnsi="Times New Roman" w:eastAsia="宋体" w:cs="Times New Roman"/>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pPr>
              <w:keepNext w:val="0"/>
              <w:keepLines w:val="0"/>
              <w:suppressLineNumbers w:val="0"/>
              <w:spacing w:before="0" w:beforeAutospacing="0" w:after="0" w:afterAutospacing="0" w:line="300" w:lineRule="exact"/>
              <w:ind w:left="0" w:right="0"/>
              <w:rPr>
                <w:rFonts w:hint="default" w:ascii="宋体" w:hAnsi="宋体" w:eastAsia="宋体" w:cs="宋体"/>
                <w:kern w:val="0"/>
                <w:szCs w:val="21"/>
                <w:highlight w:val="none"/>
              </w:rPr>
            </w:pPr>
            <w:r>
              <w:rPr>
                <w:rFonts w:hint="eastAsia" w:ascii="宋体" w:hAnsi="宋体" w:eastAsia="宋体" w:cs="宋体"/>
                <w:color w:val="0000FF"/>
                <w:szCs w:val="21"/>
                <w:highlight w:val="none"/>
              </w:rPr>
              <w:t>（二）评审依据：</w:t>
            </w:r>
          </w:p>
          <w:p>
            <w:pPr>
              <w:snapToGrid w:val="0"/>
              <w:spacing w:line="320" w:lineRule="exact"/>
              <w:rPr>
                <w:rFonts w:hint="eastAsia" w:ascii="宋体" w:hAnsi="宋体" w:eastAsia="宋体" w:cs="宋体"/>
                <w:color w:val="0000FF"/>
                <w:kern w:val="0"/>
                <w:szCs w:val="21"/>
                <w:highlight w:val="none"/>
              </w:rPr>
            </w:pPr>
            <w:r>
              <w:rPr>
                <w:rFonts w:hint="eastAsia" w:ascii="宋体" w:hAnsi="宋体" w:eastAsia="宋体" w:cs="宋体"/>
                <w:color w:val="0000FF"/>
                <w:szCs w:val="21"/>
                <w:highlight w:val="none"/>
              </w:rPr>
              <w:t>投标人提供符合相关要求的承诺函</w:t>
            </w:r>
            <w:r>
              <w:rPr>
                <w:rFonts w:hint="eastAsia" w:ascii="宋体" w:hAnsi="宋体" w:eastAsia="宋体" w:cs="宋体"/>
                <w:color w:val="0000FF"/>
                <w:szCs w:val="21"/>
                <w:highlight w:val="none"/>
                <w:lang w:val="en-US" w:eastAsia="zh-CN"/>
              </w:rPr>
              <w:t>得100分</w:t>
            </w:r>
            <w:r>
              <w:rPr>
                <w:rFonts w:hint="eastAsia" w:ascii="宋体" w:hAnsi="宋体" w:eastAsia="宋体" w:cs="宋体"/>
                <w:color w:val="0000FF"/>
                <w:szCs w:val="21"/>
                <w:highlight w:val="none"/>
              </w:rPr>
              <w:t>（格式自定，</w:t>
            </w:r>
            <w:r>
              <w:rPr>
                <w:rFonts w:hint="eastAsia" w:ascii="宋体" w:hAnsi="宋体" w:eastAsia="宋体" w:cs="宋体"/>
                <w:color w:val="0000FF"/>
                <w:szCs w:val="21"/>
                <w:highlight w:val="none"/>
                <w:lang w:val="en-US" w:eastAsia="zh-CN"/>
              </w:rPr>
              <w:t>应在《自行采购投标及履约承诺函》外另起承诺函）可视为符合规定，</w:t>
            </w:r>
            <w:r>
              <w:rPr>
                <w:rFonts w:hint="eastAsia" w:ascii="宋体" w:hAnsi="宋体" w:eastAsia="宋体" w:cs="宋体"/>
                <w:color w:val="0000FF"/>
                <w:szCs w:val="21"/>
                <w:highlight w:val="none"/>
              </w:rPr>
              <w:t>无需提供检测报告、认证报告。未提供或不符合的不得分。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jc w:val="center"/>
        </w:trPr>
        <w:tc>
          <w:tcPr>
            <w:tcW w:w="700"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line="320" w:lineRule="exact"/>
              <w:rPr>
                <w:rFonts w:ascii="宋体" w:hAnsi="宋体" w:eastAsia="宋体" w:cs="宋体"/>
                <w:b/>
                <w:bCs/>
                <w:szCs w:val="21"/>
              </w:rPr>
            </w:pPr>
          </w:p>
        </w:tc>
        <w:tc>
          <w:tcPr>
            <w:tcW w:w="66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line="320" w:lineRule="exact"/>
              <w:jc w:val="center"/>
              <w:rPr>
                <w:rFonts w:hint="eastAsia" w:ascii="宋体" w:hAnsi="宋体" w:eastAsia="等线" w:cs="等线"/>
                <w:szCs w:val="21"/>
                <w:lang w:val="en-US" w:eastAsia="zh-CN"/>
              </w:rPr>
            </w:pPr>
            <w:r>
              <w:rPr>
                <w:rFonts w:hint="eastAsia" w:ascii="宋体" w:hAnsi="宋体" w:eastAsia="等线" w:cs="等线"/>
                <w:szCs w:val="21"/>
                <w:lang w:val="en-US" w:eastAsia="zh-CN"/>
              </w:rPr>
              <w:t>5</w:t>
            </w:r>
          </w:p>
        </w:tc>
        <w:tc>
          <w:tcPr>
            <w:tcW w:w="179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0" w:lineRule="exact"/>
              <w:jc w:val="center"/>
              <w:rPr>
                <w:rFonts w:ascii="宋体" w:hAnsi="宋体" w:eastAsia="等线" w:cs="等线"/>
                <w:bCs/>
                <w:szCs w:val="21"/>
              </w:rPr>
            </w:pPr>
            <w:r>
              <w:rPr>
                <w:rFonts w:hint="eastAsia" w:ascii="宋体" w:hAnsi="宋体" w:eastAsia="宋体" w:cs="宋体"/>
                <w:bCs/>
                <w:szCs w:val="21"/>
              </w:rPr>
              <w:t>设计图评价</w:t>
            </w:r>
          </w:p>
        </w:tc>
        <w:tc>
          <w:tcPr>
            <w:tcW w:w="11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0" w:lineRule="exact"/>
              <w:jc w:val="center"/>
              <w:rPr>
                <w:rFonts w:ascii="宋体" w:hAnsi="宋体" w:eastAsia="宋体" w:cs="等线"/>
                <w:szCs w:val="21"/>
              </w:rPr>
            </w:pPr>
            <w:r>
              <w:rPr>
                <w:rFonts w:hint="eastAsia" w:ascii="宋体" w:hAnsi="宋体" w:eastAsia="等线" w:cs="等线"/>
                <w:szCs w:val="21"/>
              </w:rPr>
              <w:t>3</w:t>
            </w:r>
          </w:p>
        </w:tc>
        <w:tc>
          <w:tcPr>
            <w:tcW w:w="4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napToGrid w:val="0"/>
              <w:spacing w:line="320" w:lineRule="exact"/>
              <w:jc w:val="left"/>
              <w:rPr>
                <w:rFonts w:ascii="宋体" w:hAnsi="宋体" w:eastAsia="宋体" w:cs="宋体"/>
                <w:b/>
                <w:kern w:val="0"/>
                <w:szCs w:val="21"/>
              </w:rPr>
            </w:pPr>
            <w:r>
              <w:rPr>
                <w:rFonts w:hint="eastAsia" w:ascii="宋体" w:hAnsi="宋体" w:eastAsia="宋体" w:cs="宋体"/>
                <w:b/>
                <w:kern w:val="0"/>
                <w:szCs w:val="21"/>
              </w:rPr>
              <w:t xml:space="preserve">（一）评审内容： </w:t>
            </w:r>
          </w:p>
          <w:p>
            <w:pPr>
              <w:widowControl w:val="0"/>
              <w:jc w:val="left"/>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投标人针对本项目提供项目图纸方案，方案中包含：</w:t>
            </w:r>
          </w:p>
          <w:p>
            <w:pPr>
              <w:widowControl w:val="0"/>
              <w:jc w:val="left"/>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1</w:t>
            </w:r>
            <w:r>
              <w:rPr>
                <w:rFonts w:hint="eastAsia" w:ascii="宋体" w:hAnsi="宋体" w:eastAsia="宋体" w:cs="宋体"/>
                <w:bCs/>
                <w:kern w:val="2"/>
                <w:sz w:val="21"/>
                <w:szCs w:val="21"/>
                <w:lang w:val="en-US" w:eastAsia="zh-CN" w:bidi="ar-SA"/>
              </w:rPr>
              <w:t>、场所平面布置图</w:t>
            </w:r>
            <w:r>
              <w:rPr>
                <w:rFonts w:hint="eastAsia" w:ascii="Times New Roman" w:hAnsi="Times New Roman" w:eastAsia="宋体" w:cs="Times New Roman"/>
                <w:kern w:val="2"/>
                <w:sz w:val="21"/>
                <w:szCs w:val="24"/>
                <w:lang w:val="en-US" w:eastAsia="zh-CN" w:bidi="ar-SA"/>
              </w:rPr>
              <w:t>；</w:t>
            </w:r>
          </w:p>
          <w:p>
            <w:pPr>
              <w:widowControl w:val="0"/>
              <w:jc w:val="left"/>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2</w:t>
            </w:r>
            <w:r>
              <w:rPr>
                <w:rFonts w:hint="eastAsia" w:ascii="宋体" w:hAnsi="宋体" w:eastAsia="宋体" w:cs="宋体"/>
                <w:bCs/>
                <w:kern w:val="2"/>
                <w:sz w:val="21"/>
                <w:szCs w:val="21"/>
                <w:lang w:val="en-US" w:eastAsia="zh-CN" w:bidi="ar-SA"/>
              </w:rPr>
              <w:t>、场所效果图</w:t>
            </w:r>
            <w:r>
              <w:rPr>
                <w:rFonts w:hint="eastAsia" w:ascii="Times New Roman" w:hAnsi="Times New Roman" w:eastAsia="宋体" w:cs="Times New Roman"/>
                <w:kern w:val="2"/>
                <w:sz w:val="21"/>
                <w:szCs w:val="24"/>
                <w:lang w:val="en-US" w:eastAsia="zh-CN" w:bidi="ar-SA"/>
              </w:rPr>
              <w:t>；</w:t>
            </w:r>
          </w:p>
          <w:p>
            <w:pPr>
              <w:widowControl w:val="0"/>
              <w:jc w:val="left"/>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3、定制柜尺寸图。</w:t>
            </w:r>
          </w:p>
          <w:p>
            <w:pPr>
              <w:spacing w:line="280" w:lineRule="exact"/>
              <w:rPr>
                <w:rFonts w:ascii="宋体" w:hAnsi="宋体" w:eastAsia="宋体" w:cs="宋体"/>
                <w:b/>
                <w:color w:val="0000FF"/>
                <w:szCs w:val="21"/>
              </w:rPr>
            </w:pPr>
            <w:r>
              <w:rPr>
                <w:rFonts w:hint="eastAsia" w:ascii="宋体" w:hAnsi="宋体" w:eastAsia="宋体" w:cs="宋体"/>
                <w:b/>
                <w:color w:val="0000FF"/>
                <w:szCs w:val="21"/>
              </w:rPr>
              <w:t>（二）评审依据：</w:t>
            </w:r>
          </w:p>
          <w:p>
            <w:pPr>
              <w:widowControl w:val="0"/>
              <w:jc w:val="left"/>
              <w:rPr>
                <w:rFonts w:ascii="宋体" w:hAnsi="宋体" w:eastAsia="宋体" w:cs="宋体"/>
                <w:color w:val="0000FF"/>
                <w:kern w:val="2"/>
                <w:sz w:val="21"/>
                <w:szCs w:val="21"/>
                <w:lang w:val="en-US" w:eastAsia="zh-CN" w:bidi="ar-SA"/>
              </w:rPr>
            </w:pPr>
            <w:r>
              <w:rPr>
                <w:rFonts w:hint="eastAsia" w:ascii="宋体" w:hAnsi="宋体" w:eastAsia="宋体" w:cs="宋体"/>
                <w:color w:val="0000FF"/>
                <w:kern w:val="2"/>
                <w:sz w:val="21"/>
                <w:szCs w:val="21"/>
                <w:lang w:val="en-US" w:eastAsia="zh-CN" w:bidi="ar-SA"/>
              </w:rPr>
              <w:t>1、满足上述任意一项的得</w:t>
            </w:r>
            <w:r>
              <w:rPr>
                <w:rFonts w:ascii="宋体" w:hAnsi="宋体" w:eastAsia="宋体" w:cs="宋体"/>
                <w:color w:val="0000FF"/>
                <w:kern w:val="2"/>
                <w:sz w:val="21"/>
                <w:szCs w:val="21"/>
                <w:lang w:val="en-US" w:eastAsia="zh-CN" w:bidi="ar-SA"/>
              </w:rPr>
              <w:t>20</w:t>
            </w:r>
            <w:r>
              <w:rPr>
                <w:rFonts w:hint="eastAsia" w:ascii="宋体" w:hAnsi="宋体" w:eastAsia="宋体" w:cs="宋体"/>
                <w:color w:val="0000FF"/>
                <w:kern w:val="2"/>
                <w:sz w:val="21"/>
                <w:szCs w:val="21"/>
                <w:lang w:val="en-US" w:eastAsia="zh-CN" w:bidi="ar-SA"/>
              </w:rPr>
              <w:t>分，最高得60分。</w:t>
            </w:r>
            <w:r>
              <w:rPr>
                <w:rFonts w:ascii="宋体" w:hAnsi="宋体" w:eastAsia="宋体" w:cs="宋体"/>
                <w:color w:val="0000FF"/>
                <w:kern w:val="2"/>
                <w:sz w:val="21"/>
                <w:szCs w:val="21"/>
                <w:lang w:val="en-US" w:eastAsia="zh-CN" w:bidi="ar-SA"/>
              </w:rPr>
              <w:t xml:space="preserve"> </w:t>
            </w:r>
          </w:p>
          <w:p>
            <w:pPr>
              <w:widowControl w:val="0"/>
              <w:jc w:val="left"/>
              <w:rPr>
                <w:rFonts w:ascii="宋体" w:hAnsi="宋体" w:eastAsia="宋体" w:cs="宋体"/>
                <w:color w:val="0000FF"/>
                <w:kern w:val="2"/>
                <w:sz w:val="21"/>
                <w:szCs w:val="21"/>
                <w:lang w:val="en-US" w:eastAsia="zh-CN" w:bidi="ar-SA"/>
              </w:rPr>
            </w:pPr>
            <w:r>
              <w:rPr>
                <w:rFonts w:hint="eastAsia" w:ascii="宋体" w:hAnsi="宋体" w:eastAsia="宋体" w:cs="宋体"/>
                <w:color w:val="0000FF"/>
                <w:kern w:val="2"/>
                <w:sz w:val="21"/>
                <w:szCs w:val="21"/>
                <w:lang w:val="en-US" w:eastAsia="zh-CN" w:bidi="ar-SA"/>
              </w:rPr>
              <w:t>2、在上述基础上，由评审委员会对具体响应内容进一步评审：</w:t>
            </w:r>
          </w:p>
          <w:p>
            <w:pPr>
              <w:widowControl w:val="0"/>
              <w:jc w:val="left"/>
              <w:rPr>
                <w:rFonts w:hint="eastAsia" w:ascii="宋体" w:hAnsi="宋体" w:eastAsia="宋体" w:cs="宋体"/>
                <w:color w:val="0000FF"/>
                <w:kern w:val="2"/>
                <w:sz w:val="21"/>
                <w:szCs w:val="21"/>
                <w:lang w:val="en-US" w:eastAsia="zh-CN" w:bidi="ar-SA"/>
              </w:rPr>
            </w:pPr>
            <w:r>
              <w:rPr>
                <w:rFonts w:hint="eastAsia" w:ascii="宋体" w:hAnsi="宋体" w:eastAsia="宋体" w:cs="宋体"/>
                <w:color w:val="0000FF"/>
                <w:kern w:val="2"/>
                <w:sz w:val="21"/>
                <w:szCs w:val="21"/>
                <w:lang w:val="en-US" w:eastAsia="zh-CN" w:bidi="ar-SA"/>
              </w:rPr>
              <w:t>1、内容完整，空间布置设计合理、实用性强，图片清晰、整体效果完全符合实际需求的评价为优，得40分；</w:t>
            </w:r>
          </w:p>
          <w:p>
            <w:pPr>
              <w:widowControl w:val="0"/>
              <w:jc w:val="left"/>
              <w:rPr>
                <w:rFonts w:hint="eastAsia" w:ascii="宋体" w:hAnsi="宋体" w:eastAsia="宋体" w:cs="宋体"/>
                <w:color w:val="0000FF"/>
                <w:kern w:val="2"/>
                <w:sz w:val="21"/>
                <w:szCs w:val="21"/>
                <w:lang w:val="en-US" w:eastAsia="zh-CN" w:bidi="ar-SA"/>
              </w:rPr>
            </w:pPr>
            <w:r>
              <w:rPr>
                <w:rFonts w:hint="eastAsia" w:ascii="宋体" w:hAnsi="宋体" w:eastAsia="宋体" w:cs="宋体"/>
                <w:color w:val="0000FF"/>
                <w:kern w:val="2"/>
                <w:sz w:val="21"/>
                <w:szCs w:val="21"/>
                <w:lang w:val="en-US" w:eastAsia="zh-CN" w:bidi="ar-SA"/>
              </w:rPr>
              <w:t>2、内容完整，空间布置设计较为合理、实用性一般，图片清晰、整体效果基本符合实际需求的评价为良，得20分；</w:t>
            </w:r>
          </w:p>
          <w:p>
            <w:pPr>
              <w:widowControl w:val="0"/>
              <w:jc w:val="left"/>
              <w:rPr>
                <w:rFonts w:hint="eastAsia" w:ascii="宋体" w:hAnsi="宋体" w:eastAsia="宋体" w:cs="宋体"/>
                <w:color w:val="0000FF"/>
                <w:kern w:val="2"/>
                <w:sz w:val="21"/>
                <w:szCs w:val="21"/>
                <w:lang w:val="en-US" w:eastAsia="zh-CN" w:bidi="ar-SA"/>
              </w:rPr>
            </w:pPr>
            <w:r>
              <w:rPr>
                <w:rFonts w:hint="eastAsia" w:ascii="宋体" w:hAnsi="宋体" w:eastAsia="宋体" w:cs="宋体"/>
                <w:color w:val="0000FF"/>
                <w:kern w:val="2"/>
                <w:sz w:val="21"/>
                <w:szCs w:val="21"/>
                <w:lang w:val="en-US" w:eastAsia="zh-CN" w:bidi="ar-SA"/>
              </w:rPr>
              <w:t>3、内容基本完整，空间布置设计合理性较差、实用性较差，图片清晰、整体效果不符合实际需求的评价为中，得10分；</w:t>
            </w:r>
          </w:p>
          <w:p>
            <w:pPr>
              <w:spacing w:line="320" w:lineRule="exact"/>
              <w:rPr>
                <w:rFonts w:ascii="宋体" w:hAnsi="宋体" w:eastAsia="等线" w:cs="宋体"/>
                <w:szCs w:val="21"/>
              </w:rPr>
            </w:pPr>
            <w:r>
              <w:rPr>
                <w:rFonts w:hint="eastAsia" w:ascii="宋体" w:hAnsi="宋体" w:eastAsia="宋体" w:cs="宋体"/>
                <w:color w:val="0000FF"/>
                <w:szCs w:val="21"/>
              </w:rPr>
              <w:t>4、未按要求提供或提供的材料不能证明相关情况的或提供不清晰导致专家无法判断的不得分。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jc w:val="center"/>
        </w:trPr>
        <w:tc>
          <w:tcPr>
            <w:tcW w:w="700"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line="320" w:lineRule="exact"/>
              <w:rPr>
                <w:rFonts w:ascii="宋体" w:hAnsi="宋体" w:eastAsia="宋体" w:cs="宋体"/>
                <w:b/>
                <w:bCs/>
                <w:szCs w:val="21"/>
              </w:rPr>
            </w:pPr>
          </w:p>
        </w:tc>
        <w:tc>
          <w:tcPr>
            <w:tcW w:w="66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line="320" w:lineRule="exact"/>
              <w:jc w:val="center"/>
              <w:rPr>
                <w:rFonts w:hint="eastAsia" w:ascii="宋体" w:hAnsi="宋体" w:eastAsia="宋体" w:cs="等线"/>
                <w:szCs w:val="21"/>
                <w:lang w:val="en-US" w:eastAsia="zh-CN"/>
              </w:rPr>
            </w:pPr>
            <w:r>
              <w:rPr>
                <w:rFonts w:hint="eastAsia" w:ascii="宋体" w:hAnsi="宋体" w:eastAsia="宋体" w:cs="等线"/>
                <w:szCs w:val="21"/>
                <w:lang w:val="en-US" w:eastAsia="zh-CN"/>
              </w:rPr>
              <w:t>6</w:t>
            </w:r>
          </w:p>
        </w:tc>
        <w:tc>
          <w:tcPr>
            <w:tcW w:w="179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0" w:lineRule="exact"/>
              <w:jc w:val="center"/>
              <w:rPr>
                <w:rFonts w:ascii="宋体" w:hAnsi="宋体" w:eastAsia="宋体" w:cs="等线"/>
                <w:bCs/>
                <w:szCs w:val="21"/>
              </w:rPr>
            </w:pPr>
            <w:r>
              <w:rPr>
                <w:rFonts w:hint="eastAsia" w:ascii="宋体" w:hAnsi="宋体" w:eastAsia="宋体" w:cs="宋体"/>
                <w:bCs/>
                <w:szCs w:val="21"/>
              </w:rPr>
              <w:t>项目组织实施方案评价</w:t>
            </w:r>
          </w:p>
        </w:tc>
        <w:tc>
          <w:tcPr>
            <w:tcW w:w="11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0" w:lineRule="exact"/>
              <w:jc w:val="center"/>
              <w:rPr>
                <w:rFonts w:ascii="宋体" w:hAnsi="宋体" w:eastAsia="宋体" w:cs="等线"/>
                <w:szCs w:val="21"/>
              </w:rPr>
            </w:pPr>
            <w:r>
              <w:rPr>
                <w:rFonts w:ascii="宋体" w:hAnsi="宋体" w:eastAsia="等线" w:cs="等线"/>
                <w:szCs w:val="21"/>
              </w:rPr>
              <w:t>6</w:t>
            </w:r>
          </w:p>
        </w:tc>
        <w:tc>
          <w:tcPr>
            <w:tcW w:w="4819" w:type="dxa"/>
            <w:tcBorders>
              <w:top w:val="single" w:color="000000" w:sz="8" w:space="0"/>
              <w:left w:val="single" w:color="000000" w:sz="8" w:space="0"/>
              <w:bottom w:val="single" w:color="000000" w:sz="8" w:space="0"/>
              <w:right w:val="single" w:color="000000" w:sz="8" w:space="0"/>
            </w:tcBorders>
            <w:shd w:val="clear" w:color="auto" w:fill="FFFFFF"/>
          </w:tcPr>
          <w:p>
            <w:pPr>
              <w:autoSpaceDE w:val="0"/>
              <w:autoSpaceDN w:val="0"/>
              <w:adjustRightInd w:val="0"/>
              <w:spacing w:line="280" w:lineRule="exact"/>
              <w:rPr>
                <w:rFonts w:ascii="宋体" w:hAnsi="宋体" w:eastAsia="宋体" w:cs="宋体"/>
                <w:b/>
                <w:szCs w:val="21"/>
              </w:rPr>
            </w:pPr>
            <w:r>
              <w:rPr>
                <w:rFonts w:hint="eastAsia" w:ascii="宋体" w:hAnsi="宋体" w:eastAsia="宋体" w:cs="宋体"/>
                <w:b/>
                <w:szCs w:val="21"/>
              </w:rPr>
              <w:t>（一）评审内容：</w:t>
            </w:r>
          </w:p>
          <w:p>
            <w:pPr>
              <w:spacing w:line="280" w:lineRule="exact"/>
              <w:rPr>
                <w:rFonts w:ascii="宋体" w:hAnsi="宋体" w:eastAsia="宋体" w:cs="宋体"/>
                <w:szCs w:val="21"/>
              </w:rPr>
            </w:pPr>
            <w:r>
              <w:rPr>
                <w:rFonts w:hint="eastAsia" w:ascii="宋体" w:hAnsi="宋体" w:eastAsia="宋体" w:cs="宋体"/>
                <w:szCs w:val="21"/>
              </w:rPr>
              <w:t>对投标人提供的项目组织实施方案进行评价，内容包括但不限于：</w:t>
            </w:r>
          </w:p>
          <w:p>
            <w:pPr>
              <w:spacing w:line="280" w:lineRule="exact"/>
              <w:rPr>
                <w:rFonts w:ascii="宋体" w:hAnsi="宋体" w:eastAsia="宋体" w:cs="宋体"/>
                <w:szCs w:val="21"/>
              </w:rPr>
            </w:pPr>
            <w:r>
              <w:rPr>
                <w:rFonts w:hint="eastAsia" w:ascii="宋体" w:hAnsi="宋体" w:eastAsia="宋体" w:cs="宋体"/>
                <w:szCs w:val="21"/>
              </w:rPr>
              <w:t>1、项目进度计划安排；</w:t>
            </w:r>
          </w:p>
          <w:p>
            <w:pPr>
              <w:spacing w:line="280" w:lineRule="exact"/>
              <w:rPr>
                <w:rFonts w:ascii="宋体" w:hAnsi="宋体" w:eastAsia="宋体" w:cs="宋体"/>
                <w:szCs w:val="21"/>
              </w:rPr>
            </w:pPr>
            <w:r>
              <w:rPr>
                <w:rFonts w:hint="eastAsia" w:ascii="宋体" w:hAnsi="宋体" w:eastAsia="宋体" w:cs="宋体"/>
                <w:szCs w:val="21"/>
              </w:rPr>
              <w:t>2、施工组织计划；</w:t>
            </w:r>
          </w:p>
          <w:p>
            <w:pPr>
              <w:spacing w:line="280" w:lineRule="exact"/>
              <w:rPr>
                <w:rFonts w:ascii="宋体" w:hAnsi="宋体" w:eastAsia="宋体" w:cs="宋体"/>
                <w:szCs w:val="21"/>
              </w:rPr>
            </w:pPr>
            <w:r>
              <w:rPr>
                <w:rFonts w:hint="eastAsia" w:ascii="宋体" w:hAnsi="宋体" w:eastAsia="宋体" w:cs="宋体"/>
                <w:szCs w:val="21"/>
              </w:rPr>
              <w:t>3、验收组织计划；</w:t>
            </w:r>
          </w:p>
          <w:p>
            <w:pPr>
              <w:spacing w:line="280" w:lineRule="exact"/>
              <w:rPr>
                <w:rFonts w:ascii="宋体" w:hAnsi="宋体" w:eastAsia="宋体" w:cs="宋体"/>
                <w:szCs w:val="21"/>
              </w:rPr>
            </w:pPr>
            <w:r>
              <w:rPr>
                <w:rFonts w:hint="eastAsia" w:ascii="宋体" w:hAnsi="宋体" w:eastAsia="宋体" w:cs="宋体"/>
                <w:szCs w:val="21"/>
              </w:rPr>
              <w:t>4、产品培训方案。</w:t>
            </w:r>
          </w:p>
          <w:p>
            <w:pPr>
              <w:spacing w:line="280" w:lineRule="exact"/>
              <w:rPr>
                <w:rFonts w:ascii="宋体" w:hAnsi="宋体" w:eastAsia="宋体" w:cs="宋体"/>
                <w:b/>
                <w:color w:val="0000FF"/>
                <w:szCs w:val="21"/>
              </w:rPr>
            </w:pPr>
            <w:r>
              <w:rPr>
                <w:rFonts w:hint="eastAsia" w:ascii="宋体" w:hAnsi="宋体" w:eastAsia="宋体" w:cs="宋体"/>
                <w:b/>
                <w:color w:val="0000FF"/>
                <w:szCs w:val="21"/>
              </w:rPr>
              <w:t>（二）评审标准：</w:t>
            </w:r>
          </w:p>
          <w:p>
            <w:pPr>
              <w:autoSpaceDE w:val="0"/>
              <w:autoSpaceDN w:val="0"/>
              <w:adjustRightInd w:val="0"/>
              <w:spacing w:line="280" w:lineRule="exact"/>
              <w:rPr>
                <w:rFonts w:ascii="宋体" w:hAnsi="宋体" w:eastAsia="宋体" w:cs="宋体"/>
                <w:color w:val="0000FF"/>
                <w:szCs w:val="21"/>
              </w:rPr>
            </w:pPr>
            <w:r>
              <w:rPr>
                <w:rFonts w:hint="eastAsia" w:ascii="宋体" w:hAnsi="宋体" w:eastAsia="宋体" w:cs="宋体"/>
                <w:color w:val="0000FF"/>
                <w:szCs w:val="21"/>
              </w:rPr>
              <w:t>1、提供的方案每满足上述1点的得15分，最高得60分；。</w:t>
            </w:r>
          </w:p>
          <w:p>
            <w:pPr>
              <w:autoSpaceDE w:val="0"/>
              <w:autoSpaceDN w:val="0"/>
              <w:adjustRightInd w:val="0"/>
              <w:spacing w:line="280" w:lineRule="exact"/>
              <w:rPr>
                <w:rFonts w:ascii="宋体" w:hAnsi="宋体" w:eastAsia="宋体" w:cs="宋体"/>
                <w:color w:val="0000FF"/>
                <w:szCs w:val="21"/>
              </w:rPr>
            </w:pPr>
            <w:r>
              <w:rPr>
                <w:rFonts w:hint="eastAsia" w:ascii="宋体" w:hAnsi="宋体" w:eastAsia="宋体" w:cs="宋体"/>
                <w:color w:val="0000FF"/>
                <w:szCs w:val="21"/>
              </w:rPr>
              <w:t>2、在此基础上，由评审委员会对具体响应内容进一步评审：</w:t>
            </w:r>
          </w:p>
          <w:p>
            <w:pPr>
              <w:autoSpaceDE w:val="0"/>
              <w:autoSpaceDN w:val="0"/>
              <w:adjustRightInd w:val="0"/>
              <w:spacing w:line="280" w:lineRule="exact"/>
              <w:rPr>
                <w:rFonts w:ascii="宋体" w:hAnsi="宋体" w:eastAsia="宋体" w:cs="宋体"/>
                <w:color w:val="0000FF"/>
                <w:szCs w:val="21"/>
              </w:rPr>
            </w:pPr>
            <w:r>
              <w:rPr>
                <w:rFonts w:hint="eastAsia" w:ascii="宋体" w:hAnsi="宋体" w:eastAsia="宋体" w:cs="宋体"/>
                <w:color w:val="0000FF"/>
                <w:szCs w:val="21"/>
              </w:rPr>
              <w:t>①方案极合理、条理极清晰、可操作性极强的得40分；</w:t>
            </w:r>
          </w:p>
          <w:p>
            <w:pPr>
              <w:autoSpaceDE w:val="0"/>
              <w:autoSpaceDN w:val="0"/>
              <w:adjustRightInd w:val="0"/>
              <w:spacing w:line="280" w:lineRule="exact"/>
              <w:rPr>
                <w:rFonts w:ascii="宋体" w:hAnsi="宋体" w:eastAsia="宋体" w:cs="宋体"/>
                <w:color w:val="0000FF"/>
                <w:szCs w:val="21"/>
              </w:rPr>
            </w:pPr>
            <w:r>
              <w:rPr>
                <w:rFonts w:hint="eastAsia" w:ascii="宋体" w:hAnsi="宋体" w:eastAsia="宋体" w:cs="宋体"/>
                <w:color w:val="0000FF"/>
                <w:szCs w:val="21"/>
              </w:rPr>
              <w:t>②方案合理、条理清晰、可操作强的得30分；</w:t>
            </w:r>
          </w:p>
          <w:p>
            <w:pPr>
              <w:autoSpaceDE w:val="0"/>
              <w:autoSpaceDN w:val="0"/>
              <w:adjustRightInd w:val="0"/>
              <w:spacing w:line="280" w:lineRule="exact"/>
              <w:rPr>
                <w:rFonts w:ascii="宋体" w:hAnsi="宋体" w:eastAsia="宋体" w:cs="宋体"/>
                <w:color w:val="0000FF"/>
                <w:szCs w:val="21"/>
              </w:rPr>
            </w:pPr>
            <w:r>
              <w:rPr>
                <w:rFonts w:hint="eastAsia" w:ascii="宋体" w:hAnsi="宋体" w:eastAsia="宋体" w:cs="宋体"/>
                <w:color w:val="0000FF"/>
                <w:szCs w:val="21"/>
              </w:rPr>
              <w:t>③方案较合理、条理较清晰、可操作较强的得20分；</w:t>
            </w:r>
          </w:p>
          <w:p>
            <w:pPr>
              <w:autoSpaceDE w:val="0"/>
              <w:autoSpaceDN w:val="0"/>
              <w:adjustRightInd w:val="0"/>
              <w:spacing w:line="280" w:lineRule="exact"/>
              <w:rPr>
                <w:rFonts w:ascii="宋体" w:hAnsi="宋体" w:eastAsia="宋体" w:cs="宋体"/>
                <w:color w:val="0000FF"/>
                <w:szCs w:val="21"/>
              </w:rPr>
            </w:pPr>
            <w:r>
              <w:rPr>
                <w:rFonts w:hint="eastAsia" w:ascii="宋体" w:hAnsi="宋体" w:eastAsia="宋体" w:cs="宋体"/>
                <w:color w:val="0000FF"/>
                <w:szCs w:val="21"/>
              </w:rPr>
              <w:t>④方案一般合理、条理一般、可操作一般的得10分；</w:t>
            </w:r>
          </w:p>
          <w:p>
            <w:pPr>
              <w:autoSpaceDE w:val="0"/>
              <w:autoSpaceDN w:val="0"/>
              <w:adjustRightInd w:val="0"/>
              <w:spacing w:line="280" w:lineRule="exact"/>
              <w:rPr>
                <w:rFonts w:ascii="宋体" w:hAnsi="宋体" w:eastAsia="宋体" w:cs="宋体"/>
                <w:color w:val="0000FF"/>
                <w:szCs w:val="21"/>
                <w:lang w:val="zh-CN"/>
              </w:rPr>
            </w:pPr>
            <w:r>
              <w:rPr>
                <w:rFonts w:hint="eastAsia" w:ascii="宋体" w:hAnsi="宋体" w:eastAsia="宋体" w:cs="宋体"/>
                <w:color w:val="0000FF"/>
                <w:szCs w:val="21"/>
                <w:lang w:val="zh-CN"/>
              </w:rPr>
              <w:t>⑤方案不合理、条理不清晰、可操作性差的得5</w:t>
            </w:r>
            <w:r>
              <w:rPr>
                <w:rFonts w:hint="eastAsia" w:ascii="宋体" w:hAnsi="宋体" w:eastAsia="宋体" w:cs="宋体"/>
                <w:color w:val="0000FF"/>
                <w:szCs w:val="21"/>
              </w:rPr>
              <w:t>分</w:t>
            </w:r>
            <w:r>
              <w:rPr>
                <w:rFonts w:hint="eastAsia" w:ascii="宋体" w:hAnsi="宋体" w:eastAsia="宋体" w:cs="宋体"/>
                <w:color w:val="0000FF"/>
                <w:szCs w:val="21"/>
                <w:lang w:val="zh-CN"/>
              </w:rPr>
              <w:t>；</w:t>
            </w:r>
          </w:p>
          <w:p>
            <w:pPr>
              <w:widowControl/>
              <w:snapToGrid w:val="0"/>
              <w:spacing w:line="320" w:lineRule="exact"/>
              <w:jc w:val="left"/>
              <w:rPr>
                <w:rFonts w:ascii="宋体" w:hAnsi="宋体" w:eastAsia="等线" w:cs="宋体"/>
                <w:szCs w:val="21"/>
              </w:rPr>
            </w:pPr>
            <w:r>
              <w:rPr>
                <w:rFonts w:hint="eastAsia" w:ascii="宋体" w:hAnsi="宋体" w:eastAsia="宋体" w:cs="宋体"/>
                <w:color w:val="0000FF"/>
                <w:szCs w:val="21"/>
              </w:rPr>
              <w:t>⑥方案极不合理、条理极不清晰、可操作极差的不得分。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jc w:val="center"/>
        </w:trPr>
        <w:tc>
          <w:tcPr>
            <w:tcW w:w="700"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line="320" w:lineRule="exact"/>
              <w:rPr>
                <w:rFonts w:ascii="宋体" w:hAnsi="宋体" w:eastAsia="宋体" w:cs="宋体"/>
                <w:b/>
                <w:bCs/>
                <w:szCs w:val="21"/>
              </w:rPr>
            </w:pPr>
          </w:p>
        </w:tc>
        <w:tc>
          <w:tcPr>
            <w:tcW w:w="66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line="32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7</w:t>
            </w:r>
          </w:p>
        </w:tc>
        <w:tc>
          <w:tcPr>
            <w:tcW w:w="179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line="320" w:lineRule="exact"/>
              <w:jc w:val="center"/>
              <w:rPr>
                <w:rFonts w:ascii="宋体" w:hAnsi="宋体" w:eastAsia="宋体" w:cs="宋体"/>
                <w:b/>
                <w:szCs w:val="21"/>
              </w:rPr>
            </w:pPr>
            <w:r>
              <w:rPr>
                <w:rFonts w:hint="eastAsia" w:ascii="宋体" w:hAnsi="宋体" w:eastAsia="宋体" w:cs="宋体"/>
                <w:bCs/>
                <w:szCs w:val="21"/>
              </w:rPr>
              <w:t>售后服务方案评价</w:t>
            </w:r>
          </w:p>
        </w:tc>
        <w:tc>
          <w:tcPr>
            <w:tcW w:w="11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20" w:lineRule="exact"/>
              <w:jc w:val="center"/>
              <w:rPr>
                <w:rFonts w:ascii="宋体" w:hAnsi="宋体" w:eastAsia="宋体" w:cs="宋体"/>
                <w:szCs w:val="21"/>
              </w:rPr>
            </w:pPr>
            <w:r>
              <w:rPr>
                <w:rFonts w:ascii="宋体" w:hAnsi="宋体" w:eastAsia="宋体" w:cs="宋体"/>
                <w:bCs/>
                <w:szCs w:val="21"/>
              </w:rPr>
              <w:t>6</w:t>
            </w:r>
          </w:p>
        </w:tc>
        <w:tc>
          <w:tcPr>
            <w:tcW w:w="4819" w:type="dxa"/>
            <w:tcBorders>
              <w:top w:val="single" w:color="000000" w:sz="8" w:space="0"/>
              <w:left w:val="single" w:color="000000" w:sz="8" w:space="0"/>
              <w:bottom w:val="single" w:color="000000" w:sz="8" w:space="0"/>
              <w:right w:val="single" w:color="000000" w:sz="8" w:space="0"/>
            </w:tcBorders>
            <w:shd w:val="clear" w:color="auto" w:fill="FFFFFF"/>
          </w:tcPr>
          <w:p>
            <w:pPr>
              <w:autoSpaceDE w:val="0"/>
              <w:autoSpaceDN w:val="0"/>
              <w:adjustRightInd w:val="0"/>
              <w:spacing w:line="320" w:lineRule="exact"/>
              <w:rPr>
                <w:rFonts w:ascii="宋体" w:hAnsi="宋体" w:eastAsia="宋体" w:cs="宋体"/>
                <w:b/>
                <w:szCs w:val="21"/>
              </w:rPr>
            </w:pPr>
            <w:r>
              <w:rPr>
                <w:rFonts w:hint="eastAsia" w:ascii="宋体" w:hAnsi="宋体" w:eastAsia="宋体" w:cs="宋体"/>
                <w:b/>
                <w:szCs w:val="21"/>
              </w:rPr>
              <w:t>（一）评审内容：</w:t>
            </w:r>
          </w:p>
          <w:p>
            <w:pPr>
              <w:spacing w:line="320" w:lineRule="exact"/>
              <w:rPr>
                <w:rFonts w:ascii="宋体" w:hAnsi="宋体" w:eastAsia="宋体" w:cs="宋体"/>
                <w:szCs w:val="21"/>
              </w:rPr>
            </w:pPr>
            <w:r>
              <w:rPr>
                <w:rFonts w:hint="eastAsia" w:ascii="宋体" w:hAnsi="宋体" w:eastAsia="宋体" w:cs="宋体"/>
                <w:szCs w:val="21"/>
              </w:rPr>
              <w:t>对投标人提供的售后服务方案进行评价，内容包括但不限于：</w:t>
            </w:r>
          </w:p>
          <w:p>
            <w:pPr>
              <w:spacing w:line="320" w:lineRule="exact"/>
              <w:rPr>
                <w:rFonts w:ascii="宋体" w:hAnsi="宋体" w:eastAsia="宋体" w:cs="宋体"/>
                <w:szCs w:val="21"/>
              </w:rPr>
            </w:pPr>
            <w:r>
              <w:rPr>
                <w:rFonts w:hint="eastAsia" w:ascii="宋体" w:hAnsi="宋体" w:eastAsia="宋体" w:cs="宋体"/>
                <w:szCs w:val="21"/>
              </w:rPr>
              <w:t>1、服务内容方案；</w:t>
            </w:r>
          </w:p>
          <w:p>
            <w:pPr>
              <w:spacing w:line="320" w:lineRule="exact"/>
              <w:rPr>
                <w:rFonts w:ascii="宋体" w:hAnsi="宋体" w:eastAsia="宋体" w:cs="宋体"/>
                <w:szCs w:val="21"/>
              </w:rPr>
            </w:pPr>
            <w:r>
              <w:rPr>
                <w:rFonts w:hint="eastAsia" w:ascii="宋体" w:hAnsi="宋体" w:eastAsia="宋体" w:cs="宋体"/>
                <w:szCs w:val="21"/>
              </w:rPr>
              <w:t>2、响应时间安排；</w:t>
            </w:r>
          </w:p>
          <w:p>
            <w:pPr>
              <w:spacing w:line="320" w:lineRule="exact"/>
              <w:rPr>
                <w:rFonts w:ascii="宋体" w:hAnsi="宋体" w:eastAsia="宋体" w:cs="宋体"/>
                <w:szCs w:val="21"/>
              </w:rPr>
            </w:pPr>
            <w:r>
              <w:rPr>
                <w:rFonts w:hint="eastAsia" w:ascii="宋体" w:hAnsi="宋体" w:eastAsia="宋体" w:cs="宋体"/>
                <w:szCs w:val="21"/>
              </w:rPr>
              <w:t>3、维修应急方案；</w:t>
            </w:r>
          </w:p>
          <w:p>
            <w:pPr>
              <w:spacing w:line="320" w:lineRule="exact"/>
              <w:rPr>
                <w:rFonts w:ascii="宋体" w:hAnsi="宋体" w:eastAsia="宋体" w:cs="宋体"/>
                <w:b/>
                <w:color w:val="0000FF"/>
                <w:szCs w:val="21"/>
              </w:rPr>
            </w:pPr>
            <w:r>
              <w:rPr>
                <w:rFonts w:hint="eastAsia" w:ascii="宋体" w:hAnsi="宋体" w:eastAsia="宋体" w:cs="宋体"/>
                <w:b/>
                <w:color w:val="0000FF"/>
                <w:szCs w:val="21"/>
              </w:rPr>
              <w:t>（二）评审标准：</w:t>
            </w:r>
          </w:p>
          <w:p>
            <w:pPr>
              <w:autoSpaceDE w:val="0"/>
              <w:autoSpaceDN w:val="0"/>
              <w:adjustRightInd w:val="0"/>
              <w:spacing w:line="320" w:lineRule="exact"/>
              <w:rPr>
                <w:rFonts w:ascii="宋体" w:hAnsi="宋体" w:eastAsia="宋体" w:cs="宋体"/>
                <w:color w:val="0000FF"/>
                <w:szCs w:val="21"/>
              </w:rPr>
            </w:pPr>
            <w:r>
              <w:rPr>
                <w:rFonts w:hint="eastAsia" w:ascii="宋体" w:hAnsi="宋体" w:eastAsia="宋体" w:cs="宋体"/>
                <w:color w:val="0000FF"/>
                <w:szCs w:val="21"/>
              </w:rPr>
              <w:t>1、提供的方案每满足上述1点的得20分，最高得60分；</w:t>
            </w:r>
          </w:p>
          <w:p>
            <w:pPr>
              <w:spacing w:line="320" w:lineRule="exact"/>
              <w:rPr>
                <w:rFonts w:ascii="宋体" w:hAnsi="宋体" w:eastAsia="宋体" w:cs="宋体"/>
                <w:color w:val="0000FF"/>
                <w:szCs w:val="21"/>
              </w:rPr>
            </w:pPr>
            <w:r>
              <w:rPr>
                <w:rFonts w:hint="eastAsia" w:ascii="宋体" w:hAnsi="宋体" w:eastAsia="宋体" w:cs="宋体"/>
                <w:color w:val="0000FF"/>
                <w:szCs w:val="21"/>
              </w:rPr>
              <w:t>2、在此基础上，由评审委员会对具体响应内容进一步评审:</w:t>
            </w:r>
          </w:p>
          <w:p>
            <w:pPr>
              <w:spacing w:line="320" w:lineRule="exact"/>
              <w:rPr>
                <w:rFonts w:ascii="宋体" w:hAnsi="宋体" w:eastAsia="宋体" w:cs="宋体"/>
                <w:color w:val="0000FF"/>
                <w:szCs w:val="21"/>
              </w:rPr>
            </w:pPr>
            <w:r>
              <w:rPr>
                <w:rFonts w:hint="eastAsia" w:ascii="宋体" w:hAnsi="宋体" w:eastAsia="宋体" w:cs="宋体"/>
                <w:color w:val="0000FF"/>
                <w:szCs w:val="21"/>
              </w:rPr>
              <w:t>①方案极合理、条理极清晰、可操作性极强的得40分；</w:t>
            </w:r>
          </w:p>
          <w:p>
            <w:pPr>
              <w:spacing w:line="320" w:lineRule="exact"/>
              <w:rPr>
                <w:rFonts w:ascii="宋体" w:hAnsi="宋体" w:eastAsia="宋体" w:cs="宋体"/>
                <w:color w:val="0000FF"/>
                <w:szCs w:val="21"/>
              </w:rPr>
            </w:pPr>
            <w:r>
              <w:rPr>
                <w:rFonts w:hint="eastAsia" w:ascii="宋体" w:hAnsi="宋体" w:eastAsia="宋体" w:cs="宋体"/>
                <w:color w:val="0000FF"/>
                <w:szCs w:val="21"/>
              </w:rPr>
              <w:t>②方案合理、条理清晰、可操作强的得30分；</w:t>
            </w:r>
          </w:p>
          <w:p>
            <w:pPr>
              <w:spacing w:line="320" w:lineRule="exact"/>
              <w:rPr>
                <w:rFonts w:ascii="宋体" w:hAnsi="宋体" w:eastAsia="宋体" w:cs="宋体"/>
                <w:color w:val="0000FF"/>
                <w:szCs w:val="21"/>
              </w:rPr>
            </w:pPr>
            <w:r>
              <w:rPr>
                <w:rFonts w:hint="eastAsia" w:ascii="宋体" w:hAnsi="宋体" w:eastAsia="宋体" w:cs="宋体"/>
                <w:color w:val="0000FF"/>
                <w:szCs w:val="21"/>
              </w:rPr>
              <w:t>③方案较合理、条理较清晰、可操作较强的得20分；</w:t>
            </w:r>
          </w:p>
          <w:p>
            <w:pPr>
              <w:spacing w:line="320" w:lineRule="exact"/>
              <w:rPr>
                <w:rFonts w:ascii="宋体" w:hAnsi="宋体" w:eastAsia="宋体" w:cs="宋体"/>
                <w:color w:val="0000FF"/>
                <w:szCs w:val="21"/>
              </w:rPr>
            </w:pPr>
            <w:r>
              <w:rPr>
                <w:rFonts w:hint="eastAsia" w:ascii="宋体" w:hAnsi="宋体" w:eastAsia="宋体" w:cs="宋体"/>
                <w:color w:val="0000FF"/>
                <w:szCs w:val="21"/>
              </w:rPr>
              <w:t>④方案一般合理、条理一般、可操作一般的得10分；</w:t>
            </w:r>
          </w:p>
          <w:p>
            <w:pPr>
              <w:spacing w:line="320" w:lineRule="exact"/>
              <w:jc w:val="left"/>
              <w:rPr>
                <w:rFonts w:ascii="宋体" w:hAnsi="宋体" w:eastAsia="宋体" w:cs="宋体"/>
                <w:szCs w:val="21"/>
              </w:rPr>
            </w:pPr>
            <w:r>
              <w:rPr>
                <w:rFonts w:hint="eastAsia" w:ascii="宋体" w:hAnsi="宋体" w:eastAsia="宋体" w:cs="宋体"/>
                <w:color w:val="0000FF"/>
                <w:szCs w:val="21"/>
              </w:rPr>
              <w:t>⑤方案极不合理、条理极不清晰、可操作极差的不得分。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jc w:val="center"/>
        </w:trPr>
        <w:tc>
          <w:tcPr>
            <w:tcW w:w="700" w:type="dxa"/>
            <w:vMerge w:val="restart"/>
            <w:tcBorders>
              <w:top w:val="single" w:color="000000" w:sz="8" w:space="0"/>
              <w:left w:val="single" w:color="000000" w:sz="8" w:space="0"/>
              <w:right w:val="single" w:color="000000" w:sz="8" w:space="0"/>
            </w:tcBorders>
            <w:shd w:val="clear" w:color="auto" w:fill="FFFFFF"/>
          </w:tcPr>
          <w:p>
            <w:pPr>
              <w:snapToGrid w:val="0"/>
              <w:spacing w:line="320" w:lineRule="exact"/>
              <w:jc w:val="center"/>
              <w:rPr>
                <w:rFonts w:ascii="宋体" w:hAnsi="宋体" w:eastAsia="宋体" w:cs="宋体"/>
                <w:b/>
                <w:bCs/>
                <w:szCs w:val="21"/>
              </w:rPr>
            </w:pPr>
            <w:r>
              <w:rPr>
                <w:rFonts w:hint="eastAsia" w:ascii="宋体" w:hAnsi="宋体" w:eastAsia="宋体" w:cs="宋体"/>
                <w:b/>
                <w:bCs/>
                <w:szCs w:val="21"/>
              </w:rPr>
              <w:t>3</w:t>
            </w:r>
          </w:p>
        </w:tc>
        <w:tc>
          <w:tcPr>
            <w:tcW w:w="3553" w:type="dxa"/>
            <w:gridSpan w:val="3"/>
            <w:tcBorders>
              <w:top w:val="single" w:color="000000" w:sz="8" w:space="0"/>
              <w:left w:val="single" w:color="000000" w:sz="8" w:space="0"/>
              <w:bottom w:val="single" w:color="000000" w:sz="8" w:space="0"/>
              <w:right w:val="single" w:color="000000" w:sz="8" w:space="0"/>
            </w:tcBorders>
            <w:shd w:val="clear" w:color="auto" w:fill="FFFFFF"/>
          </w:tcPr>
          <w:p>
            <w:pPr>
              <w:snapToGrid w:val="0"/>
              <w:spacing w:line="320" w:lineRule="exact"/>
              <w:jc w:val="center"/>
              <w:rPr>
                <w:rFonts w:ascii="宋体" w:hAnsi="宋体" w:eastAsia="宋体" w:cs="宋体"/>
                <w:b/>
                <w:bCs/>
                <w:szCs w:val="21"/>
              </w:rPr>
            </w:pPr>
            <w:r>
              <w:rPr>
                <w:rFonts w:hint="eastAsia" w:ascii="宋体" w:hAnsi="宋体" w:eastAsia="宋体" w:cs="宋体"/>
                <w:b/>
                <w:bCs/>
                <w:szCs w:val="21"/>
              </w:rPr>
              <w:t>商务部分</w:t>
            </w:r>
          </w:p>
        </w:tc>
        <w:tc>
          <w:tcPr>
            <w:tcW w:w="4819" w:type="dxa"/>
            <w:tcBorders>
              <w:top w:val="single" w:color="000000" w:sz="8" w:space="0"/>
              <w:left w:val="single" w:color="000000" w:sz="8" w:space="0"/>
              <w:bottom w:val="single" w:color="000000" w:sz="8" w:space="0"/>
              <w:right w:val="single" w:color="000000" w:sz="8" w:space="0"/>
            </w:tcBorders>
            <w:shd w:val="clear" w:color="auto" w:fill="FFFFFF"/>
          </w:tcPr>
          <w:p>
            <w:pPr>
              <w:snapToGrid w:val="0"/>
              <w:spacing w:line="320" w:lineRule="exact"/>
              <w:jc w:val="center"/>
              <w:rPr>
                <w:rFonts w:hint="eastAsia" w:ascii="宋体" w:hAnsi="宋体" w:eastAsia="宋体" w:cs="宋体"/>
                <w:b/>
                <w:bCs/>
                <w:szCs w:val="21"/>
                <w:lang w:val="en-US" w:eastAsia="zh-CN"/>
              </w:rPr>
            </w:pPr>
            <w:r>
              <w:rPr>
                <w:rFonts w:hint="eastAsia" w:ascii="宋体" w:hAnsi="宋体" w:eastAsia="宋体" w:cs="宋体"/>
                <w:b/>
                <w:bCs/>
                <w:szCs w:val="21"/>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jc w:val="center"/>
        </w:trPr>
        <w:tc>
          <w:tcPr>
            <w:tcW w:w="700" w:type="dxa"/>
            <w:vMerge w:val="continue"/>
            <w:tcBorders>
              <w:left w:val="single" w:color="000000" w:sz="8" w:space="0"/>
              <w:right w:val="single" w:color="000000" w:sz="8" w:space="0"/>
            </w:tcBorders>
            <w:shd w:val="clear" w:color="auto" w:fill="FFFFFF"/>
            <w:vAlign w:val="center"/>
          </w:tcPr>
          <w:p>
            <w:pPr>
              <w:snapToGrid w:val="0"/>
              <w:spacing w:line="320" w:lineRule="exact"/>
              <w:rPr>
                <w:rFonts w:ascii="宋体" w:hAnsi="宋体" w:eastAsia="宋体" w:cs="宋体"/>
                <w:b/>
                <w:bCs/>
                <w:szCs w:val="21"/>
              </w:rPr>
            </w:pPr>
          </w:p>
        </w:tc>
        <w:tc>
          <w:tcPr>
            <w:tcW w:w="66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napToGrid w:val="0"/>
              <w:spacing w:line="320" w:lineRule="exact"/>
              <w:jc w:val="center"/>
              <w:rPr>
                <w:rFonts w:ascii="宋体" w:hAnsi="宋体" w:eastAsia="宋体" w:cs="宋体"/>
                <w:b/>
                <w:bCs/>
                <w:szCs w:val="21"/>
              </w:rPr>
            </w:pPr>
            <w:r>
              <w:rPr>
                <w:rFonts w:hint="eastAsia" w:ascii="宋体" w:hAnsi="宋体" w:eastAsia="宋体" w:cs="宋体"/>
                <w:b/>
                <w:bCs/>
                <w:szCs w:val="21"/>
              </w:rPr>
              <w:t>序号</w:t>
            </w:r>
          </w:p>
        </w:tc>
        <w:tc>
          <w:tcPr>
            <w:tcW w:w="179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napToGrid w:val="0"/>
              <w:spacing w:line="320" w:lineRule="exact"/>
              <w:jc w:val="center"/>
              <w:rPr>
                <w:rFonts w:ascii="宋体" w:hAnsi="宋体" w:eastAsia="宋体" w:cs="宋体"/>
                <w:b/>
                <w:bCs/>
                <w:szCs w:val="21"/>
              </w:rPr>
            </w:pPr>
            <w:r>
              <w:rPr>
                <w:rFonts w:hint="eastAsia" w:ascii="宋体" w:hAnsi="宋体" w:eastAsia="宋体" w:cs="宋体"/>
                <w:b/>
                <w:bCs/>
                <w:szCs w:val="21"/>
              </w:rPr>
              <w:t>评分因素</w:t>
            </w:r>
          </w:p>
        </w:tc>
        <w:tc>
          <w:tcPr>
            <w:tcW w:w="110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napToGrid w:val="0"/>
              <w:spacing w:line="320" w:lineRule="exact"/>
              <w:jc w:val="center"/>
              <w:rPr>
                <w:rFonts w:ascii="宋体" w:hAnsi="宋体" w:eastAsia="宋体" w:cs="宋体"/>
                <w:b/>
                <w:bCs/>
                <w:szCs w:val="21"/>
              </w:rPr>
            </w:pPr>
            <w:r>
              <w:rPr>
                <w:rFonts w:hint="eastAsia" w:ascii="宋体" w:hAnsi="宋体" w:eastAsia="宋体" w:cs="宋体"/>
                <w:b/>
                <w:bCs/>
                <w:szCs w:val="21"/>
              </w:rPr>
              <w:t>权重（%）</w:t>
            </w:r>
          </w:p>
        </w:tc>
        <w:tc>
          <w:tcPr>
            <w:tcW w:w="4819" w:type="dxa"/>
            <w:tcBorders>
              <w:top w:val="outset" w:color="000000" w:sz="6" w:space="0"/>
              <w:left w:val="outset" w:color="000000" w:sz="6" w:space="0"/>
              <w:bottom w:val="outset" w:color="000000" w:sz="6" w:space="0"/>
              <w:right w:val="outset" w:color="000000" w:sz="6" w:space="0"/>
            </w:tcBorders>
            <w:shd w:val="clear" w:color="auto" w:fill="FFFFFF"/>
            <w:vAlign w:val="center"/>
          </w:tcPr>
          <w:p>
            <w:pPr>
              <w:snapToGrid w:val="0"/>
              <w:spacing w:line="320" w:lineRule="exact"/>
              <w:jc w:val="center"/>
              <w:rPr>
                <w:rFonts w:ascii="宋体" w:hAnsi="宋体" w:eastAsia="宋体" w:cs="宋体"/>
                <w:b/>
                <w:bCs/>
                <w:szCs w:val="21"/>
              </w:rPr>
            </w:pPr>
            <w:r>
              <w:rPr>
                <w:rFonts w:hint="eastAsia" w:ascii="宋体" w:hAnsi="宋体" w:eastAsia="宋体" w:cs="宋体"/>
                <w:b/>
                <w:bCs/>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00" w:type="dxa"/>
            <w:vMerge w:val="continue"/>
            <w:tcBorders>
              <w:left w:val="single" w:color="000000" w:sz="8" w:space="0"/>
              <w:right w:val="single" w:color="000000" w:sz="8" w:space="0"/>
            </w:tcBorders>
            <w:shd w:val="clear" w:color="auto" w:fill="FFFFFF"/>
            <w:vAlign w:val="center"/>
          </w:tcPr>
          <w:p>
            <w:pPr>
              <w:snapToGrid w:val="0"/>
              <w:spacing w:line="320" w:lineRule="exact"/>
              <w:rPr>
                <w:rFonts w:ascii="宋体" w:hAnsi="宋体" w:eastAsia="宋体" w:cs="宋体"/>
                <w:b/>
                <w:bCs/>
                <w:szCs w:val="21"/>
              </w:rPr>
            </w:pPr>
          </w:p>
        </w:tc>
        <w:tc>
          <w:tcPr>
            <w:tcW w:w="66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line="320" w:lineRule="exact"/>
              <w:jc w:val="center"/>
              <w:rPr>
                <w:rFonts w:ascii="宋体" w:hAnsi="宋体" w:eastAsia="宋体" w:cs="宋体"/>
                <w:szCs w:val="21"/>
              </w:rPr>
            </w:pPr>
            <w:r>
              <w:rPr>
                <w:rFonts w:hint="eastAsia" w:ascii="宋体" w:hAnsi="宋体" w:eastAsia="宋体" w:cs="宋体"/>
                <w:szCs w:val="21"/>
              </w:rPr>
              <w:t>1</w:t>
            </w:r>
          </w:p>
        </w:tc>
        <w:tc>
          <w:tcPr>
            <w:tcW w:w="179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line="320" w:lineRule="exact"/>
              <w:jc w:val="center"/>
              <w:rPr>
                <w:rFonts w:ascii="宋体" w:hAnsi="宋体" w:eastAsia="宋体" w:cs="宋体"/>
                <w:szCs w:val="21"/>
              </w:rPr>
            </w:pPr>
            <w:bookmarkStart w:id="2" w:name="OLE_LINK3"/>
            <w:bookmarkStart w:id="3" w:name="OLE_LINK4"/>
            <w:r>
              <w:rPr>
                <w:rFonts w:hint="eastAsia" w:ascii="宋体" w:hAnsi="宋体" w:eastAsia="宋体" w:cs="宋体"/>
                <w:szCs w:val="21"/>
              </w:rPr>
              <w:t>同类项目经验评价</w:t>
            </w:r>
            <w:bookmarkEnd w:id="2"/>
            <w:bookmarkEnd w:id="3"/>
          </w:p>
        </w:tc>
        <w:tc>
          <w:tcPr>
            <w:tcW w:w="11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line="320" w:lineRule="exact"/>
              <w:jc w:val="center"/>
              <w:rPr>
                <w:rFonts w:ascii="宋体" w:hAnsi="宋体" w:eastAsia="宋体" w:cs="宋体"/>
                <w:szCs w:val="21"/>
              </w:rPr>
            </w:pPr>
            <w:r>
              <w:rPr>
                <w:rFonts w:ascii="宋体" w:hAnsi="宋体" w:eastAsia="宋体" w:cs="宋体"/>
                <w:szCs w:val="21"/>
              </w:rPr>
              <w:t>3</w:t>
            </w:r>
          </w:p>
        </w:tc>
        <w:tc>
          <w:tcPr>
            <w:tcW w:w="4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80" w:lineRule="exact"/>
              <w:jc w:val="left"/>
              <w:rPr>
                <w:rFonts w:ascii="宋体" w:hAnsi="宋体" w:eastAsia="宋体" w:cs="宋体"/>
                <w:b/>
                <w:szCs w:val="21"/>
              </w:rPr>
            </w:pPr>
            <w:r>
              <w:rPr>
                <w:rFonts w:hint="eastAsia" w:ascii="宋体" w:hAnsi="宋体" w:eastAsia="宋体" w:cs="宋体"/>
                <w:b/>
                <w:szCs w:val="21"/>
              </w:rPr>
              <w:t>（一）评审内容：</w:t>
            </w:r>
          </w:p>
          <w:p>
            <w:pPr>
              <w:snapToGrid w:val="0"/>
              <w:spacing w:line="280" w:lineRule="exact"/>
              <w:rPr>
                <w:rFonts w:ascii="宋体" w:hAnsi="宋体" w:eastAsia="宋体" w:cs="宋体"/>
                <w:szCs w:val="21"/>
              </w:rPr>
            </w:pPr>
            <w:r>
              <w:rPr>
                <w:rFonts w:hint="eastAsia" w:ascii="宋体" w:hAnsi="宋体" w:eastAsia="宋体" w:cs="宋体"/>
                <w:szCs w:val="21"/>
              </w:rPr>
              <w:t>自2022年1月1日以来（以合同签订时间为准），投标人具有与本项目同类（幼儿园家具或幼儿</w:t>
            </w:r>
            <w:r>
              <w:rPr>
                <w:rFonts w:hint="eastAsia" w:ascii="宋体" w:hAnsi="宋体" w:eastAsia="宋体" w:cs="宋体"/>
                <w:szCs w:val="21"/>
                <w:lang w:val="en-US" w:eastAsia="zh-CN"/>
              </w:rPr>
              <w:t>园</w:t>
            </w:r>
            <w:r>
              <w:rPr>
                <w:rFonts w:hint="eastAsia" w:ascii="宋体" w:hAnsi="宋体" w:eastAsia="宋体" w:cs="宋体"/>
                <w:szCs w:val="21"/>
              </w:rPr>
              <w:t>班组设备）项目经验，且履约评价为优或满意（或同等评价）的，每提供1个得20分，最高得100分。</w:t>
            </w:r>
          </w:p>
          <w:p>
            <w:pPr>
              <w:spacing w:line="280" w:lineRule="exact"/>
              <w:jc w:val="left"/>
              <w:rPr>
                <w:rFonts w:ascii="宋体" w:hAnsi="宋体" w:eastAsia="宋体" w:cs="宋体"/>
                <w:b/>
                <w:color w:val="0000FF"/>
                <w:szCs w:val="21"/>
              </w:rPr>
            </w:pPr>
            <w:r>
              <w:rPr>
                <w:rFonts w:hint="eastAsia" w:ascii="宋体" w:hAnsi="宋体" w:eastAsia="宋体" w:cs="宋体"/>
                <w:b/>
                <w:color w:val="0000FF"/>
                <w:szCs w:val="21"/>
              </w:rPr>
              <w:t>（二）评审标准：</w:t>
            </w:r>
          </w:p>
          <w:p>
            <w:pPr>
              <w:spacing w:line="280" w:lineRule="exact"/>
              <w:rPr>
                <w:rFonts w:ascii="宋体" w:hAnsi="宋体" w:eastAsia="宋体" w:cs="宋体"/>
                <w:color w:val="0000FF"/>
                <w:szCs w:val="21"/>
              </w:rPr>
            </w:pPr>
            <w:r>
              <w:rPr>
                <w:rFonts w:hint="eastAsia" w:ascii="宋体" w:hAnsi="宋体" w:eastAsia="宋体" w:cs="宋体"/>
                <w:color w:val="0000FF"/>
                <w:szCs w:val="21"/>
              </w:rPr>
              <w:t>1、同时提供：①经验项目合同关键页（含签订合同双方的单位名称、合同项目名称、合同双方的落款盖章、签订日期等）扫描件；②配置清单；③加盖甲方（合同相对方）公章或业务章的履约评价</w:t>
            </w:r>
            <w:r>
              <w:rPr>
                <w:rFonts w:hint="eastAsia" w:ascii="宋体" w:hAnsi="宋体" w:eastAsia="宋体" w:cs="宋体"/>
                <w:color w:val="0000FF"/>
                <w:szCs w:val="21"/>
                <w:lang w:val="en-US" w:eastAsia="zh-CN"/>
              </w:rPr>
              <w:t>证明材料</w:t>
            </w:r>
            <w:r>
              <w:rPr>
                <w:rFonts w:hint="eastAsia" w:ascii="宋体" w:hAnsi="宋体" w:eastAsia="宋体" w:cs="宋体"/>
                <w:color w:val="0000FF"/>
                <w:szCs w:val="21"/>
              </w:rPr>
              <w:t>。</w:t>
            </w:r>
          </w:p>
          <w:p>
            <w:pPr>
              <w:spacing w:line="320" w:lineRule="exact"/>
              <w:rPr>
                <w:rFonts w:ascii="宋体" w:hAnsi="宋体" w:eastAsia="宋体" w:cs="宋体"/>
                <w:bCs/>
                <w:szCs w:val="21"/>
                <w:highlight w:val="green"/>
              </w:rPr>
            </w:pPr>
            <w:r>
              <w:rPr>
                <w:rFonts w:hint="eastAsia" w:ascii="宋体" w:hAnsi="宋体" w:eastAsia="宋体" w:cs="宋体"/>
                <w:color w:val="0000FF"/>
                <w:szCs w:val="21"/>
              </w:rPr>
              <w:t>2、未按要求提供证明材料（或证明材料无法判断是否符合评分要求）的不得分，原件备查。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00" w:type="dxa"/>
            <w:vMerge w:val="restart"/>
            <w:tcBorders>
              <w:top w:val="single" w:color="000000" w:sz="8" w:space="0"/>
              <w:left w:val="single" w:color="000000" w:sz="8" w:space="0"/>
              <w:bottom w:val="single" w:color="000000" w:sz="8" w:space="0"/>
              <w:right w:val="single" w:color="000000" w:sz="8" w:space="0"/>
            </w:tcBorders>
            <w:shd w:val="clear" w:color="auto" w:fill="FFFFFF"/>
          </w:tcPr>
          <w:p>
            <w:pPr>
              <w:snapToGrid w:val="0"/>
              <w:spacing w:line="320" w:lineRule="exact"/>
              <w:jc w:val="center"/>
              <w:rPr>
                <w:rFonts w:ascii="宋体" w:hAnsi="宋体" w:eastAsia="宋体" w:cs="宋体"/>
                <w:b/>
                <w:bCs/>
                <w:szCs w:val="21"/>
              </w:rPr>
            </w:pPr>
            <w:r>
              <w:rPr>
                <w:rFonts w:hint="eastAsia" w:ascii="宋体" w:hAnsi="宋体" w:eastAsia="宋体" w:cs="宋体"/>
                <w:b/>
                <w:bCs/>
                <w:szCs w:val="21"/>
              </w:rPr>
              <w:t>4</w:t>
            </w:r>
          </w:p>
        </w:tc>
        <w:tc>
          <w:tcPr>
            <w:tcW w:w="3553" w:type="dxa"/>
            <w:gridSpan w:val="3"/>
            <w:tcBorders>
              <w:top w:val="single" w:color="000000" w:sz="8" w:space="0"/>
              <w:left w:val="single" w:color="000000" w:sz="8" w:space="0"/>
              <w:bottom w:val="single" w:color="000000" w:sz="8" w:space="0"/>
              <w:right w:val="single" w:color="000000" w:sz="8" w:space="0"/>
            </w:tcBorders>
            <w:shd w:val="clear" w:color="auto" w:fill="FFFFFF"/>
          </w:tcPr>
          <w:p>
            <w:pPr>
              <w:snapToGrid w:val="0"/>
              <w:spacing w:line="320" w:lineRule="exact"/>
              <w:jc w:val="center"/>
              <w:rPr>
                <w:rFonts w:ascii="宋体" w:hAnsi="宋体" w:eastAsia="宋体" w:cs="宋体"/>
                <w:b/>
                <w:bCs/>
                <w:szCs w:val="21"/>
              </w:rPr>
            </w:pPr>
            <w:r>
              <w:rPr>
                <w:rFonts w:hint="eastAsia" w:ascii="宋体" w:hAnsi="宋体" w:eastAsia="宋体" w:cs="宋体"/>
                <w:b/>
                <w:bCs/>
                <w:szCs w:val="21"/>
              </w:rPr>
              <w:t>其他部分</w:t>
            </w:r>
          </w:p>
        </w:tc>
        <w:tc>
          <w:tcPr>
            <w:tcW w:w="4819" w:type="dxa"/>
            <w:tcBorders>
              <w:top w:val="single" w:color="000000" w:sz="8" w:space="0"/>
              <w:left w:val="single" w:color="000000" w:sz="8" w:space="0"/>
              <w:bottom w:val="single" w:color="000000" w:sz="8" w:space="0"/>
              <w:right w:val="single" w:color="000000" w:sz="8" w:space="0"/>
            </w:tcBorders>
            <w:shd w:val="clear" w:color="auto" w:fill="FFFFFF"/>
          </w:tcPr>
          <w:p>
            <w:pPr>
              <w:snapToGrid w:val="0"/>
              <w:spacing w:line="320" w:lineRule="exact"/>
              <w:jc w:val="center"/>
              <w:rPr>
                <w:rFonts w:ascii="宋体" w:hAnsi="宋体" w:eastAsia="宋体" w:cs="宋体"/>
                <w:b/>
                <w:bCs/>
                <w:szCs w:val="21"/>
              </w:rPr>
            </w:pPr>
            <w:r>
              <w:rPr>
                <w:rFonts w:hint="eastAsia" w:ascii="宋体" w:hAnsi="宋体" w:eastAsia="宋体" w:cs="宋体"/>
                <w:b/>
                <w:bCs/>
                <w:szCs w:val="21"/>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jc w:val="center"/>
        </w:trPr>
        <w:tc>
          <w:tcPr>
            <w:tcW w:w="700"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line="320" w:lineRule="exact"/>
              <w:rPr>
                <w:rFonts w:ascii="宋体" w:hAnsi="宋体" w:eastAsia="宋体" w:cs="宋体"/>
                <w:b/>
                <w:bCs/>
                <w:szCs w:val="21"/>
              </w:rPr>
            </w:pPr>
          </w:p>
        </w:tc>
        <w:tc>
          <w:tcPr>
            <w:tcW w:w="66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napToGrid w:val="0"/>
              <w:spacing w:line="320" w:lineRule="exact"/>
              <w:jc w:val="center"/>
              <w:rPr>
                <w:rFonts w:ascii="宋体" w:hAnsi="宋体" w:eastAsia="宋体" w:cs="宋体"/>
                <w:b/>
                <w:bCs/>
                <w:szCs w:val="21"/>
              </w:rPr>
            </w:pPr>
            <w:r>
              <w:rPr>
                <w:rFonts w:hint="eastAsia" w:ascii="宋体" w:hAnsi="宋体" w:eastAsia="宋体" w:cs="宋体"/>
                <w:b/>
                <w:bCs/>
                <w:szCs w:val="21"/>
              </w:rPr>
              <w:t>序号</w:t>
            </w:r>
          </w:p>
        </w:tc>
        <w:tc>
          <w:tcPr>
            <w:tcW w:w="1793" w:type="dxa"/>
            <w:tcBorders>
              <w:top w:val="outset" w:color="000000" w:sz="6" w:space="0"/>
              <w:left w:val="outset" w:color="000000" w:sz="6" w:space="0"/>
              <w:bottom w:val="outset" w:color="000000" w:sz="6" w:space="0"/>
              <w:right w:val="outset" w:color="000000" w:sz="6" w:space="0"/>
            </w:tcBorders>
            <w:shd w:val="clear" w:color="auto" w:fill="FFFFFF"/>
            <w:vAlign w:val="center"/>
          </w:tcPr>
          <w:p>
            <w:pPr>
              <w:snapToGrid w:val="0"/>
              <w:spacing w:line="320" w:lineRule="exact"/>
              <w:jc w:val="center"/>
              <w:rPr>
                <w:rFonts w:ascii="宋体" w:hAnsi="宋体" w:eastAsia="宋体" w:cs="宋体"/>
                <w:b/>
                <w:bCs/>
                <w:szCs w:val="21"/>
              </w:rPr>
            </w:pPr>
            <w:r>
              <w:rPr>
                <w:rFonts w:hint="eastAsia" w:ascii="宋体" w:hAnsi="宋体" w:eastAsia="宋体" w:cs="宋体"/>
                <w:b/>
                <w:bCs/>
                <w:szCs w:val="21"/>
              </w:rPr>
              <w:t>评分因素</w:t>
            </w:r>
          </w:p>
        </w:tc>
        <w:tc>
          <w:tcPr>
            <w:tcW w:w="110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napToGrid w:val="0"/>
              <w:spacing w:line="320" w:lineRule="exact"/>
              <w:jc w:val="center"/>
              <w:rPr>
                <w:rFonts w:ascii="宋体" w:hAnsi="宋体" w:eastAsia="宋体" w:cs="宋体"/>
                <w:b/>
                <w:bCs/>
                <w:szCs w:val="21"/>
              </w:rPr>
            </w:pPr>
            <w:r>
              <w:rPr>
                <w:rFonts w:hint="eastAsia" w:ascii="宋体" w:hAnsi="宋体" w:eastAsia="宋体" w:cs="宋体"/>
                <w:b/>
                <w:bCs/>
                <w:szCs w:val="21"/>
              </w:rPr>
              <w:t>权重（%）</w:t>
            </w:r>
          </w:p>
        </w:tc>
        <w:tc>
          <w:tcPr>
            <w:tcW w:w="4819" w:type="dxa"/>
            <w:tcBorders>
              <w:top w:val="outset" w:color="000000" w:sz="6" w:space="0"/>
              <w:left w:val="outset" w:color="000000" w:sz="6" w:space="0"/>
              <w:bottom w:val="outset" w:color="000000" w:sz="6" w:space="0"/>
              <w:right w:val="outset" w:color="000000" w:sz="6" w:space="0"/>
            </w:tcBorders>
            <w:shd w:val="clear" w:color="auto" w:fill="FFFFFF"/>
            <w:vAlign w:val="center"/>
          </w:tcPr>
          <w:p>
            <w:pPr>
              <w:snapToGrid w:val="0"/>
              <w:spacing w:line="320" w:lineRule="exact"/>
              <w:jc w:val="center"/>
              <w:rPr>
                <w:rFonts w:ascii="宋体" w:hAnsi="宋体" w:eastAsia="宋体" w:cs="宋体"/>
                <w:b/>
                <w:bCs/>
                <w:szCs w:val="21"/>
              </w:rPr>
            </w:pPr>
            <w:r>
              <w:rPr>
                <w:rFonts w:hint="eastAsia" w:ascii="宋体" w:hAnsi="宋体" w:eastAsia="宋体" w:cs="宋体"/>
                <w:b/>
                <w:bCs/>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00"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line="320" w:lineRule="exact"/>
              <w:rPr>
                <w:rFonts w:ascii="宋体" w:hAnsi="宋体" w:eastAsia="宋体" w:cs="宋体"/>
                <w:b/>
                <w:bCs/>
                <w:szCs w:val="21"/>
              </w:rPr>
            </w:pPr>
          </w:p>
        </w:tc>
        <w:tc>
          <w:tcPr>
            <w:tcW w:w="66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line="320" w:lineRule="exact"/>
              <w:jc w:val="center"/>
              <w:rPr>
                <w:rFonts w:ascii="宋体" w:hAnsi="宋体" w:eastAsia="宋体" w:cs="宋体"/>
                <w:szCs w:val="21"/>
              </w:rPr>
            </w:pPr>
            <w:r>
              <w:rPr>
                <w:rFonts w:hint="eastAsia" w:ascii="宋体" w:hAnsi="宋体" w:eastAsia="宋体" w:cs="宋体"/>
                <w:szCs w:val="21"/>
              </w:rPr>
              <w:t>1</w:t>
            </w:r>
          </w:p>
        </w:tc>
        <w:tc>
          <w:tcPr>
            <w:tcW w:w="179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line="320" w:lineRule="exact"/>
              <w:jc w:val="center"/>
              <w:rPr>
                <w:rFonts w:ascii="宋体" w:hAnsi="宋体" w:eastAsia="宋体" w:cs="宋体"/>
                <w:szCs w:val="21"/>
              </w:rPr>
            </w:pPr>
            <w:r>
              <w:rPr>
                <w:rFonts w:hint="eastAsia" w:ascii="宋体" w:hAnsi="宋体" w:eastAsia="宋体" w:cs="宋体"/>
                <w:szCs w:val="21"/>
              </w:rPr>
              <w:t>诚信情况</w:t>
            </w:r>
          </w:p>
        </w:tc>
        <w:tc>
          <w:tcPr>
            <w:tcW w:w="110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spacing w:line="320" w:lineRule="exact"/>
              <w:jc w:val="center"/>
              <w:rPr>
                <w:rFonts w:ascii="宋体" w:hAnsi="宋体" w:eastAsia="宋体" w:cs="宋体"/>
                <w:szCs w:val="21"/>
              </w:rPr>
            </w:pPr>
            <w:r>
              <w:rPr>
                <w:rFonts w:hint="eastAsia" w:ascii="宋体" w:hAnsi="宋体" w:eastAsia="宋体" w:cs="宋体"/>
                <w:szCs w:val="21"/>
              </w:rPr>
              <w:t>5</w:t>
            </w:r>
          </w:p>
        </w:tc>
        <w:tc>
          <w:tcPr>
            <w:tcW w:w="4819" w:type="dxa"/>
            <w:tcBorders>
              <w:top w:val="single" w:color="000000" w:sz="8" w:space="0"/>
              <w:left w:val="single" w:color="000000" w:sz="8" w:space="0"/>
              <w:bottom w:val="single" w:color="000000" w:sz="8" w:space="0"/>
              <w:right w:val="single" w:color="000000" w:sz="8" w:space="0"/>
            </w:tcBorders>
            <w:shd w:val="clear" w:color="auto" w:fill="FFFFFF"/>
          </w:tcPr>
          <w:p>
            <w:pPr>
              <w:keepNext w:val="0"/>
              <w:keepLines w:val="0"/>
              <w:pageBreakBefore w:val="0"/>
              <w:widowControl w:val="0"/>
              <w:kinsoku/>
              <w:wordWrap w:val="0"/>
              <w:overflowPunct/>
              <w:topLinePunct w:val="0"/>
              <w:autoSpaceDE/>
              <w:autoSpaceDN/>
              <w:bidi w:val="0"/>
              <w:adjustRightInd/>
              <w:snapToGrid/>
              <w:spacing w:after="120" w:line="240" w:lineRule="auto"/>
              <w:ind w:firstLine="420" w:firstLineChars="20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有关供应商诚信查询结果。</w:t>
            </w:r>
          </w:p>
          <w:p>
            <w:pPr>
              <w:snapToGrid w:val="0"/>
              <w:spacing w:line="320" w:lineRule="exact"/>
              <w:rPr>
                <w:rFonts w:ascii="宋体" w:hAnsi="宋体" w:eastAsia="宋体" w:cs="宋体"/>
                <w:szCs w:val="21"/>
              </w:rPr>
            </w:pPr>
            <w:r>
              <w:rPr>
                <w:rFonts w:hint="eastAsia" w:ascii="宋体" w:hAnsi="宋体" w:eastAsia="宋体" w:cs="宋体"/>
                <w:b w:val="0"/>
                <w:bCs w:val="0"/>
                <w:sz w:val="21"/>
                <w:szCs w:val="21"/>
                <w:lang w:val="en-US" w:eastAsia="zh-CN"/>
              </w:rPr>
              <w:t>查询渠道：通过“信用中国”（www.creditchina.gov.cn，下载信用信息报告）、“中国政府采购网”（www.ccgp.gov.cn）以及“深圳市政府采购监管网”（http://zfcg.sz.gov.cn）查询供应商信用信息，信用信息以开标当日的查询结果为准。</w:t>
            </w:r>
          </w:p>
        </w:tc>
      </w:tr>
    </w:tbl>
    <w:p>
      <w:pPr>
        <w:pStyle w:val="2"/>
        <w:sectPr>
          <w:pgSz w:w="11907" w:h="16840"/>
          <w:pgMar w:top="1440" w:right="1418" w:bottom="1440" w:left="1418" w:header="851" w:footer="992" w:gutter="0"/>
          <w:cols w:space="425" w:num="1"/>
          <w:titlePg/>
          <w:docGrid w:linePitch="462" w:charSpace="0"/>
        </w:sectPr>
      </w:pPr>
    </w:p>
    <w:p>
      <w:pPr>
        <w:jc w:val="center"/>
        <w:rPr>
          <w:b/>
          <w:sz w:val="84"/>
          <w:szCs w:val="84"/>
        </w:rPr>
      </w:pPr>
    </w:p>
    <w:p>
      <w:pPr>
        <w:jc w:val="center"/>
        <w:rPr>
          <w:b/>
          <w:sz w:val="84"/>
          <w:szCs w:val="84"/>
        </w:rPr>
      </w:pPr>
    </w:p>
    <w:p>
      <w:pPr>
        <w:jc w:val="center"/>
        <w:rPr>
          <w:b/>
          <w:sz w:val="84"/>
          <w:szCs w:val="84"/>
        </w:rPr>
      </w:pPr>
    </w:p>
    <w:p>
      <w:pPr>
        <w:jc w:val="center"/>
        <w:rPr>
          <w:rFonts w:hint="eastAsia" w:eastAsiaTheme="minorEastAsia"/>
          <w:b/>
          <w:sz w:val="120"/>
          <w:szCs w:val="120"/>
          <w:lang w:eastAsia="zh-CN"/>
        </w:rPr>
      </w:pPr>
      <w:r>
        <w:rPr>
          <w:rFonts w:hint="eastAsia"/>
          <w:b/>
          <w:sz w:val="120"/>
          <w:szCs w:val="120"/>
          <w:lang w:eastAsia="zh-CN"/>
        </w:rPr>
        <w:t>自行采购</w:t>
      </w:r>
    </w:p>
    <w:p>
      <w:pPr>
        <w:jc w:val="center"/>
        <w:rPr>
          <w:b/>
          <w:sz w:val="120"/>
          <w:szCs w:val="120"/>
        </w:rPr>
      </w:pPr>
      <w:r>
        <w:rPr>
          <w:rFonts w:hint="eastAsia"/>
          <w:b/>
          <w:sz w:val="120"/>
          <w:szCs w:val="120"/>
        </w:rPr>
        <w:t>招标文件</w:t>
      </w:r>
    </w:p>
    <w:p>
      <w:pPr>
        <w:jc w:val="center"/>
        <w:rPr>
          <w:b/>
          <w:sz w:val="52"/>
          <w:szCs w:val="52"/>
        </w:rPr>
      </w:pPr>
      <w:r>
        <w:rPr>
          <w:rFonts w:hint="eastAsia"/>
          <w:b/>
          <w:sz w:val="52"/>
          <w:szCs w:val="52"/>
        </w:rPr>
        <w:t>（货物类）</w:t>
      </w:r>
    </w:p>
    <w:p/>
    <w:p/>
    <w:p/>
    <w:p/>
    <w:p/>
    <w:p/>
    <w:p/>
    <w:p/>
    <w:p/>
    <w:p/>
    <w:p/>
    <w:p/>
    <w:p/>
    <w:p/>
    <w:p/>
    <w:p/>
    <w:p/>
    <w:p/>
    <w:p/>
    <w:p>
      <w:pPr>
        <w:jc w:val="center"/>
        <w:rPr>
          <w:b/>
          <w:sz w:val="44"/>
          <w:szCs w:val="44"/>
        </w:rPr>
      </w:pPr>
      <w:bookmarkStart w:id="4" w:name="_Hlk71465316"/>
      <w:r>
        <w:rPr>
          <w:rFonts w:hint="eastAsia"/>
          <w:b/>
          <w:sz w:val="44"/>
          <w:szCs w:val="44"/>
        </w:rPr>
        <w:t>深圳公共资源交易中心</w:t>
      </w:r>
    </w:p>
    <w:p>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4"/>
    <w:p>
      <w:pPr>
        <w:widowControl/>
        <w:jc w:val="center"/>
      </w:pPr>
    </w:p>
    <w:p>
      <w:pPr>
        <w:widowControl/>
        <w:jc w:val="center"/>
      </w:pPr>
      <w:r>
        <w:br w:type="page"/>
      </w:r>
    </w:p>
    <w:p>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5" w:name="_Hlk72218009"/>
      <w:r>
        <w:rPr>
          <w:rFonts w:hint="eastAsia" w:ascii="黑体" w:hAnsi="黑体" w:eastAsia="黑体" w:cs="黑体"/>
          <w:b/>
          <w:bCs/>
          <w:sz w:val="28"/>
          <w:szCs w:val="36"/>
        </w:rPr>
        <w:t>目   录</w:t>
      </w:r>
    </w:p>
    <w:p>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pPr>
        <w:ind w:firstLine="960" w:firstLineChars="400"/>
        <w:rPr>
          <w:sz w:val="24"/>
        </w:rPr>
      </w:pPr>
      <w:r>
        <w:rPr>
          <w:rFonts w:hint="eastAsia"/>
          <w:sz w:val="24"/>
        </w:rPr>
        <w:t>关键信息</w:t>
      </w:r>
    </w:p>
    <w:p>
      <w:pPr>
        <w:ind w:left="630" w:leftChars="300" w:firstLine="630" w:firstLineChars="300"/>
        <w:rPr>
          <w:rFonts w:ascii="宋体" w:hAnsi="宋体"/>
          <w:szCs w:val="21"/>
        </w:rPr>
      </w:pPr>
      <w:r>
        <w:rPr>
          <w:rFonts w:hint="eastAsia" w:ascii="宋体" w:hAnsi="宋体"/>
          <w:szCs w:val="21"/>
        </w:rPr>
        <w:t>第一章  招标公告</w:t>
      </w:r>
    </w:p>
    <w:p>
      <w:pPr>
        <w:ind w:left="630" w:leftChars="300" w:firstLine="630" w:firstLineChars="300"/>
        <w:rPr>
          <w:rFonts w:ascii="宋体" w:hAnsi="宋体"/>
          <w:szCs w:val="21"/>
        </w:rPr>
      </w:pPr>
      <w:r>
        <w:rPr>
          <w:rFonts w:hint="eastAsia" w:ascii="宋体" w:hAnsi="宋体"/>
          <w:szCs w:val="21"/>
        </w:rPr>
        <w:t xml:space="preserve">第二章  </w:t>
      </w:r>
      <w:bookmarkStart w:id="6" w:name="_Hlk71994379"/>
      <w:r>
        <w:rPr>
          <w:rFonts w:hint="eastAsia" w:ascii="宋体" w:hAnsi="宋体"/>
          <w:szCs w:val="21"/>
        </w:rPr>
        <w:t>对通用条款的补充内容及其他关键信息</w:t>
      </w:r>
      <w:bookmarkEnd w:id="6"/>
    </w:p>
    <w:p>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pPr>
        <w:ind w:left="630" w:leftChars="300" w:firstLine="630" w:firstLineChars="300"/>
        <w:rPr>
          <w:rFonts w:ascii="宋体" w:hAnsi="宋体"/>
          <w:szCs w:val="21"/>
        </w:rPr>
      </w:pPr>
      <w:r>
        <w:rPr>
          <w:rFonts w:hint="eastAsia" w:ascii="宋体" w:hAnsi="宋体"/>
          <w:szCs w:val="21"/>
        </w:rPr>
        <w:t>第五章  合同条款及格式</w:t>
      </w:r>
    </w:p>
    <w:p>
      <w:pPr>
        <w:rPr>
          <w:b/>
          <w:sz w:val="24"/>
        </w:rPr>
      </w:pPr>
    </w:p>
    <w:p>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pPr>
        <w:ind w:left="630" w:leftChars="300" w:firstLine="411" w:firstLineChars="196"/>
        <w:rPr>
          <w:rFonts w:ascii="宋体" w:hAnsi="宋体"/>
          <w:szCs w:val="21"/>
        </w:rPr>
      </w:pPr>
      <w:r>
        <w:rPr>
          <w:rFonts w:hint="eastAsia" w:ascii="宋体" w:hAnsi="宋体"/>
          <w:szCs w:val="21"/>
        </w:rPr>
        <w:t>第一章  总则</w:t>
      </w:r>
    </w:p>
    <w:p>
      <w:pPr>
        <w:ind w:left="630" w:leftChars="300" w:firstLine="411" w:firstLineChars="196"/>
        <w:rPr>
          <w:rFonts w:ascii="宋体" w:hAnsi="宋体"/>
          <w:szCs w:val="21"/>
        </w:rPr>
      </w:pPr>
      <w:r>
        <w:rPr>
          <w:rFonts w:hint="eastAsia" w:ascii="宋体" w:hAnsi="宋体"/>
          <w:szCs w:val="21"/>
        </w:rPr>
        <w:t>第二章  招标文件</w:t>
      </w:r>
    </w:p>
    <w:p>
      <w:pPr>
        <w:ind w:left="630" w:leftChars="300" w:firstLine="411" w:firstLineChars="196"/>
        <w:rPr>
          <w:rFonts w:ascii="宋体" w:hAnsi="宋体"/>
          <w:szCs w:val="21"/>
        </w:rPr>
      </w:pPr>
      <w:r>
        <w:rPr>
          <w:rFonts w:hint="eastAsia" w:ascii="宋体" w:hAnsi="宋体"/>
          <w:szCs w:val="21"/>
        </w:rPr>
        <w:t>第三章  投标文件的编制</w:t>
      </w:r>
    </w:p>
    <w:p>
      <w:pPr>
        <w:ind w:left="630" w:leftChars="300" w:firstLine="411" w:firstLineChars="196"/>
        <w:rPr>
          <w:rFonts w:ascii="宋体" w:hAnsi="宋体"/>
          <w:szCs w:val="21"/>
        </w:rPr>
      </w:pPr>
      <w:r>
        <w:rPr>
          <w:rFonts w:hint="eastAsia" w:ascii="宋体" w:hAnsi="宋体"/>
          <w:szCs w:val="21"/>
        </w:rPr>
        <w:t>第四章  投标文件的递交</w:t>
      </w:r>
    </w:p>
    <w:p>
      <w:pPr>
        <w:ind w:left="630" w:leftChars="300" w:firstLine="411" w:firstLineChars="196"/>
        <w:rPr>
          <w:rFonts w:ascii="宋体" w:hAnsi="宋体"/>
          <w:szCs w:val="21"/>
        </w:rPr>
      </w:pPr>
      <w:r>
        <w:rPr>
          <w:rFonts w:hint="eastAsia" w:ascii="宋体" w:hAnsi="宋体"/>
          <w:szCs w:val="21"/>
        </w:rPr>
        <w:t>第五章  开标</w:t>
      </w:r>
    </w:p>
    <w:p>
      <w:pPr>
        <w:ind w:left="630" w:leftChars="300" w:firstLine="411" w:firstLineChars="196"/>
        <w:rPr>
          <w:rFonts w:ascii="宋体" w:hAnsi="宋体"/>
          <w:szCs w:val="21"/>
        </w:rPr>
      </w:pPr>
      <w:r>
        <w:rPr>
          <w:rFonts w:hint="eastAsia" w:ascii="宋体" w:hAnsi="宋体"/>
          <w:szCs w:val="21"/>
        </w:rPr>
        <w:t>第六章  评审要求</w:t>
      </w:r>
    </w:p>
    <w:p>
      <w:pPr>
        <w:ind w:left="630" w:leftChars="300" w:firstLine="411" w:firstLineChars="196"/>
        <w:rPr>
          <w:rFonts w:ascii="宋体" w:hAnsi="宋体"/>
          <w:szCs w:val="21"/>
        </w:rPr>
      </w:pPr>
      <w:r>
        <w:rPr>
          <w:rFonts w:hint="eastAsia" w:ascii="宋体" w:hAnsi="宋体"/>
          <w:szCs w:val="21"/>
        </w:rPr>
        <w:t>第七章  评审程序及评审方法</w:t>
      </w:r>
    </w:p>
    <w:p>
      <w:pPr>
        <w:ind w:left="630" w:leftChars="300" w:firstLine="411" w:firstLineChars="196"/>
        <w:rPr>
          <w:rFonts w:ascii="宋体" w:hAnsi="宋体"/>
          <w:szCs w:val="21"/>
        </w:rPr>
      </w:pPr>
      <w:r>
        <w:rPr>
          <w:rFonts w:hint="eastAsia" w:ascii="宋体" w:hAnsi="宋体"/>
          <w:szCs w:val="21"/>
        </w:rPr>
        <w:t>第八章  定标及公示</w:t>
      </w:r>
    </w:p>
    <w:p>
      <w:pPr>
        <w:ind w:left="630" w:leftChars="300" w:firstLine="411" w:firstLineChars="196"/>
        <w:rPr>
          <w:rFonts w:ascii="宋体" w:hAnsi="宋体"/>
          <w:szCs w:val="21"/>
        </w:rPr>
      </w:pPr>
      <w:r>
        <w:rPr>
          <w:rFonts w:hint="eastAsia" w:ascii="宋体" w:hAnsi="宋体"/>
          <w:szCs w:val="21"/>
        </w:rPr>
        <w:t>第九章  公开招标失败的后续处理</w:t>
      </w:r>
    </w:p>
    <w:p>
      <w:pPr>
        <w:ind w:left="630" w:leftChars="300" w:firstLine="411" w:firstLineChars="196"/>
        <w:rPr>
          <w:rFonts w:ascii="宋体" w:hAnsi="宋体"/>
          <w:szCs w:val="21"/>
        </w:rPr>
      </w:pPr>
      <w:r>
        <w:rPr>
          <w:rFonts w:hint="eastAsia" w:ascii="宋体" w:hAnsi="宋体"/>
          <w:szCs w:val="21"/>
        </w:rPr>
        <w:t>第十章  合同的授予与备案</w:t>
      </w:r>
    </w:p>
    <w:p>
      <w:pPr>
        <w:ind w:firstLine="1050" w:firstLineChars="500"/>
        <w:rPr>
          <w:rFonts w:hint="eastAsia"/>
        </w:rPr>
      </w:pPr>
      <w:r>
        <w:rPr>
          <w:rFonts w:hint="eastAsia"/>
        </w:rPr>
        <w:t>第十一章  质疑处理</w:t>
      </w:r>
    </w:p>
    <w:p>
      <w:pPr>
        <w:pStyle w:val="8"/>
        <w:rPr>
          <w:rFonts w:hint="eastAsia"/>
        </w:rPr>
      </w:pPr>
    </w:p>
    <w:p>
      <w:pPr>
        <w:pStyle w:val="15"/>
        <w:rPr>
          <w:rFonts w:hint="eastAsia"/>
        </w:rPr>
      </w:pPr>
    </w:p>
    <w:p>
      <w:pPr>
        <w:pStyle w:val="15"/>
        <w:rPr>
          <w:rFonts w:hint="eastAsia"/>
        </w:rPr>
      </w:pPr>
    </w:p>
    <w:p>
      <w:pPr>
        <w:pStyle w:val="8"/>
        <w:rPr>
          <w:rFonts w:hint="eastAsia"/>
        </w:rPr>
        <w:sectPr>
          <w:pgSz w:w="11907" w:h="16840"/>
          <w:pgMar w:top="1440" w:right="1797" w:bottom="1440" w:left="1797" w:header="851" w:footer="992" w:gutter="0"/>
          <w:cols w:space="425" w:num="1"/>
          <w:titlePg/>
          <w:docGrid w:linePitch="462" w:charSpace="0"/>
        </w:sectPr>
      </w:pPr>
    </w:p>
    <w:bookmarkEnd w:id="5"/>
    <w:p>
      <w:pPr>
        <w:pStyle w:val="3"/>
        <w:jc w:val="center"/>
        <w:rPr>
          <w:color w:val="FF0000"/>
          <w:sz w:val="24"/>
        </w:rPr>
      </w:pPr>
      <w:bookmarkStart w:id="7" w:name="bt合同条款"/>
      <w:bookmarkEnd w:id="7"/>
      <w:bookmarkStart w:id="8" w:name="bt投标人须知"/>
      <w:bookmarkEnd w:id="8"/>
      <w:bookmarkStart w:id="9" w:name="合同格式"/>
      <w:bookmarkEnd w:id="9"/>
      <w:bookmarkStart w:id="10" w:name="bt项目管理班子配备情况"/>
      <w:bookmarkEnd w:id="10"/>
      <w:bookmarkStart w:id="11" w:name="bt本工程承诺书"/>
      <w:bookmarkEnd w:id="11"/>
      <w:bookmarkStart w:id="12" w:name="bt投标报价汇总表"/>
      <w:bookmarkEnd w:id="12"/>
      <w:bookmarkStart w:id="13" w:name="bt其他资料由投标人自定"/>
      <w:bookmarkEnd w:id="13"/>
      <w:bookmarkStart w:id="14" w:name="bt说明"/>
      <w:bookmarkEnd w:id="14"/>
      <w:bookmarkStart w:id="15" w:name="bt开标一览表"/>
      <w:bookmarkEnd w:id="15"/>
      <w:bookmarkStart w:id="16" w:name="bt投标文件签署授权委托书"/>
      <w:bookmarkEnd w:id="16"/>
      <w:bookmarkStart w:id="17" w:name="bt投标人情况介绍"/>
      <w:bookmarkEnd w:id="17"/>
      <w:bookmarkStart w:id="18" w:name="bt其他资料2"/>
      <w:bookmarkEnd w:id="18"/>
      <w:bookmarkStart w:id="19" w:name="bt技术标投标文件格式"/>
      <w:bookmarkEnd w:id="19"/>
      <w:bookmarkStart w:id="20" w:name="bt投标函"/>
      <w:bookmarkEnd w:id="20"/>
      <w:bookmarkStart w:id="21" w:name="bt合同条款及格式"/>
      <w:bookmarkEnd w:id="21"/>
      <w:bookmarkStart w:id="22" w:name="bt商务标投标文件格式"/>
      <w:bookmarkEnd w:id="22"/>
      <w:bookmarkStart w:id="23" w:name="bt合同格式"/>
      <w:bookmarkEnd w:id="23"/>
      <w:r>
        <w:rPr>
          <w:rFonts w:hint="eastAsia"/>
        </w:rPr>
        <w:t>第一册  专用条款</w:t>
      </w:r>
    </w:p>
    <w:p>
      <w:pPr>
        <w:pStyle w:val="6"/>
        <w:jc w:val="center"/>
        <w:rPr>
          <w:sz w:val="28"/>
          <w:szCs w:val="28"/>
        </w:rPr>
      </w:pPr>
      <w:r>
        <w:rPr>
          <w:rFonts w:hint="eastAsia"/>
          <w:sz w:val="28"/>
          <w:szCs w:val="28"/>
        </w:rPr>
        <w:t>第一章  招标公告</w:t>
      </w:r>
    </w:p>
    <w:p>
      <w:pPr>
        <w:spacing w:line="360" w:lineRule="auto"/>
        <w:rPr>
          <w:rFonts w:ascii="宋体" w:hAnsi="宋体" w:cs="宋体"/>
          <w:b/>
          <w:bCs/>
          <w:kern w:val="0"/>
          <w:szCs w:val="21"/>
        </w:rPr>
      </w:pPr>
      <w:r>
        <w:rPr>
          <w:rFonts w:hint="eastAsia" w:ascii="宋体" w:hAnsi="宋体" w:cs="宋体"/>
          <w:b/>
          <w:bCs/>
          <w:kern w:val="0"/>
          <w:szCs w:val="21"/>
        </w:rPr>
        <w:t>申请人的资格要求：</w:t>
      </w:r>
    </w:p>
    <w:p>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pStyle w:val="2"/>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pPr>
        <w:ind w:firstLine="422" w:firstLineChars="200"/>
        <w:rPr>
          <w:rFonts w:hint="eastAsia" w:ascii="宋体" w:hAnsi="宋体" w:cs="宋体"/>
          <w:b/>
          <w:bCs/>
          <w:color w:val="FF0000"/>
          <w:kern w:val="0"/>
          <w:szCs w:val="21"/>
          <w:lang w:eastAsia="zh-CN"/>
        </w:rPr>
      </w:pPr>
      <w:r>
        <w:rPr>
          <w:rFonts w:hint="eastAsia" w:ascii="宋体" w:hAnsi="宋体" w:cs="宋体"/>
          <w:b/>
          <w:bCs/>
          <w:color w:val="FF0000"/>
          <w:kern w:val="0"/>
          <w:szCs w:val="21"/>
          <w:lang w:val="en-US" w:eastAsia="zh-CN"/>
        </w:rPr>
        <w:t>9</w:t>
      </w:r>
      <w:r>
        <w:rPr>
          <w:rFonts w:hint="eastAsia" w:ascii="宋体" w:hAnsi="宋体" w:cs="宋体"/>
          <w:b/>
          <w:bCs/>
          <w:color w:val="FF0000"/>
          <w:kern w:val="0"/>
          <w:szCs w:val="21"/>
        </w:rPr>
        <w:t>.本项目</w:t>
      </w:r>
      <w:r>
        <w:rPr>
          <w:rFonts w:hint="eastAsia" w:ascii="宋体" w:hAnsi="宋体" w:cs="宋体"/>
          <w:b/>
          <w:bCs/>
          <w:color w:val="FF0000"/>
          <w:kern w:val="0"/>
          <w:szCs w:val="21"/>
          <w:lang w:val="en-US" w:eastAsia="zh-CN"/>
        </w:rPr>
        <w:t>全部</w:t>
      </w:r>
      <w:r>
        <w:rPr>
          <w:rFonts w:hint="eastAsia" w:ascii="宋体" w:hAnsi="宋体" w:cs="宋体"/>
          <w:b/>
          <w:bCs/>
          <w:color w:val="FF0000"/>
          <w:kern w:val="0"/>
          <w:szCs w:val="21"/>
        </w:rPr>
        <w:t>专门面向中小企业采购：是，供应商提供的货物全部由符合政策要求的中小微企业、残疾人福利性</w:t>
      </w:r>
      <w:r>
        <w:rPr>
          <w:rFonts w:hint="eastAsia" w:ascii="宋体" w:hAnsi="宋体" w:cs="宋体"/>
          <w:b/>
          <w:bCs/>
          <w:color w:val="FF0000"/>
          <w:kern w:val="0"/>
          <w:szCs w:val="21"/>
          <w:lang w:val="en-US" w:eastAsia="zh-CN"/>
        </w:rPr>
        <w:t>单位或</w:t>
      </w:r>
      <w:r>
        <w:rPr>
          <w:rFonts w:hint="eastAsia" w:ascii="宋体" w:hAnsi="宋体" w:cs="宋体"/>
          <w:b/>
          <w:bCs/>
          <w:color w:val="FF0000"/>
          <w:kern w:val="0"/>
          <w:szCs w:val="21"/>
        </w:rPr>
        <w:t>监狱企业制造（由供应商在《中小企业声明函、残疾人福利性单位声明函及监狱企业声明函》中作出声明</w:t>
      </w:r>
      <w:r>
        <w:rPr>
          <w:rFonts w:hint="eastAsia" w:ascii="宋体" w:hAnsi="宋体" w:cs="宋体"/>
          <w:b/>
          <w:bCs/>
          <w:color w:val="FF0000"/>
          <w:kern w:val="0"/>
          <w:szCs w:val="21"/>
          <w:lang w:eastAsia="zh-CN"/>
        </w:rPr>
        <w:t>；</w:t>
      </w:r>
      <w:r>
        <w:rPr>
          <w:rFonts w:hint="eastAsia" w:ascii="宋体" w:hAnsi="宋体" w:cs="宋体"/>
          <w:b/>
          <w:bCs/>
          <w:color w:val="FF0000"/>
          <w:kern w:val="0"/>
          <w:szCs w:val="21"/>
          <w:lang w:val="en-US" w:eastAsia="zh-CN"/>
        </w:rPr>
        <w:t>未提供声明函或声明函不符合政策要求的，按资格审查不通过处理</w:t>
      </w:r>
      <w:r>
        <w:rPr>
          <w:rFonts w:hint="eastAsia" w:ascii="宋体" w:hAnsi="宋体" w:cs="宋体"/>
          <w:b/>
          <w:bCs/>
          <w:color w:val="FF0000"/>
          <w:kern w:val="0"/>
          <w:szCs w:val="21"/>
        </w:rPr>
        <w:t>）；</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pPr>
        <w:ind w:firstLine="420" w:firstLineChars="200"/>
        <w:rPr>
          <w:rFonts w:ascii="宋体" w:hAnsi="宋体"/>
        </w:rPr>
      </w:pPr>
      <w:r>
        <w:rPr>
          <w:rFonts w:hint="eastAsia" w:ascii="宋体" w:hAnsi="宋体"/>
        </w:rPr>
        <w:t>（2）供应商投标（上传投标文件）必须先行办理注册手续。</w:t>
      </w:r>
    </w:p>
    <w:p>
      <w:pPr>
        <w:ind w:firstLine="420" w:firstLineChars="200"/>
        <w:rPr>
          <w:rFonts w:ascii="宋体" w:hAnsi="宋体"/>
        </w:rPr>
      </w:pPr>
    </w:p>
    <w:p>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pPr>
        <w:ind w:firstLine="422" w:firstLineChars="200"/>
        <w:rPr>
          <w:b/>
        </w:rPr>
      </w:pPr>
    </w:p>
    <w:p>
      <w:pPr>
        <w:rPr>
          <w:sz w:val="24"/>
        </w:rPr>
        <w:sectPr>
          <w:pgSz w:w="11907" w:h="16840"/>
          <w:pgMar w:top="1440" w:right="1797" w:bottom="1440" w:left="1797" w:header="851" w:footer="992" w:gutter="0"/>
          <w:cols w:space="425" w:num="1"/>
          <w:titlePg/>
          <w:docGrid w:linePitch="462" w:charSpace="0"/>
        </w:sectPr>
      </w:pPr>
    </w:p>
    <w:p>
      <w:pPr>
        <w:pStyle w:val="6"/>
        <w:jc w:val="center"/>
        <w:rPr>
          <w:sz w:val="28"/>
          <w:szCs w:val="28"/>
        </w:rPr>
      </w:pPr>
      <w:r>
        <w:rPr>
          <w:rFonts w:hint="eastAsia"/>
          <w:sz w:val="28"/>
          <w:szCs w:val="28"/>
        </w:rPr>
        <w:t xml:space="preserve">第二章 </w:t>
      </w:r>
      <w:bookmarkStart w:id="24" w:name="_Hlk71926094"/>
      <w:r>
        <w:rPr>
          <w:rFonts w:hint="eastAsia"/>
          <w:sz w:val="28"/>
          <w:szCs w:val="28"/>
        </w:rPr>
        <w:t>对通用条款的补充内容及其他关键信息</w:t>
      </w:r>
      <w:bookmarkEnd w:id="24"/>
    </w:p>
    <w:p>
      <w:pPr>
        <w:pStyle w:val="6"/>
        <w:spacing w:before="120" w:beforeLines="50" w:after="120" w:afterLines="50"/>
        <w:jc w:val="center"/>
        <w:rPr>
          <w:szCs w:val="24"/>
        </w:rPr>
      </w:pPr>
      <w:bookmarkStart w:id="25" w:name="_Toc60631620"/>
      <w:bookmarkStart w:id="26" w:name="_Toc101074876"/>
      <w:bookmarkStart w:id="27" w:name="_Toc73517639"/>
      <w:bookmarkStart w:id="28" w:name="_Toc73521635"/>
      <w:bookmarkStart w:id="29" w:name="_Toc73521547"/>
      <w:bookmarkStart w:id="30" w:name="_Toc73518117"/>
      <w:bookmarkStart w:id="31" w:name="_Toc100052364"/>
      <w:bookmarkStart w:id="32" w:name="_Toc60560625"/>
      <w:r>
        <w:rPr>
          <w:rFonts w:hint="eastAsia"/>
          <w:szCs w:val="24"/>
        </w:rPr>
        <w:t>一、对通用条款的补充内容</w:t>
      </w:r>
    </w:p>
    <w:bookmarkEnd w:id="25"/>
    <w:bookmarkEnd w:id="26"/>
    <w:bookmarkEnd w:id="27"/>
    <w:bookmarkEnd w:id="28"/>
    <w:bookmarkEnd w:id="29"/>
    <w:bookmarkEnd w:id="30"/>
    <w:bookmarkEnd w:id="31"/>
    <w:bookmarkEnd w:id="32"/>
    <w:tbl>
      <w:tblPr>
        <w:tblStyle w:val="18"/>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b/>
                <w:bCs/>
              </w:rPr>
            </w:pPr>
            <w:bookmarkStart w:id="33" w:name="_Hlk72218097"/>
            <w:r>
              <w:rPr>
                <w:rFonts w:hint="eastAsia" w:ascii="宋体" w:hAnsi="宋体"/>
                <w:b/>
                <w:bCs/>
              </w:rPr>
              <w:t>通用条款序号</w:t>
            </w:r>
          </w:p>
        </w:tc>
        <w:tc>
          <w:tcPr>
            <w:tcW w:w="2409" w:type="dxa"/>
            <w:noWrap w:val="0"/>
            <w:vAlign w:val="center"/>
          </w:tcPr>
          <w:p>
            <w:pPr>
              <w:jc w:val="center"/>
              <w:rPr>
                <w:rFonts w:ascii="宋体" w:hAnsi="宋体"/>
                <w:b/>
                <w:bCs/>
              </w:rPr>
            </w:pPr>
            <w:r>
              <w:rPr>
                <w:rFonts w:hint="eastAsia" w:ascii="宋体" w:hAnsi="宋体"/>
                <w:b/>
                <w:bCs/>
              </w:rPr>
              <w:t>涉及事项</w:t>
            </w:r>
          </w:p>
        </w:tc>
        <w:tc>
          <w:tcPr>
            <w:tcW w:w="4980" w:type="dxa"/>
            <w:noWrap w:val="0"/>
            <w:vAlign w:val="center"/>
          </w:tcPr>
          <w:p>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.1</w:t>
            </w:r>
          </w:p>
        </w:tc>
        <w:tc>
          <w:tcPr>
            <w:tcW w:w="2409" w:type="dxa"/>
            <w:noWrap w:val="0"/>
            <w:vAlign w:val="center"/>
          </w:tcPr>
          <w:p>
            <w:pPr>
              <w:jc w:val="center"/>
              <w:rPr>
                <w:b/>
                <w:bCs/>
              </w:rPr>
            </w:pPr>
            <w:r>
              <w:rPr>
                <w:rFonts w:hint="eastAsia"/>
                <w:b/>
                <w:bCs/>
              </w:rPr>
              <w:t>采购人</w:t>
            </w:r>
          </w:p>
        </w:tc>
        <w:tc>
          <w:tcPr>
            <w:tcW w:w="4980" w:type="dxa"/>
            <w:noWrap w:val="0"/>
            <w:vAlign w:val="center"/>
          </w:tcPr>
          <w:p>
            <w:pPr>
              <w:jc w:val="center"/>
              <w:rPr>
                <w:rFonts w:ascii="宋体" w:hAnsi="宋体"/>
                <w:b/>
                <w:bCs/>
              </w:rPr>
            </w:pPr>
            <w:r>
              <w:rPr>
                <w:rFonts w:hint="eastAsia" w:ascii="宋体" w:hAnsi="宋体"/>
                <w:b/>
                <w:bCs/>
              </w:rPr>
              <w:t>深圳市宝安区松岗街道中心幼儿园</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.2</w:t>
            </w:r>
          </w:p>
        </w:tc>
        <w:tc>
          <w:tcPr>
            <w:tcW w:w="2409" w:type="dxa"/>
            <w:noWrap w:val="0"/>
            <w:vAlign w:val="center"/>
          </w:tcPr>
          <w:p>
            <w:pPr>
              <w:jc w:val="center"/>
              <w:rPr>
                <w:rFonts w:ascii="宋体" w:hAnsi="宋体"/>
              </w:rPr>
            </w:pPr>
            <w:r>
              <w:rPr>
                <w:rFonts w:hint="eastAsia" w:ascii="宋体" w:hAnsi="宋体"/>
              </w:rPr>
              <w:t>政府集中采购机构</w:t>
            </w:r>
          </w:p>
        </w:tc>
        <w:tc>
          <w:tcPr>
            <w:tcW w:w="4980" w:type="dxa"/>
            <w:noWrap w:val="0"/>
            <w:vAlign w:val="center"/>
          </w:tcPr>
          <w:p>
            <w:pPr>
              <w:jc w:val="center"/>
            </w:pPr>
            <w:r>
              <w:rPr>
                <w:rFonts w:hint="eastAsia"/>
              </w:rPr>
              <w:t>深圳公共资源交易中心</w:t>
            </w:r>
          </w:p>
          <w:p>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9</w:t>
            </w:r>
          </w:p>
        </w:tc>
        <w:tc>
          <w:tcPr>
            <w:tcW w:w="2409" w:type="dxa"/>
            <w:noWrap w:val="0"/>
            <w:vAlign w:val="center"/>
          </w:tcPr>
          <w:p>
            <w:pPr>
              <w:jc w:val="center"/>
              <w:rPr>
                <w:rFonts w:ascii="宋体" w:hAnsi="宋体"/>
              </w:rPr>
            </w:pPr>
            <w:r>
              <w:rPr>
                <w:rFonts w:hint="eastAsia" w:ascii="宋体" w:hAnsi="宋体"/>
              </w:rPr>
              <w:t>踏勘现场</w:t>
            </w:r>
          </w:p>
        </w:tc>
        <w:tc>
          <w:tcPr>
            <w:tcW w:w="4980" w:type="dxa"/>
            <w:noWrap w:val="0"/>
            <w:vAlign w:val="center"/>
          </w:tcPr>
          <w:p>
            <w:pPr>
              <w:jc w:val="center"/>
              <w:rPr>
                <w:rFonts w:ascii="宋体" w:hAnsi="宋体"/>
              </w:rPr>
            </w:pPr>
            <w:r>
              <w:rPr>
                <w:rFonts w:hint="eastAsia" w:ascii="宋体" w:hAnsi="宋体"/>
              </w:rPr>
              <w:t>组织，具体要求详见“二、其他关键信息”。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0</w:t>
            </w:r>
          </w:p>
        </w:tc>
        <w:tc>
          <w:tcPr>
            <w:tcW w:w="2409" w:type="dxa"/>
            <w:noWrap w:val="0"/>
            <w:vAlign w:val="center"/>
          </w:tcPr>
          <w:p>
            <w:pPr>
              <w:jc w:val="center"/>
              <w:rPr>
                <w:rFonts w:ascii="宋体" w:hAnsi="宋体"/>
              </w:rPr>
            </w:pPr>
            <w:r>
              <w:rPr>
                <w:rFonts w:hint="eastAsia" w:ascii="宋体" w:hAnsi="宋体"/>
              </w:rPr>
              <w:t>标前会议</w:t>
            </w:r>
          </w:p>
        </w:tc>
        <w:tc>
          <w:tcPr>
            <w:tcW w:w="4980" w:type="dxa"/>
            <w:noWrap w:val="0"/>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noWrap w:val="0"/>
            <w:vAlign w:val="center"/>
          </w:tcPr>
          <w:p>
            <w:pPr>
              <w:jc w:val="center"/>
              <w:rPr>
                <w:rFonts w:ascii="宋体" w:hAnsi="宋体"/>
              </w:rPr>
            </w:pPr>
            <w:r>
              <w:rPr>
                <w:rFonts w:hint="eastAsia" w:ascii="宋体" w:hAnsi="宋体"/>
              </w:rPr>
              <w:t>招标文件的澄清和修改</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0</w:t>
            </w:r>
          </w:p>
        </w:tc>
        <w:tc>
          <w:tcPr>
            <w:tcW w:w="2409" w:type="dxa"/>
            <w:noWrap w:val="0"/>
            <w:vAlign w:val="center"/>
          </w:tcPr>
          <w:p>
            <w:pPr>
              <w:jc w:val="center"/>
              <w:rPr>
                <w:rFonts w:ascii="宋体" w:hAnsi="宋体"/>
              </w:rPr>
            </w:pPr>
            <w:r>
              <w:rPr>
                <w:rFonts w:hint="eastAsia" w:ascii="宋体" w:hAnsi="宋体"/>
              </w:rPr>
              <w:t>投标有效期</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2</w:t>
            </w:r>
          </w:p>
        </w:tc>
        <w:tc>
          <w:tcPr>
            <w:tcW w:w="2409" w:type="dxa"/>
            <w:noWrap w:val="0"/>
            <w:vAlign w:val="center"/>
          </w:tcPr>
          <w:p>
            <w:pPr>
              <w:jc w:val="center"/>
              <w:rPr>
                <w:rFonts w:ascii="宋体" w:hAnsi="宋体"/>
              </w:rPr>
            </w:pPr>
            <w:r>
              <w:rPr>
                <w:rFonts w:hint="eastAsia" w:ascii="宋体" w:hAnsi="宋体"/>
              </w:rPr>
              <w:t>投标人的替代方案</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5</w:t>
            </w:r>
          </w:p>
        </w:tc>
        <w:tc>
          <w:tcPr>
            <w:tcW w:w="2409" w:type="dxa"/>
            <w:noWrap w:val="0"/>
            <w:vAlign w:val="center"/>
          </w:tcPr>
          <w:p>
            <w:pPr>
              <w:jc w:val="center"/>
              <w:rPr>
                <w:rFonts w:ascii="宋体" w:hAnsi="宋体"/>
              </w:rPr>
            </w:pPr>
            <w:r>
              <w:rPr>
                <w:rFonts w:hint="eastAsia" w:ascii="宋体" w:hAnsi="宋体"/>
              </w:rPr>
              <w:t>投标文件的大小</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6</w:t>
            </w:r>
          </w:p>
        </w:tc>
        <w:tc>
          <w:tcPr>
            <w:tcW w:w="2409" w:type="dxa"/>
            <w:noWrap w:val="0"/>
            <w:vAlign w:val="center"/>
          </w:tcPr>
          <w:p>
            <w:pPr>
              <w:jc w:val="center"/>
              <w:rPr>
                <w:rFonts w:ascii="宋体" w:hAnsi="宋体"/>
              </w:rPr>
            </w:pPr>
            <w:bookmarkStart w:id="34" w:name="_Hlk71664860"/>
            <w:r>
              <w:rPr>
                <w:rFonts w:hint="eastAsia" w:ascii="宋体" w:hAnsi="宋体"/>
              </w:rPr>
              <w:t>样品、现场演示、方案讲解</w:t>
            </w:r>
            <w:bookmarkEnd w:id="34"/>
          </w:p>
        </w:tc>
        <w:tc>
          <w:tcPr>
            <w:tcW w:w="4980" w:type="dxa"/>
            <w:noWrap w:val="0"/>
            <w:vAlign w:val="center"/>
          </w:tcPr>
          <w:p>
            <w:pPr>
              <w:jc w:val="center"/>
              <w:rPr>
                <w:rFonts w:ascii="宋体" w:hAnsi="宋体"/>
              </w:rPr>
            </w:pPr>
            <w:r>
              <w:rPr>
                <w:rFonts w:hint="eastAsia"/>
              </w:rPr>
              <w:t>如有样品、演示、方案讲解，具体安排见第三章 用户需求书相关要求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7</w:t>
            </w:r>
          </w:p>
        </w:tc>
        <w:tc>
          <w:tcPr>
            <w:tcW w:w="2409" w:type="dxa"/>
            <w:noWrap w:val="0"/>
            <w:vAlign w:val="center"/>
          </w:tcPr>
          <w:p>
            <w:pPr>
              <w:jc w:val="center"/>
              <w:rPr>
                <w:rFonts w:ascii="宋体" w:hAnsi="宋体"/>
              </w:rPr>
            </w:pPr>
            <w:r>
              <w:rPr>
                <w:rFonts w:hint="eastAsia" w:ascii="宋体" w:hAnsi="宋体"/>
              </w:rPr>
              <w:t>评审方法</w:t>
            </w:r>
          </w:p>
        </w:tc>
        <w:tc>
          <w:tcPr>
            <w:tcW w:w="4980" w:type="dxa"/>
            <w:noWrap w:val="0"/>
            <w:vAlign w:val="center"/>
          </w:tcPr>
          <w:p>
            <w:pPr>
              <w:jc w:val="center"/>
              <w:rPr>
                <w:rFonts w:ascii="宋体" w:hAnsi="宋体"/>
              </w:rPr>
            </w:pPr>
            <w:r>
              <w:rPr>
                <w:rFonts w:hint="eastAsia"/>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8</w:t>
            </w:r>
          </w:p>
        </w:tc>
        <w:tc>
          <w:tcPr>
            <w:tcW w:w="2409" w:type="dxa"/>
            <w:noWrap w:val="0"/>
            <w:vAlign w:val="center"/>
          </w:tcPr>
          <w:p>
            <w:pPr>
              <w:jc w:val="center"/>
              <w:rPr>
                <w:rFonts w:ascii="宋体" w:hAnsi="宋体"/>
              </w:rPr>
            </w:pPr>
            <w:r>
              <w:rPr>
                <w:rFonts w:hint="eastAsia" w:ascii="宋体" w:hAnsi="宋体"/>
              </w:rPr>
              <w:t>定标方法</w:t>
            </w:r>
          </w:p>
        </w:tc>
        <w:tc>
          <w:tcPr>
            <w:tcW w:w="4980" w:type="dxa"/>
            <w:noWrap w:val="0"/>
            <w:vAlign w:val="center"/>
          </w:tcPr>
          <w:p>
            <w:pPr>
              <w:jc w:val="center"/>
              <w:rPr>
                <w:rFonts w:ascii="宋体" w:hAnsi="宋体"/>
              </w:rPr>
            </w:pPr>
            <w:r>
              <w:rPr>
                <w:rFonts w:hint="eastAsia"/>
              </w:rPr>
              <w:t>非评定分离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4</w:t>
            </w:r>
            <w:r>
              <w:rPr>
                <w:rFonts w:ascii="宋体" w:hAnsi="宋体"/>
              </w:rPr>
              <w:t>6</w:t>
            </w:r>
          </w:p>
        </w:tc>
        <w:tc>
          <w:tcPr>
            <w:tcW w:w="2409" w:type="dxa"/>
            <w:noWrap w:val="0"/>
            <w:vAlign w:val="center"/>
          </w:tcPr>
          <w:p>
            <w:pPr>
              <w:jc w:val="center"/>
              <w:rPr>
                <w:rFonts w:ascii="宋体" w:hAnsi="宋体"/>
              </w:rPr>
            </w:pPr>
            <w:r>
              <w:rPr>
                <w:rFonts w:hint="eastAsia" w:ascii="宋体" w:hAnsi="宋体"/>
              </w:rPr>
              <w:t>履约担保</w:t>
            </w:r>
          </w:p>
        </w:tc>
        <w:tc>
          <w:tcPr>
            <w:tcW w:w="4980" w:type="dxa"/>
            <w:noWrap w:val="0"/>
            <w:vAlign w:val="center"/>
          </w:tcPr>
          <w:p>
            <w:pPr>
              <w:jc w:val="center"/>
              <w:rPr>
                <w:rFonts w:ascii="宋体" w:hAnsi="宋体"/>
              </w:rPr>
            </w:pPr>
            <w:r>
              <w:rPr>
                <w:rFonts w:hint="eastAsia"/>
              </w:rPr>
              <w:t>不需要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noWrap w:val="0"/>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409" w:type="dxa"/>
            <w:shd w:val="clear" w:color="auto" w:fill="auto"/>
            <w:noWrap w:val="0"/>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4980" w:type="dxa"/>
            <w:shd w:val="clear" w:color="auto" w:fill="auto"/>
            <w:noWrap w:val="0"/>
            <w:vAlign w:val="center"/>
          </w:tcPr>
          <w:p>
            <w:pPr>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pPr>
        <w:rPr>
          <w:b/>
        </w:rPr>
      </w:pPr>
      <w:r>
        <w:rPr>
          <w:rFonts w:hint="eastAsia"/>
          <w:szCs w:val="21"/>
        </w:rPr>
        <w:t>备注：本表是通用条款相关条款的补充和明确，如与通用条款内容相冲突的，以本表为准。</w:t>
      </w:r>
    </w:p>
    <w:bookmarkEnd w:id="33"/>
    <w:p>
      <w:pPr>
        <w:pStyle w:val="6"/>
        <w:spacing w:before="120" w:beforeLines="50" w:after="120" w:afterLines="50"/>
        <w:jc w:val="center"/>
        <w:rPr>
          <w:szCs w:val="24"/>
        </w:rPr>
      </w:pPr>
      <w:bookmarkStart w:id="35" w:name="_Hlk72218117"/>
      <w:r>
        <w:rPr>
          <w:rFonts w:hint="eastAsia"/>
          <w:szCs w:val="24"/>
        </w:rPr>
        <w:t>二、其他关键信息</w:t>
      </w:r>
    </w:p>
    <w:p>
      <w:pPr>
        <w:ind w:firstLine="422" w:firstLineChars="200"/>
        <w:rPr>
          <w:b/>
          <w:bCs/>
        </w:rPr>
      </w:pPr>
      <w:bookmarkStart w:id="36" w:name="_Hlk72579427"/>
      <w:r>
        <w:rPr>
          <w:rFonts w:hint="eastAsia"/>
          <w:b/>
          <w:bCs/>
        </w:rPr>
        <w:t>（一）与“对通用条款的补充内容”章节相关的事项</w:t>
      </w:r>
    </w:p>
    <w:p>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pPr>
        <w:jc w:val="center"/>
      </w:pPr>
      <w:r>
        <w:rPr>
          <w:rFonts w:hint="eastAsia"/>
          <w:b/>
        </w:rPr>
        <w:t>非评定分离项目</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评标方法</w:t>
            </w:r>
          </w:p>
        </w:tc>
        <w:tc>
          <w:tcPr>
            <w:tcW w:w="3235" w:type="dxa"/>
            <w:noWrap w:val="0"/>
            <w:vAlign w:val="top"/>
          </w:tcPr>
          <w:p>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候选中标供应商家数</w:t>
            </w:r>
          </w:p>
        </w:tc>
        <w:tc>
          <w:tcPr>
            <w:tcW w:w="3235" w:type="dxa"/>
            <w:noWrap w:val="0"/>
            <w:vAlign w:val="top"/>
          </w:tcPr>
          <w:p>
            <w:pPr>
              <w:jc w:val="center"/>
              <w:rPr>
                <w:rFonts w:hint="default" w:eastAsia="宋体"/>
                <w:lang w:val="en-US" w:eastAsia="zh-CN"/>
              </w:rPr>
            </w:pPr>
            <w:r>
              <w:rPr>
                <w:rFonts w:hint="eastAsia"/>
              </w:rPr>
              <w:t>1</w:t>
            </w:r>
          </w:p>
        </w:tc>
        <w:tc>
          <w:tcPr>
            <w:tcW w:w="2450" w:type="dxa"/>
            <w:noWrap w:val="0"/>
            <w:vAlign w:val="top"/>
          </w:tcPr>
          <w:p>
            <w:pPr>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中标供应商家数</w:t>
            </w:r>
          </w:p>
        </w:tc>
        <w:tc>
          <w:tcPr>
            <w:tcW w:w="3235" w:type="dxa"/>
            <w:noWrap w:val="0"/>
            <w:vAlign w:val="top"/>
          </w:tcPr>
          <w:p>
            <w:pPr>
              <w:jc w:val="center"/>
            </w:pPr>
            <w:r>
              <w:rPr>
                <w:rFonts w:hint="eastAsia"/>
              </w:rPr>
              <w:t>1</w:t>
            </w:r>
          </w:p>
        </w:tc>
        <w:tc>
          <w:tcPr>
            <w:tcW w:w="2450" w:type="dxa"/>
            <w:noWrap w:val="0"/>
            <w:vAlign w:val="top"/>
          </w:tcPr>
          <w:p>
            <w:pPr>
              <w:jc w:val="center"/>
              <w:rPr>
                <w:rFonts w:hint="eastAsia"/>
              </w:rPr>
            </w:pPr>
            <w:r>
              <w:rPr>
                <w:rFonts w:hint="eastAsia"/>
              </w:rPr>
              <w:t>1</w:t>
            </w:r>
          </w:p>
        </w:tc>
      </w:tr>
    </w:tbl>
    <w:p>
      <w:pPr>
        <w:pStyle w:val="15"/>
      </w:pPr>
    </w:p>
    <w:p>
      <w:pPr>
        <w:numPr>
          <w:ilvl w:val="0"/>
          <w:numId w:val="0"/>
        </w:numPr>
        <w:tabs>
          <w:tab w:val="left" w:pos="720"/>
        </w:tabs>
        <w:rPr>
          <w:rFonts w:hint="eastAsia" w:ascii="黑体" w:hAnsi="宋体" w:eastAsia="黑体"/>
          <w:sz w:val="24"/>
          <w:highlight w:val="yellow"/>
          <w:lang w:val="en-US" w:eastAsia="zh-CN"/>
        </w:rPr>
      </w:pPr>
      <w:r>
        <w:rPr>
          <w:rFonts w:hint="eastAsia" w:ascii="黑体" w:hAnsi="宋体" w:eastAsia="黑体"/>
          <w:sz w:val="24"/>
          <w:highlight w:val="yellow"/>
          <w:lang w:val="en-US" w:eastAsia="zh-CN"/>
        </w:rPr>
        <w:t>2、踏勘现场要求</w:t>
      </w:r>
    </w:p>
    <w:p>
      <w:pPr>
        <w:pStyle w:val="11"/>
        <w:ind w:firstLine="420" w:firstLineChars="200"/>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（1）</w:t>
      </w:r>
      <w:r>
        <w:rPr>
          <w:rFonts w:hint="default" w:ascii="宋体" w:hAnsi="宋体" w:eastAsia="宋体" w:cs="Times New Roman"/>
          <w:kern w:val="2"/>
          <w:sz w:val="21"/>
          <w:szCs w:val="21"/>
          <w:lang w:val="en-US" w:eastAsia="zh-CN" w:bidi="ar-SA"/>
        </w:rPr>
        <w:t>除主要设备外，清单中各类设备安装及配套所需的配件与辅材数量为参考数据，招标完成后采购人不因固有工程量增加而承担任何费用，费用将以中标价结算，请投标人充分考虑风险性。建议投标人到采购人单位进行现场勘察，以明确施工场地情况并准确了解相关工程量等。</w:t>
      </w:r>
    </w:p>
    <w:p>
      <w:pPr>
        <w:numPr>
          <w:ilvl w:val="0"/>
          <w:numId w:val="0"/>
        </w:numPr>
        <w:tabs>
          <w:tab w:val="left" w:pos="720"/>
        </w:tabs>
        <w:ind w:firstLine="420" w:firstLineChars="200"/>
        <w:rPr>
          <w:rFonts w:hint="eastAsia" w:ascii="宋体" w:hAnsi="宋体"/>
          <w:b/>
          <w:bCs/>
          <w:color w:val="FF0000"/>
          <w:szCs w:val="21"/>
          <w:highlight w:val="yellow"/>
        </w:rPr>
      </w:pPr>
      <w:r>
        <w:rPr>
          <w:rFonts w:hint="eastAsia" w:ascii="宋体" w:hAnsi="宋体"/>
          <w:szCs w:val="21"/>
          <w:highlight w:val="yellow"/>
          <w:lang w:eastAsia="zh-CN"/>
        </w:rPr>
        <w:t>（</w:t>
      </w:r>
      <w:r>
        <w:rPr>
          <w:rFonts w:hint="eastAsia" w:ascii="宋体" w:hAnsi="宋体"/>
          <w:b/>
          <w:bCs/>
          <w:color w:val="FF0000"/>
          <w:szCs w:val="21"/>
          <w:highlight w:val="yellow"/>
          <w:lang w:val="en-US" w:eastAsia="zh-CN"/>
        </w:rPr>
        <w:t>2</w:t>
      </w:r>
      <w:r>
        <w:rPr>
          <w:rFonts w:hint="eastAsia" w:ascii="宋体" w:hAnsi="宋体"/>
          <w:b/>
          <w:bCs/>
          <w:color w:val="FF0000"/>
          <w:szCs w:val="21"/>
          <w:highlight w:val="yellow"/>
          <w:lang w:eastAsia="zh-CN"/>
        </w:rPr>
        <w:t>）本项目安排踏勘现场，时间为</w:t>
      </w:r>
      <w:r>
        <w:rPr>
          <w:rFonts w:hint="eastAsia" w:ascii="宋体" w:hAnsi="宋体"/>
          <w:b/>
          <w:bCs/>
          <w:color w:val="FF0000"/>
          <w:szCs w:val="21"/>
          <w:highlight w:val="yellow"/>
          <w:lang w:val="en-US" w:eastAsia="zh-CN"/>
        </w:rPr>
        <w:t>2025</w:t>
      </w:r>
      <w:r>
        <w:rPr>
          <w:rFonts w:hint="eastAsia" w:ascii="宋体" w:hAnsi="宋体"/>
          <w:b/>
          <w:bCs/>
          <w:color w:val="FF0000"/>
          <w:szCs w:val="21"/>
          <w:highlight w:val="yellow"/>
          <w:lang w:eastAsia="zh-CN"/>
        </w:rPr>
        <w:t>年</w:t>
      </w:r>
      <w:r>
        <w:rPr>
          <w:rFonts w:hint="eastAsia" w:ascii="宋体" w:hAnsi="宋体"/>
          <w:b/>
          <w:bCs/>
          <w:color w:val="FF0000"/>
          <w:szCs w:val="21"/>
          <w:highlight w:val="yellow"/>
          <w:lang w:val="en-US" w:eastAsia="zh-CN"/>
        </w:rPr>
        <w:t>7</w:t>
      </w:r>
      <w:r>
        <w:rPr>
          <w:rFonts w:hint="eastAsia" w:ascii="宋体" w:hAnsi="宋体"/>
          <w:b/>
          <w:bCs/>
          <w:color w:val="FF0000"/>
          <w:szCs w:val="21"/>
          <w:highlight w:val="yellow"/>
          <w:lang w:eastAsia="zh-CN"/>
        </w:rPr>
        <w:t>月</w:t>
      </w:r>
      <w:r>
        <w:rPr>
          <w:rFonts w:hint="eastAsia" w:ascii="宋体" w:hAnsi="宋体"/>
          <w:b/>
          <w:bCs/>
          <w:color w:val="FF0000"/>
          <w:szCs w:val="21"/>
          <w:highlight w:val="yellow"/>
          <w:lang w:val="en-US" w:eastAsia="zh-CN"/>
        </w:rPr>
        <w:t>8</w:t>
      </w:r>
      <w:r>
        <w:rPr>
          <w:rFonts w:hint="eastAsia" w:ascii="宋体" w:hAnsi="宋体"/>
          <w:b/>
          <w:bCs/>
          <w:color w:val="FF0000"/>
          <w:szCs w:val="21"/>
          <w:highlight w:val="yellow"/>
          <w:lang w:eastAsia="zh-CN"/>
        </w:rPr>
        <w:t>日至</w:t>
      </w:r>
      <w:r>
        <w:rPr>
          <w:rFonts w:hint="eastAsia" w:ascii="宋体" w:hAnsi="宋体"/>
          <w:b/>
          <w:bCs/>
          <w:color w:val="FF0000"/>
          <w:szCs w:val="21"/>
          <w:highlight w:val="yellow"/>
          <w:lang w:val="en-US" w:eastAsia="zh-CN"/>
        </w:rPr>
        <w:t>2025</w:t>
      </w:r>
      <w:r>
        <w:rPr>
          <w:rFonts w:hint="eastAsia" w:ascii="宋体" w:hAnsi="宋体"/>
          <w:b/>
          <w:bCs/>
          <w:color w:val="FF0000"/>
          <w:szCs w:val="21"/>
          <w:highlight w:val="yellow"/>
          <w:lang w:eastAsia="zh-CN"/>
        </w:rPr>
        <w:t>年</w:t>
      </w:r>
      <w:r>
        <w:rPr>
          <w:rFonts w:hint="eastAsia" w:ascii="宋体" w:hAnsi="宋体"/>
          <w:b/>
          <w:bCs/>
          <w:color w:val="FF0000"/>
          <w:szCs w:val="21"/>
          <w:highlight w:val="yellow"/>
          <w:lang w:val="en-US" w:eastAsia="zh-CN"/>
        </w:rPr>
        <w:t>7</w:t>
      </w:r>
      <w:r>
        <w:rPr>
          <w:rFonts w:hint="eastAsia" w:ascii="宋体" w:hAnsi="宋体"/>
          <w:b/>
          <w:bCs/>
          <w:color w:val="FF0000"/>
          <w:szCs w:val="21"/>
          <w:highlight w:val="yellow"/>
          <w:lang w:eastAsia="zh-CN"/>
        </w:rPr>
        <w:t>月</w:t>
      </w:r>
      <w:r>
        <w:rPr>
          <w:rFonts w:hint="eastAsia" w:ascii="宋体" w:hAnsi="宋体"/>
          <w:b/>
          <w:bCs/>
          <w:color w:val="FF0000"/>
          <w:szCs w:val="21"/>
          <w:highlight w:val="yellow"/>
          <w:lang w:val="en-US" w:eastAsia="zh-CN"/>
        </w:rPr>
        <w:t>9</w:t>
      </w:r>
      <w:r>
        <w:rPr>
          <w:rFonts w:hint="eastAsia" w:ascii="宋体" w:hAnsi="宋体"/>
          <w:b/>
          <w:bCs/>
          <w:color w:val="FF0000"/>
          <w:szCs w:val="21"/>
          <w:highlight w:val="yellow"/>
          <w:lang w:eastAsia="zh-CN"/>
        </w:rPr>
        <w:t>日（正常上班时间，工作日9：00-12：00，14：00-18：00），投标人代表携带授权委托书及身份证原件到深圳市宝安区松岗街道深铁璟城小区一期31栋璟城第一幼儿园大门口集中；联系人：唐老师，联系电话：0755-27809936。</w:t>
      </w:r>
    </w:p>
    <w:p>
      <w:pPr>
        <w:ind w:firstLine="480" w:firstLineChars="200"/>
        <w:rPr>
          <w:rFonts w:hint="eastAsia" w:ascii="Arial" w:hAnsi="Arial" w:eastAsia="宋体" w:cs="Arial"/>
          <w:color w:val="000000"/>
          <w:sz w:val="24"/>
          <w:szCs w:val="24"/>
          <w:highlight w:val="yellow"/>
        </w:rPr>
      </w:pPr>
    </w:p>
    <w:p>
      <w:pPr>
        <w:ind w:firstLine="422" w:firstLineChars="200"/>
        <w:rPr>
          <w:rFonts w:hint="eastAsia"/>
          <w:b/>
        </w:rPr>
      </w:pPr>
    </w:p>
    <w:p>
      <w:pPr>
        <w:ind w:firstLine="422" w:firstLineChars="200"/>
        <w:rPr>
          <w:b/>
        </w:rPr>
      </w:pPr>
      <w:r>
        <w:rPr>
          <w:rFonts w:hint="eastAsia"/>
          <w:b/>
        </w:rPr>
        <w:t>（二）其他事项</w:t>
      </w:r>
      <w:bookmarkEnd w:id="36"/>
    </w:p>
    <w:p>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  / </w:t>
      </w:r>
      <w:r>
        <w:rPr>
          <w:color w:val="FF0000"/>
          <w:u w:val="single"/>
        </w:rPr>
        <w:t xml:space="preserve">  </w:t>
      </w:r>
      <w:r>
        <w:rPr>
          <w:rFonts w:hint="eastAsia"/>
          <w:color w:val="FF0000"/>
          <w:u w:val="single"/>
          <w:lang w:val="en-US" w:eastAsia="zh-CN"/>
        </w:rPr>
        <w:t xml:space="preserve"> </w:t>
      </w:r>
      <w:r>
        <w:rPr>
          <w:rFonts w:hint="eastAsia"/>
          <w:color w:val="FF0000"/>
          <w:u w:val="none"/>
          <w:lang w:val="en-US" w:eastAsia="zh-CN"/>
        </w:rPr>
        <w:t xml:space="preserve"> </w:t>
      </w:r>
      <w:r>
        <w:rPr>
          <w:color w:val="FF0000"/>
          <w:u w:val="none"/>
        </w:rPr>
        <w:t>%</w:t>
      </w:r>
      <w:r>
        <w:rPr>
          <w:rFonts w:hint="eastAsia"/>
          <w:color w:val="000000" w:themeColor="text1"/>
          <w:u w:val="none"/>
          <w:lang w:eastAsia="zh-CN"/>
        </w:rPr>
        <w:t>（</w:t>
      </w:r>
      <w:r>
        <w:rPr>
          <w:rFonts w:hint="eastAsia"/>
          <w:color w:val="000000" w:themeColor="text1"/>
          <w:u w:val="none"/>
          <w:lang w:val="en-US" w:eastAsia="zh-CN"/>
        </w:rPr>
        <w:t>10%~20%</w:t>
      </w:r>
      <w:r>
        <w:rPr>
          <w:rFonts w:hint="eastAsia"/>
          <w:color w:val="000000" w:themeColor="text1"/>
          <w:u w:val="none"/>
          <w:lang w:eastAsia="zh-CN"/>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7"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7"/>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pPr>
        <w:pStyle w:val="6"/>
        <w:spacing w:before="0" w:after="0"/>
        <w:jc w:val="both"/>
      </w:pPr>
    </w:p>
    <w:p>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pPr>
              <w:widowControl/>
              <w:spacing w:line="360" w:lineRule="auto"/>
              <w:jc w:val="center"/>
            </w:pPr>
            <w:r>
              <w:rPr>
                <w:rFonts w:hint="eastAsia"/>
              </w:rPr>
              <w:t>货物采购</w:t>
            </w:r>
          </w:p>
        </w:tc>
        <w:tc>
          <w:tcPr>
            <w:tcW w:w="1799" w:type="dxa"/>
            <w:vAlign w:val="center"/>
          </w:tcPr>
          <w:p>
            <w:pPr>
              <w:widowControl/>
              <w:spacing w:line="360" w:lineRule="auto"/>
              <w:jc w:val="center"/>
            </w:pPr>
            <w:r>
              <w:rPr>
                <w:rFonts w:hint="eastAsia"/>
              </w:rPr>
              <w:t>服务采购</w:t>
            </w:r>
          </w:p>
        </w:tc>
        <w:tc>
          <w:tcPr>
            <w:tcW w:w="1799" w:type="dxa"/>
            <w:vAlign w:val="center"/>
          </w:tcPr>
          <w:p>
            <w:pPr>
              <w:widowControl/>
              <w:spacing w:line="360" w:lineRule="auto"/>
              <w:jc w:val="center"/>
            </w:pPr>
            <w:r>
              <w:rPr>
                <w:rFonts w:hint="eastAsia"/>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100万元以下</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100万元（含）-500万元</w:t>
            </w:r>
          </w:p>
        </w:tc>
        <w:tc>
          <w:tcPr>
            <w:tcW w:w="1799" w:type="dxa"/>
            <w:vAlign w:val="center"/>
          </w:tcPr>
          <w:p>
            <w:pPr>
              <w:widowControl/>
              <w:spacing w:line="360" w:lineRule="auto"/>
              <w:jc w:val="center"/>
            </w:pPr>
            <w:r>
              <w:rPr>
                <w:rFonts w:hint="eastAsia"/>
              </w:rPr>
              <w:t>1.1%</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500万元（含）-1000万元</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0.45%</w:t>
            </w:r>
          </w:p>
        </w:tc>
        <w:tc>
          <w:tcPr>
            <w:tcW w:w="1799" w:type="dxa"/>
            <w:vAlign w:val="center"/>
          </w:tcPr>
          <w:p>
            <w:pPr>
              <w:widowControl/>
              <w:spacing w:line="360" w:lineRule="auto"/>
              <w:jc w:val="center"/>
            </w:pPr>
            <w:r>
              <w:rPr>
                <w:rFonts w:hint="eastAsi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1000万元（含）-5000万元</w:t>
            </w:r>
          </w:p>
        </w:tc>
        <w:tc>
          <w:tcPr>
            <w:tcW w:w="1799" w:type="dxa"/>
            <w:vAlign w:val="center"/>
          </w:tcPr>
          <w:p>
            <w:pPr>
              <w:widowControl/>
              <w:spacing w:line="360" w:lineRule="auto"/>
              <w:jc w:val="center"/>
            </w:pPr>
            <w:r>
              <w:rPr>
                <w:rFonts w:hint="eastAsia"/>
              </w:rPr>
              <w:t>0.5%</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5000万元（含）-1亿元</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0.1%</w:t>
            </w:r>
          </w:p>
        </w:tc>
        <w:tc>
          <w:tcPr>
            <w:tcW w:w="1799" w:type="dxa"/>
            <w:vAlign w:val="center"/>
          </w:tcPr>
          <w:p>
            <w:pPr>
              <w:widowControl/>
              <w:spacing w:line="360" w:lineRule="auto"/>
              <w:jc w:val="center"/>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1亿元（含）-5亿元</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5亿元（含）-10亿元</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pPr>
              <w:widowControl/>
              <w:spacing w:line="360" w:lineRule="auto"/>
              <w:jc w:val="center"/>
            </w:pPr>
            <w:r>
              <w:rPr>
                <w:rFonts w:hint="eastAsia"/>
              </w:rPr>
              <w:t>10亿元（含）-50亿元</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50亿元（含）-100亿元</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100亿元（含）以上</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r>
    </w:tbl>
    <w:p>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pPr>
        <w:ind w:firstLine="420" w:firstLineChars="200"/>
      </w:pPr>
    </w:p>
    <w:p>
      <w:pPr>
        <w:ind w:firstLine="420" w:firstLineChars="200"/>
      </w:pPr>
      <w:r>
        <w:rPr>
          <w:rFonts w:hint="eastAsia"/>
        </w:rPr>
        <w:t>如某货物采购项目，中标（成交）金额为600万元，总共交纳的代理服务费的具体计算过程如下：</w:t>
      </w:r>
    </w:p>
    <w:p>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pPr>
        <w:pStyle w:val="8"/>
        <w:rPr>
          <w:b/>
        </w:rPr>
      </w:pPr>
    </w:p>
    <w:p>
      <w:pPr>
        <w:pStyle w:val="15"/>
        <w:rPr>
          <w:b/>
        </w:rPr>
      </w:pPr>
    </w:p>
    <w:p>
      <w:pPr>
        <w:pStyle w:val="15"/>
        <w:rPr>
          <w:b/>
        </w:rPr>
      </w:pPr>
    </w:p>
    <w:p>
      <w:pPr>
        <w:pStyle w:val="15"/>
        <w:rPr>
          <w:b/>
        </w:rPr>
        <w:sectPr>
          <w:pgSz w:w="11907" w:h="16840"/>
          <w:pgMar w:top="1440" w:right="1797" w:bottom="1440" w:left="1797" w:header="851" w:footer="992" w:gutter="0"/>
          <w:cols w:space="425" w:num="1"/>
          <w:titlePg/>
          <w:docGrid w:linePitch="462" w:charSpace="0"/>
        </w:sectPr>
      </w:pPr>
    </w:p>
    <w:bookmarkEnd w:id="35"/>
    <w:p>
      <w:pPr>
        <w:pStyle w:val="6"/>
        <w:jc w:val="center"/>
        <w:rPr>
          <w:sz w:val="28"/>
          <w:szCs w:val="28"/>
        </w:rPr>
      </w:pPr>
      <w:r>
        <w:rPr>
          <w:rFonts w:hint="eastAsia"/>
          <w:sz w:val="28"/>
          <w:szCs w:val="28"/>
        </w:rPr>
        <w:t>第三章 用户需求书</w:t>
      </w:r>
    </w:p>
    <w:p>
      <w:pPr>
        <w:pStyle w:val="6"/>
        <w:spacing w:before="120" w:beforeLines="50" w:after="120" w:afterLines="50"/>
        <w:jc w:val="center"/>
        <w:rPr>
          <w:szCs w:val="24"/>
        </w:rPr>
      </w:pPr>
      <w:r>
        <w:rPr>
          <w:rFonts w:hint="eastAsia"/>
          <w:szCs w:val="24"/>
        </w:rPr>
        <w:t>一、项目基本信息</w:t>
      </w:r>
    </w:p>
    <w:p>
      <w:pPr>
        <w:rPr>
          <w:rFonts w:ascii="宋体" w:hAnsi="宋体"/>
          <w:b/>
          <w:color w:val="FF0000"/>
          <w:szCs w:val="21"/>
        </w:rPr>
      </w:pPr>
    </w:p>
    <w:tbl>
      <w:tblPr>
        <w:tblStyle w:val="18"/>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2603"/>
        <w:gridCol w:w="3158"/>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jc w:val="center"/>
              <w:rPr>
                <w:bCs/>
                <w:szCs w:val="21"/>
              </w:rPr>
            </w:pPr>
            <w:r>
              <w:rPr>
                <w:rFonts w:hint="eastAsia"/>
                <w:bCs/>
                <w:szCs w:val="21"/>
              </w:rPr>
              <w:t>序号</w:t>
            </w:r>
          </w:p>
        </w:tc>
        <w:tc>
          <w:tcPr>
            <w:tcW w:w="2603" w:type="dxa"/>
            <w:vAlign w:val="center"/>
          </w:tcPr>
          <w:p>
            <w:pPr>
              <w:jc w:val="center"/>
              <w:rPr>
                <w:bCs/>
                <w:szCs w:val="21"/>
              </w:rPr>
            </w:pPr>
            <w:r>
              <w:rPr>
                <w:rFonts w:hint="eastAsia"/>
                <w:szCs w:val="21"/>
              </w:rPr>
              <w:t>采购计划编号</w:t>
            </w:r>
          </w:p>
        </w:tc>
        <w:tc>
          <w:tcPr>
            <w:tcW w:w="3158" w:type="dxa"/>
            <w:vAlign w:val="center"/>
          </w:tcPr>
          <w:p>
            <w:pPr>
              <w:jc w:val="center"/>
              <w:rPr>
                <w:bCs/>
                <w:szCs w:val="21"/>
              </w:rPr>
            </w:pPr>
            <w:r>
              <w:rPr>
                <w:rFonts w:hint="eastAsia"/>
                <w:bCs/>
                <w:szCs w:val="21"/>
              </w:rPr>
              <w:t>采购项目名称</w:t>
            </w:r>
          </w:p>
        </w:tc>
        <w:tc>
          <w:tcPr>
            <w:tcW w:w="2355" w:type="dxa"/>
            <w:vAlign w:val="center"/>
          </w:tcPr>
          <w:p>
            <w:pPr>
              <w:jc w:val="center"/>
              <w:rPr>
                <w:b/>
                <w:bCs/>
                <w:color w:val="FF0000"/>
                <w:szCs w:val="21"/>
              </w:rPr>
            </w:pPr>
            <w:r>
              <w:rPr>
                <w:rFonts w:hint="eastAsia"/>
                <w:b/>
                <w:bCs/>
                <w:color w:val="FF0000"/>
                <w:szCs w:val="21"/>
              </w:rPr>
              <w:t>财政预算限额（元）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jc w:val="center"/>
              <w:rPr>
                <w:bCs/>
                <w:color w:val="FF0000"/>
                <w:szCs w:val="21"/>
              </w:rPr>
            </w:pPr>
            <w:r>
              <w:rPr>
                <w:rFonts w:hint="eastAsia"/>
                <w:bCs/>
                <w:color w:val="FF0000"/>
                <w:szCs w:val="21"/>
              </w:rPr>
              <w:t>1</w:t>
            </w:r>
          </w:p>
        </w:tc>
        <w:tc>
          <w:tcPr>
            <w:tcW w:w="2603" w:type="dxa"/>
            <w:vAlign w:val="center"/>
          </w:tcPr>
          <w:p>
            <w:pPr>
              <w:jc w:val="center"/>
              <w:rPr>
                <w:bCs/>
                <w:color w:val="FF0000"/>
                <w:szCs w:val="21"/>
              </w:rPr>
            </w:pPr>
            <w:r>
              <w:rPr>
                <w:rFonts w:hint="eastAsia"/>
                <w:bCs/>
                <w:color w:val="FF0000"/>
                <w:szCs w:val="21"/>
              </w:rPr>
              <w:t>BAJYJ2025052907165A</w:t>
            </w:r>
          </w:p>
        </w:tc>
        <w:tc>
          <w:tcPr>
            <w:tcW w:w="3158" w:type="dxa"/>
            <w:vAlign w:val="center"/>
          </w:tcPr>
          <w:p>
            <w:pPr>
              <w:jc w:val="center"/>
              <w:rPr>
                <w:rFonts w:hint="eastAsia" w:eastAsiaTheme="minorEastAsia"/>
                <w:b/>
                <w:bCs/>
                <w:color w:val="FF0000"/>
                <w:szCs w:val="21"/>
                <w:lang w:eastAsia="zh-CN"/>
              </w:rPr>
            </w:pPr>
            <w:r>
              <w:rPr>
                <w:rFonts w:hint="eastAsia"/>
                <w:b/>
                <w:bCs/>
                <w:color w:val="FF0000"/>
                <w:szCs w:val="21"/>
                <w:lang w:eastAsia="zh-CN"/>
              </w:rPr>
              <w:t>深圳市宝安区松岗街道中心幼儿园（璟城一幼）2025年度班组设备采购</w:t>
            </w:r>
          </w:p>
        </w:tc>
        <w:tc>
          <w:tcPr>
            <w:tcW w:w="2355" w:type="dxa"/>
            <w:vAlign w:val="center"/>
          </w:tcPr>
          <w:p>
            <w:pPr>
              <w:jc w:val="center"/>
              <w:rPr>
                <w:bCs/>
                <w:color w:val="FF0000"/>
                <w:szCs w:val="21"/>
              </w:rPr>
            </w:pPr>
            <w:r>
              <w:rPr>
                <w:rFonts w:hint="eastAsia"/>
                <w:bCs/>
                <w:color w:val="FF0000"/>
                <w:szCs w:val="21"/>
              </w:rPr>
              <w:t>742,500.00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74" w:type="dxa"/>
            <w:gridSpan w:val="3"/>
            <w:vAlign w:val="center"/>
          </w:tcPr>
          <w:p>
            <w:pPr>
              <w:jc w:val="center"/>
              <w:rPr>
                <w:b/>
                <w:bCs/>
                <w:color w:val="FF0000"/>
                <w:szCs w:val="21"/>
              </w:rPr>
            </w:pPr>
            <w:r>
              <w:rPr>
                <w:b/>
                <w:bCs/>
                <w:color w:val="FF0000"/>
                <w:szCs w:val="21"/>
              </w:rPr>
              <w:t>合计</w:t>
            </w:r>
          </w:p>
        </w:tc>
        <w:tc>
          <w:tcPr>
            <w:tcW w:w="2355" w:type="dxa"/>
            <w:vAlign w:val="center"/>
          </w:tcPr>
          <w:p>
            <w:pPr>
              <w:tabs>
                <w:tab w:val="center" w:pos="1129"/>
                <w:tab w:val="right" w:pos="2139"/>
              </w:tabs>
              <w:jc w:val="left"/>
              <w:rPr>
                <w:rFonts w:hint="default" w:eastAsiaTheme="minorEastAsia"/>
                <w:bCs/>
                <w:color w:val="FF0000"/>
                <w:szCs w:val="21"/>
                <w:lang w:val="en-US" w:eastAsia="zh-CN"/>
              </w:rPr>
            </w:pPr>
            <w:r>
              <w:rPr>
                <w:rFonts w:hint="eastAsia"/>
                <w:bCs/>
                <w:color w:val="FF0000"/>
                <w:szCs w:val="21"/>
                <w:lang w:eastAsia="zh-CN"/>
              </w:rPr>
              <w:tab/>
            </w:r>
            <w:r>
              <w:rPr>
                <w:rFonts w:hint="eastAsia"/>
                <w:bCs/>
                <w:color w:val="FF0000"/>
                <w:szCs w:val="21"/>
                <w:lang w:eastAsia="zh-CN"/>
              </w:rPr>
              <w:t>742,500.00</w:t>
            </w:r>
          </w:p>
        </w:tc>
      </w:tr>
    </w:tbl>
    <w:p>
      <w:pPr>
        <w:rPr>
          <w:rFonts w:ascii="宋体" w:hAnsi="宋体"/>
          <w:b/>
          <w:color w:val="FF0000"/>
          <w:szCs w:val="21"/>
        </w:rPr>
      </w:pPr>
    </w:p>
    <w:p>
      <w:pPr>
        <w:rPr>
          <w:rFonts w:ascii="宋体" w:hAnsi="宋体"/>
          <w:b/>
          <w:color w:val="FF0000"/>
          <w:szCs w:val="21"/>
        </w:rPr>
      </w:pPr>
    </w:p>
    <w:p>
      <w:pPr>
        <w:pStyle w:val="6"/>
        <w:numPr>
          <w:ilvl w:val="0"/>
          <w:numId w:val="1"/>
        </w:numPr>
        <w:spacing w:before="120" w:beforeLines="50" w:after="120" w:afterLines="50"/>
        <w:jc w:val="center"/>
        <w:rPr>
          <w:rFonts w:hint="eastAsia"/>
          <w:szCs w:val="24"/>
        </w:rPr>
      </w:pPr>
      <w:bookmarkStart w:id="38" w:name="_Hlk72073432"/>
      <w:bookmarkStart w:id="39" w:name="_Hlk72258617"/>
      <w:r>
        <w:rPr>
          <w:rFonts w:hint="eastAsia"/>
          <w:szCs w:val="24"/>
        </w:rPr>
        <w:t>货物需求明细</w:t>
      </w:r>
      <w:bookmarkEnd w:id="38"/>
    </w:p>
    <w:tbl>
      <w:tblPr>
        <w:tblStyle w:val="18"/>
        <w:tblpPr w:leftFromText="180" w:rightFromText="180" w:vertAnchor="text" w:horzAnchor="page" w:tblpX="1358" w:tblpY="849"/>
        <w:tblOverlap w:val="never"/>
        <w:tblW w:w="9354"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578"/>
        <w:gridCol w:w="796"/>
        <w:gridCol w:w="4287"/>
        <w:gridCol w:w="577"/>
        <w:gridCol w:w="577"/>
        <w:gridCol w:w="923"/>
        <w:gridCol w:w="808"/>
        <w:gridCol w:w="80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48" w:hRule="atLeast"/>
        </w:trPr>
        <w:tc>
          <w:tcPr>
            <w:tcW w:w="578" w:type="dxa"/>
            <w:vAlign w:val="center"/>
          </w:tcPr>
          <w:p>
            <w:pPr>
              <w:widowControl/>
              <w:jc w:val="center"/>
              <w:textAlignment w:val="center"/>
              <w:rPr>
                <w:rFonts w:ascii="宋体" w:hAnsi="宋体" w:eastAsia="宋体" w:cs="宋体"/>
                <w:b/>
                <w:bCs/>
                <w:color w:val="000000"/>
                <w:szCs w:val="21"/>
              </w:rPr>
            </w:pPr>
            <w:r>
              <w:rPr>
                <w:rFonts w:hint="default" w:ascii="宋体" w:hAnsi="宋体" w:eastAsia="宋体" w:cs="宋体"/>
                <w:b/>
                <w:bCs/>
                <w:color w:val="000000"/>
                <w:szCs w:val="21"/>
                <w:u w:val="none"/>
                <w:lang w:bidi="ar"/>
              </w:rPr>
              <w:t>序号</w:t>
            </w:r>
          </w:p>
        </w:tc>
        <w:tc>
          <w:tcPr>
            <w:tcW w:w="796" w:type="dxa"/>
            <w:vAlign w:val="center"/>
          </w:tcPr>
          <w:p>
            <w:pPr>
              <w:widowControl/>
              <w:jc w:val="center"/>
              <w:textAlignment w:val="center"/>
              <w:rPr>
                <w:rFonts w:hint="default" w:ascii="宋体" w:hAnsi="宋体" w:eastAsia="宋体" w:cs="宋体"/>
                <w:b/>
                <w:bCs/>
                <w:color w:val="000000"/>
                <w:szCs w:val="21"/>
                <w:u w:val="none"/>
                <w:lang w:bidi="ar"/>
              </w:rPr>
            </w:pPr>
            <w:r>
              <w:rPr>
                <w:rFonts w:hint="default" w:ascii="宋体" w:hAnsi="宋体" w:eastAsia="宋体" w:cs="宋体"/>
                <w:b/>
                <w:bCs/>
                <w:color w:val="000000"/>
                <w:szCs w:val="21"/>
                <w:u w:val="none"/>
                <w:lang w:bidi="ar"/>
              </w:rPr>
              <w:t>采购计划编号</w:t>
            </w:r>
          </w:p>
        </w:tc>
        <w:tc>
          <w:tcPr>
            <w:tcW w:w="4287" w:type="dxa"/>
            <w:vAlign w:val="center"/>
          </w:tcPr>
          <w:p>
            <w:pPr>
              <w:widowControl/>
              <w:jc w:val="center"/>
              <w:textAlignment w:val="center"/>
              <w:rPr>
                <w:rFonts w:ascii="宋体" w:hAnsi="宋体" w:eastAsia="宋体" w:cs="宋体"/>
                <w:b/>
                <w:bCs/>
                <w:color w:val="000000"/>
                <w:szCs w:val="21"/>
              </w:rPr>
            </w:pPr>
            <w:r>
              <w:rPr>
                <w:rFonts w:hint="default" w:ascii="宋体" w:hAnsi="宋体" w:eastAsia="宋体" w:cs="宋体"/>
                <w:b/>
                <w:bCs/>
                <w:color w:val="000000"/>
                <w:szCs w:val="21"/>
                <w:u w:val="none"/>
                <w:lang w:bidi="ar"/>
              </w:rPr>
              <w:t>货物名称（标的名称）</w:t>
            </w:r>
          </w:p>
        </w:tc>
        <w:tc>
          <w:tcPr>
            <w:tcW w:w="577" w:type="dxa"/>
            <w:vAlign w:val="center"/>
          </w:tcPr>
          <w:p>
            <w:pPr>
              <w:widowControl/>
              <w:jc w:val="center"/>
              <w:textAlignment w:val="center"/>
              <w:rPr>
                <w:rFonts w:ascii="宋体" w:hAnsi="宋体" w:eastAsia="宋体" w:cs="宋体"/>
                <w:b/>
                <w:bCs/>
                <w:color w:val="000000"/>
                <w:szCs w:val="21"/>
              </w:rPr>
            </w:pPr>
            <w:r>
              <w:rPr>
                <w:rFonts w:hint="default" w:ascii="宋体" w:hAnsi="宋体" w:eastAsia="宋体" w:cs="宋体"/>
                <w:b/>
                <w:bCs/>
                <w:color w:val="000000"/>
                <w:szCs w:val="21"/>
                <w:u w:val="none"/>
                <w:lang w:bidi="ar"/>
              </w:rPr>
              <w:t>数量</w:t>
            </w:r>
          </w:p>
        </w:tc>
        <w:tc>
          <w:tcPr>
            <w:tcW w:w="577" w:type="dxa"/>
            <w:vAlign w:val="center"/>
          </w:tcPr>
          <w:p>
            <w:pPr>
              <w:widowControl/>
              <w:jc w:val="center"/>
              <w:textAlignment w:val="center"/>
              <w:rPr>
                <w:rFonts w:ascii="宋体" w:hAnsi="宋体" w:eastAsia="宋体" w:cs="宋体"/>
                <w:b/>
                <w:bCs/>
                <w:color w:val="000000"/>
                <w:szCs w:val="21"/>
              </w:rPr>
            </w:pPr>
            <w:r>
              <w:rPr>
                <w:rFonts w:hint="default" w:ascii="宋体" w:hAnsi="宋体" w:eastAsia="宋体" w:cs="宋体"/>
                <w:b/>
                <w:bCs/>
                <w:color w:val="000000"/>
                <w:szCs w:val="21"/>
                <w:u w:val="none"/>
                <w:lang w:bidi="ar"/>
              </w:rPr>
              <w:t>单位</w:t>
            </w:r>
          </w:p>
        </w:tc>
        <w:tc>
          <w:tcPr>
            <w:tcW w:w="923" w:type="dxa"/>
            <w:vAlign w:val="center"/>
          </w:tcPr>
          <w:p>
            <w:pPr>
              <w:widowControl/>
              <w:jc w:val="center"/>
              <w:textAlignment w:val="center"/>
              <w:rPr>
                <w:rFonts w:hint="default" w:ascii="宋体" w:hAnsi="宋体" w:eastAsia="宋体" w:cs="Times New Roman"/>
                <w:color w:val="FF0000"/>
                <w:szCs w:val="24"/>
                <w:lang w:bidi="ar"/>
              </w:rPr>
            </w:pPr>
            <w:r>
              <w:rPr>
                <w:rFonts w:hint="eastAsia" w:ascii="宋体" w:hAnsi="宋体" w:eastAsia="宋体" w:cs="Times New Roman"/>
                <w:b/>
                <w:bCs/>
                <w:color w:val="FF0000"/>
                <w:szCs w:val="21"/>
              </w:rPr>
              <w:t>是否接受进口</w:t>
            </w:r>
          </w:p>
        </w:tc>
        <w:tc>
          <w:tcPr>
            <w:tcW w:w="808" w:type="dxa"/>
            <w:vAlign w:val="center"/>
          </w:tcPr>
          <w:p>
            <w:pPr>
              <w:widowControl/>
              <w:jc w:val="center"/>
              <w:textAlignment w:val="center"/>
              <w:rPr>
                <w:rFonts w:hint="default" w:ascii="宋体" w:hAnsi="宋体" w:eastAsia="宋体" w:cs="Times New Roman"/>
                <w:color w:val="FF0000"/>
                <w:szCs w:val="24"/>
                <w:lang w:bidi="ar"/>
              </w:rPr>
            </w:pPr>
            <w:r>
              <w:rPr>
                <w:rFonts w:hint="eastAsia" w:ascii="宋体" w:hAnsi="宋体" w:eastAsia="宋体" w:cs="Times New Roman"/>
                <w:b/>
                <w:bCs/>
                <w:color w:val="FF0000"/>
                <w:szCs w:val="21"/>
              </w:rPr>
              <w:t>是否专门面向中小企业</w:t>
            </w:r>
          </w:p>
        </w:tc>
        <w:tc>
          <w:tcPr>
            <w:tcW w:w="808" w:type="dxa"/>
            <w:vAlign w:val="center"/>
          </w:tcPr>
          <w:p>
            <w:pPr>
              <w:widowControl/>
              <w:jc w:val="center"/>
              <w:textAlignment w:val="center"/>
              <w:rPr>
                <w:rFonts w:ascii="宋体" w:hAnsi="宋体" w:eastAsia="宋体" w:cs="Times New Roman"/>
                <w:b/>
                <w:bCs/>
                <w:color w:val="FF0000"/>
                <w:szCs w:val="21"/>
              </w:rPr>
            </w:pPr>
            <w:r>
              <w:rPr>
                <w:rFonts w:hint="eastAsia" w:ascii="宋体" w:hAnsi="宋体" w:eastAsia="宋体" w:cs="Times New Roman"/>
                <w:b/>
                <w:bCs/>
                <w:color w:val="FF0000"/>
                <w:szCs w:val="21"/>
              </w:rPr>
              <w:t>标的所属行业</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03" w:hRule="atLeast"/>
        </w:trPr>
        <w:tc>
          <w:tcPr>
            <w:tcW w:w="5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1</w:t>
            </w:r>
          </w:p>
        </w:tc>
        <w:tc>
          <w:tcPr>
            <w:tcW w:w="796" w:type="dxa"/>
            <w:vMerge w:val="restart"/>
            <w:vAlign w:val="center"/>
          </w:tcPr>
          <w:p>
            <w:pPr>
              <w:widowControl/>
              <w:jc w:val="center"/>
              <w:textAlignment w:val="center"/>
              <w:rPr>
                <w:rFonts w:hint="eastAsia" w:ascii="宋体" w:hAnsi="宋体" w:eastAsia="宋体" w:cs="华文楷体"/>
                <w:color w:val="auto"/>
                <w:sz w:val="21"/>
                <w:szCs w:val="21"/>
                <w:u w:val="none"/>
                <w:lang w:bidi="ar"/>
              </w:rPr>
            </w:pPr>
            <w:r>
              <w:rPr>
                <w:rFonts w:hint="eastAsia" w:ascii="宋体" w:hAnsi="宋体" w:eastAsia="宋体" w:cs="华文楷体"/>
                <w:color w:val="auto"/>
                <w:sz w:val="21"/>
                <w:szCs w:val="21"/>
                <w:u w:val="none"/>
                <w:lang w:bidi="ar"/>
              </w:rPr>
              <w:t>BAJYJ2025052907165A</w:t>
            </w:r>
          </w:p>
        </w:tc>
        <w:tc>
          <w:tcPr>
            <w:tcW w:w="428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b/>
                <w:bCs/>
                <w:color w:val="FF0000"/>
                <w:kern w:val="0"/>
                <w:szCs w:val="21"/>
                <w:lang w:bidi="ar"/>
              </w:rPr>
              <w:t>实木幼儿长桌1</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8</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张</w:t>
            </w:r>
          </w:p>
        </w:tc>
        <w:tc>
          <w:tcPr>
            <w:tcW w:w="923" w:type="dxa"/>
            <w:vMerge w:val="restart"/>
            <w:vAlign w:val="center"/>
          </w:tcPr>
          <w:p>
            <w:pPr>
              <w:widowControl/>
              <w:jc w:val="center"/>
              <w:textAlignment w:val="center"/>
              <w:rPr>
                <w:rFonts w:hint="eastAsia" w:ascii="宋体" w:hAnsi="宋体" w:eastAsia="宋体" w:cs="华文楷体"/>
                <w:color w:val="FF0000"/>
                <w:kern w:val="0"/>
                <w:szCs w:val="21"/>
                <w:lang w:bidi="ar"/>
              </w:rPr>
            </w:pPr>
            <w:r>
              <w:rPr>
                <w:rFonts w:hint="eastAsia" w:ascii="宋体" w:hAnsi="宋体" w:eastAsia="宋体" w:cs="华文楷体"/>
                <w:color w:val="FF0000"/>
                <w:kern w:val="0"/>
                <w:szCs w:val="21"/>
                <w:lang w:bidi="ar"/>
              </w:rPr>
              <w:t>拒绝进口</w:t>
            </w:r>
          </w:p>
          <w:p>
            <w:pPr>
              <w:widowControl/>
              <w:jc w:val="center"/>
              <w:textAlignment w:val="center"/>
              <w:rPr>
                <w:rFonts w:ascii="宋体" w:hAnsi="宋体" w:eastAsia="宋体" w:cs="Times New Roman"/>
                <w:color w:val="FF0000"/>
                <w:sz w:val="21"/>
                <w:szCs w:val="21"/>
                <w:lang w:bidi="ar"/>
              </w:rPr>
            </w:pPr>
          </w:p>
        </w:tc>
        <w:tc>
          <w:tcPr>
            <w:tcW w:w="808" w:type="dxa"/>
            <w:vMerge w:val="restart"/>
            <w:vAlign w:val="center"/>
          </w:tcPr>
          <w:p>
            <w:pPr>
              <w:widowControl/>
              <w:jc w:val="center"/>
              <w:textAlignment w:val="center"/>
              <w:rPr>
                <w:rFonts w:hint="eastAsia" w:ascii="宋体" w:hAnsi="宋体" w:eastAsia="宋体" w:cs="华文楷体"/>
                <w:color w:val="FF0000"/>
                <w:kern w:val="0"/>
                <w:szCs w:val="21"/>
                <w:lang w:bidi="ar"/>
              </w:rPr>
            </w:pPr>
            <w:r>
              <w:rPr>
                <w:rFonts w:hint="eastAsia" w:ascii="宋体" w:hAnsi="宋体" w:eastAsia="宋体" w:cs="华文楷体"/>
                <w:color w:val="FF0000"/>
                <w:kern w:val="0"/>
                <w:szCs w:val="21"/>
                <w:lang w:bidi="ar"/>
              </w:rPr>
              <w:t>是</w:t>
            </w:r>
          </w:p>
          <w:p>
            <w:pPr>
              <w:widowControl/>
              <w:jc w:val="center"/>
              <w:textAlignment w:val="center"/>
              <w:rPr>
                <w:rFonts w:ascii="宋体" w:hAnsi="宋体" w:eastAsia="宋体" w:cs="Times New Roman"/>
                <w:color w:val="FF0000"/>
                <w:sz w:val="21"/>
                <w:szCs w:val="21"/>
                <w:lang w:bidi="ar"/>
              </w:rPr>
            </w:pPr>
          </w:p>
        </w:tc>
        <w:tc>
          <w:tcPr>
            <w:tcW w:w="808" w:type="dxa"/>
            <w:vMerge w:val="restart"/>
            <w:vAlign w:val="center"/>
          </w:tcPr>
          <w:p>
            <w:pPr>
              <w:widowControl/>
              <w:jc w:val="center"/>
              <w:textAlignment w:val="center"/>
              <w:rPr>
                <w:rFonts w:hint="eastAsia" w:ascii="宋体" w:hAnsi="宋体" w:eastAsia="宋体" w:cs="华文楷体"/>
                <w:color w:val="FF0000"/>
                <w:kern w:val="0"/>
                <w:szCs w:val="21"/>
                <w:lang w:bidi="ar"/>
              </w:rPr>
            </w:pPr>
            <w:r>
              <w:rPr>
                <w:rFonts w:hint="eastAsia" w:ascii="宋体" w:hAnsi="宋体" w:eastAsia="宋体" w:cs="华文楷体"/>
                <w:color w:val="FF0000"/>
                <w:kern w:val="0"/>
                <w:szCs w:val="21"/>
                <w:lang w:bidi="ar"/>
              </w:rPr>
              <w:t>工业</w:t>
            </w:r>
          </w:p>
          <w:p>
            <w:pPr>
              <w:widowControl/>
              <w:jc w:val="center"/>
              <w:textAlignment w:val="center"/>
              <w:rPr>
                <w:rFonts w:ascii="宋体" w:hAnsi="宋体" w:eastAsia="宋体" w:cs="Times New Roman"/>
                <w:color w:val="FF0000"/>
                <w:sz w:val="21"/>
                <w:szCs w:val="21"/>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trPr>
        <w:tc>
          <w:tcPr>
            <w:tcW w:w="5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2</w:t>
            </w:r>
          </w:p>
        </w:tc>
        <w:tc>
          <w:tcPr>
            <w:tcW w:w="796"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428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实木幼儿长桌2</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18</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张</w:t>
            </w:r>
          </w:p>
        </w:tc>
        <w:tc>
          <w:tcPr>
            <w:tcW w:w="923"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trPr>
        <w:tc>
          <w:tcPr>
            <w:tcW w:w="5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3</w:t>
            </w:r>
          </w:p>
        </w:tc>
        <w:tc>
          <w:tcPr>
            <w:tcW w:w="796"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428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实木幼儿长桌3</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18</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张</w:t>
            </w:r>
          </w:p>
        </w:tc>
        <w:tc>
          <w:tcPr>
            <w:tcW w:w="923"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trPr>
        <w:tc>
          <w:tcPr>
            <w:tcW w:w="5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4</w:t>
            </w:r>
          </w:p>
        </w:tc>
        <w:tc>
          <w:tcPr>
            <w:tcW w:w="796"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428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实木幼儿方桌1</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2</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张</w:t>
            </w:r>
          </w:p>
        </w:tc>
        <w:tc>
          <w:tcPr>
            <w:tcW w:w="923"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trPr>
        <w:tc>
          <w:tcPr>
            <w:tcW w:w="5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5</w:t>
            </w:r>
          </w:p>
        </w:tc>
        <w:tc>
          <w:tcPr>
            <w:tcW w:w="796"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428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实木幼儿方桌2</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3</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张</w:t>
            </w:r>
          </w:p>
        </w:tc>
        <w:tc>
          <w:tcPr>
            <w:tcW w:w="923"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trPr>
        <w:tc>
          <w:tcPr>
            <w:tcW w:w="5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6</w:t>
            </w:r>
          </w:p>
        </w:tc>
        <w:tc>
          <w:tcPr>
            <w:tcW w:w="796"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428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实木幼儿方桌3</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3</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张</w:t>
            </w:r>
          </w:p>
        </w:tc>
        <w:tc>
          <w:tcPr>
            <w:tcW w:w="923"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trPr>
        <w:tc>
          <w:tcPr>
            <w:tcW w:w="5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7</w:t>
            </w:r>
          </w:p>
        </w:tc>
        <w:tc>
          <w:tcPr>
            <w:tcW w:w="796"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428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实木幼儿圆桌1</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2</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张</w:t>
            </w:r>
          </w:p>
        </w:tc>
        <w:tc>
          <w:tcPr>
            <w:tcW w:w="923"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trPr>
        <w:tc>
          <w:tcPr>
            <w:tcW w:w="5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8</w:t>
            </w:r>
          </w:p>
        </w:tc>
        <w:tc>
          <w:tcPr>
            <w:tcW w:w="796"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428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实木幼儿圆桌2</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3</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张</w:t>
            </w:r>
          </w:p>
        </w:tc>
        <w:tc>
          <w:tcPr>
            <w:tcW w:w="923"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trPr>
        <w:tc>
          <w:tcPr>
            <w:tcW w:w="5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9</w:t>
            </w:r>
          </w:p>
        </w:tc>
        <w:tc>
          <w:tcPr>
            <w:tcW w:w="796"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428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实木幼儿圆桌3</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3</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张</w:t>
            </w:r>
          </w:p>
        </w:tc>
        <w:tc>
          <w:tcPr>
            <w:tcW w:w="923"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trPr>
        <w:tc>
          <w:tcPr>
            <w:tcW w:w="5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10</w:t>
            </w:r>
          </w:p>
        </w:tc>
        <w:tc>
          <w:tcPr>
            <w:tcW w:w="796"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428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实木儿童椅1</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56</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张</w:t>
            </w:r>
          </w:p>
        </w:tc>
        <w:tc>
          <w:tcPr>
            <w:tcW w:w="923"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trPr>
        <w:tc>
          <w:tcPr>
            <w:tcW w:w="5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11</w:t>
            </w:r>
          </w:p>
        </w:tc>
        <w:tc>
          <w:tcPr>
            <w:tcW w:w="796"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428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实木儿童椅2</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99</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张</w:t>
            </w:r>
          </w:p>
        </w:tc>
        <w:tc>
          <w:tcPr>
            <w:tcW w:w="923"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trPr>
        <w:tc>
          <w:tcPr>
            <w:tcW w:w="5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12</w:t>
            </w:r>
          </w:p>
        </w:tc>
        <w:tc>
          <w:tcPr>
            <w:tcW w:w="796"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428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实木儿童椅3</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114</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张</w:t>
            </w:r>
          </w:p>
        </w:tc>
        <w:tc>
          <w:tcPr>
            <w:tcW w:w="923"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trPr>
        <w:tc>
          <w:tcPr>
            <w:tcW w:w="5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13</w:t>
            </w:r>
          </w:p>
        </w:tc>
        <w:tc>
          <w:tcPr>
            <w:tcW w:w="796"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428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美术展示柜A</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5</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923"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trPr>
        <w:tc>
          <w:tcPr>
            <w:tcW w:w="5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14</w:t>
            </w:r>
          </w:p>
        </w:tc>
        <w:tc>
          <w:tcPr>
            <w:tcW w:w="796"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428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美术展示柜C</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3</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923"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trPr>
        <w:tc>
          <w:tcPr>
            <w:tcW w:w="5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15</w:t>
            </w:r>
          </w:p>
        </w:tc>
        <w:tc>
          <w:tcPr>
            <w:tcW w:w="796"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428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实木十二格收纳柜</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8</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923"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trPr>
        <w:tc>
          <w:tcPr>
            <w:tcW w:w="578" w:type="dxa"/>
            <w:shd w:val="clear" w:color="auto" w:fill="FFFFFF"/>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16</w:t>
            </w:r>
          </w:p>
        </w:tc>
        <w:tc>
          <w:tcPr>
            <w:tcW w:w="796" w:type="dxa"/>
            <w:vMerge w:val="continue"/>
            <w:shd w:val="clear" w:color="auto" w:fill="FFFFFF"/>
            <w:vAlign w:val="center"/>
          </w:tcPr>
          <w:p>
            <w:pPr>
              <w:widowControl/>
              <w:jc w:val="center"/>
              <w:textAlignment w:val="center"/>
              <w:rPr>
                <w:rFonts w:hint="eastAsia" w:ascii="宋体" w:hAnsi="宋体" w:eastAsia="宋体" w:cs="华文楷体"/>
                <w:color w:val="auto"/>
                <w:sz w:val="21"/>
                <w:szCs w:val="21"/>
                <w:u w:val="none"/>
                <w:lang w:bidi="ar"/>
              </w:rPr>
            </w:pPr>
          </w:p>
        </w:tc>
        <w:tc>
          <w:tcPr>
            <w:tcW w:w="4287" w:type="dxa"/>
            <w:shd w:val="clear" w:color="auto" w:fill="FFFFFF"/>
            <w:vAlign w:val="center"/>
          </w:tcPr>
          <w:p>
            <w:pPr>
              <w:widowControl/>
              <w:jc w:val="center"/>
              <w:textAlignment w:val="center"/>
              <w:rPr>
                <w:rFonts w:ascii="宋体" w:hAnsi="宋体" w:eastAsia="宋体" w:cs="华文楷体"/>
                <w:kern w:val="0"/>
                <w:szCs w:val="21"/>
                <w:lang w:bidi="ar"/>
              </w:rPr>
            </w:pPr>
            <w:r>
              <w:rPr>
                <w:rFonts w:hint="eastAsia" w:ascii="宋体" w:hAnsi="宋体" w:eastAsia="宋体" w:cs="华文楷体"/>
                <w:kern w:val="0"/>
                <w:szCs w:val="21"/>
                <w:lang w:bidi="ar"/>
              </w:rPr>
              <w:t>实木六格活动柜</w:t>
            </w:r>
          </w:p>
        </w:tc>
        <w:tc>
          <w:tcPr>
            <w:tcW w:w="577" w:type="dxa"/>
            <w:shd w:val="clear" w:color="auto" w:fill="FFFFFF"/>
            <w:vAlign w:val="center"/>
          </w:tcPr>
          <w:p>
            <w:pPr>
              <w:widowControl/>
              <w:jc w:val="center"/>
              <w:textAlignment w:val="center"/>
              <w:rPr>
                <w:rFonts w:ascii="宋体" w:hAnsi="宋体" w:eastAsia="宋体" w:cs="华文楷体"/>
                <w:kern w:val="0"/>
                <w:szCs w:val="21"/>
                <w:lang w:bidi="ar"/>
              </w:rPr>
            </w:pPr>
            <w:r>
              <w:rPr>
                <w:rFonts w:hint="eastAsia" w:ascii="宋体" w:hAnsi="宋体" w:eastAsia="宋体" w:cs="华文楷体"/>
                <w:kern w:val="0"/>
                <w:szCs w:val="21"/>
                <w:lang w:bidi="ar"/>
              </w:rPr>
              <w:t>16</w:t>
            </w:r>
          </w:p>
        </w:tc>
        <w:tc>
          <w:tcPr>
            <w:tcW w:w="577" w:type="dxa"/>
            <w:shd w:val="clear" w:color="auto" w:fill="FFFFFF"/>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923" w:type="dxa"/>
            <w:vMerge w:val="continue"/>
            <w:shd w:val="clear" w:color="auto" w:fill="FFFFFF"/>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shd w:val="clear" w:color="auto" w:fill="FFFFFF"/>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shd w:val="clear" w:color="auto" w:fill="FFFFFF"/>
            <w:vAlign w:val="center"/>
          </w:tcPr>
          <w:p>
            <w:pPr>
              <w:widowControl/>
              <w:jc w:val="center"/>
              <w:textAlignment w:val="center"/>
              <w:rPr>
                <w:rFonts w:ascii="宋体" w:hAnsi="宋体" w:eastAsia="宋体" w:cs="Times New Roman"/>
                <w:color w:val="FF0000"/>
                <w:sz w:val="21"/>
                <w:szCs w:val="21"/>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trPr>
        <w:tc>
          <w:tcPr>
            <w:tcW w:w="578" w:type="dxa"/>
            <w:shd w:val="clear" w:color="auto" w:fill="FFFFFF"/>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17</w:t>
            </w:r>
          </w:p>
        </w:tc>
        <w:tc>
          <w:tcPr>
            <w:tcW w:w="796" w:type="dxa"/>
            <w:vMerge w:val="continue"/>
            <w:shd w:val="clear" w:color="auto" w:fill="FFFFFF"/>
            <w:vAlign w:val="center"/>
          </w:tcPr>
          <w:p>
            <w:pPr>
              <w:widowControl/>
              <w:jc w:val="center"/>
              <w:textAlignment w:val="center"/>
              <w:rPr>
                <w:rFonts w:hint="eastAsia" w:ascii="宋体" w:hAnsi="宋体" w:eastAsia="宋体" w:cs="华文楷体"/>
                <w:color w:val="auto"/>
                <w:sz w:val="21"/>
                <w:szCs w:val="21"/>
                <w:u w:val="none"/>
                <w:lang w:bidi="ar"/>
              </w:rPr>
            </w:pPr>
          </w:p>
        </w:tc>
        <w:tc>
          <w:tcPr>
            <w:tcW w:w="4287" w:type="dxa"/>
            <w:shd w:val="clear" w:color="auto" w:fill="FFFFFF"/>
            <w:vAlign w:val="center"/>
          </w:tcPr>
          <w:p>
            <w:pPr>
              <w:widowControl/>
              <w:jc w:val="center"/>
              <w:textAlignment w:val="center"/>
              <w:rPr>
                <w:rFonts w:ascii="宋体" w:hAnsi="宋体" w:eastAsia="宋体" w:cs="华文楷体"/>
                <w:kern w:val="0"/>
                <w:szCs w:val="21"/>
                <w:lang w:bidi="ar"/>
              </w:rPr>
            </w:pPr>
            <w:r>
              <w:rPr>
                <w:rFonts w:hint="eastAsia" w:ascii="宋体" w:hAnsi="宋体" w:eastAsia="宋体" w:cs="华文楷体"/>
                <w:kern w:val="0"/>
                <w:szCs w:val="21"/>
                <w:lang w:bidi="ar"/>
              </w:rPr>
              <w:t>实木美术材料柜（活动）</w:t>
            </w:r>
          </w:p>
        </w:tc>
        <w:tc>
          <w:tcPr>
            <w:tcW w:w="577" w:type="dxa"/>
            <w:shd w:val="clear" w:color="auto" w:fill="FFFFFF"/>
            <w:vAlign w:val="center"/>
          </w:tcPr>
          <w:p>
            <w:pPr>
              <w:widowControl/>
              <w:jc w:val="center"/>
              <w:textAlignment w:val="center"/>
              <w:rPr>
                <w:rFonts w:ascii="宋体" w:hAnsi="宋体" w:eastAsia="宋体" w:cs="华文楷体"/>
                <w:kern w:val="0"/>
                <w:szCs w:val="21"/>
                <w:lang w:bidi="ar"/>
              </w:rPr>
            </w:pPr>
            <w:r>
              <w:rPr>
                <w:rFonts w:hint="eastAsia" w:ascii="宋体" w:hAnsi="宋体" w:eastAsia="宋体" w:cs="华文楷体"/>
                <w:kern w:val="0"/>
                <w:szCs w:val="21"/>
                <w:lang w:bidi="ar"/>
              </w:rPr>
              <w:t>8</w:t>
            </w:r>
          </w:p>
        </w:tc>
        <w:tc>
          <w:tcPr>
            <w:tcW w:w="577" w:type="dxa"/>
            <w:shd w:val="clear" w:color="auto" w:fill="FFFFFF"/>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923" w:type="dxa"/>
            <w:vMerge w:val="continue"/>
            <w:shd w:val="clear" w:color="auto" w:fill="FFFFFF"/>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shd w:val="clear" w:color="auto" w:fill="FFFFFF"/>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shd w:val="clear" w:color="auto" w:fill="FFFFFF"/>
            <w:vAlign w:val="center"/>
          </w:tcPr>
          <w:p>
            <w:pPr>
              <w:widowControl/>
              <w:jc w:val="center"/>
              <w:textAlignment w:val="center"/>
              <w:rPr>
                <w:rFonts w:ascii="宋体" w:hAnsi="宋体" w:eastAsia="宋体" w:cs="Times New Roman"/>
                <w:color w:val="FF0000"/>
                <w:sz w:val="21"/>
                <w:szCs w:val="21"/>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trPr>
        <w:tc>
          <w:tcPr>
            <w:tcW w:w="5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18</w:t>
            </w:r>
          </w:p>
        </w:tc>
        <w:tc>
          <w:tcPr>
            <w:tcW w:w="796"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428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实木布偶玩具柜台</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5</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923"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trPr>
        <w:tc>
          <w:tcPr>
            <w:tcW w:w="5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19</w:t>
            </w:r>
          </w:p>
        </w:tc>
        <w:tc>
          <w:tcPr>
            <w:tcW w:w="796"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bookmarkStart w:id="40" w:name="OLE_LINK2"/>
          </w:p>
        </w:tc>
        <w:tc>
          <w:tcPr>
            <w:tcW w:w="428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实木5格中空收纳柜</w:t>
            </w:r>
            <w:bookmarkEnd w:id="40"/>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7</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923"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trPr>
        <w:tc>
          <w:tcPr>
            <w:tcW w:w="5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20</w:t>
            </w:r>
          </w:p>
        </w:tc>
        <w:tc>
          <w:tcPr>
            <w:tcW w:w="796"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428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实木2层中空柜</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5</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923"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trPr>
        <w:tc>
          <w:tcPr>
            <w:tcW w:w="5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21</w:t>
            </w:r>
          </w:p>
        </w:tc>
        <w:tc>
          <w:tcPr>
            <w:tcW w:w="796"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428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实木2层矮柜</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2</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923"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trPr>
        <w:tc>
          <w:tcPr>
            <w:tcW w:w="5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22</w:t>
            </w:r>
          </w:p>
        </w:tc>
        <w:tc>
          <w:tcPr>
            <w:tcW w:w="796"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428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实木双层弧形收纳柜</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4</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923"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trPr>
        <w:tc>
          <w:tcPr>
            <w:tcW w:w="5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23</w:t>
            </w:r>
          </w:p>
        </w:tc>
        <w:tc>
          <w:tcPr>
            <w:tcW w:w="796"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428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实木3层玩具柜</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32</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923"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trPr>
        <w:tc>
          <w:tcPr>
            <w:tcW w:w="5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24</w:t>
            </w:r>
          </w:p>
        </w:tc>
        <w:tc>
          <w:tcPr>
            <w:tcW w:w="796"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428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实木3层收纳柜</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19</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923"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trPr>
        <w:tc>
          <w:tcPr>
            <w:tcW w:w="5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25</w:t>
            </w:r>
          </w:p>
        </w:tc>
        <w:tc>
          <w:tcPr>
            <w:tcW w:w="796"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428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实木阶梯柜</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8</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套</w:t>
            </w:r>
          </w:p>
        </w:tc>
        <w:tc>
          <w:tcPr>
            <w:tcW w:w="923"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trPr>
        <w:tc>
          <w:tcPr>
            <w:tcW w:w="5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26</w:t>
            </w:r>
          </w:p>
        </w:tc>
        <w:tc>
          <w:tcPr>
            <w:tcW w:w="796"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428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贩卖台（不含盒）</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3</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923"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trPr>
        <w:tc>
          <w:tcPr>
            <w:tcW w:w="5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27</w:t>
            </w:r>
          </w:p>
        </w:tc>
        <w:tc>
          <w:tcPr>
            <w:tcW w:w="796"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428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实木小屋阅读柜</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2</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923"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trPr>
        <w:tc>
          <w:tcPr>
            <w:tcW w:w="5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28</w:t>
            </w:r>
          </w:p>
        </w:tc>
        <w:tc>
          <w:tcPr>
            <w:tcW w:w="796"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428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实木6格中空分区柜</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6</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923"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trPr>
        <w:tc>
          <w:tcPr>
            <w:tcW w:w="5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29</w:t>
            </w:r>
          </w:p>
        </w:tc>
        <w:tc>
          <w:tcPr>
            <w:tcW w:w="796"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428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实木教具柜（含盒）</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6</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套</w:t>
            </w:r>
          </w:p>
        </w:tc>
        <w:tc>
          <w:tcPr>
            <w:tcW w:w="923"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trPr>
        <w:tc>
          <w:tcPr>
            <w:tcW w:w="5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30</w:t>
            </w:r>
          </w:p>
        </w:tc>
        <w:tc>
          <w:tcPr>
            <w:tcW w:w="796"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428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实木8格收纳柜</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12</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923"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trPr>
        <w:tc>
          <w:tcPr>
            <w:tcW w:w="5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31</w:t>
            </w:r>
          </w:p>
        </w:tc>
        <w:tc>
          <w:tcPr>
            <w:tcW w:w="796"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428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实木系统书柜</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8</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923"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trPr>
        <w:tc>
          <w:tcPr>
            <w:tcW w:w="5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32</w:t>
            </w:r>
          </w:p>
        </w:tc>
        <w:tc>
          <w:tcPr>
            <w:tcW w:w="796"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428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实木10格书包、鞋一体柜</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22</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923"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trPr>
        <w:tc>
          <w:tcPr>
            <w:tcW w:w="5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33</w:t>
            </w:r>
          </w:p>
        </w:tc>
        <w:tc>
          <w:tcPr>
            <w:tcW w:w="796"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428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实木6格书包、鞋一体柜</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5</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923"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trPr>
        <w:tc>
          <w:tcPr>
            <w:tcW w:w="5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34</w:t>
            </w:r>
          </w:p>
        </w:tc>
        <w:tc>
          <w:tcPr>
            <w:tcW w:w="796"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428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实木榻榻米床</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159</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张</w:t>
            </w:r>
          </w:p>
        </w:tc>
        <w:tc>
          <w:tcPr>
            <w:tcW w:w="923"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trPr>
        <w:tc>
          <w:tcPr>
            <w:tcW w:w="5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35</w:t>
            </w:r>
          </w:p>
        </w:tc>
        <w:tc>
          <w:tcPr>
            <w:tcW w:w="796"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428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便携式儿童床架</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8</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923"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trPr>
        <w:tc>
          <w:tcPr>
            <w:tcW w:w="5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36</w:t>
            </w:r>
          </w:p>
        </w:tc>
        <w:tc>
          <w:tcPr>
            <w:tcW w:w="796"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428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便携式可堆叠儿童床1</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28</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张</w:t>
            </w:r>
          </w:p>
        </w:tc>
        <w:tc>
          <w:tcPr>
            <w:tcW w:w="923"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trPr>
        <w:tc>
          <w:tcPr>
            <w:tcW w:w="5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37</w:t>
            </w:r>
          </w:p>
        </w:tc>
        <w:tc>
          <w:tcPr>
            <w:tcW w:w="796"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428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便携式可堆叠儿童床2</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84</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张</w:t>
            </w:r>
          </w:p>
        </w:tc>
        <w:tc>
          <w:tcPr>
            <w:tcW w:w="923"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trPr>
        <w:tc>
          <w:tcPr>
            <w:tcW w:w="5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38</w:t>
            </w:r>
          </w:p>
        </w:tc>
        <w:tc>
          <w:tcPr>
            <w:tcW w:w="796"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428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毛巾架</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32</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923"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trPr>
        <w:tc>
          <w:tcPr>
            <w:tcW w:w="5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39</w:t>
            </w:r>
          </w:p>
        </w:tc>
        <w:tc>
          <w:tcPr>
            <w:tcW w:w="796"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428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水杯柜</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8</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923"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trPr>
        <w:tc>
          <w:tcPr>
            <w:tcW w:w="5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40</w:t>
            </w:r>
          </w:p>
        </w:tc>
        <w:tc>
          <w:tcPr>
            <w:tcW w:w="796"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428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放床储物一体柜</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8</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923"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trPr>
        <w:tc>
          <w:tcPr>
            <w:tcW w:w="5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41</w:t>
            </w:r>
          </w:p>
        </w:tc>
        <w:tc>
          <w:tcPr>
            <w:tcW w:w="796"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428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1号半开放式号储物柜</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4</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923"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trPr>
        <w:tc>
          <w:tcPr>
            <w:tcW w:w="5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42</w:t>
            </w:r>
          </w:p>
        </w:tc>
        <w:tc>
          <w:tcPr>
            <w:tcW w:w="796"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428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2号半开放式号储物柜</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1</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923"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trPr>
        <w:tc>
          <w:tcPr>
            <w:tcW w:w="5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43</w:t>
            </w:r>
          </w:p>
        </w:tc>
        <w:tc>
          <w:tcPr>
            <w:tcW w:w="796"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428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3号半开放式号储物柜</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1</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923"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trPr>
        <w:tc>
          <w:tcPr>
            <w:tcW w:w="5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44</w:t>
            </w:r>
          </w:p>
        </w:tc>
        <w:tc>
          <w:tcPr>
            <w:tcW w:w="796"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428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储物被褥一体柜</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2</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923"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trPr>
        <w:tc>
          <w:tcPr>
            <w:tcW w:w="5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45</w:t>
            </w:r>
          </w:p>
        </w:tc>
        <w:tc>
          <w:tcPr>
            <w:tcW w:w="796"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428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1号储物柜</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4</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923"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trPr>
        <w:tc>
          <w:tcPr>
            <w:tcW w:w="5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46</w:t>
            </w:r>
          </w:p>
        </w:tc>
        <w:tc>
          <w:tcPr>
            <w:tcW w:w="796"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4287" w:type="dxa"/>
            <w:vAlign w:val="center"/>
          </w:tcPr>
          <w:p>
            <w:pPr>
              <w:widowControl/>
              <w:jc w:val="center"/>
              <w:textAlignment w:val="center"/>
              <w:rPr>
                <w:rFonts w:ascii="宋体" w:hAnsi="宋体" w:eastAsia="宋体" w:cs="华文楷体"/>
                <w:kern w:val="0"/>
                <w:szCs w:val="21"/>
                <w:lang w:bidi="ar"/>
              </w:rPr>
            </w:pPr>
            <w:r>
              <w:rPr>
                <w:rFonts w:hint="eastAsia" w:ascii="宋体" w:hAnsi="宋体" w:eastAsia="宋体" w:cs="华文楷体"/>
                <w:kern w:val="0"/>
                <w:szCs w:val="21"/>
                <w:lang w:bidi="ar"/>
              </w:rPr>
              <w:t>2号储物柜</w:t>
            </w:r>
          </w:p>
        </w:tc>
        <w:tc>
          <w:tcPr>
            <w:tcW w:w="577" w:type="dxa"/>
            <w:vAlign w:val="center"/>
          </w:tcPr>
          <w:p>
            <w:pPr>
              <w:widowControl/>
              <w:jc w:val="center"/>
              <w:textAlignment w:val="center"/>
              <w:rPr>
                <w:rFonts w:ascii="宋体" w:hAnsi="宋体" w:eastAsia="宋体" w:cs="华文楷体"/>
                <w:kern w:val="0"/>
                <w:szCs w:val="21"/>
                <w:lang w:bidi="ar"/>
              </w:rPr>
            </w:pPr>
            <w:r>
              <w:rPr>
                <w:rFonts w:hint="eastAsia" w:ascii="宋体" w:hAnsi="宋体" w:eastAsia="宋体" w:cs="华文楷体"/>
                <w:kern w:val="0"/>
                <w:szCs w:val="21"/>
                <w:lang w:bidi="ar"/>
              </w:rPr>
              <w:t>4</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923"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trPr>
        <w:tc>
          <w:tcPr>
            <w:tcW w:w="5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47</w:t>
            </w:r>
          </w:p>
        </w:tc>
        <w:tc>
          <w:tcPr>
            <w:tcW w:w="796"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4287" w:type="dxa"/>
            <w:vAlign w:val="center"/>
          </w:tcPr>
          <w:p>
            <w:pPr>
              <w:widowControl/>
              <w:jc w:val="center"/>
              <w:textAlignment w:val="center"/>
              <w:rPr>
                <w:rFonts w:ascii="宋体" w:hAnsi="宋体" w:eastAsia="宋体" w:cs="华文楷体"/>
                <w:kern w:val="0"/>
                <w:szCs w:val="21"/>
                <w:lang w:bidi="ar"/>
              </w:rPr>
            </w:pPr>
            <w:r>
              <w:rPr>
                <w:rFonts w:hint="eastAsia" w:ascii="宋体" w:hAnsi="宋体" w:eastAsia="宋体" w:cs="华文楷体"/>
                <w:kern w:val="0"/>
                <w:szCs w:val="21"/>
                <w:lang w:bidi="ar"/>
              </w:rPr>
              <w:t>28格被褥柜</w:t>
            </w:r>
          </w:p>
        </w:tc>
        <w:tc>
          <w:tcPr>
            <w:tcW w:w="577" w:type="dxa"/>
            <w:vAlign w:val="center"/>
          </w:tcPr>
          <w:p>
            <w:pPr>
              <w:widowControl/>
              <w:jc w:val="center"/>
              <w:textAlignment w:val="center"/>
              <w:rPr>
                <w:rFonts w:ascii="宋体" w:hAnsi="宋体" w:eastAsia="宋体" w:cs="华文楷体"/>
                <w:kern w:val="0"/>
                <w:szCs w:val="21"/>
                <w:lang w:bidi="ar"/>
              </w:rPr>
            </w:pPr>
            <w:r>
              <w:rPr>
                <w:rFonts w:hint="eastAsia" w:ascii="宋体" w:hAnsi="宋体" w:eastAsia="宋体" w:cs="华文楷体"/>
                <w:kern w:val="0"/>
                <w:szCs w:val="21"/>
                <w:lang w:bidi="ar"/>
              </w:rPr>
              <w:t>6</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923"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trPr>
        <w:tc>
          <w:tcPr>
            <w:tcW w:w="5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48</w:t>
            </w:r>
          </w:p>
        </w:tc>
        <w:tc>
          <w:tcPr>
            <w:tcW w:w="796"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4287" w:type="dxa"/>
            <w:vAlign w:val="center"/>
          </w:tcPr>
          <w:p>
            <w:pPr>
              <w:widowControl/>
              <w:jc w:val="center"/>
              <w:textAlignment w:val="center"/>
              <w:rPr>
                <w:rFonts w:ascii="宋体" w:hAnsi="宋体" w:eastAsia="宋体" w:cs="华文楷体"/>
                <w:kern w:val="0"/>
                <w:szCs w:val="21"/>
                <w:lang w:bidi="ar"/>
              </w:rPr>
            </w:pPr>
            <w:r>
              <w:rPr>
                <w:rFonts w:hint="eastAsia" w:ascii="宋体" w:hAnsi="宋体" w:eastAsia="宋体" w:cs="华文楷体"/>
                <w:kern w:val="0"/>
                <w:szCs w:val="21"/>
                <w:lang w:bidi="ar"/>
              </w:rPr>
              <w:t>24格被褥柜</w:t>
            </w:r>
          </w:p>
        </w:tc>
        <w:tc>
          <w:tcPr>
            <w:tcW w:w="577" w:type="dxa"/>
            <w:vAlign w:val="center"/>
          </w:tcPr>
          <w:p>
            <w:pPr>
              <w:widowControl/>
              <w:jc w:val="center"/>
              <w:textAlignment w:val="center"/>
              <w:rPr>
                <w:rFonts w:ascii="宋体" w:hAnsi="宋体" w:eastAsia="宋体" w:cs="华文楷体"/>
                <w:kern w:val="0"/>
                <w:szCs w:val="21"/>
                <w:lang w:bidi="ar"/>
              </w:rPr>
            </w:pPr>
            <w:r>
              <w:rPr>
                <w:rFonts w:hint="eastAsia" w:ascii="宋体" w:hAnsi="宋体" w:eastAsia="宋体" w:cs="华文楷体"/>
                <w:kern w:val="0"/>
                <w:szCs w:val="21"/>
                <w:lang w:bidi="ar"/>
              </w:rPr>
              <w:t>2</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923"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trPr>
        <w:tc>
          <w:tcPr>
            <w:tcW w:w="5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49</w:t>
            </w:r>
          </w:p>
        </w:tc>
        <w:tc>
          <w:tcPr>
            <w:tcW w:w="796"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4287" w:type="dxa"/>
            <w:vAlign w:val="center"/>
          </w:tcPr>
          <w:p>
            <w:pPr>
              <w:widowControl/>
              <w:jc w:val="center"/>
              <w:textAlignment w:val="center"/>
              <w:rPr>
                <w:rFonts w:ascii="宋体" w:hAnsi="宋体" w:eastAsia="宋体" w:cs="华文楷体"/>
                <w:kern w:val="0"/>
                <w:szCs w:val="21"/>
                <w:lang w:bidi="ar"/>
              </w:rPr>
            </w:pPr>
            <w:r>
              <w:rPr>
                <w:rFonts w:hint="eastAsia" w:ascii="宋体" w:hAnsi="宋体" w:eastAsia="宋体" w:cs="华文楷体"/>
                <w:kern w:val="0"/>
                <w:szCs w:val="21"/>
                <w:lang w:bidi="ar"/>
              </w:rPr>
              <w:t>1号储物吊柜</w:t>
            </w:r>
          </w:p>
        </w:tc>
        <w:tc>
          <w:tcPr>
            <w:tcW w:w="577" w:type="dxa"/>
            <w:vAlign w:val="center"/>
          </w:tcPr>
          <w:p>
            <w:pPr>
              <w:widowControl/>
              <w:jc w:val="center"/>
              <w:textAlignment w:val="center"/>
              <w:rPr>
                <w:rFonts w:ascii="宋体" w:hAnsi="宋体" w:eastAsia="宋体" w:cs="华文楷体"/>
                <w:kern w:val="0"/>
                <w:szCs w:val="21"/>
                <w:lang w:bidi="ar"/>
              </w:rPr>
            </w:pPr>
            <w:r>
              <w:rPr>
                <w:rFonts w:hint="eastAsia" w:ascii="宋体" w:hAnsi="宋体" w:eastAsia="宋体" w:cs="华文楷体"/>
                <w:kern w:val="0"/>
                <w:szCs w:val="21"/>
                <w:lang w:bidi="ar"/>
              </w:rPr>
              <w:t>5</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923"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91" w:hRule="atLeast"/>
        </w:trPr>
        <w:tc>
          <w:tcPr>
            <w:tcW w:w="5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50</w:t>
            </w:r>
          </w:p>
        </w:tc>
        <w:tc>
          <w:tcPr>
            <w:tcW w:w="796"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4287" w:type="dxa"/>
            <w:vAlign w:val="center"/>
          </w:tcPr>
          <w:p>
            <w:pPr>
              <w:widowControl/>
              <w:jc w:val="center"/>
              <w:textAlignment w:val="center"/>
              <w:rPr>
                <w:rFonts w:ascii="宋体" w:hAnsi="宋体" w:eastAsia="宋体" w:cs="华文楷体"/>
                <w:kern w:val="0"/>
                <w:szCs w:val="21"/>
                <w:lang w:bidi="ar"/>
              </w:rPr>
            </w:pPr>
            <w:r>
              <w:rPr>
                <w:rFonts w:hint="eastAsia" w:ascii="宋体" w:hAnsi="宋体" w:eastAsia="宋体" w:cs="华文楷体"/>
                <w:kern w:val="0"/>
                <w:szCs w:val="21"/>
                <w:lang w:bidi="ar"/>
              </w:rPr>
              <w:t>2号储物吊柜</w:t>
            </w:r>
          </w:p>
        </w:tc>
        <w:tc>
          <w:tcPr>
            <w:tcW w:w="577" w:type="dxa"/>
            <w:vAlign w:val="center"/>
          </w:tcPr>
          <w:p>
            <w:pPr>
              <w:widowControl/>
              <w:jc w:val="center"/>
              <w:textAlignment w:val="center"/>
              <w:rPr>
                <w:rFonts w:ascii="宋体" w:hAnsi="宋体" w:eastAsia="宋体" w:cs="华文楷体"/>
                <w:kern w:val="0"/>
                <w:szCs w:val="21"/>
                <w:lang w:bidi="ar"/>
              </w:rPr>
            </w:pPr>
            <w:r>
              <w:rPr>
                <w:rFonts w:hint="eastAsia" w:ascii="宋体" w:hAnsi="宋体" w:eastAsia="宋体" w:cs="华文楷体"/>
                <w:kern w:val="0"/>
                <w:szCs w:val="21"/>
                <w:lang w:bidi="ar"/>
              </w:rPr>
              <w:t>3</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923"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28" w:hRule="atLeast"/>
        </w:trPr>
        <w:tc>
          <w:tcPr>
            <w:tcW w:w="5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51</w:t>
            </w:r>
          </w:p>
        </w:tc>
        <w:tc>
          <w:tcPr>
            <w:tcW w:w="796"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4287" w:type="dxa"/>
            <w:vAlign w:val="center"/>
          </w:tcPr>
          <w:p>
            <w:pPr>
              <w:widowControl/>
              <w:jc w:val="center"/>
              <w:textAlignment w:val="center"/>
              <w:rPr>
                <w:rFonts w:ascii="宋体" w:hAnsi="宋体" w:eastAsia="宋体" w:cs="华文楷体"/>
                <w:kern w:val="0"/>
                <w:szCs w:val="21"/>
                <w:lang w:bidi="ar"/>
              </w:rPr>
            </w:pPr>
            <w:r>
              <w:rPr>
                <w:rFonts w:hint="eastAsia" w:ascii="宋体" w:hAnsi="宋体" w:eastAsia="宋体" w:cs="华文楷体"/>
                <w:kern w:val="0"/>
                <w:szCs w:val="21"/>
                <w:lang w:bidi="ar"/>
              </w:rPr>
              <w:t>护墙板</w:t>
            </w:r>
          </w:p>
        </w:tc>
        <w:tc>
          <w:tcPr>
            <w:tcW w:w="577" w:type="dxa"/>
            <w:vAlign w:val="center"/>
          </w:tcPr>
          <w:p>
            <w:pPr>
              <w:widowControl/>
              <w:jc w:val="center"/>
              <w:textAlignment w:val="center"/>
              <w:rPr>
                <w:rFonts w:ascii="宋体" w:hAnsi="宋体" w:eastAsia="宋体" w:cs="华文楷体"/>
                <w:kern w:val="0"/>
                <w:szCs w:val="21"/>
                <w:lang w:bidi="ar"/>
              </w:rPr>
            </w:pPr>
            <w:r>
              <w:rPr>
                <w:rFonts w:hint="eastAsia" w:ascii="宋体" w:hAnsi="宋体" w:eastAsia="宋体" w:cs="华文楷体"/>
                <w:kern w:val="0"/>
                <w:szCs w:val="21"/>
                <w:lang w:bidi="ar"/>
              </w:rPr>
              <w:t>16</w:t>
            </w:r>
          </w:p>
        </w:tc>
        <w:tc>
          <w:tcPr>
            <w:tcW w:w="577"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923"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c>
          <w:tcPr>
            <w:tcW w:w="808" w:type="dxa"/>
            <w:vMerge w:val="continue"/>
            <w:vAlign w:val="center"/>
          </w:tcPr>
          <w:p>
            <w:pPr>
              <w:widowControl/>
              <w:jc w:val="center"/>
              <w:textAlignment w:val="center"/>
              <w:rPr>
                <w:rFonts w:ascii="宋体" w:hAnsi="宋体" w:eastAsia="宋体" w:cs="Times New Roman"/>
                <w:color w:val="FF0000"/>
                <w:sz w:val="21"/>
                <w:szCs w:val="21"/>
                <w:lang w:bidi="ar"/>
              </w:rPr>
            </w:pPr>
          </w:p>
        </w:tc>
      </w:tr>
    </w:tbl>
    <w:p>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pPr>
        <w:numPr>
          <w:ilvl w:val="0"/>
          <w:numId w:val="2"/>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pPr>
        <w:numPr>
          <w:ilvl w:val="0"/>
          <w:numId w:val="2"/>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pPr>
        <w:numPr>
          <w:ilvl w:val="0"/>
          <w:numId w:val="2"/>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pPr>
        <w:ind w:firstLine="422" w:firstLineChars="200"/>
        <w:rPr>
          <w:rFonts w:ascii="宋体" w:hAnsi="宋体"/>
          <w:b/>
          <w:color w:val="FF0000"/>
          <w:szCs w:val="21"/>
          <w:highlight w:val="yellow"/>
        </w:rPr>
      </w:pPr>
      <w:r>
        <w:rPr>
          <w:rFonts w:hint="eastAsia" w:ascii="宋体" w:hAnsi="宋体"/>
          <w:b/>
          <w:color w:val="FF0000"/>
          <w:szCs w:val="21"/>
          <w:highlight w:val="yellow"/>
          <w:lang w:val="en-US" w:eastAsia="zh-CN"/>
        </w:rPr>
        <w:t>5</w:t>
      </w:r>
      <w:r>
        <w:rPr>
          <w:rFonts w:hint="eastAsia" w:ascii="宋体" w:hAnsi="宋体"/>
          <w:b/>
          <w:color w:val="FF0000"/>
          <w:szCs w:val="21"/>
          <w:highlight w:val="yellow"/>
        </w:rPr>
        <w:t>、本项目核心产品为：</w:t>
      </w:r>
      <w:r>
        <w:rPr>
          <w:rFonts w:hint="eastAsia" w:ascii="宋体" w:hAnsi="宋体"/>
          <w:b/>
          <w:color w:val="FF0000"/>
          <w:szCs w:val="21"/>
          <w:highlight w:val="yellow"/>
          <w:u w:val="single"/>
        </w:rPr>
        <w:t xml:space="preserve">   实木幼儿长桌1   </w:t>
      </w:r>
      <w:r>
        <w:rPr>
          <w:rFonts w:hint="eastAsia" w:ascii="宋体" w:hAnsi="宋体"/>
          <w:b/>
          <w:color w:val="FF0000"/>
          <w:szCs w:val="21"/>
          <w:highlight w:val="yellow"/>
        </w:rPr>
        <w:t>。</w:t>
      </w:r>
    </w:p>
    <w:bookmarkEnd w:id="39"/>
    <w:p>
      <w:pPr>
        <w:rPr>
          <w:rFonts w:ascii="宋体" w:hAnsi="宋体"/>
          <w:b/>
          <w:color w:val="FF0000"/>
          <w:szCs w:val="21"/>
        </w:rPr>
      </w:pPr>
    </w:p>
    <w:p>
      <w:pPr>
        <w:pStyle w:val="8"/>
      </w:pPr>
    </w:p>
    <w:p>
      <w:pPr>
        <w:pStyle w:val="6"/>
        <w:spacing w:before="120" w:beforeLines="50" w:after="120" w:afterLines="50"/>
        <w:jc w:val="center"/>
        <w:rPr>
          <w:sz w:val="28"/>
          <w:szCs w:val="28"/>
        </w:rPr>
      </w:pPr>
      <w:bookmarkStart w:id="41" w:name="_Toc128884461"/>
      <w:r>
        <w:rPr>
          <w:rFonts w:hint="eastAsia"/>
          <w:sz w:val="28"/>
          <w:szCs w:val="28"/>
        </w:rPr>
        <w:t>三、实质性条款</w:t>
      </w:r>
    </w:p>
    <w:tbl>
      <w:tblPr>
        <w:tblStyle w:val="18"/>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r>
              <w:rPr>
                <w:rFonts w:hint="eastAsia"/>
              </w:rPr>
              <w:t>序号</w:t>
            </w:r>
          </w:p>
        </w:tc>
        <w:tc>
          <w:tcPr>
            <w:tcW w:w="7832" w:type="dxa"/>
            <w:noWrap w:val="0"/>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pPr>
              <w:jc w:val="center"/>
            </w:pPr>
            <w:r>
              <w:rPr>
                <w:rFonts w:hint="eastAsia"/>
              </w:rPr>
              <w:t>1</w:t>
            </w:r>
          </w:p>
        </w:tc>
        <w:tc>
          <w:tcPr>
            <w:tcW w:w="7832" w:type="dxa"/>
            <w:noWrap w:val="0"/>
            <w:vAlign w:val="top"/>
          </w:tcPr>
          <w:p>
            <w:pPr>
              <w:jc w:val="center"/>
              <w:rPr>
                <w:rFonts w:hint="eastAsia" w:eastAsia="宋体"/>
                <w:lang w:eastAsia="zh-CN"/>
              </w:rPr>
            </w:pPr>
            <w:r>
              <w:rPr>
                <w:rFonts w:hint="eastAsia"/>
              </w:rPr>
              <w:t>本项目招标文件中所有带★号条款</w:t>
            </w:r>
            <w:r>
              <w:rPr>
                <w:rFonts w:hint="eastAsia"/>
                <w:lang w:val="en-US" w:eastAsia="zh-CN"/>
              </w:rPr>
              <w:t>内容</w:t>
            </w:r>
          </w:p>
        </w:tc>
      </w:tr>
    </w:tbl>
    <w:p>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41"/>
    <w:p>
      <w:pPr>
        <w:spacing w:afterLines="25" w:line="300" w:lineRule="auto"/>
        <w:rPr>
          <w:rFonts w:ascii="Arial" w:hAnsi="Arial" w:eastAsia="宋体" w:cs="Times New Roman"/>
          <w:szCs w:val="24"/>
        </w:rPr>
      </w:pPr>
    </w:p>
    <w:p>
      <w:pPr>
        <w:widowControl/>
        <w:jc w:val="left"/>
        <w:rPr>
          <w:rFonts w:ascii="Arial" w:hAnsi="Arial" w:eastAsia="宋体" w:cs="Times New Roman"/>
          <w:szCs w:val="24"/>
        </w:rPr>
      </w:pPr>
    </w:p>
    <w:p>
      <w:pPr>
        <w:pStyle w:val="8"/>
      </w:pPr>
    </w:p>
    <w:p>
      <w:pPr>
        <w:pStyle w:val="6"/>
        <w:spacing w:before="120" w:beforeLines="50" w:after="120" w:afterLines="50"/>
        <w:jc w:val="center"/>
        <w:rPr>
          <w:sz w:val="28"/>
          <w:szCs w:val="28"/>
        </w:rPr>
      </w:pPr>
      <w:bookmarkStart w:id="42" w:name="OLE_LINK5"/>
      <w:r>
        <w:rPr>
          <w:rFonts w:hint="eastAsia"/>
          <w:sz w:val="28"/>
          <w:szCs w:val="28"/>
          <w:lang w:val="en-US" w:eastAsia="zh-CN"/>
        </w:rPr>
        <w:t>四</w:t>
      </w:r>
      <w:r>
        <w:rPr>
          <w:rFonts w:hint="eastAsia"/>
          <w:sz w:val="28"/>
          <w:szCs w:val="28"/>
        </w:rPr>
        <w:t>、技术要求</w:t>
      </w:r>
    </w:p>
    <w:bookmarkEnd w:id="42"/>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43"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pPr>
        <w:ind w:firstLine="422" w:firstLineChars="200"/>
        <w:rPr>
          <w:rFonts w:hint="eastAsia"/>
          <w:b/>
          <w:szCs w:val="21"/>
        </w:rPr>
      </w:pPr>
    </w:p>
    <w:bookmarkEnd w:id="43"/>
    <w:tbl>
      <w:tblPr>
        <w:tblStyle w:val="18"/>
        <w:tblW w:w="8283"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20"/>
        <w:gridCol w:w="1020"/>
        <w:gridCol w:w="62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设备</w:t>
            </w:r>
          </w:p>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名称</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招标技术要求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实木幼儿长桌1</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 （设备及组件尺寸允许误差±5%）产品尺寸：L120cm×W60cm×H48cm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 板材：桌面面板采用20.3mm厚AAA级橡胶木板，四角圆R50圆角，边缘部位圆R10圆角，桌子反面锣防变形槽，承载力佳；桌面连接板采用20.3mm厚AAA级橡胶木板，长度540mm，宽90mm，一棱边圆R15圆角，四角位圆R30圆角；脚与桌面连接板用4颗防锈木牙螺丝7*50mm，连接板与面板用6颗防锈丝牙螺丝8*30mm，结构稳固。桌脚为48*48mm橡胶木木方，四棱边圆R10圆角。原材料橡胶木齿接板含水率≤12%、甲醛释放量≤0.012mg/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 ▲水性漆检测项满足以下：细度≤30μm；不挥发物≥50%；游离甲醛未检出；抗细菌率-白色念珠菌≥99%。检验依据：GB/T 23999-2009、GB/T 1724-2019、GB/T 1725-2007、HJ 2537-2014、HG/T 3950-2007。</w:t>
            </w:r>
            <w:r>
              <w:rPr>
                <w:rFonts w:hint="eastAsia" w:ascii="宋体" w:hAnsi="宋体" w:eastAsia="宋体" w:cs="宋体"/>
                <w:b/>
                <w:bCs/>
                <w:i w:val="0"/>
                <w:iCs w:val="0"/>
                <w:color w:val="3366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①对应参数（检验检测项）在检验检测报告中进行标注；②检测报告封面产品名称与所投产品不一致的需作书面说明，否则该项不得分；</w:t>
            </w:r>
            <w:r>
              <w:rPr>
                <w:rFonts w:hint="eastAsia" w:ascii="宋体" w:hAnsi="宋体" w:eastAsia="宋体" w:cs="宋体"/>
                <w:b/>
                <w:bCs/>
                <w:i w:val="0"/>
                <w:iCs w:val="0"/>
                <w:color w:val="FF0000"/>
                <w:kern w:val="0"/>
                <w:sz w:val="21"/>
                <w:szCs w:val="21"/>
                <w:u w:val="none"/>
                <w:lang w:val="en-US" w:eastAsia="zh-CN" w:bidi="ar"/>
              </w:rPr>
              <w:t>③检验检测报告出具的时间应在本项目投标截止日前1年内。</w:t>
            </w:r>
            <w:r>
              <w:rPr>
                <w:rFonts w:hint="eastAsia" w:ascii="宋体" w:hAnsi="宋体" w:eastAsia="宋体" w:cs="宋体"/>
                <w:b/>
                <w:bCs/>
                <w:i w:val="0"/>
                <w:iCs w:val="0"/>
                <w:color w:val="3366FF"/>
                <w:kern w:val="0"/>
                <w:sz w:val="21"/>
                <w:szCs w:val="21"/>
                <w:u w:val="none"/>
                <w:lang w:val="en-US" w:eastAsia="zh-CN" w:bidi="ar"/>
              </w:rPr>
              <w:t>④若相关检验检测项不在检验检测机构CMA资质许可（认定）范围内的，不符合招标文件要求。）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实木幼儿长桌2</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 （设备及组件尺寸允许误差±5%）产品尺寸:L120cm×W60cm×52cm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 板材：桌面面板采用20.3mm厚AAA级橡胶木板，四角圆R50圆角，边缘部位圆R10圆角，桌子反面锣防变形槽，承载力佳；桌面连接板采用20.3mm厚AAA级橡胶木板，长度540mm，宽90mm，一棱边圆R15圆角，四角位圆R30圆角；脚与桌面连接板用4颗防锈木牙螺丝7*50mm，连接板与面板用6颗防锈丝牙螺丝8*30mm，结构稳固。桌脚为48*48mm橡胶木木方，四棱边圆R10圆角。原材料橡胶木齿接板含水率≤12%、甲醛释放量≤0.012mg/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 ▲实木幼儿长桌检测项满足以下：甲醛释放量≤0.012mg/m³；苯未检出、甲苯未检出、二甲苯未检出；TVOC未检出；可迁移元素铅未检出、镉未检出、铬未检出、汞未检出、锑未检出、钡未检出、硒未检出、砷未检出；富马酸二甲酯未检出；检验依据：GB/T 31106-2014、HJ2547-2016、GB/T 27717-2011。</w:t>
            </w:r>
            <w:r>
              <w:rPr>
                <w:rFonts w:hint="eastAsia" w:ascii="宋体" w:hAnsi="宋体" w:eastAsia="宋体" w:cs="宋体"/>
                <w:b/>
                <w:bCs/>
                <w:i w:val="0"/>
                <w:iCs w:val="0"/>
                <w:color w:val="3366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①对应参数（检验检测项）在检验检测报告中进行标注；②检测报告封面产品名称与所投产品不一致的需作书面说明，否则该项不得分；</w:t>
            </w:r>
            <w:r>
              <w:rPr>
                <w:rFonts w:hint="eastAsia" w:ascii="宋体" w:hAnsi="宋体" w:eastAsia="宋体" w:cs="宋体"/>
                <w:b/>
                <w:bCs/>
                <w:i w:val="0"/>
                <w:iCs w:val="0"/>
                <w:color w:val="FF0000"/>
                <w:kern w:val="0"/>
                <w:sz w:val="21"/>
                <w:szCs w:val="21"/>
                <w:u w:val="none"/>
                <w:lang w:val="en-US" w:eastAsia="zh-CN" w:bidi="ar"/>
              </w:rPr>
              <w:t>③检验检测报告出具的时间应在本项目投标截止日前3年内。</w:t>
            </w:r>
            <w:r>
              <w:rPr>
                <w:rFonts w:hint="eastAsia" w:ascii="宋体" w:hAnsi="宋体" w:eastAsia="宋体" w:cs="宋体"/>
                <w:b/>
                <w:bCs/>
                <w:i w:val="0"/>
                <w:iCs w:val="0"/>
                <w:color w:val="3366FF"/>
                <w:kern w:val="0"/>
                <w:sz w:val="21"/>
                <w:szCs w:val="21"/>
                <w:u w:val="none"/>
                <w:lang w:val="en-US" w:eastAsia="zh-CN" w:bidi="ar"/>
              </w:rPr>
              <w:t>④若相关检验检测项不在检验检测机构CMA资质许可（认定）范围内的，不符合招标文件要求。）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实木幼儿长桌3</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 （设备及组件尺寸允许误差±5%）产品尺寸:L120cm×W60cm×56cm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 板材：桌面面板采用20.3mm厚AAA级橡胶木板，四角圆R50圆角，边缘部位圆R10圆角，桌子反面锣防变形槽，承载力佳；桌面连接板采用20.3mm厚AAA级橡胶木板，长度540mm，宽90mm，一棱边圆R15圆角，四角位圆R30圆角；脚与桌面连接板用4颗防锈木牙螺丝7*50mm，连接板与面板用6颗防锈丝牙螺丝8*30mm，结构稳固。桌脚为48*48mm橡胶木木方，四棱边圆R10圆角。原材料橡胶木齿接板含水率≤12%、甲醛释放量≤0.012mg/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11. </w:t>
            </w:r>
            <w:bookmarkStart w:id="44" w:name="OLE_LINK6"/>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highlight w:val="yellow"/>
                <w:u w:val="none"/>
                <w:lang w:val="en-US" w:eastAsia="zh-CN" w:bidi="ar"/>
              </w:rPr>
              <w:t>橡胶木实木板</w:t>
            </w:r>
            <w:r>
              <w:rPr>
                <w:rFonts w:hint="eastAsia" w:ascii="宋体" w:hAnsi="宋体" w:eastAsia="宋体" w:cs="宋体"/>
                <w:i w:val="0"/>
                <w:iCs w:val="0"/>
                <w:color w:val="000000"/>
                <w:kern w:val="0"/>
                <w:sz w:val="21"/>
                <w:szCs w:val="21"/>
                <w:u w:val="none"/>
                <w:lang w:val="en-US" w:eastAsia="zh-CN" w:bidi="ar"/>
              </w:rPr>
              <w:t>检测项满足以下：硬度≥8000N；湿胀性：径向气干湿胀率≥1.5%、弦向气干湿胀率≥3.5%；抗冲击压痕性能≥65kJ/㎡；苯未检出、甲苯未检出、二甲苯未检出；通过耐气候老化≥188h测试后综合评定等级不低于0级。检验依据：GB/T 35601-2024、GB/T 29899-2024、GB/T 1865-2009、GB/T 1766-2008、GB/T 1927.8-2021、GB/T 1927.18-2021。</w:t>
            </w:r>
            <w:r>
              <w:rPr>
                <w:rFonts w:hint="eastAsia" w:ascii="宋体" w:hAnsi="宋体" w:eastAsia="宋体" w:cs="宋体"/>
                <w:b/>
                <w:bCs/>
                <w:i w:val="0"/>
                <w:iCs w:val="0"/>
                <w:color w:val="3366FF"/>
                <w:kern w:val="0"/>
                <w:sz w:val="21"/>
                <w:szCs w:val="21"/>
                <w:u w:val="none"/>
                <w:lang w:val="en-US" w:eastAsia="zh-CN" w:bidi="ar"/>
              </w:rPr>
              <w:t>（投标时同时提供：①由第三方检验检测机构出具并加盖（或带有）CMA标志的抽样检验报告扫描件，原件备查；②上述检验检测报告在全国认证认可信息公共服务平台（认e云）（http://cx.cnca.cn/）的信息查询记录截图。注：①对应参数（检验检测项）在检验检测报告中进行标注；②检测报告封面产品名称与所投产品不一致的需作书面说明，否则该项不得分；</w:t>
            </w:r>
            <w:r>
              <w:rPr>
                <w:rFonts w:hint="eastAsia" w:ascii="宋体" w:hAnsi="宋体" w:eastAsia="宋体" w:cs="宋体"/>
                <w:b/>
                <w:bCs/>
                <w:i w:val="0"/>
                <w:iCs w:val="0"/>
                <w:color w:val="FF0000"/>
                <w:kern w:val="0"/>
                <w:sz w:val="21"/>
                <w:szCs w:val="21"/>
                <w:u w:val="none"/>
                <w:lang w:val="en-US" w:eastAsia="zh-CN" w:bidi="ar"/>
              </w:rPr>
              <w:t>③检验检测报告出具的时间应在本项目投标截止日前1年内。</w:t>
            </w:r>
            <w:r>
              <w:rPr>
                <w:rFonts w:hint="eastAsia" w:ascii="宋体" w:hAnsi="宋体" w:eastAsia="宋体" w:cs="宋体"/>
                <w:b/>
                <w:bCs/>
                <w:i w:val="0"/>
                <w:iCs w:val="0"/>
                <w:color w:val="3366FF"/>
                <w:kern w:val="0"/>
                <w:sz w:val="21"/>
                <w:szCs w:val="21"/>
                <w:u w:val="none"/>
                <w:lang w:val="en-US" w:eastAsia="zh-CN" w:bidi="ar"/>
              </w:rPr>
              <w:t>④若相关检验检测项不在检验检测机构CMA资质许可（认定）范围内的，不符合招标文件要求。）</w:t>
            </w:r>
            <w:bookmarkEnd w:id="44"/>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实木幼儿方桌1</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 （设备及组件尺寸允许误差±5%）产品尺寸：L60cm×W60cm×H48cm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 板材：桌面面板采用20.3mm厚AAA级橡胶木板，四角圆R50圆角，边缘部位圆R10圆角，桌子反面锣防变形槽，承载力佳；桌面连接板采用20.3mm厚AAA级橡胶木板，长度540mm，宽90mm，一棱边圆R15圆角，四角位圆R30圆角；脚与桌面连接板用4颗防锈木牙螺丝7*50mm，连接板与面板用6颗防锈丝牙螺丝8*30mm，结构稳固。桌脚为48*48mm橡胶木木方，四棱边圆R10圆角。原材料橡胶木齿接板含水率≤12%、甲醛释放量≤0.012mg/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 ▲木牙螺丝检测项满足以下：外观性能：金属件-喷漆涂层：无漏喷、锈蚀、脱色、掉色等。光滑均匀，色泽一致，无流挂、疙瘩、皱皮、飞漆等；抗拉强度≥300MPa；下屈服强度（屈服强度）≥200MPa；断后伸长率≥35%；耐腐蚀试验：通过铜加速乙酸盐雾试验≥188h测试后涂层本身的耐腐蚀等级不低于10级，涂层对基体的保护等级不低于10级。检验依据：GB/T 3325-2024、GB/T 10125-2021、QB/T 3832-1999、GB/T 6461-2002、GB/T 228.1-2021。</w:t>
            </w:r>
            <w:r>
              <w:rPr>
                <w:rFonts w:hint="eastAsia" w:ascii="宋体" w:hAnsi="宋体" w:eastAsia="宋体" w:cs="宋体"/>
                <w:b/>
                <w:bCs/>
                <w:i w:val="0"/>
                <w:iCs w:val="0"/>
                <w:color w:val="3366FF"/>
                <w:kern w:val="0"/>
                <w:sz w:val="21"/>
                <w:szCs w:val="21"/>
                <w:u w:val="none"/>
                <w:lang w:val="en-US" w:eastAsia="zh-CN" w:bidi="ar"/>
              </w:rPr>
              <w:t>（投标时同时提供：①由第三方检验检测机构出具并加盖（或带有）CMA标志的抽样检验报告扫描件，原件备查；②上述检验检测报告在全国认证认可信息公共服务平台（认e云）（http://cx.cnca.cn/）的信息查询记录截图。注：①对应参数（检验检测项）在检验检测报告中进行标注；②检测报告封面产品名称与所投产品不一致的需作书面说明，否则该项不得分；</w:t>
            </w:r>
            <w:r>
              <w:rPr>
                <w:rFonts w:hint="eastAsia" w:ascii="宋体" w:hAnsi="宋体" w:eastAsia="宋体" w:cs="宋体"/>
                <w:b/>
                <w:bCs/>
                <w:i w:val="0"/>
                <w:iCs w:val="0"/>
                <w:color w:val="FF0000"/>
                <w:kern w:val="0"/>
                <w:sz w:val="21"/>
                <w:szCs w:val="21"/>
                <w:u w:val="none"/>
                <w:lang w:val="en-US" w:eastAsia="zh-CN" w:bidi="ar"/>
              </w:rPr>
              <w:t>③检验检测报告出具的时间应在本项目投标截止日前1年内。</w:t>
            </w:r>
            <w:r>
              <w:rPr>
                <w:rFonts w:hint="eastAsia" w:ascii="宋体" w:hAnsi="宋体" w:eastAsia="宋体" w:cs="宋体"/>
                <w:b/>
                <w:bCs/>
                <w:i w:val="0"/>
                <w:iCs w:val="0"/>
                <w:color w:val="3366FF"/>
                <w:kern w:val="0"/>
                <w:sz w:val="21"/>
                <w:szCs w:val="21"/>
                <w:u w:val="none"/>
                <w:lang w:val="en-US" w:eastAsia="zh-CN" w:bidi="ar"/>
              </w:rPr>
              <w:t>④若相关检验检测项不在检验检测机构CMA资质许可（认定）范围内的，不符合招标文件要求。）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实木幼儿方桌2</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 （设备及组件尺寸允许误差±5%）产品尺寸:L60cm×W60cm×H52cm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 板材：桌面面板采用20.3mm厚AAA级橡胶木板，四角圆R50圆角，边缘部位圆R10圆角，桌子反面锣防变形槽，承载力佳；桌面连接板采用20.3mm厚AAA级橡胶木板，长度540mm，宽90mm，一棱边圆R15圆角，四角位圆R30圆角；脚与桌面连接板用4颗防锈木牙螺丝7*50mm，连接板与面板用6颗防锈丝牙螺丝8*30mm，结构稳固。桌脚为48*48mm橡胶木木方，四棱边圆R10圆角。原材料橡胶木齿接板含水率≤12%、甲醛释放量≤0.012mg/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实木幼儿方桌3</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highlight w:val="none"/>
                <w:u w:val="none"/>
              </w:rPr>
              <w:t>20. （设备及组件尺寸允许误差±5%）产品尺寸:L60cm×W60cm×H56cm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 板材：桌面面板采用20.3mm厚AAA级橡胶木板，四角圆R50圆角，边缘部位圆R10圆角，桌子反面锣防变形槽，承载力佳；桌面连接板采用20.3mm厚AAA级橡胶木板，长度540mm，宽90mm，一棱边圆R15圆角，四角位圆R30圆角；脚与桌面连接板用4颗防锈木牙螺丝7*50mm，连接板与面板用6颗防锈丝牙螺丝8*30mm，结构稳固。桌脚为48*48mm橡胶木木方，四棱边圆R10圆角。原材料橡胶木齿接板含水率≤12%、甲醛释放量≤0.012mg/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实木幼儿圆桌1</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 （设备及组件尺寸允许误差±5%）产品尺寸:φ80cm×H48cm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 板材：桌面面板采用20.3mm厚AAA级橡胶木板，四角圆R50圆角，边缘部位圆R10圆角，桌子反面锣防变形槽，承载力佳；桌面连接板采用20.3mm厚AAA级橡胶木板，长度540mm，宽90mm，一棱边圆R15圆角，四角位圆R30圆角；脚与桌面连接板用4颗防锈木牙螺丝7*50mm，连接板与面板用6颗防锈丝牙螺丝8*30mm，结构稳固。桌脚为48*48mm橡胶木木方，四棱边圆R10圆角。原材料橡胶木齿接板含水率≤12%、甲醛释放量≤0.012mg/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 ▲透明尼龙一体成型脚垫检测项满足以下：DBP未检出、BBP未检出、DEHP未检出、DNOP未检出、DINP未检出、DIDP未检出；通过氙弧灯老化≥200h测试达到4-5级；燃烧性能：水平燃烧不低于HB级、垂直燃烧不低于V-0级。检验依据：GB/T 16422.2-2022、GB/T 40906-2021、GB/T 2408-2021。</w:t>
            </w:r>
            <w:r>
              <w:rPr>
                <w:rFonts w:hint="eastAsia" w:ascii="宋体" w:hAnsi="宋体" w:eastAsia="宋体" w:cs="宋体"/>
                <w:b/>
                <w:bCs/>
                <w:i w:val="0"/>
                <w:iCs w:val="0"/>
                <w:color w:val="3366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①对应参数（检验检测项）在检验检测报告中进行标注；②检测报告封面产品名称与所投产品不一致的需作书面说明，否则该项不得分；</w:t>
            </w:r>
            <w:r>
              <w:rPr>
                <w:rFonts w:hint="eastAsia" w:ascii="宋体" w:hAnsi="宋体" w:eastAsia="宋体" w:cs="宋体"/>
                <w:b/>
                <w:bCs/>
                <w:i w:val="0"/>
                <w:iCs w:val="0"/>
                <w:color w:val="FF0000"/>
                <w:kern w:val="0"/>
                <w:sz w:val="21"/>
                <w:szCs w:val="21"/>
                <w:u w:val="none"/>
                <w:lang w:val="en-US" w:eastAsia="zh-CN" w:bidi="ar"/>
              </w:rPr>
              <w:t>③检验检测报告出具的时间应在本项目投标截止日前1年内。</w:t>
            </w:r>
            <w:r>
              <w:rPr>
                <w:rFonts w:hint="eastAsia" w:ascii="宋体" w:hAnsi="宋体" w:eastAsia="宋体" w:cs="宋体"/>
                <w:b/>
                <w:bCs/>
                <w:i w:val="0"/>
                <w:iCs w:val="0"/>
                <w:color w:val="3366FF"/>
                <w:kern w:val="0"/>
                <w:sz w:val="21"/>
                <w:szCs w:val="21"/>
                <w:u w:val="none"/>
                <w:lang w:val="en-US" w:eastAsia="zh-CN" w:bidi="ar"/>
              </w:rPr>
              <w:t>④若相关检验检测项不在检验检测机构CMA资质许可（认定）范围内的，不符合招标文件要求。）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实木幼儿圆桌2</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 （设备及组件尺寸允许误差±5%）产品尺寸:φ80cm×H52cm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 板材：桌面面板采用20.3mm厚AAA级橡胶木板，四角圆R50圆角，边缘部位圆R10圆角，桌子反面锣防变形槽，承载力佳；桌面连接板采用20.3mm厚AAA级橡胶木板，长度540mm，宽90mm，一棱边圆R15圆角，四角位圆R30圆角；脚与桌面连接板用4颗防锈木牙螺丝7*50mm，连接板与面板用6颗防锈丝牙螺丝8*30mm，结构稳固。桌脚为48*48mm橡胶木木方，四棱边圆R10圆角。原材料橡胶木齿接板含水率≤12%、甲醛释放量≤0.012mg/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实木幼儿圆桌3</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 （设备及组件尺寸允许误差±5%）产品尺寸:φ80cm×H56cm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 板材：桌面面板采用20.3mm厚AAA级橡胶木板，四角圆R50圆角，边缘部位圆R10圆角，桌子反面锣防变形槽，承载力佳；桌面连接板采用20.3mm厚AAA级橡胶木板，长度540mm，宽90mm，一棱边圆R15圆角，四角位圆R30圆角；脚与桌面连接板用4颗防锈木牙螺丝7*50mm，连接板与面板用6颗防锈丝牙螺丝8*30mm，结构稳固。桌脚为48*48mm橡胶木木方，四棱边圆R10圆角。原材料橡胶木齿接板含水率≤12%、甲醛释放量≤0.012mg/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实木儿童椅1</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 （设备及组件尺寸允许误差±5%）产品尺寸：座高26cm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 板材：椅面采用16.3mm厚AAA级橡胶木板，四脚及靠背采用AAA橡胶木原木。原材料橡胶木板含水率≤12%、甲醛释放量≤0.02mg/m³。结构：榫卯结构，前脚规格245*45*20mm，后脚规格470*45*22mm，座板底部加4个三角板加固。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 ▲实木儿童椅检测项满足以下：甲醛释放量≤0.012mg/m³；苯未检出、甲苯未检出、二甲苯未检出；TVOC未检出；可迁移元素铅未检出、镉未检出、铬未检出、汞未检出、锑未检出、钡未检出、硒未检出、砷未检出；富马酸二甲酯未检出。检验依据：GB/T 31106-2014、HJ2547-2016、GB/T 27717-2011。</w:t>
            </w:r>
            <w:r>
              <w:rPr>
                <w:rFonts w:hint="eastAsia" w:ascii="宋体" w:hAnsi="宋体" w:eastAsia="宋体" w:cs="宋体"/>
                <w:b/>
                <w:bCs/>
                <w:i w:val="0"/>
                <w:iCs w:val="0"/>
                <w:color w:val="3366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①对应参数（检验检测项）在检验检测报告中进行标注；②检测报告封面产品名称与所投产品不一致的需作书面说明，否则该项不得分；</w:t>
            </w:r>
            <w:r>
              <w:rPr>
                <w:rFonts w:hint="eastAsia" w:ascii="宋体" w:hAnsi="宋体" w:eastAsia="宋体" w:cs="宋体"/>
                <w:b/>
                <w:bCs/>
                <w:i w:val="0"/>
                <w:iCs w:val="0"/>
                <w:color w:val="FF0000"/>
                <w:kern w:val="0"/>
                <w:sz w:val="21"/>
                <w:szCs w:val="21"/>
                <w:u w:val="none"/>
                <w:lang w:val="en-US" w:eastAsia="zh-CN" w:bidi="ar"/>
              </w:rPr>
              <w:t>③检验检测报告出具的时间应在本项目投标截止日前3年内。</w:t>
            </w:r>
            <w:r>
              <w:rPr>
                <w:rFonts w:hint="eastAsia" w:ascii="宋体" w:hAnsi="宋体" w:eastAsia="宋体" w:cs="宋体"/>
                <w:b/>
                <w:bCs/>
                <w:i w:val="0"/>
                <w:iCs w:val="0"/>
                <w:color w:val="3366FF"/>
                <w:kern w:val="0"/>
                <w:sz w:val="21"/>
                <w:szCs w:val="21"/>
                <w:u w:val="none"/>
                <w:lang w:val="en-US" w:eastAsia="zh-CN" w:bidi="ar"/>
              </w:rPr>
              <w:t>④若相关检验检测项不在检验检测机构CMA资质许可（认定）范围内的，不符合招标文件要求。）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实木儿童椅2</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 （设备及组件尺寸允许误差±5%）产品尺寸:座高：28cm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 板材：椅面采用16.3mm厚AAA级橡胶木板，四脚及靠背采用AAA橡胶木原木。原材料橡胶木板含水率≤12%、甲醛释放量≤0.02mg/m³。结构：榫卯结构，前脚规格245*45*20mm，后脚规格470*45*22mm，座板底部加4个三角板加固。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实木儿童椅3</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 （设备及组件尺寸允许误差±5%）产品尺寸:座高30cm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 板材：椅面采用16.3mm厚AAA级橡胶木板，四脚及靠背采用AAA橡胶木原木。原材料橡胶木板含水率≤12%、甲醛释放量≤0.02mg/m³。结构：榫卯结构，前脚规格245*45*20mm，后脚规格470*45*22mm，座板底部加4个三角板加固。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美术展示柜A</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 （设备及组件尺寸允许误差±5%）产品尺寸：L90cm×W30cm×H160cm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 板材：16.3mm厚AAA级橡胶木板，可视面倒R10与R2加强产品的视角圆润性及安全性。原材料橡胶木板含水率≤12%、甲醛释放量≤0.011mg/m³。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美术展示柜C</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 （设备及组件尺寸允许误差±5%）产品尺寸：L90cm×W30cm×H160cm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 板材：16.3mm厚AAA级橡胶木板，可视面倒R10与R2加强产品的视角圆润性及安全性。原材料橡胶木板含水率≤12%、甲醛释放量≤0.011mg/m³。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实木十二格收纳柜</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 （设备及组件尺寸允许误差±5%）产品尺寸：L110cm×W30cm×H80.5cm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 板材：16.3mm厚AAA级橡胶木板，可视面倒R10与R2加强产品的视角圆润性及安全性。原材料橡胶木板含水率≤12%、甲醛释放量≤0.011mg/m³。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实木六格活动柜</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 （设备及组件尺寸允许误差±5%）产品尺寸：L90cm×W30cm×H62cm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 板材：16.3mm厚AAA级橡胶木板，可视面倒R10与R2加强产品的视角圆润性及安全性。原材料橡胶木板含水率≤12%、甲醛释放量≤0.011mg/m³。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54.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实木美术材料柜（活动）</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 （设备及组件尺寸允许误差±5%）产品尺寸：L90cm×W40cm×H73cm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 板材：16.3mm厚AAA级橡胶木板，可视面倒R10与R2加强产品的视角圆润性及安全性。原材料橡胶木板含水率≤12%、甲醛释放量≤0.011mg/m³。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57. 油漆：采用环保安全水性油漆，采用五底三面工艺，经久耐用，不易黄变，耐霉菌，耐人工气候老化，涂膜无起泡无剥落、无裂纹，游离甲醛≤5mg/kg、苯系物总和含量≤100mg/kg；五金：采用环保五金，安全无毒；采用万向轮，可活动；涂层：涂层外观无褪色、掉色现象，不应有皱皮、发粘或漏漆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58. ▲万向轮检测项满足以下：外观：脚轮的轮面光洁，不应有裂纹、伤痕、毛边等缺陷。金属件的表面光滑平整，无锈蚀、毛刺刃口、露底等缺陷；装配：转动零部件转动灵活，无卡滞及松脱现象。脚轮零部件之间装配牢固，轮轴不应随车轮转动；通过氙弧灯老化≥188h测试达到4-5级。检验依据：GB/T 22048-2022、QB/T 4765-2014、GB/T 16422.2-2022。</w:t>
            </w:r>
            <w:r>
              <w:rPr>
                <w:rFonts w:hint="eastAsia" w:ascii="宋体" w:hAnsi="宋体" w:eastAsia="宋体" w:cs="宋体"/>
                <w:b/>
                <w:bCs/>
                <w:i w:val="0"/>
                <w:iCs w:val="0"/>
                <w:color w:val="3366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①对应参数（检验检测项）在检验检测报告中进行标注；②检测报告封面产品名称与所投产品不一致的需作书面说明，否则该项不得分；</w:t>
            </w:r>
            <w:r>
              <w:rPr>
                <w:rFonts w:hint="eastAsia" w:ascii="宋体" w:hAnsi="宋体" w:eastAsia="宋体" w:cs="宋体"/>
                <w:b/>
                <w:bCs/>
                <w:i w:val="0"/>
                <w:iCs w:val="0"/>
                <w:color w:val="FF0000"/>
                <w:kern w:val="0"/>
                <w:sz w:val="21"/>
                <w:szCs w:val="21"/>
                <w:u w:val="none"/>
                <w:lang w:val="en-US" w:eastAsia="zh-CN" w:bidi="ar"/>
              </w:rPr>
              <w:t>③检验检测报告出具的时间应在本项目投标截止日前1年内。</w:t>
            </w:r>
            <w:r>
              <w:rPr>
                <w:rFonts w:hint="eastAsia" w:ascii="宋体" w:hAnsi="宋体" w:eastAsia="宋体" w:cs="宋体"/>
                <w:b/>
                <w:bCs/>
                <w:i w:val="0"/>
                <w:iCs w:val="0"/>
                <w:color w:val="3366FF"/>
                <w:kern w:val="0"/>
                <w:sz w:val="21"/>
                <w:szCs w:val="21"/>
                <w:u w:val="none"/>
                <w:lang w:val="en-US" w:eastAsia="zh-CN" w:bidi="ar"/>
              </w:rPr>
              <w:t>④若相关检验检测项不在检验检测机构CMA资质许可（认定）范围内的，不符合招标文件要求。）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实木布偶玩具柜台</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59. （设备及组件尺寸允许误差±5%）产品尺寸：L90cm×W30cm×H130cm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 板材：16.3mm厚AAA级橡胶木板，可视面倒R10与R2加强产品的视角圆润性及安全性。原材料橡胶木板含水率≤12%、甲醛释放量≤0.011mg/m³。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61.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实木5格中空收纳柜</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 （设备及组件尺寸允许误差±5%）产品尺寸：L90cm×W30cm×H62cm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63. 板材：16.3mm厚AAA级橡胶木板，可视面倒R10与R2加强产品的视角圆润性及安全性。原材料橡胶木板含水率≤12%、甲醛释放量≤0.011mg/m³。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实木2层中空柜</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65. （设备及组件尺寸允许误差±5%）产品尺寸：L90cm×W30cm×H62cm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 板材：16.3mm厚AAA级橡胶木板，可视面倒R10与R2加强产品的视角圆润性及安全性。原材料橡胶木板含水率≤12%、甲醛释放量≤0.011mg/m³。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67.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68. ▲实木中空柜检测项满足以下：甲醛释放量≤0.035mg/m³；苯未检出；甲苯未检出；二甲苯未检出；TVOC释放量≤0.05mg/m³。检验依据SZJG 52-2016标准。</w:t>
            </w:r>
            <w:r>
              <w:rPr>
                <w:rFonts w:hint="eastAsia" w:ascii="宋体" w:hAnsi="宋体" w:eastAsia="宋体" w:cs="宋体"/>
                <w:b/>
                <w:bCs/>
                <w:i w:val="0"/>
                <w:iCs w:val="0"/>
                <w:color w:val="3366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①对应参数（检验检测项）在检验检测报告中进行标注；②检测报告封面产品名称与所投产品不一致的需作书面说明，否则该项不得分；</w:t>
            </w:r>
            <w:r>
              <w:rPr>
                <w:rFonts w:hint="eastAsia" w:ascii="宋体" w:hAnsi="宋体" w:eastAsia="宋体" w:cs="宋体"/>
                <w:b/>
                <w:bCs/>
                <w:i w:val="0"/>
                <w:iCs w:val="0"/>
                <w:color w:val="FF0000"/>
                <w:kern w:val="0"/>
                <w:sz w:val="21"/>
                <w:szCs w:val="21"/>
                <w:u w:val="none"/>
                <w:lang w:val="en-US" w:eastAsia="zh-CN" w:bidi="ar"/>
              </w:rPr>
              <w:t>③检验检测报告出具的时间应在本项目投标截止日前3年内。</w:t>
            </w:r>
            <w:r>
              <w:rPr>
                <w:rFonts w:hint="eastAsia" w:ascii="宋体" w:hAnsi="宋体" w:eastAsia="宋体" w:cs="宋体"/>
                <w:b/>
                <w:bCs/>
                <w:i w:val="0"/>
                <w:iCs w:val="0"/>
                <w:color w:val="3366FF"/>
                <w:kern w:val="0"/>
                <w:sz w:val="21"/>
                <w:szCs w:val="21"/>
                <w:u w:val="none"/>
                <w:lang w:val="en-US" w:eastAsia="zh-CN" w:bidi="ar"/>
              </w:rPr>
              <w:t>④若相关检验检测项不在检验检测机构CMA资质许可（认定）范围内的，不符合招标文件要求。）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实木2层矮柜</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69. （设备及组件尺寸允许误差±5%）产品尺寸:L90cm×W30cm×H62cm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 板材：16.3mm厚AAA级橡胶木板，可视面倒R10与R2加强产品的视角圆润性及安全性。原材料橡胶木板含水率≤12%、甲醛释放量≤0.011mg/m³。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71.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实木双层弧形收纳柜</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 （设备及组件尺寸允许误差±5%）产品尺寸:L70cm×W36cm×H62cm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73. 板材：16.3mm厚AAA级橡胶木板，可视面倒R10与R2加强产品的视角圆润性及安全性。原材料橡胶木板含水率≤12%、甲醛释放量≤0.011mg/m³。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74.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实木3层玩具柜</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 （设备及组件尺寸允许误差±5%）产品尺寸:L90cm×W30cm×H62cm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76. 板材：16.3mm厚AAA级橡胶木板，可视面倒R10与R2加强产品的视角圆润性及安全性。原材料橡胶木板含水率≤12%、甲醛释放量≤0.011mg/m³。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77.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实木3层收纳柜</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78. （设备及组件尺寸允许误差±5%）产品尺寸:L90cm×W30cm×H80.5cm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79. 板材：16.3mm厚AAA级橡胶木板，可视面倒R10与R2加强产品的视角圆润性及安全性。原材料橡胶木板含水率≤12%、甲醛释放量≤0.011mg/m³。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实木阶梯柜</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81. （设备及组件尺寸允许误差±5%）产品尺寸: 1格柜：L30cm×W30cm×H32cm；2格柜：L30×W30×H56cm；3格柜：L30×W30×H80.5cm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82. 板材：16.3mm厚AAA级橡胶木板，可视面倒R10与R2加强产品的视角圆润性及安全性。原材料橡胶木板含水率≤12%、甲醛释放量≤0.011mg/m³。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83.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贩卖台（不含盒）</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84. （设备及组件尺寸允许误差±5%）产品尺寸:L90cm×W42cm×H120cm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85. 板材：16.3mm厚AAA级橡胶木板，可视面倒R10与R2加强产品的视角圆润性及安全性。原材料橡胶木板含水率≤12%、甲醛释放量≤0.011mg/m³。上部是麻棉作帘布，下层柜子有收纳格。面板与侧板使用二合一螺丝固定，层板与侧板使用防锈木牙螺丝连接，结构稳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 ▲棉麻面料符合检测项满足以下：染色牢度-耐酸汗渍（变色、沾色）不低于4级；染色牢度-耐碱汗渍（变色、沾色）不低于4级；染色牢度-耐干摩擦不低于4级；邻苯二甲酸酯-总量：未检出；甲醛含量：未检出；抗菌性能：抑菌率-金黄色葡萄球菌≥99%；耐光色牢度不低于4级；抗老化≥188h测试结果不低于4级。检验依据：GB/T 3922-2013、GB/T 2912.3-2009、GB/T 20944.3-2008、GB/T 18885-2020、GB/T 16991-2008。</w:t>
            </w:r>
            <w:r>
              <w:rPr>
                <w:rFonts w:hint="eastAsia" w:ascii="宋体" w:hAnsi="宋体" w:eastAsia="宋体" w:cs="宋体"/>
                <w:b/>
                <w:bCs/>
                <w:i w:val="0"/>
                <w:iCs w:val="0"/>
                <w:color w:val="3366FF"/>
                <w:kern w:val="0"/>
                <w:sz w:val="21"/>
                <w:szCs w:val="21"/>
                <w:u w:val="none"/>
                <w:lang w:val="en-US" w:eastAsia="zh-CN" w:bidi="ar"/>
              </w:rPr>
              <w:t>（投标时同时提供：①由第三方检验检测机构出具并加盖（或带有）CMA标志的抽样检验报告扫描件，原件备查；②上述检验检测报告在全国认证认可信息公共服务平台（认e云）（http://cx.cnca.cn/）的信息查询记录截图。注：①对应参数（检验检测项）在检验检测报告中进行标注；②检测报告封面产品名称与所投产品不一致的需作书面说明，否则该项不得分；</w:t>
            </w:r>
            <w:r>
              <w:rPr>
                <w:rFonts w:hint="eastAsia" w:ascii="宋体" w:hAnsi="宋体" w:eastAsia="宋体" w:cs="宋体"/>
                <w:b/>
                <w:bCs/>
                <w:i w:val="0"/>
                <w:iCs w:val="0"/>
                <w:color w:val="FF0000"/>
                <w:kern w:val="0"/>
                <w:sz w:val="21"/>
                <w:szCs w:val="21"/>
                <w:u w:val="none"/>
                <w:lang w:val="en-US" w:eastAsia="zh-CN" w:bidi="ar"/>
              </w:rPr>
              <w:t>③检验检测报告出具的时间应在本项目投标截止日前1年内。</w:t>
            </w:r>
            <w:r>
              <w:rPr>
                <w:rFonts w:hint="eastAsia" w:ascii="宋体" w:hAnsi="宋体" w:eastAsia="宋体" w:cs="宋体"/>
                <w:b/>
                <w:bCs/>
                <w:i w:val="0"/>
                <w:iCs w:val="0"/>
                <w:color w:val="3366FF"/>
                <w:kern w:val="0"/>
                <w:sz w:val="21"/>
                <w:szCs w:val="21"/>
                <w:u w:val="none"/>
                <w:lang w:val="en-US" w:eastAsia="zh-CN" w:bidi="ar"/>
              </w:rPr>
              <w:t>④若相关检验检测项不在检验检测机构CMA资质许可（认定）范围内的，不符合招标文件要求。）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87.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实木小屋阅读柜</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88. （设备及组件尺寸允许误差±5%）产品尺寸:L120cm×W50cm×H129cm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89. 板材：16.3mm厚AAA级橡胶木板，可视面倒R10与R2加强产品的视角圆润性及安全性。原材料橡胶木板含水率≤12%、甲醛释放量≤0.011mg/m³。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91. ▲小屋阅读柜检测项满足以下：木制件表面理化性能-漆膜耐磨性不低于2级；家具涂层可迁移元素铅未检出、镉未检出、铬未检出、汞未检出、锑未检出、钡未检出、硒未检出、砷未检出；甲醛释放量：未检出；抑菌率-表面葡萄球菌≥99%。检验依据：GB/T 3324-2024、GB/T 35607-2024、GB/T 4893.8-2023、GB/T 38794-2020、QB/T 4371-2012。</w:t>
            </w:r>
            <w:r>
              <w:rPr>
                <w:rFonts w:hint="eastAsia" w:ascii="宋体" w:hAnsi="宋体" w:eastAsia="宋体" w:cs="宋体"/>
                <w:b/>
                <w:bCs/>
                <w:i w:val="0"/>
                <w:iCs w:val="0"/>
                <w:color w:val="3366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①对应参数（检验检测项）在检验检测报告中进行标注；②检测报告封面产品名称与所投产品不一致的需作书面说明，否则该项不得分；</w:t>
            </w:r>
            <w:r>
              <w:rPr>
                <w:rFonts w:hint="eastAsia" w:ascii="宋体" w:hAnsi="宋体" w:eastAsia="宋体" w:cs="宋体"/>
                <w:b/>
                <w:bCs/>
                <w:i w:val="0"/>
                <w:iCs w:val="0"/>
                <w:color w:val="FF0000"/>
                <w:kern w:val="0"/>
                <w:sz w:val="21"/>
                <w:szCs w:val="21"/>
                <w:u w:val="none"/>
                <w:lang w:val="en-US" w:eastAsia="zh-CN" w:bidi="ar"/>
              </w:rPr>
              <w:t>③检验检测报告出具的时间应在本项目投标截止日前3年内。</w:t>
            </w:r>
            <w:r>
              <w:rPr>
                <w:rFonts w:hint="eastAsia" w:ascii="宋体" w:hAnsi="宋体" w:eastAsia="宋体" w:cs="宋体"/>
                <w:b/>
                <w:bCs/>
                <w:i w:val="0"/>
                <w:iCs w:val="0"/>
                <w:color w:val="3366FF"/>
                <w:kern w:val="0"/>
                <w:sz w:val="21"/>
                <w:szCs w:val="21"/>
                <w:u w:val="none"/>
                <w:lang w:val="en-US" w:eastAsia="zh-CN" w:bidi="ar"/>
              </w:rPr>
              <w:t>④若相关检验检测项不在检验检测机构CMA资质许可（认定）范围内的，不符合招标文件要求。）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实木6格中空分区柜</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92. （设备及组件尺寸允许误差±5%）产品尺寸:L90cm×W30cm×H62cm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93. 板材：16.3mm厚AAA级橡胶木板，可视面倒R10与R2加强产品的视角圆润性及安全性。原材料橡胶木板含水率≤12%、甲醛释放量≤0.011mg/m³。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94.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实木教具柜（含盒）</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95. （设备及组件尺寸允许误差±5%）产品尺寸:L106cm×W30cm×H80.5cm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96. 板材：16.3mm厚AAA级橡胶木板，可视面倒R10与R2加强产品的视角圆润性及安全性。原材料橡胶木板含水率≤12%、甲醛释放量≤0.011mg/m³。原木三层，含教具盒。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98. ▲实木教具柜检测项满足以下：木制件表面理化性能-漆膜耐磨性不低于2级；家具涂层可迁移元素铅未检出、镉未检出、铬未检出、汞未检出、锑未检出、钡未检出、硒未检出、砷未检出；甲醛释放量：未检出；抑菌率-表面葡萄球菌≥99%。检验依据：GB/T 3324-2024、GB/T 35607-2024、GB/T 4893.8-2023、GB/T 38794-2020、QB/T 4371-2012。</w:t>
            </w:r>
            <w:r>
              <w:rPr>
                <w:rFonts w:hint="eastAsia" w:ascii="宋体" w:hAnsi="宋体" w:eastAsia="宋体" w:cs="宋体"/>
                <w:b/>
                <w:bCs/>
                <w:i w:val="0"/>
                <w:iCs w:val="0"/>
                <w:color w:val="3366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①对应参数（检验检测项）在检验检测报告中进行标注；②检测报告封面产品名称与所投产品不一致的需作书面说明，否则该项不得分；</w:t>
            </w:r>
            <w:r>
              <w:rPr>
                <w:rFonts w:hint="eastAsia" w:ascii="宋体" w:hAnsi="宋体" w:eastAsia="宋体" w:cs="宋体"/>
                <w:b/>
                <w:bCs/>
                <w:i w:val="0"/>
                <w:iCs w:val="0"/>
                <w:color w:val="FF0000"/>
                <w:kern w:val="0"/>
                <w:sz w:val="21"/>
                <w:szCs w:val="21"/>
                <w:u w:val="none"/>
                <w:lang w:val="en-US" w:eastAsia="zh-CN" w:bidi="ar"/>
              </w:rPr>
              <w:t>③检验检测报告出具的时间应在本项目投标截止日前3年内。</w:t>
            </w:r>
            <w:r>
              <w:rPr>
                <w:rFonts w:hint="eastAsia" w:ascii="宋体" w:hAnsi="宋体" w:eastAsia="宋体" w:cs="宋体"/>
                <w:b/>
                <w:bCs/>
                <w:i w:val="0"/>
                <w:iCs w:val="0"/>
                <w:color w:val="3366FF"/>
                <w:kern w:val="0"/>
                <w:sz w:val="21"/>
                <w:szCs w:val="21"/>
                <w:u w:val="none"/>
                <w:lang w:val="en-US" w:eastAsia="zh-CN" w:bidi="ar"/>
              </w:rPr>
              <w:t>④若相关检验检测项不在检验检测机构CMA资质许可（认定）范围内的，不符合招标文件要求。）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实木8格收纳柜</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99. （设备及组件尺寸允许误差±5%）产品尺寸:L90cm×W30cm×H80.5cm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 板材：16.3mm厚AAA级橡胶木板，可视面倒R10与R2加强产品的视角圆润性及安全性。原材料橡胶木板含水率≤12%、甲醛释放量≤0.011mg/m³。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101.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实木系统书柜</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102. （设备及组件尺寸允许误差±5%）产品尺寸:L90cm×W30cm×H84cm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103. 板材：16.3mm厚AAA级橡胶木板，可视面倒R10与R2加强产品的视角圆润性及安全性。原材料橡胶木板含水率≤12%、甲醛释放量≤0.011mg/m³。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实木10格书包、鞋一体柜</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105. （设备及组件尺寸允许误差±5%）产品尺寸:L100.1cm×W30cm×H100cm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106. 板材：16.3mm厚AAA级橡胶木板，可视面倒R10与R2加强产品的视角圆润性及安全性。原材料橡胶木板含水率≤12%、甲醛释放量≤0.011mg/m³。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107.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实木6格书包、鞋一体柜</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108. （设备及组件尺寸允许误差±5%）产品尺寸:L60.7cm×W30cm×H100cm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109. 板材：16.3mm厚AAA级橡胶木板，可视面倒R10与R2加强产品的视角圆润性及安全性。原材料橡胶木板含水率≤12%、甲醛释放量≤0.011mg/m³。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110.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实木榻榻米床</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111. （设备及组件尺寸允许误差±5%）产品尺寸:L120cm×W60cm×H15cm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112. 板材：16.3mm厚AAA级橡胶木板，可视面倒R10与R2加强产品的视角圆润性及安全性。原材料橡胶木板含水率≤12%、甲醛释放量≤0.011mg/m³。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113.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便携式儿童床架</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114. （设备及组件尺寸允许误差±5%）产品尺寸:110cm×62cm×10.5cm（黄色）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115. 材质：采用直径25mm铁管制成，表面抗紫外线户外用烤漆处理，不易变色，漆面牢固，底部带有4个滑轮（其中2个带锁定），便于移动。适用于130、140规格床使用。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便携式可堆叠儿童床1</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116. （设备及组件尺寸允许误差±5%）产品尺寸:130cm×56cm×20cm，最大载重：50kg。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117. 床面采用环保网布，床架采用直径25mm铁管制成，表面抗紫外线户外用烤漆处理，不易变色，漆面牢固。床脚采用安全环保塑料，可堆叠收纳。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便携式可堆叠儿童床2</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118. （设备及组件尺寸允许误差±5%）产品尺寸:140cm×56cm×20cm，最大载重：50kg。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119. 床面采用环保网布，床架采用直径25mm铁管制成，表面抗紫外线户外用烤漆处理，不易变色，漆面牢固。床脚采用安全环保塑料，可堆叠收纳。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毛巾架</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 （设备及组件尺寸允许误差±5%）产品尺寸：720mm*90mm*80mm、φ12mm透明柱，挂钩柱高48mm。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121. 材质：15厘瓷白亚克力板材；工艺：电脑雕刻、R角磨边、机器整体抛光、亚克力胶水粘结；安装位：10mm*3mm沉孔、6mm穿透孔；挂钩：电脑雕刻U形卡位。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122. ▲幼儿毛巾架检测项满足以下：甲醛释放量≤0.012mg/m³；苯未检出、甲苯未检出、二甲苯未检出；TVOC未检出；可迁移元素铅未检出、镉未检出、铬未检出、汞未检出、锑未检出、钡未检出、硒未检出、砷未检出；抗菌性能：大肠杆菌≥99%、金黄色葡萄球菌≥99%；检验依据：</w:t>
            </w:r>
            <w:bookmarkStart w:id="45" w:name="OLE_LINK1"/>
            <w:r>
              <w:rPr>
                <w:rFonts w:hint="eastAsia" w:ascii="宋体" w:hAnsi="宋体" w:eastAsia="宋体" w:cs="宋体"/>
                <w:i w:val="0"/>
                <w:iCs w:val="0"/>
                <w:color w:val="000000"/>
                <w:kern w:val="0"/>
                <w:sz w:val="21"/>
                <w:szCs w:val="21"/>
                <w:u w:val="none"/>
                <w:lang w:val="en-US" w:eastAsia="zh-CN" w:bidi="ar"/>
              </w:rPr>
              <w:t>GB/T 31106-2014</w:t>
            </w:r>
            <w:bookmarkEnd w:id="45"/>
            <w:r>
              <w:rPr>
                <w:rFonts w:hint="eastAsia" w:ascii="宋体" w:hAnsi="宋体" w:eastAsia="宋体" w:cs="宋体"/>
                <w:i w:val="0"/>
                <w:iCs w:val="0"/>
                <w:color w:val="000000"/>
                <w:kern w:val="0"/>
                <w:sz w:val="21"/>
                <w:szCs w:val="21"/>
                <w:u w:val="none"/>
                <w:lang w:val="en-US" w:eastAsia="zh-CN" w:bidi="ar"/>
              </w:rPr>
              <w:t>、HJ2547-2016、QB/T 4371-2012。</w:t>
            </w:r>
            <w:r>
              <w:rPr>
                <w:rFonts w:hint="eastAsia" w:ascii="宋体" w:hAnsi="宋体" w:eastAsia="宋体" w:cs="宋体"/>
                <w:b/>
                <w:bCs/>
                <w:i w:val="0"/>
                <w:iCs w:val="0"/>
                <w:color w:val="3366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①对应参数（检验检测项）在检验检测报告中进行标注；②检测报告封面产品名称与所投产品不一致的需作书面说明，否则该项不得分；</w:t>
            </w:r>
            <w:r>
              <w:rPr>
                <w:rFonts w:hint="eastAsia" w:ascii="宋体" w:hAnsi="宋体" w:eastAsia="宋体" w:cs="宋体"/>
                <w:b/>
                <w:bCs/>
                <w:i w:val="0"/>
                <w:iCs w:val="0"/>
                <w:color w:val="FF0000"/>
                <w:kern w:val="0"/>
                <w:sz w:val="21"/>
                <w:szCs w:val="21"/>
                <w:u w:val="none"/>
                <w:lang w:val="en-US" w:eastAsia="zh-CN" w:bidi="ar"/>
              </w:rPr>
              <w:t>③检验检测报告出具的时间应在本项目投标截止日前3年内。</w:t>
            </w:r>
            <w:r>
              <w:rPr>
                <w:rFonts w:hint="eastAsia" w:ascii="宋体" w:hAnsi="宋体" w:eastAsia="宋体" w:cs="宋体"/>
                <w:b/>
                <w:bCs/>
                <w:i w:val="0"/>
                <w:iCs w:val="0"/>
                <w:color w:val="3366FF"/>
                <w:kern w:val="0"/>
                <w:sz w:val="21"/>
                <w:szCs w:val="21"/>
                <w:u w:val="none"/>
                <w:lang w:val="en-US" w:eastAsia="zh-CN" w:bidi="ar"/>
              </w:rPr>
              <w:t>④若相关检验检测项不在检验检测机构CMA资质许可（认定）范围内的，不符合招标文件要求。）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水杯柜</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123. （设备及组件尺寸允许误差±5%）产品尺寸：L83.6cm×W13.8cm×H63.3cm，杯格规格：8.9*8.9cm（内径）；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124. 柜体：128*25mm铝型材，防潮、防霉变腐烂；柜体连接件：工程塑料L型内嵌式连接件，R5防撞边；隔层：隔层板材采用8mm透明亚克力板，边缘R2mm 圆边；上悬式内置卡位设计；组合隔层可拆卸、安装；柜门：采用双层立体蜂窝软帘，能柔顺开合、无极定位，透气、防尘、防蚊虫。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放床储物一体柜</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 （设备及组件尺寸允许误差±5%）产品尺寸：下柜:宽1600mm*深680mm*高1600mm；上柜:宽1600mm*深680mm*高1205mm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126. 板材：立板、隔板采用E0级18mm双面木色多层免漆夹板；面板采用E0级18mm双面白色多层免漆夹板。下柜背板用E0级18mm双面木色多层免漆夹板，以保证柜体稳定不变形；储物柜背板用E0级9mm双面木色多层免漆夹板。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127. 下柜柜门带透气窗口，窗网采用铝型材蜂窝圆造型板；柜体有钢结构件加固，以防柜体变形；柜门下方安装内弹承压缓冲滚轮；使用标准铰链、合金螺丝；封边：使用PVC专业封边条封边。</w:t>
            </w: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1号半开放式储物柜</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128. （设备及组件尺寸允许误差±5%）产品尺寸：宽952mm*深340mm*高2805mm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129. 板材：立板、隔板采用E0级18mm双面木色多层免漆夹板；面板采用E0级18mm双面白色多层免漆夹板。储物柜背板用E0级9mm双面木色多层免漆夹板。使用标准铰链、合金螺丝；封边：使用PVC专业封边条封边。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2号半开放式储物柜</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130. （设备及组件尺寸允许误差±5%）产品尺寸：宽947mm*深210mm*高1045mm；下面墙板规格：宽417mm*高1760mm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131. 板材：立板、隔板采用E0级18mm双面木色多层免漆夹板；面板采用E0级18mm双面白色多层免漆夹板。储物柜背板用E0级9mm双面木色多层免漆夹板。使用标准铰链、合金螺丝；封边：使用PVC专业封边条封边。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3号半开放式储物柜</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132. （设备及组件尺寸允许误差±5%）产品尺寸：宽967mm*深350mm*高1045mm；下面墙板规格：宽417mm*高1760mm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133. 板材：立板、隔板采用E0级18mm双面木色多层免漆夹板；面板采用E0级18mm双面白色多层免漆夹板。储物柜背板用E0级9mm双面木色多层免漆夹板。使用标准铰链、合金螺丝；封边：使用PVC专业封边条封边。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储物被褥一体柜</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134. （设备及组件尺寸允许误差±5%）产品尺寸：上柜：宽947mm*深680mm*高1045mm；下柜：宽947mm*深680*高1760mm（四个格）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135. 板材：立板、隔板采用E0级18mm双面木色多层免漆夹板；面板采用E0级18mm双面白色多层免漆夹板。储物柜背板用E0级9mm双面木色多层免漆夹板。使用标准铰链、合金螺丝；封边：使用PVC专业封边条封边。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1号储物柜</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136. （设备及组件尺寸允许误差±5%）产品尺寸：宽3280mm*深618mm*高1045mm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137. 板材：立板、隔板采用E0级18mm双面木色多层免漆夹板；面板采用E0级18mm双面白色多层免漆夹板；储物柜背板用E0级9mm双面木色多层免漆夹板。下柜柜门带透气窗，窗网采用铝型材蜂窝圆造型板；柜体用钢结构件与墙体固定；柜门下方内侧安装隐形门帘轨道，波浪折叠门帘；使用标准铰链、合金螺丝；封边：使用PVC专业封边条封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2号储物柜</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138. （设备及组件尺寸允许误差±5%）产品尺寸：宽2890mm*深618mm*高1045mm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139. 板材：立板、隔板采用E0级18Mmm双面木色多层免漆夹板；面板采用E0级18mm双面白色多层免漆夹板；储物柜背板用E0级9mm双面木色多层免漆夹板。下柜柜门带透气窗，窗网采用铝型材蜂窝圆造型板；柜体用钢结构件与墙体固定；柜门下方内侧安装隐形门帘轨道，波浪折叠门帘；使用标准铰链、合金螺丝；封边：使用PVC专业封边条封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28格被褥柜</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140. （设备及组件尺寸允许误差±5%）产品尺寸：宽3280mm*深550mm*高1760mm（带隐形轨道及门帘）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141. 板材：立板、隔板采用E0级18mm双面木色多层免漆夹板；背板用E0级9mm双面木色多层免漆夹板。使用标准铰链、合金螺丝；封边：使用PVC专业封边条封边。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24格被褥柜</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142. （设备及组件尺寸允许误差±5%）产品尺寸：宽2890mm*深550mm*高1760mm（带隐形轨道及门帘）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143. 板材：立板、隔板采用E0级18mm双面木色多层免漆夹板；背板用E0级9mm双面木色多层免漆夹板。使用标准铰链、合金螺丝；封边：使用PVC专业封边条封边。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1号储物吊柜</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144. （设备及组件尺寸允许误差±5%）产品尺寸：宽2700mm*深350mm*高1095mm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145. 板材：立板、隔板采用E0级18mm背板用E0级18mm双面木色多层免漆夹板。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146. 柜体吊装，用钢结构件与墙体固定；使用标准铰链、合金螺丝；封边：使用PVC专业封边条封边。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2号储物吊柜</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147. （设备及组件尺寸允许误差±5%）产品尺寸：宽2070mm*深350mm*高1095mm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148. 板材：立板、隔板采用E0级18mm双面木色多层免漆夹板；面板采用E0级18mm双面白色多层免漆夹板；储物柜背板用E0级18mm双面木色多层免漆夹板。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149. 柜体吊装，用钢结构件与墙体固定；使用标准铰链、合金螺丝；封边：使用PVC专业封边条封边。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护墙板</w:t>
            </w: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 （设备及组件尺寸允许误差±5%）产品尺寸：宽1072mm*厚18mm*高1710mm；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151. 板材：采用E0级18mm双面多层木色免漆夹板；使用PVC专业封边条封边。</w:t>
            </w:r>
          </w:p>
        </w:tc>
      </w:tr>
    </w:tbl>
    <w:p>
      <w:pPr>
        <w:rPr>
          <w:b/>
          <w:szCs w:val="21"/>
        </w:rPr>
      </w:pPr>
    </w:p>
    <w:p>
      <w:pPr>
        <w:rPr>
          <w:b/>
          <w:szCs w:val="21"/>
        </w:rPr>
      </w:pPr>
    </w:p>
    <w:p>
      <w:pPr>
        <w:pStyle w:val="6"/>
        <w:spacing w:before="120" w:beforeLines="50" w:after="120" w:afterLines="50"/>
        <w:jc w:val="center"/>
        <w:rPr>
          <w:rFonts w:hint="eastAsia"/>
          <w:sz w:val="28"/>
          <w:szCs w:val="28"/>
        </w:rPr>
      </w:pPr>
      <w:r>
        <w:rPr>
          <w:rFonts w:hint="eastAsia" w:ascii="宋体" w:hAnsi="宋体" w:eastAsia="宋体" w:cs="Times New Roman"/>
          <w:b/>
          <w:bCs/>
          <w:color w:val="FF0000"/>
          <w:szCs w:val="21"/>
        </w:rPr>
        <w:t>★</w:t>
      </w:r>
      <w:r>
        <w:rPr>
          <w:rFonts w:hint="eastAsia"/>
          <w:sz w:val="28"/>
          <w:szCs w:val="28"/>
        </w:rPr>
        <w:t>五、商务要求</w:t>
      </w:r>
    </w:p>
    <w:p>
      <w:pPr>
        <w:pStyle w:val="11"/>
      </w:pPr>
      <w:r>
        <w:rPr>
          <w:rFonts w:hint="eastAsia"/>
          <w:b/>
          <w:color w:val="FF0000"/>
          <w:szCs w:val="21"/>
        </w:rPr>
        <w:t>本部分内容为项目正常开展的基本要求，均为★号条款要求</w:t>
      </w:r>
      <w:r>
        <w:rPr>
          <w:rFonts w:hint="eastAsia"/>
          <w:b/>
          <w:color w:val="FF0000"/>
          <w:szCs w:val="21"/>
          <w:lang w:eastAsia="zh-CN"/>
        </w:rPr>
        <w:t>，</w:t>
      </w:r>
      <w:r>
        <w:rPr>
          <w:rFonts w:hint="eastAsia"/>
          <w:b/>
          <w:color w:val="FF0000"/>
          <w:szCs w:val="21"/>
        </w:rPr>
        <w:t>不作为评分准则中的评分内容</w:t>
      </w:r>
      <w:r>
        <w:rPr>
          <w:rFonts w:hint="eastAsia"/>
          <w:b/>
          <w:color w:val="FF0000"/>
          <w:szCs w:val="21"/>
          <w:lang w:eastAsia="zh-CN"/>
        </w:rPr>
        <w:t>，</w:t>
      </w:r>
      <w:r>
        <w:rPr>
          <w:rFonts w:hint="eastAsia"/>
          <w:b/>
          <w:color w:val="FF0000"/>
          <w:szCs w:val="21"/>
        </w:rPr>
        <w:t>如未响应或出现负偏离的，将作投标无效处理；</w:t>
      </w:r>
    </w:p>
    <w:tbl>
      <w:tblPr>
        <w:tblStyle w:val="18"/>
        <w:tblW w:w="9356"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843"/>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1" w:type="dxa"/>
            <w:vAlign w:val="center"/>
          </w:tcPr>
          <w:p>
            <w:pPr>
              <w:jc w:val="center"/>
              <w:rPr>
                <w:b/>
                <w:szCs w:val="21"/>
              </w:rPr>
            </w:pPr>
            <w:r>
              <w:rPr>
                <w:rFonts w:hint="eastAsia"/>
                <w:b/>
                <w:szCs w:val="21"/>
              </w:rPr>
              <w:t>序号</w:t>
            </w:r>
          </w:p>
        </w:tc>
        <w:tc>
          <w:tcPr>
            <w:tcW w:w="1843" w:type="dxa"/>
            <w:vAlign w:val="center"/>
          </w:tcPr>
          <w:p>
            <w:pPr>
              <w:jc w:val="center"/>
              <w:rPr>
                <w:b/>
                <w:szCs w:val="21"/>
              </w:rPr>
            </w:pPr>
            <w:r>
              <w:rPr>
                <w:rFonts w:hint="eastAsia"/>
                <w:b/>
                <w:szCs w:val="21"/>
              </w:rPr>
              <w:t>商务需求项</w:t>
            </w:r>
          </w:p>
        </w:tc>
        <w:tc>
          <w:tcPr>
            <w:tcW w:w="6662" w:type="dxa"/>
            <w:vAlign w:val="center"/>
          </w:tcPr>
          <w:p>
            <w:pPr>
              <w:jc w:val="center"/>
              <w:rPr>
                <w:b/>
                <w:szCs w:val="21"/>
              </w:rPr>
            </w:pPr>
            <w:r>
              <w:rPr>
                <w:rFonts w:hint="eastAsia"/>
                <w:b/>
                <w:szCs w:val="21"/>
              </w:rPr>
              <w:t>招标商务要求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356" w:type="dxa"/>
            <w:gridSpan w:val="3"/>
          </w:tcPr>
          <w:p>
            <w:pPr>
              <w:rPr>
                <w:b/>
                <w:szCs w:val="21"/>
              </w:rPr>
            </w:pPr>
            <w:r>
              <w:rPr>
                <w:rFonts w:hint="eastAsia"/>
                <w:b/>
                <w:szCs w:val="21"/>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51" w:type="dxa"/>
            <w:vAlign w:val="center"/>
          </w:tcPr>
          <w:p>
            <w:pPr>
              <w:jc w:val="center"/>
              <w:rPr>
                <w:bCs/>
                <w:szCs w:val="21"/>
              </w:rPr>
            </w:pPr>
            <w:r>
              <w:rPr>
                <w:rFonts w:hint="eastAsia"/>
                <w:bCs/>
                <w:szCs w:val="21"/>
              </w:rPr>
              <w:t>1</w:t>
            </w:r>
          </w:p>
        </w:tc>
        <w:tc>
          <w:tcPr>
            <w:tcW w:w="1843" w:type="dxa"/>
          </w:tcPr>
          <w:p>
            <w:pPr>
              <w:jc w:val="center"/>
              <w:rPr>
                <w:szCs w:val="21"/>
              </w:rPr>
            </w:pPr>
            <w:r>
              <w:rPr>
                <w:rFonts w:hint="eastAsia"/>
                <w:szCs w:val="21"/>
              </w:rPr>
              <w:t>维修响应及故障解决时间</w:t>
            </w:r>
          </w:p>
        </w:tc>
        <w:tc>
          <w:tcPr>
            <w:tcW w:w="6662" w:type="dxa"/>
          </w:tcPr>
          <w:p>
            <w:pPr>
              <w:rPr>
                <w:b/>
                <w:szCs w:val="21"/>
              </w:rPr>
            </w:pPr>
            <w:r>
              <w:rPr>
                <w:rFonts w:hint="eastAsia"/>
                <w:bCs/>
                <w:szCs w:val="21"/>
              </w:rPr>
              <w:t>在免费保修期内，一旦发生质量问题，中标人保证在接到通知</w:t>
            </w:r>
            <w:r>
              <w:rPr>
                <w:bCs/>
                <w:szCs w:val="21"/>
              </w:rPr>
              <w:t>24</w:t>
            </w:r>
            <w:r>
              <w:rPr>
                <w:rFonts w:hint="eastAsia"/>
                <w:bCs/>
                <w:szCs w:val="21"/>
              </w:rPr>
              <w:t>小时内赶到现场进行修理或更换。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51" w:type="dxa"/>
            <w:vMerge w:val="restart"/>
            <w:vAlign w:val="center"/>
          </w:tcPr>
          <w:p>
            <w:pPr>
              <w:jc w:val="center"/>
              <w:rPr>
                <w:szCs w:val="21"/>
              </w:rPr>
            </w:pPr>
            <w:r>
              <w:rPr>
                <w:rFonts w:hint="eastAsia"/>
                <w:szCs w:val="21"/>
              </w:rPr>
              <w:t>2</w:t>
            </w:r>
          </w:p>
        </w:tc>
        <w:tc>
          <w:tcPr>
            <w:tcW w:w="1843" w:type="dxa"/>
            <w:vMerge w:val="restart"/>
            <w:vAlign w:val="center"/>
          </w:tcPr>
          <w:p>
            <w:pPr>
              <w:jc w:val="center"/>
              <w:rPr>
                <w:szCs w:val="21"/>
              </w:rPr>
            </w:pPr>
            <w:r>
              <w:rPr>
                <w:rFonts w:hint="eastAsia"/>
                <w:szCs w:val="21"/>
              </w:rPr>
              <w:t>免费保修期</w:t>
            </w:r>
          </w:p>
        </w:tc>
        <w:tc>
          <w:tcPr>
            <w:tcW w:w="6662" w:type="dxa"/>
          </w:tcPr>
          <w:p>
            <w:pPr>
              <w:rPr>
                <w:b/>
                <w:szCs w:val="21"/>
              </w:rPr>
            </w:pPr>
            <w:r>
              <w:rPr>
                <w:rFonts w:hint="eastAsia"/>
                <w:bCs/>
                <w:szCs w:val="21"/>
              </w:rPr>
              <w:t>1</w:t>
            </w:r>
            <w:r>
              <w:rPr>
                <w:bCs/>
                <w:szCs w:val="21"/>
              </w:rPr>
              <w:t>.</w:t>
            </w:r>
            <w:r>
              <w:rPr>
                <w:rFonts w:hint="eastAsia"/>
                <w:bCs/>
                <w:szCs w:val="21"/>
              </w:rPr>
              <w:t>货物免费保修期</w:t>
            </w:r>
            <w:r>
              <w:rPr>
                <w:rFonts w:hint="eastAsia"/>
                <w:bCs/>
                <w:szCs w:val="21"/>
                <w:u w:val="single"/>
              </w:rPr>
              <w:t xml:space="preserve">  1  </w:t>
            </w:r>
            <w:r>
              <w:rPr>
                <w:rFonts w:hint="eastAsia"/>
                <w:bCs/>
                <w:szCs w:val="21"/>
              </w:rPr>
              <w:t>年，时间自最终验收合格并交付使用之日起计算。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51" w:type="dxa"/>
            <w:vMerge w:val="continue"/>
            <w:vAlign w:val="center"/>
          </w:tcPr>
          <w:p>
            <w:pPr>
              <w:jc w:val="center"/>
              <w:rPr>
                <w:b/>
                <w:szCs w:val="21"/>
              </w:rPr>
            </w:pPr>
          </w:p>
        </w:tc>
        <w:tc>
          <w:tcPr>
            <w:tcW w:w="1843" w:type="dxa"/>
            <w:vMerge w:val="continue"/>
            <w:vAlign w:val="center"/>
          </w:tcPr>
          <w:p>
            <w:pPr>
              <w:rPr>
                <w:szCs w:val="21"/>
              </w:rPr>
            </w:pPr>
          </w:p>
        </w:tc>
        <w:tc>
          <w:tcPr>
            <w:tcW w:w="6662" w:type="dxa"/>
            <w:vAlign w:val="center"/>
          </w:tcPr>
          <w:p>
            <w:pPr>
              <w:rPr>
                <w:bCs/>
                <w:szCs w:val="21"/>
              </w:rPr>
            </w:pPr>
            <w:r>
              <w:rPr>
                <w:rFonts w:hint="eastAsia"/>
                <w:bCs/>
                <w:szCs w:val="21"/>
              </w:rPr>
              <w:t>2</w:t>
            </w:r>
            <w:r>
              <w:rPr>
                <w:bCs/>
                <w:szCs w:val="21"/>
              </w:rPr>
              <w:t>.</w:t>
            </w:r>
            <w:r>
              <w:rPr>
                <w:rFonts w:hint="eastAsia"/>
                <w:bCs/>
                <w:szCs w:val="21"/>
              </w:rPr>
              <w:t>免费保修期内，</w:t>
            </w:r>
            <w:r>
              <w:rPr>
                <w:rFonts w:hint="eastAsia"/>
                <w:color w:val="000000"/>
                <w:szCs w:val="21"/>
              </w:rPr>
              <w:t>所有服务及配件全部免费。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51" w:type="dxa"/>
            <w:vAlign w:val="center"/>
          </w:tcPr>
          <w:p>
            <w:pPr>
              <w:jc w:val="center"/>
              <w:rPr>
                <w:b/>
                <w:szCs w:val="21"/>
              </w:rPr>
            </w:pPr>
            <w:r>
              <w:rPr>
                <w:rFonts w:hint="eastAsia"/>
                <w:szCs w:val="21"/>
              </w:rPr>
              <w:t>3</w:t>
            </w:r>
          </w:p>
        </w:tc>
        <w:tc>
          <w:tcPr>
            <w:tcW w:w="1843" w:type="dxa"/>
            <w:vAlign w:val="center"/>
          </w:tcPr>
          <w:p>
            <w:pPr>
              <w:jc w:val="center"/>
              <w:rPr>
                <w:b/>
                <w:szCs w:val="21"/>
              </w:rPr>
            </w:pPr>
            <w:r>
              <w:rPr>
                <w:rFonts w:hint="eastAsia"/>
                <w:szCs w:val="21"/>
              </w:rPr>
              <w:t>技术文件</w:t>
            </w:r>
          </w:p>
        </w:tc>
        <w:tc>
          <w:tcPr>
            <w:tcW w:w="6662" w:type="dxa"/>
            <w:vAlign w:val="center"/>
          </w:tcPr>
          <w:p>
            <w:pPr>
              <w:rPr>
                <w:bCs/>
                <w:szCs w:val="21"/>
              </w:rPr>
            </w:pPr>
            <w:r>
              <w:rPr>
                <w:rFonts w:hint="eastAsia"/>
                <w:bCs/>
                <w:szCs w:val="21"/>
              </w:rPr>
              <w:t>供应商应提供全套、完整的书面技术资料，包括仪器说明书、操作手册、简单维修说明、图纸等。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56" w:type="dxa"/>
            <w:gridSpan w:val="3"/>
            <w:vAlign w:val="center"/>
          </w:tcPr>
          <w:p>
            <w:pPr>
              <w:spacing w:line="360" w:lineRule="exact"/>
              <w:rPr>
                <w:rFonts w:ascii="宋体" w:hAnsi="宋体"/>
                <w:b/>
                <w:szCs w:val="21"/>
              </w:rPr>
            </w:pPr>
            <w:r>
              <w:rPr>
                <w:rFonts w:hint="eastAsia" w:ascii="宋体" w:hAnsi="宋体"/>
                <w:b/>
                <w:szCs w:val="21"/>
              </w:rPr>
              <w:t>（二）免费保修期外售后服务要求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vAlign w:val="center"/>
          </w:tcPr>
          <w:p>
            <w:pPr>
              <w:spacing w:line="360" w:lineRule="exact"/>
              <w:jc w:val="center"/>
              <w:rPr>
                <w:rFonts w:ascii="宋体" w:hAnsi="宋体"/>
                <w:b/>
                <w:szCs w:val="21"/>
              </w:rPr>
            </w:pPr>
            <w:r>
              <w:rPr>
                <w:rFonts w:hint="eastAsia" w:ascii="宋体" w:hAnsi="宋体"/>
                <w:b/>
                <w:szCs w:val="21"/>
              </w:rPr>
              <w:t>1</w:t>
            </w:r>
          </w:p>
        </w:tc>
        <w:tc>
          <w:tcPr>
            <w:tcW w:w="1843" w:type="dxa"/>
            <w:vAlign w:val="center"/>
          </w:tcPr>
          <w:p>
            <w:pPr>
              <w:spacing w:line="360" w:lineRule="exact"/>
              <w:jc w:val="center"/>
              <w:rPr>
                <w:rFonts w:ascii="宋体" w:hAnsi="宋体"/>
                <w:b/>
                <w:color w:val="000000"/>
                <w:szCs w:val="21"/>
              </w:rPr>
            </w:pPr>
            <w:r>
              <w:rPr>
                <w:rStyle w:val="21"/>
                <w:rFonts w:hint="eastAsia" w:ascii="宋体" w:hAnsi="宋体" w:cs="宋体"/>
                <w:color w:val="000000"/>
                <w:szCs w:val="21"/>
              </w:rPr>
              <w:t>维修零配件、消耗品和延续保修合同的报价</w:t>
            </w:r>
          </w:p>
        </w:tc>
        <w:tc>
          <w:tcPr>
            <w:tcW w:w="6662" w:type="dxa"/>
            <w:vAlign w:val="center"/>
          </w:tcPr>
          <w:p>
            <w:pPr>
              <w:spacing w:line="360" w:lineRule="exact"/>
              <w:rPr>
                <w:rFonts w:ascii="宋体" w:hAnsi="宋体"/>
                <w:b/>
                <w:color w:val="000000"/>
                <w:szCs w:val="21"/>
              </w:rPr>
            </w:pPr>
            <w:r>
              <w:rPr>
                <w:rFonts w:hint="eastAsia" w:ascii="宋体" w:hAnsi="宋体" w:cs="宋体"/>
                <w:color w:val="000000"/>
                <w:szCs w:val="21"/>
              </w:rPr>
              <w:t>1.1由设备制造商提供售后服务，</w:t>
            </w:r>
            <w:r>
              <w:rPr>
                <w:rFonts w:hint="eastAsia" w:ascii="宋体" w:hAnsi="宋体" w:cs="宋体"/>
                <w:color w:val="000000"/>
                <w:szCs w:val="21"/>
                <w:u w:val="single"/>
              </w:rPr>
              <w:t xml:space="preserve"> 1 </w:t>
            </w:r>
            <w:r>
              <w:rPr>
                <w:rFonts w:hint="eastAsia" w:ascii="宋体" w:hAnsi="宋体" w:cs="宋体"/>
                <w:color w:val="000000"/>
                <w:szCs w:val="21"/>
              </w:rPr>
              <w:t>小时内响应，</w:t>
            </w:r>
            <w:r>
              <w:rPr>
                <w:rFonts w:hint="eastAsia" w:ascii="宋体" w:hAnsi="宋体" w:cs="宋体"/>
                <w:color w:val="000000"/>
                <w:szCs w:val="21"/>
                <w:u w:val="single"/>
              </w:rPr>
              <w:t xml:space="preserve"> 24 </w:t>
            </w:r>
            <w:r>
              <w:rPr>
                <w:rFonts w:hint="eastAsia" w:ascii="宋体" w:hAnsi="宋体" w:cs="宋体"/>
                <w:color w:val="000000"/>
                <w:szCs w:val="21"/>
              </w:rPr>
              <w:t>小时维修到位，并在48小时内消除故障（不可抗力情况除外）。消耗品和零配件供应及时，特殊情况下可提供备用机。在境内有相对应的零配件保税库，于中标后出具证明文件。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356" w:type="dxa"/>
            <w:gridSpan w:val="3"/>
            <w:vAlign w:val="center"/>
          </w:tcPr>
          <w:p>
            <w:pPr>
              <w:spacing w:line="360" w:lineRule="exact"/>
              <w:rPr>
                <w:rFonts w:ascii="宋体" w:hAnsi="宋体"/>
                <w:b/>
                <w:szCs w:val="21"/>
              </w:rPr>
            </w:pPr>
            <w:r>
              <w:rPr>
                <w:rFonts w:hint="eastAsia" w:ascii="宋体" w:hAnsi="宋体"/>
                <w:b/>
                <w:szCs w:val="21"/>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vMerge w:val="restart"/>
            <w:vAlign w:val="center"/>
          </w:tcPr>
          <w:p>
            <w:pPr>
              <w:spacing w:line="360" w:lineRule="exact"/>
              <w:jc w:val="center"/>
              <w:rPr>
                <w:rFonts w:ascii="宋体" w:hAnsi="宋体"/>
                <w:b/>
                <w:szCs w:val="21"/>
              </w:rPr>
            </w:pPr>
            <w:r>
              <w:rPr>
                <w:rFonts w:hint="eastAsia" w:ascii="宋体" w:hAnsi="宋体"/>
                <w:b/>
                <w:szCs w:val="21"/>
              </w:rPr>
              <w:t>1</w:t>
            </w:r>
          </w:p>
        </w:tc>
        <w:tc>
          <w:tcPr>
            <w:tcW w:w="1843" w:type="dxa"/>
            <w:vMerge w:val="restart"/>
            <w:vAlign w:val="center"/>
          </w:tcPr>
          <w:p>
            <w:pPr>
              <w:spacing w:line="360" w:lineRule="exact"/>
              <w:jc w:val="center"/>
              <w:rPr>
                <w:rFonts w:ascii="宋体" w:hAnsi="宋体"/>
                <w:b/>
                <w:szCs w:val="21"/>
              </w:rPr>
            </w:pPr>
            <w:r>
              <w:rPr>
                <w:rFonts w:hint="eastAsia" w:ascii="宋体" w:hAnsi="宋体"/>
                <w:b/>
                <w:szCs w:val="21"/>
              </w:rPr>
              <w:t>违约责任</w:t>
            </w:r>
          </w:p>
        </w:tc>
        <w:tc>
          <w:tcPr>
            <w:tcW w:w="6662" w:type="dxa"/>
          </w:tcPr>
          <w:p>
            <w:pPr>
              <w:spacing w:line="360" w:lineRule="exact"/>
              <w:rPr>
                <w:rFonts w:ascii="宋体" w:hAnsi="宋体" w:cs="宋体"/>
                <w:color w:val="000000"/>
                <w:szCs w:val="21"/>
              </w:rPr>
            </w:pPr>
            <w:r>
              <w:rPr>
                <w:rFonts w:hint="eastAsia" w:ascii="宋体" w:hAnsi="宋体" w:cs="宋体"/>
                <w:color w:val="000000"/>
                <w:szCs w:val="21"/>
              </w:rPr>
              <w:t>1.1中标人不能交货的，需偿付不能交货部分货款的</w:t>
            </w:r>
            <w:r>
              <w:rPr>
                <w:rFonts w:ascii="宋体" w:hAnsi="宋体" w:cs="宋体"/>
                <w:color w:val="000000"/>
                <w:szCs w:val="21"/>
                <w:u w:val="single"/>
              </w:rPr>
              <w:t>20</w:t>
            </w:r>
            <w:r>
              <w:rPr>
                <w:rFonts w:hint="eastAsia" w:ascii="宋体" w:hAnsi="宋体" w:cs="宋体"/>
                <w:color w:val="000000"/>
                <w:szCs w:val="21"/>
              </w:rPr>
              <w:t>%的违约金并按主管部门相关规定处理。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vMerge w:val="continue"/>
            <w:vAlign w:val="center"/>
          </w:tcPr>
          <w:p>
            <w:pPr>
              <w:spacing w:line="360" w:lineRule="exact"/>
              <w:jc w:val="center"/>
              <w:rPr>
                <w:rFonts w:ascii="宋体" w:hAnsi="宋体"/>
                <w:b/>
                <w:szCs w:val="21"/>
              </w:rPr>
            </w:pPr>
          </w:p>
        </w:tc>
        <w:tc>
          <w:tcPr>
            <w:tcW w:w="1843" w:type="dxa"/>
            <w:vMerge w:val="continue"/>
            <w:vAlign w:val="center"/>
          </w:tcPr>
          <w:p>
            <w:pPr>
              <w:spacing w:line="360" w:lineRule="exact"/>
              <w:jc w:val="center"/>
              <w:rPr>
                <w:rFonts w:ascii="宋体" w:hAnsi="宋体"/>
                <w:b/>
                <w:szCs w:val="21"/>
              </w:rPr>
            </w:pPr>
          </w:p>
        </w:tc>
        <w:tc>
          <w:tcPr>
            <w:tcW w:w="6662" w:type="dxa"/>
          </w:tcPr>
          <w:p>
            <w:pPr>
              <w:spacing w:line="360" w:lineRule="exact"/>
              <w:rPr>
                <w:rFonts w:ascii="宋体" w:hAnsi="宋体" w:cs="宋体"/>
                <w:color w:val="000000"/>
                <w:szCs w:val="21"/>
              </w:rPr>
            </w:pPr>
            <w:r>
              <w:rPr>
                <w:rFonts w:hint="eastAsia" w:ascii="宋体" w:hAnsi="宋体" w:cs="宋体"/>
                <w:color w:val="000000"/>
                <w:szCs w:val="21"/>
              </w:rPr>
              <w:t>1.2中标人逾期交货的，应当承担继续履行、采取补救措施或者赔偿损失等违约责任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vMerge w:val="continue"/>
            <w:vAlign w:val="center"/>
          </w:tcPr>
          <w:p>
            <w:pPr>
              <w:spacing w:line="360" w:lineRule="exact"/>
              <w:jc w:val="center"/>
              <w:rPr>
                <w:rFonts w:ascii="宋体" w:hAnsi="宋体"/>
                <w:b/>
                <w:szCs w:val="21"/>
              </w:rPr>
            </w:pPr>
          </w:p>
        </w:tc>
        <w:tc>
          <w:tcPr>
            <w:tcW w:w="1843" w:type="dxa"/>
            <w:vMerge w:val="continue"/>
            <w:vAlign w:val="center"/>
          </w:tcPr>
          <w:p>
            <w:pPr>
              <w:spacing w:line="360" w:lineRule="exact"/>
              <w:jc w:val="center"/>
              <w:rPr>
                <w:rFonts w:ascii="宋体" w:hAnsi="宋体"/>
                <w:b/>
                <w:szCs w:val="21"/>
              </w:rPr>
            </w:pPr>
          </w:p>
        </w:tc>
        <w:tc>
          <w:tcPr>
            <w:tcW w:w="6662" w:type="dxa"/>
          </w:tcPr>
          <w:p>
            <w:pPr>
              <w:spacing w:line="360" w:lineRule="exact"/>
              <w:rPr>
                <w:rFonts w:ascii="宋体" w:hAnsi="宋体" w:cs="宋体"/>
                <w:color w:val="000000"/>
                <w:szCs w:val="21"/>
              </w:rPr>
            </w:pPr>
            <w:r>
              <w:rPr>
                <w:rFonts w:hint="eastAsia" w:ascii="宋体" w:hAnsi="宋体" w:cs="宋体"/>
                <w:color w:val="000000"/>
                <w:szCs w:val="21"/>
              </w:rPr>
              <w:t>1.3中标人所交付产品、工程或服务不符合其投标承诺的，或在投标阶段为了中标而盲目虚假承诺、低价恶性竞争，在履约阶段则通过偷工减料、以次充好而获取利润的，采购人将根据标的的性质以及损失的大小，可以合理选择要求中标人承担修理、更换、重作、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vAlign w:val="center"/>
          </w:tcPr>
          <w:p>
            <w:pPr>
              <w:spacing w:line="360" w:lineRule="exact"/>
              <w:jc w:val="center"/>
              <w:rPr>
                <w:rFonts w:ascii="宋体" w:hAnsi="宋体"/>
                <w:b/>
                <w:szCs w:val="21"/>
              </w:rPr>
            </w:pPr>
            <w:r>
              <w:rPr>
                <w:rFonts w:hint="eastAsia" w:ascii="宋体" w:hAnsi="宋体"/>
                <w:b/>
                <w:szCs w:val="21"/>
              </w:rPr>
              <w:t>2</w:t>
            </w:r>
          </w:p>
        </w:tc>
        <w:tc>
          <w:tcPr>
            <w:tcW w:w="1843" w:type="dxa"/>
            <w:vAlign w:val="center"/>
          </w:tcPr>
          <w:p>
            <w:pPr>
              <w:spacing w:line="360" w:lineRule="exact"/>
              <w:jc w:val="center"/>
              <w:rPr>
                <w:rFonts w:ascii="宋体" w:hAnsi="宋体"/>
                <w:b/>
                <w:szCs w:val="21"/>
              </w:rPr>
            </w:pPr>
            <w:r>
              <w:rPr>
                <w:rFonts w:hint="eastAsia" w:ascii="宋体" w:hAnsi="宋体" w:cs="宋体"/>
                <w:b/>
                <w:szCs w:val="21"/>
              </w:rPr>
              <w:t>报价要求</w:t>
            </w:r>
          </w:p>
        </w:tc>
        <w:tc>
          <w:tcPr>
            <w:tcW w:w="6662" w:type="dxa"/>
          </w:tcPr>
          <w:p>
            <w:pPr>
              <w:spacing w:line="360" w:lineRule="exact"/>
              <w:rPr>
                <w:szCs w:val="21"/>
              </w:rPr>
            </w:pPr>
            <w:r>
              <w:rPr>
                <w:rFonts w:hint="eastAsia" w:ascii="宋体" w:hAnsi="宋体" w:cs="宋体"/>
                <w:szCs w:val="21"/>
              </w:rPr>
              <w:t>投标报价为报投标总价。投标总价必须是完成该项目的一切费用总和，包括投标费、设备费、运输费、装卸费、保险费、技术培训费、设备安装费、调试费、检测费、国家规定的各项税费等。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vAlign w:val="center"/>
          </w:tcPr>
          <w:p>
            <w:pPr>
              <w:spacing w:line="360" w:lineRule="exact"/>
              <w:jc w:val="center"/>
              <w:rPr>
                <w:rFonts w:ascii="宋体" w:hAnsi="宋体"/>
                <w:b/>
                <w:szCs w:val="21"/>
              </w:rPr>
            </w:pPr>
            <w:r>
              <w:rPr>
                <w:rFonts w:ascii="宋体" w:hAnsi="宋体"/>
                <w:b/>
                <w:szCs w:val="21"/>
              </w:rPr>
              <w:t>3</w:t>
            </w:r>
          </w:p>
        </w:tc>
        <w:tc>
          <w:tcPr>
            <w:tcW w:w="1843" w:type="dxa"/>
            <w:vAlign w:val="center"/>
          </w:tcPr>
          <w:p>
            <w:pPr>
              <w:spacing w:line="360" w:lineRule="exact"/>
              <w:jc w:val="center"/>
              <w:rPr>
                <w:rFonts w:ascii="宋体" w:hAnsi="宋体"/>
                <w:b/>
                <w:szCs w:val="21"/>
              </w:rPr>
            </w:pPr>
            <w:r>
              <w:rPr>
                <w:rFonts w:hint="eastAsia" w:ascii="宋体" w:hAnsi="宋体"/>
                <w:b/>
                <w:szCs w:val="21"/>
              </w:rPr>
              <w:t>交货地点</w:t>
            </w:r>
          </w:p>
        </w:tc>
        <w:tc>
          <w:tcPr>
            <w:tcW w:w="6662" w:type="dxa"/>
            <w:vAlign w:val="center"/>
          </w:tcPr>
          <w:p>
            <w:pPr>
              <w:spacing w:line="360" w:lineRule="exact"/>
              <w:rPr>
                <w:szCs w:val="21"/>
              </w:rPr>
            </w:pPr>
            <w:r>
              <w:rPr>
                <w:rFonts w:hint="eastAsia"/>
                <w:szCs w:val="21"/>
              </w:rPr>
              <w:t>交货地点为深圳市宝安区松岗璟城第一幼儿园。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vAlign w:val="center"/>
          </w:tcPr>
          <w:p>
            <w:pPr>
              <w:spacing w:line="360" w:lineRule="exact"/>
              <w:jc w:val="center"/>
              <w:rPr>
                <w:rFonts w:ascii="宋体" w:hAnsi="宋体"/>
                <w:b/>
                <w:szCs w:val="21"/>
              </w:rPr>
            </w:pPr>
            <w:r>
              <w:rPr>
                <w:rFonts w:ascii="宋体" w:hAnsi="宋体"/>
                <w:b/>
                <w:szCs w:val="21"/>
              </w:rPr>
              <w:t>4</w:t>
            </w:r>
          </w:p>
        </w:tc>
        <w:tc>
          <w:tcPr>
            <w:tcW w:w="1843" w:type="dxa"/>
            <w:vAlign w:val="center"/>
          </w:tcPr>
          <w:p>
            <w:pPr>
              <w:spacing w:line="360" w:lineRule="exact"/>
              <w:jc w:val="center"/>
              <w:rPr>
                <w:rFonts w:ascii="宋体" w:hAnsi="宋体" w:cs="宋体"/>
                <w:b/>
                <w:szCs w:val="21"/>
              </w:rPr>
            </w:pPr>
            <w:r>
              <w:rPr>
                <w:rFonts w:hint="eastAsia" w:ascii="宋体" w:hAnsi="宋体" w:cs="宋体"/>
                <w:b/>
                <w:szCs w:val="21"/>
              </w:rPr>
              <w:t>交货期或完工期</w:t>
            </w:r>
          </w:p>
        </w:tc>
        <w:tc>
          <w:tcPr>
            <w:tcW w:w="6662" w:type="dxa"/>
          </w:tcPr>
          <w:p>
            <w:pPr>
              <w:spacing w:line="360" w:lineRule="exact"/>
              <w:rPr>
                <w:rFonts w:ascii="宋体" w:hAnsi="宋体" w:cs="宋体"/>
                <w:szCs w:val="21"/>
              </w:rPr>
            </w:pPr>
            <w:r>
              <w:rPr>
                <w:rFonts w:hint="eastAsia" w:ascii="宋体" w:hAnsi="宋体" w:cs="宋体"/>
                <w:szCs w:val="21"/>
              </w:rPr>
              <w:t>本项目要求在合同签订起25个日历日内完工，进场施工时间由采购人确定。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vAlign w:val="center"/>
          </w:tcPr>
          <w:p>
            <w:pPr>
              <w:spacing w:line="360" w:lineRule="exact"/>
              <w:jc w:val="center"/>
              <w:rPr>
                <w:rFonts w:ascii="宋体" w:hAnsi="宋体"/>
                <w:b/>
                <w:szCs w:val="21"/>
              </w:rPr>
            </w:pPr>
            <w:r>
              <w:rPr>
                <w:rFonts w:ascii="宋体" w:hAnsi="宋体"/>
                <w:b/>
                <w:szCs w:val="21"/>
              </w:rPr>
              <w:t>5</w:t>
            </w:r>
          </w:p>
        </w:tc>
        <w:tc>
          <w:tcPr>
            <w:tcW w:w="1843" w:type="dxa"/>
            <w:vAlign w:val="center"/>
          </w:tcPr>
          <w:p>
            <w:pPr>
              <w:spacing w:line="360" w:lineRule="exact"/>
              <w:jc w:val="center"/>
              <w:rPr>
                <w:rFonts w:ascii="宋体" w:hAnsi="宋体" w:cs="宋体"/>
                <w:b/>
                <w:color w:val="000000"/>
                <w:szCs w:val="21"/>
              </w:rPr>
            </w:pPr>
            <w:r>
              <w:rPr>
                <w:rFonts w:hint="eastAsia" w:ascii="宋体" w:hAnsi="宋体" w:cs="宋体"/>
                <w:b/>
                <w:color w:val="000000"/>
                <w:szCs w:val="21"/>
              </w:rPr>
              <w:t>付款方式</w:t>
            </w:r>
          </w:p>
        </w:tc>
        <w:tc>
          <w:tcPr>
            <w:tcW w:w="6662" w:type="dxa"/>
            <w:vAlign w:val="center"/>
          </w:tcPr>
          <w:p>
            <w:pPr>
              <w:spacing w:line="360" w:lineRule="exact"/>
              <w:rPr>
                <w:rFonts w:ascii="宋体" w:hAnsi="宋体" w:cs="宋体"/>
                <w:color w:val="000000"/>
                <w:szCs w:val="21"/>
              </w:rPr>
            </w:pPr>
            <w:r>
              <w:rPr>
                <w:rFonts w:hint="eastAsia"/>
                <w:szCs w:val="21"/>
              </w:rPr>
              <w:t>本项目完成并经验收合格后，对于满足合同约定支付条件的，采购人应当自收到发票后15日内将资金支付到合同约定的中标供应商账户。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vAlign w:val="center"/>
          </w:tcPr>
          <w:p>
            <w:pPr>
              <w:spacing w:line="360" w:lineRule="exact"/>
              <w:jc w:val="center"/>
              <w:rPr>
                <w:rFonts w:ascii="宋体" w:hAnsi="宋体"/>
                <w:b/>
                <w:szCs w:val="21"/>
              </w:rPr>
            </w:pPr>
            <w:r>
              <w:rPr>
                <w:rFonts w:ascii="宋体" w:hAnsi="宋体"/>
                <w:b/>
                <w:szCs w:val="21"/>
              </w:rPr>
              <w:t>6</w:t>
            </w:r>
          </w:p>
        </w:tc>
        <w:tc>
          <w:tcPr>
            <w:tcW w:w="1843" w:type="dxa"/>
            <w:vAlign w:val="center"/>
          </w:tcPr>
          <w:p>
            <w:pPr>
              <w:spacing w:line="360" w:lineRule="exact"/>
              <w:jc w:val="center"/>
              <w:rPr>
                <w:rStyle w:val="21"/>
                <w:rFonts w:ascii="宋体" w:hAnsi="宋体" w:cs="宋体"/>
                <w:bCs w:val="0"/>
                <w:color w:val="000000"/>
                <w:szCs w:val="21"/>
              </w:rPr>
            </w:pPr>
            <w:r>
              <w:rPr>
                <w:rFonts w:hint="eastAsia" w:ascii="宋体" w:hAnsi="宋体" w:cs="宋体"/>
                <w:b/>
                <w:color w:val="000000"/>
                <w:szCs w:val="21"/>
              </w:rPr>
              <w:t>验收条件</w:t>
            </w:r>
          </w:p>
        </w:tc>
        <w:tc>
          <w:tcPr>
            <w:tcW w:w="6662" w:type="dxa"/>
            <w:vAlign w:val="center"/>
          </w:tcPr>
          <w:p>
            <w:pPr>
              <w:spacing w:line="360" w:lineRule="exact"/>
              <w:rPr>
                <w:rFonts w:ascii="宋体" w:hAnsi="宋体" w:cs="宋体"/>
                <w:color w:val="000000"/>
                <w:szCs w:val="21"/>
              </w:rPr>
            </w:pPr>
            <w:r>
              <w:rPr>
                <w:rFonts w:hint="eastAsia" w:ascii="宋体" w:hAnsi="宋体" w:cs="宋体"/>
                <w:color w:val="000000"/>
                <w:szCs w:val="21"/>
              </w:rPr>
              <w:t>投标供应商应在到货（安装、调试完成）后3日内向甲方发出验收申请。甲方应当在收到申请3日内组织验收，验收合格的，由甲方向投标供应商签署货物验收单。甲方逾期未组织验收，也未提出异议的，视为验收合格。需要安装调试的，安装调试完毕验收合格后才视为最终验收合格和满足付款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vAlign w:val="center"/>
          </w:tcPr>
          <w:p>
            <w:pPr>
              <w:spacing w:line="360" w:lineRule="exact"/>
              <w:jc w:val="center"/>
              <w:rPr>
                <w:rFonts w:ascii="宋体" w:hAnsi="宋体"/>
                <w:b/>
                <w:szCs w:val="21"/>
              </w:rPr>
            </w:pPr>
            <w:r>
              <w:rPr>
                <w:rFonts w:ascii="宋体" w:hAnsi="宋体"/>
                <w:b/>
                <w:szCs w:val="21"/>
              </w:rPr>
              <w:t>7</w:t>
            </w:r>
          </w:p>
        </w:tc>
        <w:tc>
          <w:tcPr>
            <w:tcW w:w="1843" w:type="dxa"/>
            <w:vAlign w:val="center"/>
          </w:tcPr>
          <w:p>
            <w:pPr>
              <w:spacing w:line="360" w:lineRule="exact"/>
              <w:jc w:val="center"/>
              <w:rPr>
                <w:rStyle w:val="21"/>
                <w:rFonts w:ascii="宋体" w:hAnsi="宋体" w:cs="宋体"/>
                <w:bCs w:val="0"/>
                <w:color w:val="000000"/>
                <w:szCs w:val="21"/>
              </w:rPr>
            </w:pPr>
            <w:r>
              <w:rPr>
                <w:rFonts w:hint="eastAsia" w:ascii="宋体" w:hAnsi="宋体" w:cs="宋体"/>
                <w:b/>
                <w:color w:val="000000"/>
                <w:szCs w:val="21"/>
              </w:rPr>
              <w:t>争议解决方法</w:t>
            </w:r>
          </w:p>
        </w:tc>
        <w:tc>
          <w:tcPr>
            <w:tcW w:w="6662" w:type="dxa"/>
            <w:vAlign w:val="center"/>
          </w:tcPr>
          <w:p>
            <w:pPr>
              <w:spacing w:line="360" w:lineRule="exact"/>
              <w:rPr>
                <w:rFonts w:ascii="宋体" w:hAnsi="宋体" w:cs="宋体"/>
                <w:color w:val="000000"/>
                <w:szCs w:val="21"/>
              </w:rPr>
            </w:pPr>
            <w:r>
              <w:rPr>
                <w:rFonts w:hint="eastAsia" w:ascii="宋体" w:hAnsi="宋体" w:cs="宋体"/>
                <w:color w:val="000000"/>
                <w:szCs w:val="21"/>
              </w:rPr>
              <w:t>因货物的质量问题发生争议的，应当邀请国家认可的质量检测机构对货物质量进行鉴定。货物符合标准的，鉴定费由甲方承担；货物不符合质量标准的，鉴定费由乙方承担。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vAlign w:val="center"/>
          </w:tcPr>
          <w:p>
            <w:pPr>
              <w:spacing w:line="360" w:lineRule="exact"/>
              <w:jc w:val="center"/>
              <w:rPr>
                <w:rFonts w:ascii="宋体" w:hAnsi="宋体"/>
                <w:b/>
                <w:szCs w:val="21"/>
              </w:rPr>
            </w:pPr>
            <w:r>
              <w:rPr>
                <w:rFonts w:ascii="宋体" w:hAnsi="宋体"/>
                <w:b/>
                <w:szCs w:val="21"/>
              </w:rPr>
              <w:t>8</w:t>
            </w:r>
          </w:p>
        </w:tc>
        <w:tc>
          <w:tcPr>
            <w:tcW w:w="1843" w:type="dxa"/>
            <w:vAlign w:val="center"/>
          </w:tcPr>
          <w:p>
            <w:pPr>
              <w:spacing w:line="360" w:lineRule="exact"/>
              <w:jc w:val="center"/>
              <w:rPr>
                <w:rFonts w:ascii="宋体" w:hAnsi="宋体"/>
                <w:color w:val="000000"/>
                <w:szCs w:val="21"/>
              </w:rPr>
            </w:pPr>
            <w:r>
              <w:rPr>
                <w:rStyle w:val="21"/>
                <w:rFonts w:hint="eastAsia" w:ascii="宋体" w:hAnsi="宋体" w:cs="宋体"/>
                <w:color w:val="000000"/>
                <w:szCs w:val="21"/>
              </w:rPr>
              <w:t>运输、安装条件</w:t>
            </w:r>
          </w:p>
        </w:tc>
        <w:tc>
          <w:tcPr>
            <w:tcW w:w="6662" w:type="dxa"/>
            <w:vAlign w:val="center"/>
          </w:tcPr>
          <w:p>
            <w:pPr>
              <w:spacing w:line="360" w:lineRule="exact"/>
              <w:rPr>
                <w:rFonts w:ascii="宋体" w:hAnsi="宋体"/>
                <w:bCs/>
                <w:color w:val="000000"/>
                <w:szCs w:val="21"/>
              </w:rPr>
            </w:pPr>
            <w:r>
              <w:rPr>
                <w:rFonts w:hint="eastAsia" w:ascii="宋体" w:hAnsi="宋体" w:cs="宋体"/>
                <w:color w:val="000000"/>
                <w:szCs w:val="21"/>
              </w:rPr>
              <w:t>本次采购的设备和材料必须是全新的，包装方式按照原厂出厂原标准，中标人应确保运抵采购人处货物的完好性，包装费用由中标人承担。中标人承担由于其包装或其防护措施不妥而引起货物锈蚀、损坏和丢失等任何损失，并承担因此而发生的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vMerge w:val="restart"/>
            <w:vAlign w:val="center"/>
          </w:tcPr>
          <w:p>
            <w:pPr>
              <w:spacing w:line="360" w:lineRule="exact"/>
              <w:jc w:val="center"/>
              <w:rPr>
                <w:rFonts w:ascii="宋体" w:hAnsi="宋体"/>
                <w:b/>
                <w:szCs w:val="21"/>
              </w:rPr>
            </w:pPr>
            <w:r>
              <w:rPr>
                <w:rFonts w:ascii="宋体" w:hAnsi="宋体"/>
                <w:b/>
                <w:szCs w:val="21"/>
              </w:rPr>
              <w:t>9</w:t>
            </w:r>
          </w:p>
        </w:tc>
        <w:tc>
          <w:tcPr>
            <w:tcW w:w="1843" w:type="dxa"/>
            <w:vMerge w:val="restart"/>
            <w:vAlign w:val="center"/>
          </w:tcPr>
          <w:p>
            <w:pPr>
              <w:spacing w:line="360" w:lineRule="exact"/>
              <w:jc w:val="center"/>
              <w:rPr>
                <w:rFonts w:ascii="宋体" w:hAnsi="宋体"/>
                <w:b/>
                <w:szCs w:val="21"/>
              </w:rPr>
            </w:pPr>
            <w:r>
              <w:rPr>
                <w:rFonts w:ascii="宋体" w:hAnsi="宋体"/>
                <w:b/>
                <w:szCs w:val="21"/>
              </w:rPr>
              <w:t>培训</w:t>
            </w:r>
          </w:p>
        </w:tc>
        <w:tc>
          <w:tcPr>
            <w:tcW w:w="6662" w:type="dxa"/>
          </w:tcPr>
          <w:p>
            <w:pPr>
              <w:widowControl/>
              <w:jc w:val="left"/>
              <w:rPr>
                <w:rFonts w:ascii="宋体" w:hAnsi="宋体" w:cs="宋体"/>
                <w:color w:val="000000"/>
                <w:szCs w:val="21"/>
              </w:rPr>
            </w:pPr>
            <w:r>
              <w:rPr>
                <w:rFonts w:hint="eastAsia" w:ascii="宋体" w:hAnsi="宋体" w:cs="宋体"/>
                <w:color w:val="000000"/>
                <w:szCs w:val="21"/>
              </w:rPr>
              <w:t>6.1投标供应商应派专业技术人员免费对采购单位指定人员进行定期培训及指导，直至其完全掌握设备的基本故障处理技术。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vMerge w:val="continue"/>
            <w:vAlign w:val="center"/>
          </w:tcPr>
          <w:p>
            <w:pPr>
              <w:spacing w:line="360" w:lineRule="exact"/>
              <w:jc w:val="center"/>
              <w:rPr>
                <w:rFonts w:ascii="宋体" w:hAnsi="宋体"/>
                <w:b/>
                <w:szCs w:val="21"/>
              </w:rPr>
            </w:pPr>
          </w:p>
        </w:tc>
        <w:tc>
          <w:tcPr>
            <w:tcW w:w="1843" w:type="dxa"/>
            <w:vMerge w:val="continue"/>
            <w:vAlign w:val="center"/>
          </w:tcPr>
          <w:p>
            <w:pPr>
              <w:spacing w:line="360" w:lineRule="exact"/>
              <w:rPr>
                <w:rFonts w:ascii="宋体" w:hAnsi="宋体"/>
                <w:b/>
                <w:szCs w:val="21"/>
              </w:rPr>
            </w:pPr>
          </w:p>
        </w:tc>
        <w:tc>
          <w:tcPr>
            <w:tcW w:w="6662" w:type="dxa"/>
          </w:tcPr>
          <w:p>
            <w:pPr>
              <w:widowControl/>
              <w:jc w:val="left"/>
              <w:rPr>
                <w:rFonts w:ascii="宋体" w:hAnsi="宋体" w:cs="宋体"/>
                <w:color w:val="000000"/>
                <w:szCs w:val="21"/>
              </w:rPr>
            </w:pPr>
            <w:r>
              <w:rPr>
                <w:rFonts w:hint="eastAsia" w:ascii="宋体" w:hAnsi="宋体" w:cs="宋体"/>
                <w:color w:val="000000"/>
                <w:szCs w:val="21"/>
              </w:rPr>
              <w:t>6.2 现场培训：投标供应商应提供现场技术培训，保证使用人员正常操作设备的各种功能。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vMerge w:val="restart"/>
            <w:vAlign w:val="center"/>
          </w:tcPr>
          <w:p>
            <w:pPr>
              <w:spacing w:line="360" w:lineRule="exact"/>
              <w:jc w:val="center"/>
              <w:rPr>
                <w:rFonts w:ascii="宋体" w:hAnsi="宋体"/>
                <w:b/>
                <w:szCs w:val="21"/>
              </w:rPr>
            </w:pPr>
            <w:r>
              <w:rPr>
                <w:rFonts w:ascii="宋体" w:hAnsi="宋体"/>
                <w:b/>
                <w:szCs w:val="21"/>
              </w:rPr>
              <w:t>10</w:t>
            </w:r>
          </w:p>
        </w:tc>
        <w:tc>
          <w:tcPr>
            <w:tcW w:w="1843" w:type="dxa"/>
            <w:vMerge w:val="restart"/>
            <w:vAlign w:val="center"/>
          </w:tcPr>
          <w:p>
            <w:pPr>
              <w:spacing w:line="360" w:lineRule="exact"/>
              <w:jc w:val="center"/>
              <w:rPr>
                <w:rFonts w:ascii="宋体" w:hAnsi="宋体"/>
                <w:b/>
                <w:szCs w:val="21"/>
              </w:rPr>
            </w:pPr>
            <w:r>
              <w:rPr>
                <w:rFonts w:ascii="宋体" w:hAnsi="宋体"/>
                <w:b/>
                <w:szCs w:val="21"/>
              </w:rPr>
              <w:t>知识产权</w:t>
            </w:r>
          </w:p>
        </w:tc>
        <w:tc>
          <w:tcPr>
            <w:tcW w:w="6662" w:type="dxa"/>
          </w:tcPr>
          <w:p>
            <w:pPr>
              <w:rPr>
                <w:szCs w:val="21"/>
              </w:rPr>
            </w:pPr>
            <w:r>
              <w:rPr>
                <w:rFonts w:hint="eastAsia" w:ascii="宋体" w:hAnsi="宋体" w:cs="宋体"/>
                <w:color w:val="000000"/>
                <w:szCs w:val="21"/>
              </w:rPr>
              <w:t>7.1涉及采购标的的知识产权归属、处理的，应约定知识产权的归属和处理方式。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vMerge w:val="continue"/>
            <w:vAlign w:val="center"/>
          </w:tcPr>
          <w:p>
            <w:pPr>
              <w:spacing w:line="360" w:lineRule="exact"/>
              <w:jc w:val="center"/>
              <w:rPr>
                <w:rFonts w:ascii="宋体" w:hAnsi="宋体"/>
                <w:b/>
                <w:szCs w:val="21"/>
              </w:rPr>
            </w:pPr>
          </w:p>
        </w:tc>
        <w:tc>
          <w:tcPr>
            <w:tcW w:w="1843" w:type="dxa"/>
            <w:vMerge w:val="continue"/>
            <w:vAlign w:val="center"/>
          </w:tcPr>
          <w:p>
            <w:pPr>
              <w:spacing w:line="360" w:lineRule="exact"/>
              <w:rPr>
                <w:rFonts w:ascii="宋体" w:hAnsi="宋体"/>
                <w:b/>
                <w:szCs w:val="21"/>
              </w:rPr>
            </w:pPr>
          </w:p>
        </w:tc>
        <w:tc>
          <w:tcPr>
            <w:tcW w:w="6662" w:type="dxa"/>
          </w:tcPr>
          <w:p>
            <w:pPr>
              <w:widowControl/>
              <w:jc w:val="left"/>
              <w:rPr>
                <w:rFonts w:ascii="宋体" w:hAnsi="宋体" w:cs="宋体"/>
                <w:color w:val="000000"/>
                <w:szCs w:val="21"/>
              </w:rPr>
            </w:pPr>
            <w:r>
              <w:rPr>
                <w:rFonts w:hint="eastAsia" w:ascii="宋体" w:hAnsi="宋体" w:cs="宋体"/>
                <w:color w:val="000000"/>
                <w:szCs w:val="21"/>
              </w:rPr>
              <w:t>7.2采购人购买产品后，有权对该产品与其他设备进行配套、整合或适当改进，而免受侵犯专利权的起诉。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1" w:type="dxa"/>
            <w:vAlign w:val="center"/>
          </w:tcPr>
          <w:p>
            <w:pPr>
              <w:spacing w:line="360" w:lineRule="exact"/>
              <w:jc w:val="center"/>
              <w:rPr>
                <w:rFonts w:ascii="宋体" w:hAnsi="宋体"/>
                <w:b/>
                <w:szCs w:val="21"/>
              </w:rPr>
            </w:pPr>
            <w:r>
              <w:rPr>
                <w:b/>
                <w:szCs w:val="21"/>
              </w:rPr>
              <w:t>11</w:t>
            </w:r>
          </w:p>
        </w:tc>
        <w:tc>
          <w:tcPr>
            <w:tcW w:w="1843" w:type="dxa"/>
            <w:vAlign w:val="center"/>
          </w:tcPr>
          <w:p>
            <w:pPr>
              <w:spacing w:line="360" w:lineRule="exact"/>
              <w:jc w:val="center"/>
              <w:rPr>
                <w:rFonts w:ascii="宋体" w:hAnsi="宋体"/>
                <w:b/>
                <w:szCs w:val="21"/>
              </w:rPr>
            </w:pPr>
            <w:r>
              <w:rPr>
                <w:rFonts w:ascii="宋体" w:hAnsi="宋体"/>
                <w:b/>
                <w:szCs w:val="21"/>
              </w:rPr>
              <w:t>其他</w:t>
            </w:r>
          </w:p>
        </w:tc>
        <w:tc>
          <w:tcPr>
            <w:tcW w:w="6662" w:type="dxa"/>
          </w:tcPr>
          <w:p>
            <w:pPr>
              <w:spacing w:after="78" w:afterLines="25" w:line="300" w:lineRule="exact"/>
              <w:rPr>
                <w:rFonts w:ascii="宋体" w:hAnsi="宋体" w:cs="宋体"/>
                <w:szCs w:val="21"/>
              </w:rPr>
            </w:pPr>
            <w:r>
              <w:rPr>
                <w:rFonts w:hint="eastAsia" w:ascii="宋体" w:hAnsi="宋体" w:cs="宋体"/>
                <w:szCs w:val="21"/>
              </w:rPr>
              <w:t>（1）中标供应商在签订合同时应提供投标文件打印稿贰份，并加盖公章（一份交给监理公司，一份交给学校），同时提供投标文件的OFFICE文档。</w:t>
            </w:r>
          </w:p>
          <w:p>
            <w:pPr>
              <w:spacing w:after="78" w:afterLines="25" w:line="300" w:lineRule="exact"/>
              <w:rPr>
                <w:rFonts w:ascii="宋体" w:hAnsi="宋体" w:cs="宋体"/>
                <w:szCs w:val="21"/>
              </w:rPr>
            </w:pPr>
            <w:r>
              <w:rPr>
                <w:rFonts w:hint="eastAsia" w:ascii="宋体" w:hAnsi="宋体" w:cs="宋体"/>
                <w:szCs w:val="21"/>
              </w:rPr>
              <w:t>（2）根据政府采购相关规定，本项目不涉及政府集中采购目录中的任何货物。供应商以任何形式的政府集中采购目录中的货物投标，一经核实，将导致投标无效；若在验收阶段发现的，将导致项目不能通过验收，相关后果由中标公司承担。</w:t>
            </w:r>
          </w:p>
          <w:p>
            <w:pPr>
              <w:spacing w:after="78" w:afterLines="25" w:line="300" w:lineRule="exact"/>
              <w:rPr>
                <w:rFonts w:ascii="宋体" w:hAnsi="宋体" w:cs="宋体"/>
                <w:szCs w:val="21"/>
              </w:rPr>
            </w:pPr>
            <w:r>
              <w:rPr>
                <w:rFonts w:hint="eastAsia" w:ascii="宋体" w:hAnsi="宋体" w:cs="宋体"/>
                <w:szCs w:val="21"/>
              </w:rPr>
              <w:t>（3）上报验收报告时，除了表格中写明的材料外，还需要提交验收记录表、产品三证（产品合格证、供货凭证（含生产厂家或代理商证明）、产品检测证明（含第三方有资质检测机构出具的有效检测报告）、合同及附件；有害物质限量检测报告（现场抽样）。</w:t>
            </w:r>
          </w:p>
          <w:p>
            <w:pPr>
              <w:spacing w:after="78" w:afterLines="25" w:line="300" w:lineRule="exact"/>
              <w:rPr>
                <w:rFonts w:ascii="宋体" w:hAnsi="宋体" w:cs="宋体"/>
                <w:szCs w:val="21"/>
              </w:rPr>
            </w:pPr>
            <w:r>
              <w:rPr>
                <w:rFonts w:hint="eastAsia" w:ascii="宋体" w:hAnsi="宋体" w:cs="宋体"/>
                <w:szCs w:val="21"/>
              </w:rPr>
              <w:t>（4）投标商必须确保中标后提供的货物为正规渠道供货，不存在违反国家法律、法规的情况。</w:t>
            </w:r>
          </w:p>
          <w:p>
            <w:pPr>
              <w:spacing w:after="78" w:afterLines="25" w:line="300" w:lineRule="exact"/>
              <w:rPr>
                <w:rFonts w:ascii="宋体" w:hAnsi="宋体" w:cs="宋体"/>
                <w:szCs w:val="21"/>
              </w:rPr>
            </w:pPr>
            <w:r>
              <w:rPr>
                <w:rFonts w:hint="eastAsia" w:ascii="宋体" w:hAnsi="宋体" w:cs="宋体"/>
                <w:szCs w:val="21"/>
              </w:rPr>
              <w:t>（5）特别条款：对于单纯家具（含课桌椅）项目、含家具或装修的功能室项目及教室照明设备在验收时还需提供以下材料：</w:t>
            </w:r>
          </w:p>
          <w:p>
            <w:pPr>
              <w:spacing w:after="78" w:afterLines="25" w:line="300" w:lineRule="exact"/>
              <w:rPr>
                <w:rFonts w:ascii="宋体" w:hAnsi="宋体" w:cs="宋体"/>
                <w:szCs w:val="21"/>
              </w:rPr>
            </w:pPr>
            <w:r>
              <w:rPr>
                <w:rFonts w:hint="eastAsia" w:ascii="宋体" w:hAnsi="宋体" w:cs="宋体"/>
                <w:szCs w:val="21"/>
              </w:rPr>
              <w:t>①家具（含课桌椅）类货物应提供有害物质检测报告。根据深圳经济特区技术规范《家具成品及原辅材料中有害物质限量》（SZJG52-2016）的规定，需根据现场抽样并对以下项目进行检验且合格：</w:t>
            </w:r>
          </w:p>
          <w:tbl>
            <w:tblPr>
              <w:tblStyle w:val="18"/>
              <w:tblpPr w:leftFromText="180" w:rightFromText="180" w:vertAnchor="text" w:horzAnchor="page" w:tblpX="60" w:tblpY="217"/>
              <w:tblOverlap w:val="never"/>
              <w:tblW w:w="62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1280"/>
              <w:gridCol w:w="1568"/>
              <w:gridCol w:w="1120"/>
              <w:gridCol w:w="1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0" w:hRule="atLeast"/>
                <w:tblHeader/>
              </w:trPr>
              <w:tc>
                <w:tcPr>
                  <w:tcW w:w="437" w:type="dxa"/>
                  <w:vAlign w:val="center"/>
                </w:tcPr>
                <w:p>
                  <w:pPr>
                    <w:spacing w:after="78" w:afterLines="25"/>
                    <w:rPr>
                      <w:rFonts w:ascii="宋体" w:hAnsi="宋体" w:cs="宋体"/>
                      <w:szCs w:val="21"/>
                    </w:rPr>
                  </w:pPr>
                  <w:r>
                    <w:rPr>
                      <w:rFonts w:hint="eastAsia" w:ascii="宋体" w:hAnsi="宋体" w:cs="宋体"/>
                      <w:szCs w:val="21"/>
                    </w:rPr>
                    <w:t>序号</w:t>
                  </w:r>
                </w:p>
              </w:tc>
              <w:tc>
                <w:tcPr>
                  <w:tcW w:w="1280" w:type="dxa"/>
                  <w:vAlign w:val="center"/>
                </w:tcPr>
                <w:p>
                  <w:pPr>
                    <w:spacing w:after="78" w:afterLines="25"/>
                    <w:rPr>
                      <w:rFonts w:ascii="宋体" w:hAnsi="宋体" w:cs="宋体"/>
                      <w:szCs w:val="21"/>
                    </w:rPr>
                  </w:pPr>
                  <w:r>
                    <w:rPr>
                      <w:rFonts w:hint="eastAsia" w:ascii="宋体" w:hAnsi="宋体" w:cs="宋体"/>
                      <w:szCs w:val="21"/>
                    </w:rPr>
                    <w:t>检验项目</w:t>
                  </w:r>
                </w:p>
              </w:tc>
              <w:tc>
                <w:tcPr>
                  <w:tcW w:w="1568" w:type="dxa"/>
                  <w:vAlign w:val="center"/>
                </w:tcPr>
                <w:p>
                  <w:pPr>
                    <w:spacing w:after="78" w:afterLines="25"/>
                    <w:rPr>
                      <w:rFonts w:ascii="宋体" w:hAnsi="宋体" w:cs="宋体"/>
                      <w:szCs w:val="21"/>
                    </w:rPr>
                  </w:pPr>
                  <w:r>
                    <w:rPr>
                      <w:rFonts w:hint="eastAsia" w:ascii="宋体" w:hAnsi="宋体" w:cs="宋体"/>
                      <w:szCs w:val="21"/>
                    </w:rPr>
                    <w:t>依据法律法规或标准条款</w:t>
                  </w:r>
                </w:p>
              </w:tc>
              <w:tc>
                <w:tcPr>
                  <w:tcW w:w="1120" w:type="dxa"/>
                  <w:vAlign w:val="center"/>
                </w:tcPr>
                <w:p>
                  <w:pPr>
                    <w:spacing w:after="78" w:afterLines="25"/>
                    <w:rPr>
                      <w:rFonts w:ascii="宋体" w:hAnsi="宋体" w:cs="宋体"/>
                      <w:szCs w:val="21"/>
                    </w:rPr>
                  </w:pPr>
                  <w:r>
                    <w:rPr>
                      <w:rFonts w:hint="eastAsia" w:ascii="宋体" w:hAnsi="宋体" w:cs="宋体"/>
                      <w:szCs w:val="21"/>
                    </w:rPr>
                    <w:t>强制性/推荐性</w:t>
                  </w:r>
                </w:p>
              </w:tc>
              <w:tc>
                <w:tcPr>
                  <w:tcW w:w="1832" w:type="dxa"/>
                  <w:vAlign w:val="center"/>
                </w:tcPr>
                <w:p>
                  <w:pPr>
                    <w:spacing w:after="78" w:afterLines="25"/>
                    <w:rPr>
                      <w:rFonts w:ascii="宋体" w:hAnsi="宋体" w:cs="宋体"/>
                      <w:szCs w:val="21"/>
                    </w:rPr>
                  </w:pPr>
                  <w:r>
                    <w:rPr>
                      <w:rFonts w:hint="eastAsia" w:ascii="宋体" w:hAnsi="宋体" w:cs="宋体"/>
                      <w:szCs w:val="21"/>
                    </w:rPr>
                    <w:t>检测方法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437" w:type="dxa"/>
                </w:tcPr>
                <w:p>
                  <w:pPr>
                    <w:spacing w:after="78" w:afterLines="25"/>
                    <w:rPr>
                      <w:rFonts w:ascii="宋体" w:hAnsi="宋体" w:cs="宋体"/>
                      <w:szCs w:val="21"/>
                    </w:rPr>
                  </w:pPr>
                  <w:r>
                    <w:rPr>
                      <w:rFonts w:hint="eastAsia" w:ascii="宋体" w:hAnsi="宋体" w:cs="宋体"/>
                      <w:szCs w:val="21"/>
                    </w:rPr>
                    <w:t>1</w:t>
                  </w:r>
                </w:p>
              </w:tc>
              <w:tc>
                <w:tcPr>
                  <w:tcW w:w="1280" w:type="dxa"/>
                  <w:vAlign w:val="center"/>
                </w:tcPr>
                <w:p>
                  <w:pPr>
                    <w:spacing w:after="78" w:afterLines="25"/>
                    <w:rPr>
                      <w:rFonts w:ascii="宋体" w:hAnsi="宋体" w:cs="宋体"/>
                      <w:szCs w:val="21"/>
                    </w:rPr>
                  </w:pPr>
                  <w:r>
                    <w:rPr>
                      <w:rFonts w:hint="eastAsia" w:ascii="宋体" w:hAnsi="宋体" w:cs="宋体"/>
                      <w:szCs w:val="21"/>
                    </w:rPr>
                    <w:t>甲醛释放量</w:t>
                  </w:r>
                </w:p>
              </w:tc>
              <w:tc>
                <w:tcPr>
                  <w:tcW w:w="1568" w:type="dxa"/>
                  <w:vAlign w:val="center"/>
                </w:tcPr>
                <w:p>
                  <w:pPr>
                    <w:spacing w:after="78" w:afterLines="25"/>
                    <w:rPr>
                      <w:rFonts w:ascii="宋体" w:hAnsi="宋体" w:cs="宋体"/>
                      <w:szCs w:val="21"/>
                    </w:rPr>
                  </w:pPr>
                  <w:r>
                    <w:rPr>
                      <w:rFonts w:hint="eastAsia" w:ascii="宋体" w:hAnsi="宋体" w:cs="宋体"/>
                      <w:szCs w:val="21"/>
                    </w:rPr>
                    <w:t>SZJG52-2016</w:t>
                  </w:r>
                </w:p>
              </w:tc>
              <w:tc>
                <w:tcPr>
                  <w:tcW w:w="1120" w:type="dxa"/>
                  <w:vAlign w:val="center"/>
                </w:tcPr>
                <w:p>
                  <w:pPr>
                    <w:spacing w:after="78" w:afterLines="25"/>
                    <w:rPr>
                      <w:rFonts w:ascii="宋体" w:hAnsi="宋体" w:cs="宋体"/>
                      <w:szCs w:val="21"/>
                    </w:rPr>
                  </w:pPr>
                  <w:r>
                    <w:rPr>
                      <w:rFonts w:hint="eastAsia" w:ascii="宋体" w:hAnsi="宋体" w:cs="宋体"/>
                      <w:szCs w:val="21"/>
                    </w:rPr>
                    <w:t>强制性</w:t>
                  </w:r>
                </w:p>
              </w:tc>
              <w:tc>
                <w:tcPr>
                  <w:tcW w:w="1832" w:type="dxa"/>
                  <w:vAlign w:val="center"/>
                </w:tcPr>
                <w:p>
                  <w:pPr>
                    <w:spacing w:after="78" w:afterLines="25"/>
                    <w:rPr>
                      <w:rFonts w:ascii="宋体" w:hAnsi="宋体" w:cs="宋体"/>
                      <w:szCs w:val="21"/>
                    </w:rPr>
                  </w:pPr>
                  <w:r>
                    <w:rPr>
                      <w:rFonts w:hint="eastAsia" w:ascii="宋体" w:hAnsi="宋体" w:cs="宋体"/>
                      <w:szCs w:val="21"/>
                    </w:rPr>
                    <w:t>SZJG52-2016 GB/T31106-2014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437" w:type="dxa"/>
                </w:tcPr>
                <w:p>
                  <w:pPr>
                    <w:spacing w:after="78" w:afterLines="25"/>
                    <w:rPr>
                      <w:rFonts w:ascii="宋体" w:hAnsi="宋体" w:cs="宋体"/>
                      <w:szCs w:val="21"/>
                    </w:rPr>
                  </w:pPr>
                  <w:r>
                    <w:rPr>
                      <w:rFonts w:hint="eastAsia" w:ascii="宋体" w:hAnsi="宋体" w:cs="宋体"/>
                      <w:szCs w:val="21"/>
                    </w:rPr>
                    <w:t>2</w:t>
                  </w:r>
                </w:p>
              </w:tc>
              <w:tc>
                <w:tcPr>
                  <w:tcW w:w="1280" w:type="dxa"/>
                  <w:vAlign w:val="center"/>
                </w:tcPr>
                <w:p>
                  <w:pPr>
                    <w:spacing w:after="78" w:afterLines="25"/>
                    <w:rPr>
                      <w:rFonts w:ascii="宋体" w:hAnsi="宋体" w:cs="宋体"/>
                      <w:szCs w:val="21"/>
                    </w:rPr>
                  </w:pPr>
                  <w:r>
                    <w:rPr>
                      <w:rFonts w:hint="eastAsia" w:ascii="宋体" w:hAnsi="宋体" w:cs="宋体"/>
                      <w:szCs w:val="21"/>
                    </w:rPr>
                    <w:t>苯释放量</w:t>
                  </w:r>
                </w:p>
              </w:tc>
              <w:tc>
                <w:tcPr>
                  <w:tcW w:w="1568" w:type="dxa"/>
                  <w:vAlign w:val="center"/>
                </w:tcPr>
                <w:p>
                  <w:pPr>
                    <w:spacing w:after="78" w:afterLines="25"/>
                    <w:rPr>
                      <w:rFonts w:ascii="宋体" w:hAnsi="宋体" w:cs="宋体"/>
                      <w:szCs w:val="21"/>
                    </w:rPr>
                  </w:pPr>
                  <w:r>
                    <w:rPr>
                      <w:rFonts w:hint="eastAsia" w:ascii="宋体" w:hAnsi="宋体" w:cs="宋体"/>
                      <w:szCs w:val="21"/>
                    </w:rPr>
                    <w:t>SZJG52-2016</w:t>
                  </w:r>
                </w:p>
              </w:tc>
              <w:tc>
                <w:tcPr>
                  <w:tcW w:w="1120" w:type="dxa"/>
                  <w:vAlign w:val="center"/>
                </w:tcPr>
                <w:p>
                  <w:pPr>
                    <w:spacing w:after="78" w:afterLines="25"/>
                    <w:rPr>
                      <w:rFonts w:ascii="宋体" w:hAnsi="宋体" w:cs="宋体"/>
                      <w:szCs w:val="21"/>
                    </w:rPr>
                  </w:pPr>
                  <w:r>
                    <w:rPr>
                      <w:rFonts w:hint="eastAsia" w:ascii="宋体" w:hAnsi="宋体" w:cs="宋体"/>
                      <w:szCs w:val="21"/>
                    </w:rPr>
                    <w:t>强制性</w:t>
                  </w:r>
                </w:p>
              </w:tc>
              <w:tc>
                <w:tcPr>
                  <w:tcW w:w="1832" w:type="dxa"/>
                  <w:vAlign w:val="center"/>
                </w:tcPr>
                <w:p>
                  <w:pPr>
                    <w:spacing w:after="78" w:afterLines="25"/>
                    <w:rPr>
                      <w:rFonts w:ascii="宋体" w:hAnsi="宋体" w:cs="宋体"/>
                      <w:szCs w:val="21"/>
                    </w:rPr>
                  </w:pPr>
                  <w:r>
                    <w:rPr>
                      <w:rFonts w:hint="eastAsia" w:ascii="宋体" w:hAnsi="宋体" w:cs="宋体"/>
                      <w:szCs w:val="21"/>
                    </w:rPr>
                    <w:t>SZJG52-2016 GB/T31106-2014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437" w:type="dxa"/>
                </w:tcPr>
                <w:p>
                  <w:pPr>
                    <w:spacing w:after="78" w:afterLines="25"/>
                    <w:rPr>
                      <w:rFonts w:ascii="宋体" w:hAnsi="宋体" w:cs="宋体"/>
                      <w:szCs w:val="21"/>
                    </w:rPr>
                  </w:pPr>
                  <w:r>
                    <w:rPr>
                      <w:rFonts w:hint="eastAsia" w:ascii="宋体" w:hAnsi="宋体" w:cs="宋体"/>
                      <w:szCs w:val="21"/>
                    </w:rPr>
                    <w:t>3</w:t>
                  </w:r>
                </w:p>
              </w:tc>
              <w:tc>
                <w:tcPr>
                  <w:tcW w:w="1280" w:type="dxa"/>
                  <w:vAlign w:val="center"/>
                </w:tcPr>
                <w:p>
                  <w:pPr>
                    <w:spacing w:after="78" w:afterLines="25"/>
                    <w:rPr>
                      <w:rFonts w:ascii="宋体" w:hAnsi="宋体" w:cs="宋体"/>
                      <w:szCs w:val="21"/>
                    </w:rPr>
                  </w:pPr>
                  <w:r>
                    <w:rPr>
                      <w:rFonts w:hint="eastAsia" w:ascii="宋体" w:hAnsi="宋体" w:cs="宋体"/>
                      <w:szCs w:val="21"/>
                    </w:rPr>
                    <w:t>甲苯释放量</w:t>
                  </w:r>
                </w:p>
              </w:tc>
              <w:tc>
                <w:tcPr>
                  <w:tcW w:w="1568" w:type="dxa"/>
                  <w:vAlign w:val="center"/>
                </w:tcPr>
                <w:p>
                  <w:pPr>
                    <w:spacing w:after="78" w:afterLines="25"/>
                    <w:rPr>
                      <w:rFonts w:ascii="宋体" w:hAnsi="宋体" w:cs="宋体"/>
                      <w:szCs w:val="21"/>
                    </w:rPr>
                  </w:pPr>
                  <w:r>
                    <w:rPr>
                      <w:rFonts w:hint="eastAsia" w:ascii="宋体" w:hAnsi="宋体" w:cs="宋体"/>
                      <w:szCs w:val="21"/>
                    </w:rPr>
                    <w:t>SZJG52-2016</w:t>
                  </w:r>
                </w:p>
              </w:tc>
              <w:tc>
                <w:tcPr>
                  <w:tcW w:w="1120" w:type="dxa"/>
                  <w:vAlign w:val="center"/>
                </w:tcPr>
                <w:p>
                  <w:pPr>
                    <w:spacing w:after="78" w:afterLines="25"/>
                    <w:rPr>
                      <w:rFonts w:ascii="宋体" w:hAnsi="宋体" w:cs="宋体"/>
                      <w:szCs w:val="21"/>
                    </w:rPr>
                  </w:pPr>
                  <w:r>
                    <w:rPr>
                      <w:rFonts w:hint="eastAsia" w:ascii="宋体" w:hAnsi="宋体" w:cs="宋体"/>
                      <w:szCs w:val="21"/>
                    </w:rPr>
                    <w:t>强制性</w:t>
                  </w:r>
                </w:p>
              </w:tc>
              <w:tc>
                <w:tcPr>
                  <w:tcW w:w="1832" w:type="dxa"/>
                  <w:vAlign w:val="center"/>
                </w:tcPr>
                <w:p>
                  <w:pPr>
                    <w:spacing w:after="78" w:afterLines="25"/>
                    <w:rPr>
                      <w:rFonts w:ascii="宋体" w:hAnsi="宋体" w:cs="宋体"/>
                      <w:szCs w:val="21"/>
                    </w:rPr>
                  </w:pPr>
                  <w:r>
                    <w:rPr>
                      <w:rFonts w:hint="eastAsia" w:ascii="宋体" w:hAnsi="宋体" w:cs="宋体"/>
                      <w:szCs w:val="21"/>
                    </w:rPr>
                    <w:t>SZJG52-2016 GB/T31106-2014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437" w:type="dxa"/>
                </w:tcPr>
                <w:p>
                  <w:pPr>
                    <w:spacing w:after="78" w:afterLines="25"/>
                    <w:rPr>
                      <w:rFonts w:ascii="宋体" w:hAnsi="宋体" w:cs="宋体"/>
                      <w:szCs w:val="21"/>
                    </w:rPr>
                  </w:pPr>
                  <w:r>
                    <w:rPr>
                      <w:rFonts w:hint="eastAsia" w:ascii="宋体" w:hAnsi="宋体" w:cs="宋体"/>
                      <w:szCs w:val="21"/>
                    </w:rPr>
                    <w:t>4</w:t>
                  </w:r>
                </w:p>
              </w:tc>
              <w:tc>
                <w:tcPr>
                  <w:tcW w:w="1280" w:type="dxa"/>
                  <w:vAlign w:val="center"/>
                </w:tcPr>
                <w:p>
                  <w:pPr>
                    <w:spacing w:after="78" w:afterLines="25"/>
                    <w:rPr>
                      <w:rFonts w:ascii="宋体" w:hAnsi="宋体" w:cs="宋体"/>
                      <w:szCs w:val="21"/>
                    </w:rPr>
                  </w:pPr>
                  <w:r>
                    <w:rPr>
                      <w:rFonts w:hint="eastAsia" w:ascii="宋体" w:hAnsi="宋体" w:cs="宋体"/>
                      <w:szCs w:val="21"/>
                    </w:rPr>
                    <w:t>二甲苯释放量</w:t>
                  </w:r>
                </w:p>
              </w:tc>
              <w:tc>
                <w:tcPr>
                  <w:tcW w:w="1568" w:type="dxa"/>
                  <w:vAlign w:val="center"/>
                </w:tcPr>
                <w:p>
                  <w:pPr>
                    <w:spacing w:after="78" w:afterLines="25"/>
                    <w:rPr>
                      <w:rFonts w:ascii="宋体" w:hAnsi="宋体" w:cs="宋体"/>
                      <w:szCs w:val="21"/>
                    </w:rPr>
                  </w:pPr>
                  <w:r>
                    <w:rPr>
                      <w:rFonts w:hint="eastAsia" w:ascii="宋体" w:hAnsi="宋体" w:cs="宋体"/>
                      <w:szCs w:val="21"/>
                    </w:rPr>
                    <w:t>SZJG52-2016</w:t>
                  </w:r>
                </w:p>
              </w:tc>
              <w:tc>
                <w:tcPr>
                  <w:tcW w:w="1120" w:type="dxa"/>
                  <w:vAlign w:val="center"/>
                </w:tcPr>
                <w:p>
                  <w:pPr>
                    <w:spacing w:after="78" w:afterLines="25"/>
                    <w:rPr>
                      <w:rFonts w:ascii="宋体" w:hAnsi="宋体" w:cs="宋体"/>
                      <w:szCs w:val="21"/>
                    </w:rPr>
                  </w:pPr>
                  <w:r>
                    <w:rPr>
                      <w:rFonts w:hint="eastAsia" w:ascii="宋体" w:hAnsi="宋体" w:cs="宋体"/>
                      <w:szCs w:val="21"/>
                    </w:rPr>
                    <w:t>强制性</w:t>
                  </w:r>
                </w:p>
              </w:tc>
              <w:tc>
                <w:tcPr>
                  <w:tcW w:w="1832" w:type="dxa"/>
                  <w:vAlign w:val="center"/>
                </w:tcPr>
                <w:p>
                  <w:pPr>
                    <w:spacing w:after="78" w:afterLines="25"/>
                    <w:rPr>
                      <w:rFonts w:ascii="宋体" w:hAnsi="宋体" w:cs="宋体"/>
                      <w:szCs w:val="21"/>
                    </w:rPr>
                  </w:pPr>
                  <w:r>
                    <w:rPr>
                      <w:rFonts w:hint="eastAsia" w:ascii="宋体" w:hAnsi="宋体" w:cs="宋体"/>
                      <w:szCs w:val="21"/>
                    </w:rPr>
                    <w:t>SZJG52-2016 GB/T31106-2014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5" w:hRule="atLeast"/>
              </w:trPr>
              <w:tc>
                <w:tcPr>
                  <w:tcW w:w="437" w:type="dxa"/>
                </w:tcPr>
                <w:p>
                  <w:pPr>
                    <w:spacing w:after="78" w:afterLines="25"/>
                    <w:rPr>
                      <w:rFonts w:ascii="宋体" w:hAnsi="宋体" w:cs="宋体"/>
                      <w:szCs w:val="21"/>
                    </w:rPr>
                  </w:pPr>
                  <w:r>
                    <w:rPr>
                      <w:rFonts w:hint="eastAsia" w:ascii="宋体" w:hAnsi="宋体" w:cs="宋体"/>
                      <w:szCs w:val="21"/>
                    </w:rPr>
                    <w:t>5</w:t>
                  </w:r>
                </w:p>
              </w:tc>
              <w:tc>
                <w:tcPr>
                  <w:tcW w:w="1280" w:type="dxa"/>
                  <w:vAlign w:val="center"/>
                </w:tcPr>
                <w:p>
                  <w:pPr>
                    <w:spacing w:after="78" w:afterLines="25"/>
                    <w:rPr>
                      <w:rFonts w:ascii="宋体" w:hAnsi="宋体" w:cs="宋体"/>
                      <w:szCs w:val="21"/>
                    </w:rPr>
                  </w:pPr>
                  <w:r>
                    <w:rPr>
                      <w:rFonts w:hint="eastAsia" w:ascii="宋体" w:hAnsi="宋体" w:cs="宋体"/>
                      <w:szCs w:val="21"/>
                    </w:rPr>
                    <w:t>总挥发性有机化合物（TVOC）释放量</w:t>
                  </w:r>
                </w:p>
              </w:tc>
              <w:tc>
                <w:tcPr>
                  <w:tcW w:w="1568" w:type="dxa"/>
                  <w:vAlign w:val="center"/>
                </w:tcPr>
                <w:p>
                  <w:pPr>
                    <w:spacing w:after="78" w:afterLines="25"/>
                    <w:rPr>
                      <w:rFonts w:ascii="宋体" w:hAnsi="宋体" w:cs="宋体"/>
                      <w:szCs w:val="21"/>
                    </w:rPr>
                  </w:pPr>
                  <w:r>
                    <w:rPr>
                      <w:rFonts w:hint="eastAsia" w:ascii="宋体" w:hAnsi="宋体" w:cs="宋体"/>
                      <w:szCs w:val="21"/>
                    </w:rPr>
                    <w:t>SZJG52-2016</w:t>
                  </w:r>
                </w:p>
              </w:tc>
              <w:tc>
                <w:tcPr>
                  <w:tcW w:w="1120" w:type="dxa"/>
                  <w:vAlign w:val="center"/>
                </w:tcPr>
                <w:p>
                  <w:pPr>
                    <w:spacing w:after="78" w:afterLines="25"/>
                    <w:rPr>
                      <w:rFonts w:ascii="宋体" w:hAnsi="宋体" w:cs="宋体"/>
                      <w:szCs w:val="21"/>
                    </w:rPr>
                  </w:pPr>
                  <w:r>
                    <w:rPr>
                      <w:rFonts w:hint="eastAsia" w:ascii="宋体" w:hAnsi="宋体" w:cs="宋体"/>
                      <w:szCs w:val="21"/>
                    </w:rPr>
                    <w:t>强制性</w:t>
                  </w:r>
                </w:p>
              </w:tc>
              <w:tc>
                <w:tcPr>
                  <w:tcW w:w="1832" w:type="dxa"/>
                  <w:vAlign w:val="center"/>
                </w:tcPr>
                <w:p>
                  <w:pPr>
                    <w:spacing w:after="78" w:afterLines="25"/>
                    <w:rPr>
                      <w:rFonts w:ascii="宋体" w:hAnsi="宋体" w:cs="宋体"/>
                      <w:szCs w:val="21"/>
                    </w:rPr>
                  </w:pPr>
                  <w:r>
                    <w:rPr>
                      <w:rFonts w:hint="eastAsia" w:ascii="宋体" w:hAnsi="宋体" w:cs="宋体"/>
                      <w:szCs w:val="21"/>
                    </w:rPr>
                    <w:t>SZJG52-2016 GB/T31106-2014</w:t>
                  </w:r>
                </w:p>
              </w:tc>
            </w:tr>
          </w:tbl>
          <w:p>
            <w:pPr>
              <w:spacing w:after="78" w:afterLines="25" w:line="300" w:lineRule="exact"/>
              <w:rPr>
                <w:rFonts w:ascii="宋体" w:hAnsi="宋体" w:cs="宋体"/>
                <w:szCs w:val="21"/>
              </w:rPr>
            </w:pPr>
            <w:r>
              <w:rPr>
                <w:rFonts w:hint="eastAsia" w:ascii="宋体" w:hAnsi="宋体" w:cs="宋体"/>
                <w:szCs w:val="21"/>
              </w:rPr>
              <w:t>②含家具或装修的功能室应当另行提供室内环境污染检测报告。按照国家《室内空气质量标准》（GB/T 18883-2022）中的标准进行检测并合格（至少包括以下五项，如有更新则以最新标准为准）：</w:t>
            </w:r>
          </w:p>
          <w:tbl>
            <w:tblPr>
              <w:tblStyle w:val="18"/>
              <w:tblW w:w="61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655"/>
              <w:gridCol w:w="2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blHeader/>
              </w:trPr>
              <w:tc>
                <w:tcPr>
                  <w:tcW w:w="721" w:type="dxa"/>
                  <w:vAlign w:val="center"/>
                </w:tcPr>
                <w:p>
                  <w:pPr>
                    <w:spacing w:after="78" w:afterLines="25" w:line="300" w:lineRule="exact"/>
                    <w:jc w:val="center"/>
                    <w:rPr>
                      <w:rFonts w:ascii="宋体" w:hAnsi="宋体" w:cs="宋体"/>
                      <w:szCs w:val="21"/>
                    </w:rPr>
                  </w:pPr>
                  <w:r>
                    <w:rPr>
                      <w:rFonts w:hint="eastAsia" w:ascii="宋体" w:hAnsi="宋体" w:cs="宋体"/>
                      <w:szCs w:val="21"/>
                    </w:rPr>
                    <w:t>序号</w:t>
                  </w:r>
                </w:p>
              </w:tc>
              <w:tc>
                <w:tcPr>
                  <w:tcW w:w="2655" w:type="dxa"/>
                  <w:vAlign w:val="center"/>
                </w:tcPr>
                <w:p>
                  <w:pPr>
                    <w:spacing w:after="78" w:afterLines="25" w:line="300" w:lineRule="exact"/>
                    <w:rPr>
                      <w:rFonts w:ascii="宋体" w:hAnsi="宋体" w:cs="宋体"/>
                      <w:szCs w:val="21"/>
                    </w:rPr>
                  </w:pPr>
                  <w:r>
                    <w:rPr>
                      <w:rFonts w:hint="eastAsia" w:ascii="宋体" w:hAnsi="宋体" w:cs="宋体"/>
                      <w:szCs w:val="21"/>
                    </w:rPr>
                    <w:t>检验项目</w:t>
                  </w:r>
                </w:p>
              </w:tc>
              <w:tc>
                <w:tcPr>
                  <w:tcW w:w="2748" w:type="dxa"/>
                  <w:vAlign w:val="center"/>
                </w:tcPr>
                <w:p>
                  <w:pPr>
                    <w:spacing w:after="78" w:afterLines="25" w:line="300" w:lineRule="exact"/>
                    <w:rPr>
                      <w:rFonts w:ascii="宋体" w:hAnsi="宋体" w:cs="宋体"/>
                      <w:szCs w:val="21"/>
                    </w:rPr>
                  </w:pPr>
                  <w:r>
                    <w:rPr>
                      <w:rFonts w:hint="eastAsia" w:ascii="宋体" w:hAnsi="宋体" w:cs="宋体"/>
                      <w:szCs w:val="21"/>
                    </w:rPr>
                    <w:t>依据法律法规或标准条款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trPr>
              <w:tc>
                <w:tcPr>
                  <w:tcW w:w="721" w:type="dxa"/>
                </w:tcPr>
                <w:p>
                  <w:pPr>
                    <w:spacing w:after="78" w:afterLines="25" w:line="300" w:lineRule="exact"/>
                    <w:jc w:val="center"/>
                    <w:rPr>
                      <w:rFonts w:ascii="宋体" w:hAnsi="宋体" w:cs="宋体"/>
                      <w:szCs w:val="21"/>
                    </w:rPr>
                  </w:pPr>
                  <w:r>
                    <w:rPr>
                      <w:rFonts w:hint="eastAsia" w:ascii="宋体" w:hAnsi="宋体" w:cs="宋体"/>
                      <w:szCs w:val="21"/>
                    </w:rPr>
                    <w:t>1</w:t>
                  </w:r>
                </w:p>
              </w:tc>
              <w:tc>
                <w:tcPr>
                  <w:tcW w:w="2655" w:type="dxa"/>
                  <w:vAlign w:val="center"/>
                </w:tcPr>
                <w:p>
                  <w:pPr>
                    <w:spacing w:after="78" w:afterLines="25" w:line="300" w:lineRule="exact"/>
                    <w:rPr>
                      <w:rFonts w:ascii="宋体" w:hAnsi="宋体" w:cs="宋体"/>
                      <w:szCs w:val="21"/>
                    </w:rPr>
                  </w:pPr>
                  <w:r>
                    <w:rPr>
                      <w:rFonts w:hint="eastAsia" w:ascii="宋体" w:hAnsi="宋体" w:cs="宋体"/>
                      <w:szCs w:val="21"/>
                    </w:rPr>
                    <w:t>甲醛</w:t>
                  </w:r>
                </w:p>
              </w:tc>
              <w:tc>
                <w:tcPr>
                  <w:tcW w:w="2748" w:type="dxa"/>
                  <w:vAlign w:val="center"/>
                </w:tcPr>
                <w:p>
                  <w:pPr>
                    <w:spacing w:after="78" w:afterLines="25" w:line="300" w:lineRule="exact"/>
                    <w:rPr>
                      <w:rFonts w:ascii="宋体" w:hAnsi="宋体" w:cs="宋体"/>
                      <w:szCs w:val="21"/>
                    </w:rPr>
                  </w:pPr>
                  <w:r>
                    <w:rPr>
                      <w:rFonts w:hint="eastAsia" w:ascii="宋体" w:hAnsi="宋体" w:cs="宋体"/>
                      <w:szCs w:val="21"/>
                    </w:rPr>
                    <w:t>GB/T 18883-2022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trPr>
              <w:tc>
                <w:tcPr>
                  <w:tcW w:w="721" w:type="dxa"/>
                </w:tcPr>
                <w:p>
                  <w:pPr>
                    <w:spacing w:after="78" w:afterLines="25" w:line="300" w:lineRule="exact"/>
                    <w:jc w:val="center"/>
                    <w:rPr>
                      <w:rFonts w:ascii="宋体" w:hAnsi="宋体" w:cs="宋体"/>
                      <w:szCs w:val="21"/>
                    </w:rPr>
                  </w:pPr>
                  <w:r>
                    <w:rPr>
                      <w:rFonts w:hint="eastAsia" w:ascii="宋体" w:hAnsi="宋体" w:cs="宋体"/>
                      <w:szCs w:val="21"/>
                    </w:rPr>
                    <w:t>2</w:t>
                  </w:r>
                </w:p>
              </w:tc>
              <w:tc>
                <w:tcPr>
                  <w:tcW w:w="2655" w:type="dxa"/>
                  <w:vAlign w:val="center"/>
                </w:tcPr>
                <w:p>
                  <w:pPr>
                    <w:spacing w:after="78" w:afterLines="25" w:line="300" w:lineRule="exact"/>
                    <w:rPr>
                      <w:rFonts w:ascii="宋体" w:hAnsi="宋体" w:cs="宋体"/>
                      <w:szCs w:val="21"/>
                    </w:rPr>
                  </w:pPr>
                  <w:r>
                    <w:rPr>
                      <w:rFonts w:hint="eastAsia" w:ascii="宋体" w:hAnsi="宋体" w:cs="宋体"/>
                      <w:szCs w:val="21"/>
                    </w:rPr>
                    <w:t>苯</w:t>
                  </w:r>
                </w:p>
              </w:tc>
              <w:tc>
                <w:tcPr>
                  <w:tcW w:w="2748" w:type="dxa"/>
                  <w:vAlign w:val="center"/>
                </w:tcPr>
                <w:p>
                  <w:pPr>
                    <w:spacing w:after="78" w:afterLines="25" w:line="300" w:lineRule="exact"/>
                    <w:rPr>
                      <w:rFonts w:ascii="宋体" w:hAnsi="宋体" w:cs="宋体"/>
                      <w:szCs w:val="21"/>
                    </w:rPr>
                  </w:pPr>
                  <w:r>
                    <w:rPr>
                      <w:rFonts w:hint="eastAsia" w:ascii="宋体" w:hAnsi="宋体" w:cs="宋体"/>
                      <w:szCs w:val="21"/>
                    </w:rPr>
                    <w:t>GB/T 18883-2022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trPr>
              <w:tc>
                <w:tcPr>
                  <w:tcW w:w="721" w:type="dxa"/>
                </w:tcPr>
                <w:p>
                  <w:pPr>
                    <w:spacing w:after="78" w:afterLines="25" w:line="300" w:lineRule="exact"/>
                    <w:jc w:val="center"/>
                    <w:rPr>
                      <w:rFonts w:ascii="宋体" w:hAnsi="宋体" w:cs="宋体"/>
                      <w:szCs w:val="21"/>
                    </w:rPr>
                  </w:pPr>
                  <w:r>
                    <w:rPr>
                      <w:rFonts w:hint="eastAsia" w:ascii="宋体" w:hAnsi="宋体" w:cs="宋体"/>
                      <w:szCs w:val="21"/>
                    </w:rPr>
                    <w:t>3</w:t>
                  </w:r>
                </w:p>
              </w:tc>
              <w:tc>
                <w:tcPr>
                  <w:tcW w:w="2655" w:type="dxa"/>
                  <w:vAlign w:val="center"/>
                </w:tcPr>
                <w:p>
                  <w:pPr>
                    <w:spacing w:after="78" w:afterLines="25" w:line="300" w:lineRule="exact"/>
                    <w:rPr>
                      <w:rFonts w:ascii="宋体" w:hAnsi="宋体" w:cs="宋体"/>
                      <w:szCs w:val="21"/>
                    </w:rPr>
                  </w:pPr>
                  <w:r>
                    <w:rPr>
                      <w:rFonts w:hint="eastAsia" w:ascii="宋体" w:hAnsi="宋体" w:cs="宋体"/>
                      <w:szCs w:val="21"/>
                    </w:rPr>
                    <w:t>甲苯</w:t>
                  </w:r>
                </w:p>
              </w:tc>
              <w:tc>
                <w:tcPr>
                  <w:tcW w:w="2748" w:type="dxa"/>
                  <w:vAlign w:val="center"/>
                </w:tcPr>
                <w:p>
                  <w:pPr>
                    <w:spacing w:after="78" w:afterLines="25" w:line="300" w:lineRule="exact"/>
                    <w:rPr>
                      <w:rFonts w:ascii="宋体" w:hAnsi="宋体" w:cs="宋体"/>
                      <w:szCs w:val="21"/>
                    </w:rPr>
                  </w:pPr>
                  <w:r>
                    <w:rPr>
                      <w:rFonts w:hint="eastAsia" w:ascii="宋体" w:hAnsi="宋体" w:cs="宋体"/>
                      <w:szCs w:val="21"/>
                    </w:rPr>
                    <w:t>GB/T 18883-2022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trPr>
              <w:tc>
                <w:tcPr>
                  <w:tcW w:w="721" w:type="dxa"/>
                </w:tcPr>
                <w:p>
                  <w:pPr>
                    <w:spacing w:after="78" w:afterLines="25" w:line="300" w:lineRule="exact"/>
                    <w:jc w:val="center"/>
                    <w:rPr>
                      <w:rFonts w:ascii="宋体" w:hAnsi="宋体" w:cs="宋体"/>
                      <w:szCs w:val="21"/>
                    </w:rPr>
                  </w:pPr>
                  <w:r>
                    <w:rPr>
                      <w:rFonts w:hint="eastAsia" w:ascii="宋体" w:hAnsi="宋体" w:cs="宋体"/>
                      <w:szCs w:val="21"/>
                    </w:rPr>
                    <w:t>4</w:t>
                  </w:r>
                </w:p>
              </w:tc>
              <w:tc>
                <w:tcPr>
                  <w:tcW w:w="2655" w:type="dxa"/>
                  <w:vAlign w:val="center"/>
                </w:tcPr>
                <w:p>
                  <w:pPr>
                    <w:spacing w:after="78" w:afterLines="25" w:line="300" w:lineRule="exact"/>
                    <w:rPr>
                      <w:rFonts w:ascii="宋体" w:hAnsi="宋体" w:cs="宋体"/>
                      <w:szCs w:val="21"/>
                    </w:rPr>
                  </w:pPr>
                  <w:r>
                    <w:rPr>
                      <w:rFonts w:hint="eastAsia" w:ascii="宋体" w:hAnsi="宋体" w:cs="宋体"/>
                      <w:szCs w:val="21"/>
                    </w:rPr>
                    <w:t>二甲苯</w:t>
                  </w:r>
                </w:p>
              </w:tc>
              <w:tc>
                <w:tcPr>
                  <w:tcW w:w="2748" w:type="dxa"/>
                  <w:vAlign w:val="center"/>
                </w:tcPr>
                <w:p>
                  <w:pPr>
                    <w:spacing w:after="78" w:afterLines="25" w:line="300" w:lineRule="exact"/>
                    <w:rPr>
                      <w:rFonts w:ascii="宋体" w:hAnsi="宋体" w:cs="宋体"/>
                      <w:szCs w:val="21"/>
                    </w:rPr>
                  </w:pPr>
                  <w:r>
                    <w:rPr>
                      <w:rFonts w:hint="eastAsia" w:ascii="宋体" w:hAnsi="宋体" w:cs="宋体"/>
                      <w:szCs w:val="21"/>
                    </w:rPr>
                    <w:t>GB/T 18883-2022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1" w:type="dxa"/>
                </w:tcPr>
                <w:p>
                  <w:pPr>
                    <w:spacing w:after="78" w:afterLines="25" w:line="300" w:lineRule="exact"/>
                    <w:jc w:val="center"/>
                    <w:rPr>
                      <w:rFonts w:ascii="宋体" w:hAnsi="宋体" w:cs="宋体"/>
                      <w:szCs w:val="21"/>
                    </w:rPr>
                  </w:pPr>
                  <w:r>
                    <w:rPr>
                      <w:rFonts w:hint="eastAsia" w:ascii="宋体" w:hAnsi="宋体" w:cs="宋体"/>
                      <w:szCs w:val="21"/>
                    </w:rPr>
                    <w:t>5</w:t>
                  </w:r>
                </w:p>
              </w:tc>
              <w:tc>
                <w:tcPr>
                  <w:tcW w:w="2655" w:type="dxa"/>
                  <w:vAlign w:val="center"/>
                </w:tcPr>
                <w:p>
                  <w:pPr>
                    <w:spacing w:after="78" w:afterLines="25" w:line="300" w:lineRule="exact"/>
                    <w:rPr>
                      <w:rFonts w:ascii="宋体" w:hAnsi="宋体" w:cs="宋体"/>
                      <w:szCs w:val="21"/>
                    </w:rPr>
                  </w:pPr>
                  <w:r>
                    <w:rPr>
                      <w:rFonts w:hint="eastAsia" w:ascii="宋体" w:hAnsi="宋体" w:cs="宋体"/>
                      <w:szCs w:val="21"/>
                    </w:rPr>
                    <w:t>总挥发性有机化合物（TVOC）</w:t>
                  </w:r>
                </w:p>
              </w:tc>
              <w:tc>
                <w:tcPr>
                  <w:tcW w:w="2748" w:type="dxa"/>
                  <w:vAlign w:val="center"/>
                </w:tcPr>
                <w:p>
                  <w:pPr>
                    <w:spacing w:after="78" w:afterLines="25" w:line="300" w:lineRule="exact"/>
                    <w:rPr>
                      <w:rFonts w:ascii="宋体" w:hAnsi="宋体" w:cs="宋体"/>
                      <w:szCs w:val="21"/>
                    </w:rPr>
                  </w:pPr>
                  <w:r>
                    <w:rPr>
                      <w:rFonts w:hint="eastAsia" w:ascii="宋体" w:hAnsi="宋体" w:cs="宋体"/>
                      <w:szCs w:val="21"/>
                    </w:rPr>
                    <w:t>GB/T 18883-2022</w:t>
                  </w:r>
                </w:p>
              </w:tc>
            </w:tr>
          </w:tbl>
          <w:p>
            <w:pPr>
              <w:widowControl/>
              <w:jc w:val="left"/>
              <w:rPr>
                <w:rFonts w:ascii="宋体" w:hAnsi="宋体" w:cs="宋体"/>
                <w:szCs w:val="21"/>
              </w:rPr>
            </w:pPr>
          </w:p>
        </w:tc>
      </w:tr>
    </w:tbl>
    <w:p>
      <w:pPr>
        <w:rPr>
          <w:b/>
        </w:rPr>
      </w:pPr>
    </w:p>
    <w:p>
      <w:pPr>
        <w:pStyle w:val="7"/>
        <w:spacing w:before="60" w:beforeLines="25" w:after="60" w:afterLines="25"/>
        <w:ind w:firstLine="0" w:firstLineChars="0"/>
        <w:rPr>
          <w:rFonts w:ascii="宋体" w:hAnsi="宋体"/>
          <w:szCs w:val="21"/>
        </w:rPr>
      </w:pPr>
    </w:p>
    <w:p>
      <w:pPr>
        <w:pStyle w:val="7"/>
        <w:spacing w:before="60" w:beforeLines="25" w:after="60" w:afterLines="25"/>
        <w:ind w:firstLine="0" w:firstLineChars="0"/>
        <w:rPr>
          <w:rFonts w:ascii="宋体" w:hAnsi="宋体"/>
          <w:szCs w:val="21"/>
        </w:rPr>
      </w:pPr>
    </w:p>
    <w:p>
      <w:pPr>
        <w:pStyle w:val="7"/>
        <w:spacing w:before="60" w:beforeLines="25" w:after="60" w:afterLines="25"/>
        <w:ind w:firstLine="0" w:firstLineChars="0"/>
        <w:rPr>
          <w:rFonts w:ascii="宋体" w:hAnsi="宋体"/>
          <w:szCs w:val="21"/>
        </w:rPr>
      </w:pPr>
    </w:p>
    <w:p>
      <w:pPr>
        <w:pStyle w:val="7"/>
        <w:spacing w:before="60" w:beforeLines="25" w:after="60" w:afterLines="25"/>
        <w:ind w:firstLine="0" w:firstLineChars="0"/>
        <w:rPr>
          <w:rFonts w:ascii="宋体" w:hAnsi="宋体"/>
          <w:szCs w:val="21"/>
        </w:rPr>
      </w:pPr>
    </w:p>
    <w:p>
      <w:pPr>
        <w:pStyle w:val="6"/>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pPr>
        <w:pStyle w:val="7"/>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pPr>
        <w:rPr>
          <w:rFonts w:ascii="宋体" w:hAnsi="宋体"/>
        </w:rPr>
      </w:pPr>
    </w:p>
    <w:p>
      <w:pPr>
        <w:pStyle w:val="8"/>
        <w:rPr>
          <w:rFonts w:ascii="宋体" w:hAnsi="宋体"/>
        </w:rPr>
      </w:pPr>
    </w:p>
    <w:p>
      <w:pPr>
        <w:pStyle w:val="15"/>
      </w:pPr>
    </w:p>
    <w:p>
      <w:pPr>
        <w:pStyle w:val="8"/>
        <w:rPr>
          <w:rFonts w:ascii="宋体" w:hAnsi="宋体"/>
        </w:rPr>
        <w:sectPr>
          <w:pgSz w:w="11907" w:h="16840"/>
          <w:pgMar w:top="1440" w:right="1797" w:bottom="1440" w:left="1797" w:header="851" w:footer="992" w:gutter="0"/>
          <w:cols w:space="425" w:num="1"/>
          <w:titlePg/>
          <w:docGrid w:linePitch="462" w:charSpace="0"/>
        </w:sectPr>
      </w:pPr>
    </w:p>
    <w:p>
      <w:pPr>
        <w:pStyle w:val="6"/>
        <w:jc w:val="center"/>
        <w:rPr>
          <w:kern w:val="2"/>
        </w:rPr>
      </w:pPr>
      <w:r>
        <w:rPr>
          <w:rFonts w:hint="eastAsia"/>
          <w:kern w:val="2"/>
        </w:rPr>
        <w:t>第四章</w:t>
      </w:r>
      <w:r>
        <w:rPr>
          <w:kern w:val="2"/>
        </w:rPr>
        <w:t xml:space="preserve"> </w:t>
      </w:r>
      <w:r>
        <w:rPr>
          <w:rFonts w:hint="eastAsia"/>
          <w:kern w:val="2"/>
        </w:rPr>
        <w:t xml:space="preserve"> 投标文件组成要求及格式</w:t>
      </w:r>
    </w:p>
    <w:p>
      <w:pPr>
        <w:rPr>
          <w:rStyle w:val="35"/>
          <w:sz w:val="24"/>
        </w:rPr>
      </w:pPr>
      <w:r>
        <w:rPr>
          <w:rStyle w:val="35"/>
          <w:rFonts w:hint="eastAsia"/>
          <w:sz w:val="24"/>
        </w:rPr>
        <w:t>特别提醒：</w:t>
      </w:r>
    </w:p>
    <w:p>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5"/>
                    <a:stretch>
                      <a:fillRect/>
                    </a:stretch>
                  </pic:blipFill>
                  <pic:spPr>
                    <a:xfrm>
                      <a:off x="0" y="0"/>
                      <a:ext cx="5162550" cy="4011295"/>
                    </a:xfrm>
                    <a:prstGeom prst="rect">
                      <a:avLst/>
                    </a:prstGeom>
                  </pic:spPr>
                </pic:pic>
              </a:graphicData>
            </a:graphic>
          </wp:inline>
        </w:drawing>
      </w:r>
    </w:p>
    <w:p>
      <w:pPr>
        <w:ind w:firstLine="480" w:firstLineChars="200"/>
        <w:rPr>
          <w:rFonts w:ascii="仿宋_GB2312" w:eastAsia="仿宋_GB2312"/>
          <w:sz w:val="24"/>
        </w:rPr>
      </w:pPr>
      <w:bookmarkStart w:id="46"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6"/>
    <w:p>
      <w:pPr>
        <w:ind w:firstLine="420" w:firstLineChars="200"/>
        <w:rPr>
          <w:rFonts w:ascii="宋体" w:hAnsi="宋体"/>
          <w:szCs w:val="21"/>
        </w:rPr>
      </w:pPr>
    </w:p>
    <w:p>
      <w:pPr>
        <w:ind w:firstLine="480" w:firstLineChars="200"/>
        <w:rPr>
          <w:rFonts w:ascii="仿宋_GB2312" w:eastAsia="仿宋_GB2312"/>
          <w:sz w:val="24"/>
        </w:rPr>
      </w:pPr>
    </w:p>
    <w:p>
      <w:pPr>
        <w:rPr>
          <w:rFonts w:ascii="仿宋_GB2312" w:eastAsia="仿宋_GB2312"/>
          <w:sz w:val="24"/>
        </w:rPr>
      </w:pPr>
    </w:p>
    <w:p>
      <w:pPr>
        <w:rPr>
          <w:rFonts w:ascii="宋体" w:hAnsi="宋体"/>
          <w:sz w:val="24"/>
        </w:rPr>
      </w:pPr>
      <w:bookmarkStart w:id="47" w:name="_Hlk72263559"/>
      <w:bookmarkStart w:id="48" w:name="_Hlk72257771"/>
      <w:r>
        <w:rPr>
          <w:rFonts w:hint="eastAsia" w:ascii="宋体" w:hAnsi="宋体"/>
          <w:sz w:val="24"/>
        </w:rPr>
        <w:t>投标文件组成：</w:t>
      </w:r>
    </w:p>
    <w:p>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pPr>
        <w:ind w:left="718" w:leftChars="342" w:firstLine="1417" w:firstLineChars="675"/>
        <w:rPr>
          <w:rFonts w:hint="eastAsia" w:eastAsia="宋体"/>
          <w:szCs w:val="21"/>
          <w:lang w:eastAsia="zh-CN"/>
        </w:rPr>
      </w:pPr>
      <w:r>
        <w:rPr>
          <w:rFonts w:hint="eastAsia"/>
          <w:szCs w:val="21"/>
        </w:rPr>
        <w:t>（1）</w:t>
      </w:r>
      <w:bookmarkStart w:id="49" w:name="_Hlk72070784"/>
      <w:r>
        <w:rPr>
          <w:rFonts w:hint="eastAsia"/>
          <w:szCs w:val="21"/>
        </w:rPr>
        <w:t>投标函</w:t>
      </w:r>
      <w:bookmarkEnd w:id="49"/>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4</w:t>
      </w:r>
      <w:r>
        <w:rPr>
          <w:rFonts w:hint="eastAsia"/>
          <w:szCs w:val="21"/>
        </w:rPr>
        <w:t>）项目详细报价</w:t>
      </w:r>
      <w:r>
        <w:rPr>
          <w:rFonts w:hint="eastAsia"/>
          <w:szCs w:val="21"/>
          <w:lang w:eastAsia="zh-CN"/>
        </w:rPr>
        <w:t>；</w:t>
      </w:r>
    </w:p>
    <w:p>
      <w:pPr>
        <w:ind w:left="718" w:leftChars="342" w:firstLine="1627" w:firstLineChars="775"/>
        <w:rPr>
          <w:szCs w:val="21"/>
          <w:highlight w:val="yellow"/>
        </w:rPr>
      </w:pPr>
      <w:r>
        <w:rPr>
          <w:rFonts w:hint="eastAsia"/>
          <w:szCs w:val="21"/>
          <w:highlight w:val="yellow"/>
        </w:rPr>
        <w:t>（</w:t>
      </w:r>
      <w:r>
        <w:rPr>
          <w:rFonts w:hint="eastAsia"/>
          <w:szCs w:val="21"/>
          <w:highlight w:val="yellow"/>
          <w:lang w:val="en-US" w:eastAsia="zh-CN"/>
        </w:rPr>
        <w:t>5</w:t>
      </w:r>
      <w:r>
        <w:rPr>
          <w:rFonts w:hint="eastAsia"/>
          <w:szCs w:val="21"/>
          <w:highlight w:val="yellow"/>
        </w:rPr>
        <w:t>）同类项目经验评价</w:t>
      </w:r>
    </w:p>
    <w:p>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p>
    <w:p>
      <w:pPr>
        <w:ind w:left="718" w:leftChars="342" w:firstLine="1417" w:firstLineChars="675"/>
        <w:rPr>
          <w:rFonts w:hint="eastAsia"/>
          <w:szCs w:val="21"/>
          <w:highlight w:val="yellow"/>
          <w:lang w:eastAsia="zh-CN"/>
        </w:rPr>
      </w:pPr>
      <w:r>
        <w:rPr>
          <w:rFonts w:hint="eastAsia"/>
          <w:szCs w:val="21"/>
          <w:lang w:eastAsia="zh-CN"/>
        </w:rPr>
        <w:t>（</w:t>
      </w:r>
      <w:r>
        <w:rPr>
          <w:rFonts w:hint="eastAsia"/>
          <w:szCs w:val="21"/>
          <w:highlight w:val="yellow"/>
          <w:lang w:val="en-US" w:eastAsia="zh-CN"/>
        </w:rPr>
        <w:t>6</w:t>
      </w:r>
      <w:r>
        <w:rPr>
          <w:rFonts w:hint="eastAsia"/>
          <w:szCs w:val="21"/>
          <w:highlight w:val="yellow"/>
          <w:lang w:eastAsia="zh-CN"/>
        </w:rPr>
        <w:t>）政府采购节能环保产品情况</w:t>
      </w:r>
    </w:p>
    <w:p>
      <w:pPr>
        <w:ind w:left="718" w:leftChars="342" w:firstLine="1417" w:firstLineChars="675"/>
        <w:rPr>
          <w:rFonts w:hint="eastAsia"/>
          <w:szCs w:val="21"/>
          <w:highlight w:val="yellow"/>
          <w:lang w:eastAsia="zh-CN"/>
        </w:rPr>
      </w:pPr>
      <w:r>
        <w:rPr>
          <w:rFonts w:hint="eastAsia"/>
          <w:szCs w:val="21"/>
          <w:highlight w:val="yellow"/>
          <w:lang w:eastAsia="zh-CN"/>
        </w:rPr>
        <w:t>（</w:t>
      </w:r>
      <w:r>
        <w:rPr>
          <w:rFonts w:hint="eastAsia"/>
          <w:szCs w:val="21"/>
          <w:highlight w:val="yellow"/>
          <w:lang w:val="en-US" w:eastAsia="zh-CN"/>
        </w:rPr>
        <w:t>7</w:t>
      </w:r>
      <w:r>
        <w:rPr>
          <w:rFonts w:hint="eastAsia"/>
          <w:szCs w:val="21"/>
          <w:highlight w:val="yellow"/>
          <w:lang w:eastAsia="zh-CN"/>
        </w:rPr>
        <w:t>）绿色采购情况</w:t>
      </w:r>
    </w:p>
    <w:p>
      <w:pPr>
        <w:ind w:left="718" w:leftChars="342" w:firstLine="1417" w:firstLineChars="675"/>
        <w:rPr>
          <w:rFonts w:hint="eastAsia"/>
          <w:szCs w:val="21"/>
          <w:highlight w:val="yellow"/>
          <w:lang w:eastAsia="zh-CN"/>
        </w:rPr>
      </w:pPr>
      <w:r>
        <w:rPr>
          <w:rFonts w:hint="eastAsia"/>
          <w:szCs w:val="21"/>
          <w:highlight w:val="yellow"/>
          <w:lang w:eastAsia="zh-CN"/>
        </w:rPr>
        <w:t>（</w:t>
      </w:r>
      <w:r>
        <w:rPr>
          <w:rFonts w:hint="eastAsia"/>
          <w:szCs w:val="21"/>
          <w:highlight w:val="yellow"/>
          <w:lang w:val="en-US" w:eastAsia="zh-CN"/>
        </w:rPr>
        <w:t>8</w:t>
      </w:r>
      <w:r>
        <w:rPr>
          <w:rFonts w:hint="eastAsia"/>
          <w:szCs w:val="21"/>
          <w:highlight w:val="yellow"/>
          <w:lang w:eastAsia="zh-CN"/>
        </w:rPr>
        <w:t>）设计图评价</w:t>
      </w:r>
    </w:p>
    <w:p>
      <w:pPr>
        <w:ind w:left="718" w:leftChars="342" w:firstLine="1417" w:firstLineChars="675"/>
        <w:rPr>
          <w:rFonts w:hint="eastAsia"/>
          <w:szCs w:val="21"/>
          <w:highlight w:val="yellow"/>
          <w:lang w:eastAsia="zh-CN"/>
        </w:rPr>
      </w:pPr>
      <w:r>
        <w:rPr>
          <w:rFonts w:hint="eastAsia"/>
          <w:szCs w:val="21"/>
          <w:highlight w:val="yellow"/>
          <w:lang w:eastAsia="zh-CN"/>
        </w:rPr>
        <w:t>（</w:t>
      </w:r>
      <w:r>
        <w:rPr>
          <w:rFonts w:hint="eastAsia"/>
          <w:szCs w:val="21"/>
          <w:highlight w:val="yellow"/>
          <w:lang w:val="en-US" w:eastAsia="zh-CN"/>
        </w:rPr>
        <w:t>9</w:t>
      </w:r>
      <w:r>
        <w:rPr>
          <w:rFonts w:hint="eastAsia"/>
          <w:szCs w:val="21"/>
          <w:highlight w:val="yellow"/>
          <w:lang w:eastAsia="zh-CN"/>
        </w:rPr>
        <w:t>）项目组织实施方案评价</w:t>
      </w:r>
    </w:p>
    <w:p>
      <w:pPr>
        <w:ind w:left="718" w:leftChars="342" w:firstLine="1417" w:firstLineChars="675"/>
        <w:rPr>
          <w:rFonts w:hint="eastAsia" w:eastAsia="宋体"/>
          <w:szCs w:val="21"/>
          <w:highlight w:val="yellow"/>
          <w:lang w:eastAsia="zh-CN"/>
        </w:rPr>
      </w:pPr>
      <w:r>
        <w:rPr>
          <w:rFonts w:hint="eastAsia"/>
          <w:szCs w:val="21"/>
          <w:highlight w:val="yellow"/>
          <w:lang w:eastAsia="zh-CN"/>
        </w:rPr>
        <w:t>（</w:t>
      </w:r>
      <w:r>
        <w:rPr>
          <w:rFonts w:hint="eastAsia"/>
          <w:szCs w:val="21"/>
          <w:highlight w:val="yellow"/>
          <w:lang w:val="en-US" w:eastAsia="zh-CN"/>
        </w:rPr>
        <w:t>10</w:t>
      </w:r>
      <w:r>
        <w:rPr>
          <w:rFonts w:hint="eastAsia"/>
          <w:szCs w:val="21"/>
          <w:highlight w:val="yellow"/>
          <w:lang w:eastAsia="zh-CN"/>
        </w:rPr>
        <w:t>）售后服务方案评价</w:t>
      </w:r>
    </w:p>
    <w:p>
      <w:pPr>
        <w:ind w:left="718" w:leftChars="342" w:firstLine="1417" w:firstLineChars="675"/>
        <w:rPr>
          <w:rFonts w:hint="eastAsia" w:eastAsia="宋体"/>
          <w:szCs w:val="21"/>
          <w:lang w:eastAsia="zh-CN"/>
        </w:rPr>
      </w:pPr>
      <w:r>
        <w:rPr>
          <w:rFonts w:hint="eastAsia" w:ascii="宋体" w:hAnsi="宋体"/>
          <w:szCs w:val="21"/>
          <w:lang w:eastAsia="zh-CN"/>
        </w:rPr>
        <w:t>（</w:t>
      </w:r>
      <w:r>
        <w:rPr>
          <w:rFonts w:hint="eastAsia" w:ascii="宋体" w:hAnsi="宋体"/>
          <w:szCs w:val="21"/>
          <w:lang w:val="en-US" w:eastAsia="zh-CN"/>
        </w:rPr>
        <w:t>11</w:t>
      </w:r>
      <w:r>
        <w:rPr>
          <w:rFonts w:hint="eastAsia" w:ascii="宋体" w:hAnsi="宋体"/>
          <w:szCs w:val="21"/>
          <w:lang w:eastAsia="zh-CN"/>
        </w:rPr>
        <w:t>）</w:t>
      </w:r>
      <w:r>
        <w:rPr>
          <w:rFonts w:hint="eastAsia"/>
          <w:szCs w:val="21"/>
        </w:rPr>
        <w:t>投标人认为需要加以说明的其他内容</w:t>
      </w:r>
      <w:r>
        <w:rPr>
          <w:rFonts w:hint="eastAsia"/>
          <w:szCs w:val="21"/>
          <w:lang w:eastAsia="zh-CN"/>
        </w:rPr>
        <w:t>；</w:t>
      </w:r>
    </w:p>
    <w:p>
      <w:pPr>
        <w:pStyle w:val="8"/>
      </w:pPr>
    </w:p>
    <w:p>
      <w:pPr>
        <w:pStyle w:val="7"/>
        <w:ind w:left="210" w:leftChars="100" w:firstLine="781" w:firstLineChars="372"/>
        <w:rPr>
          <w:rFonts w:ascii="宋体" w:hAnsi="宋体"/>
          <w:szCs w:val="21"/>
        </w:rPr>
      </w:pPr>
    </w:p>
    <w:p>
      <w:pPr>
        <w:rPr>
          <w:rFonts w:ascii="仿宋_GB2312" w:eastAsia="仿宋_GB2312"/>
          <w:sz w:val="24"/>
        </w:rPr>
      </w:pPr>
    </w:p>
    <w:p>
      <w:pPr>
        <w:ind w:firstLine="426" w:firstLineChars="202"/>
        <w:rPr>
          <w:rFonts w:ascii="宋体" w:hAnsi="宋体"/>
          <w:b/>
          <w:szCs w:val="21"/>
        </w:rPr>
      </w:pPr>
      <w:r>
        <w:rPr>
          <w:rFonts w:hint="eastAsia" w:ascii="宋体" w:hAnsi="宋体"/>
          <w:b/>
          <w:szCs w:val="21"/>
        </w:rPr>
        <w:t>备注：</w:t>
      </w:r>
    </w:p>
    <w:p>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7"/>
      <w:bookmarkEnd w:id="48"/>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sectPr>
          <w:pgSz w:w="11907" w:h="16840"/>
          <w:pgMar w:top="1440" w:right="1797" w:bottom="1440" w:left="1797" w:header="851" w:footer="992" w:gutter="0"/>
          <w:cols w:space="425" w:num="1"/>
          <w:titlePg/>
          <w:docGrid w:linePitch="462" w:charSpace="0"/>
        </w:sectPr>
      </w:pPr>
    </w:p>
    <w:p>
      <w:pPr>
        <w:outlineLvl w:val="1"/>
        <w:rPr>
          <w:rFonts w:ascii="宋体" w:hAnsi="宋体"/>
          <w:b/>
          <w:color w:val="FF0000"/>
          <w:sz w:val="28"/>
          <w:szCs w:val="28"/>
        </w:rPr>
      </w:pPr>
      <w:r>
        <w:rPr>
          <w:rFonts w:hint="eastAsia" w:ascii="宋体" w:hAnsi="宋体"/>
          <w:b/>
          <w:color w:val="FF0000"/>
          <w:sz w:val="28"/>
          <w:szCs w:val="28"/>
        </w:rPr>
        <w:t>投标文件正文（信息公开部分）</w:t>
      </w:r>
    </w:p>
    <w:p>
      <w:pPr>
        <w:pStyle w:val="4"/>
        <w:jc w:val="center"/>
        <w:rPr>
          <w:rFonts w:ascii="黑体" w:eastAsia="黑体"/>
          <w:b w:val="0"/>
          <w:sz w:val="24"/>
        </w:rPr>
      </w:pPr>
      <w:r>
        <w:rPr>
          <w:rFonts w:hint="eastAsia" w:ascii="黑体" w:eastAsia="黑体"/>
          <w:b w:val="0"/>
          <w:sz w:val="24"/>
        </w:rPr>
        <w:t>一、投标函</w:t>
      </w:r>
    </w:p>
    <w:p>
      <w:pPr>
        <w:spacing w:line="360" w:lineRule="auto"/>
        <w:rPr>
          <w:rFonts w:ascii="宋体" w:hAnsi="宋体"/>
          <w:szCs w:val="21"/>
        </w:rPr>
      </w:pPr>
      <w:bookmarkStart w:id="50"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pPr>
        <w:ind w:firstLine="420" w:firstLineChars="200"/>
        <w:rPr>
          <w:rFonts w:ascii="宋体" w:hAnsi="宋体"/>
          <w:szCs w:val="21"/>
        </w:rPr>
      </w:pPr>
      <w:bookmarkStart w:id="51"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 </w:t>
      </w:r>
      <w:r>
        <w:rPr>
          <w:rFonts w:hint="eastAsia"/>
          <w:sz w:val="21"/>
          <w:szCs w:val="21"/>
          <w:u w:val="thick"/>
          <w:lang w:eastAsia="zh-CN"/>
        </w:rPr>
        <w:t>BAZXCG-2025-00137</w:t>
      </w:r>
      <w:r>
        <w:rPr>
          <w:rFonts w:hint="eastAsia"/>
          <w:sz w:val="21"/>
          <w:szCs w:val="21"/>
          <w:u w:val="thick"/>
          <w:lang w:val="en-US" w:eastAsia="zh-CN"/>
        </w:rPr>
        <w:t xml:space="preserve"> </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val="en-US" w:eastAsia="zh-CN"/>
        </w:rPr>
        <w:t xml:space="preserve"> </w:t>
      </w:r>
      <w:r>
        <w:rPr>
          <w:rFonts w:hint="eastAsia"/>
          <w:sz w:val="21"/>
          <w:szCs w:val="21"/>
          <w:u w:val="thick"/>
          <w:lang w:eastAsia="zh-CN"/>
        </w:rPr>
        <w:t>深圳市宝安区松岗街道中心幼儿园（璟城一幼）2025年度班组设备采购</w:t>
      </w:r>
      <w:r>
        <w:rPr>
          <w:rFonts w:hint="eastAsia"/>
          <w:sz w:val="21"/>
          <w:szCs w:val="21"/>
          <w:u w:val="thick"/>
        </w:rPr>
        <w:t xml:space="preserve"> </w:t>
      </w:r>
      <w:r>
        <w:rPr>
          <w:rFonts w:hint="eastAsia"/>
          <w:szCs w:val="21"/>
          <w:u w:val="thick"/>
        </w:rPr>
        <w:t xml:space="preserve">          </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52" w:name="_Hlk72263588"/>
      <w:r>
        <w:rPr>
          <w:rFonts w:hint="eastAsia"/>
          <w:szCs w:val="21"/>
        </w:rPr>
        <w:t>愿意按照招标文件要求承包上述项目并修补其任何缺陷。</w:t>
      </w:r>
      <w:bookmarkEnd w:id="52"/>
    </w:p>
    <w:p>
      <w:pPr>
        <w:ind w:firstLine="420" w:firstLineChars="200"/>
        <w:rPr>
          <w:rFonts w:ascii="宋体" w:hAnsi="宋体"/>
          <w:szCs w:val="21"/>
        </w:rPr>
      </w:pPr>
      <w:r>
        <w:rPr>
          <w:rFonts w:ascii="宋体" w:hAnsi="宋体"/>
          <w:szCs w:val="21"/>
        </w:rPr>
        <w:t>2</w:t>
      </w:r>
      <w:r>
        <w:rPr>
          <w:rFonts w:hint="eastAsia" w:ascii="宋体" w:hAnsi="宋体"/>
          <w:szCs w:val="21"/>
        </w:rPr>
        <w:t>、</w:t>
      </w:r>
      <w:bookmarkStart w:id="53" w:name="_Hlk73819847"/>
      <w:r>
        <w:rPr>
          <w:rFonts w:hint="eastAsia" w:ascii="宋体" w:hAnsi="宋体"/>
          <w:szCs w:val="21"/>
        </w:rPr>
        <w:t>投标价格见</w:t>
      </w:r>
      <w:r>
        <w:rPr>
          <w:rFonts w:hint="eastAsia"/>
          <w:szCs w:val="21"/>
        </w:rPr>
        <w:t>投标书编制软件中《开标一览表》中填写的投标总价。</w:t>
      </w:r>
      <w:bookmarkEnd w:id="53"/>
    </w:p>
    <w:p>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51"/>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pPr>
        <w:ind w:left="420" w:leftChars="200" w:firstLine="210" w:firstLineChars="100"/>
        <w:rPr>
          <w:rFonts w:hint="eastAsia"/>
          <w:szCs w:val="21"/>
        </w:rPr>
      </w:pPr>
    </w:p>
    <w:p>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pPr>
        <w:ind w:left="420" w:leftChars="200"/>
        <w:rPr>
          <w:sz w:val="24"/>
        </w:rPr>
      </w:pPr>
      <w:r>
        <w:rPr>
          <w:rFonts w:hint="eastAsia"/>
          <w:sz w:val="24"/>
        </w:rPr>
        <w:t xml:space="preserve">                       </w:t>
      </w:r>
    </w:p>
    <w:p>
      <w:pPr>
        <w:rPr>
          <w:rFonts w:ascii="黑体" w:hAnsi="宋体" w:eastAsia="黑体"/>
        </w:rPr>
      </w:pPr>
    </w:p>
    <w:p>
      <w:pPr>
        <w:rPr>
          <w:rFonts w:ascii="黑体" w:hAnsi="宋体" w:eastAsia="黑体"/>
        </w:rPr>
      </w:pPr>
    </w:p>
    <w:bookmarkEnd w:id="50"/>
    <w:p>
      <w:pPr>
        <w:pStyle w:val="4"/>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pPr>
        <w:rPr>
          <w:rFonts w:ascii="宋体" w:hAnsi="宋体"/>
          <w:color w:val="FF0000"/>
          <w:szCs w:val="21"/>
        </w:rPr>
      </w:pPr>
      <w:bookmarkStart w:id="54" w:name="_Hlk72257530"/>
      <w:r>
        <w:rPr>
          <w:rFonts w:hint="eastAsia" w:ascii="宋体" w:hAnsi="宋体"/>
          <w:color w:val="FF0000"/>
          <w:szCs w:val="21"/>
        </w:rPr>
        <w:t>致：</w:t>
      </w:r>
      <w:r>
        <w:rPr>
          <w:rFonts w:hint="eastAsia" w:ascii="宋体" w:hAnsi="宋体"/>
          <w:color w:val="FF0000"/>
          <w:szCs w:val="21"/>
          <w:u w:val="single"/>
        </w:rPr>
        <w:t>深圳公共资源交易中心</w:t>
      </w:r>
    </w:p>
    <w:p>
      <w:pPr>
        <w:ind w:right="-815" w:firstLine="420" w:firstLineChars="200"/>
        <w:rPr>
          <w:rFonts w:ascii="宋体" w:hAnsi="宋体"/>
          <w:szCs w:val="21"/>
        </w:rPr>
      </w:pPr>
      <w:r>
        <w:rPr>
          <w:rFonts w:hint="eastAsia" w:ascii="宋体" w:hAnsi="宋体"/>
          <w:szCs w:val="21"/>
        </w:rPr>
        <w:t>我单位承诺：</w:t>
      </w:r>
    </w:p>
    <w:p>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55" w:name="_Hlk72587269"/>
      <w:bookmarkStart w:id="56"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55"/>
      <w:r>
        <w:rPr>
          <w:rFonts w:hint="eastAsia" w:ascii="宋体" w:hAnsi="宋体"/>
          <w:szCs w:val="21"/>
        </w:rPr>
        <w:t>。</w:t>
      </w:r>
    </w:p>
    <w:bookmarkEnd w:id="56"/>
    <w:p>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pPr>
        <w:ind w:firstLine="420" w:firstLineChars="200"/>
        <w:rPr>
          <w:rFonts w:ascii="宋体" w:hAnsi="宋体"/>
        </w:rPr>
      </w:pPr>
    </w:p>
    <w:p>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54"/>
    <w:p>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pPr>
        <w:ind w:firstLine="645"/>
        <w:rPr>
          <w:rFonts w:ascii="宋体" w:hAnsi="宋体"/>
          <w:szCs w:val="21"/>
        </w:rPr>
      </w:pPr>
    </w:p>
    <w:p>
      <w:pPr>
        <w:rPr>
          <w:rFonts w:ascii="宋体"/>
          <w:b/>
          <w:szCs w:val="21"/>
        </w:rPr>
      </w:pPr>
    </w:p>
    <w:p>
      <w:pPr>
        <w:ind w:firstLine="482" w:firstLineChars="200"/>
        <w:jc w:val="center"/>
        <w:rPr>
          <w:rFonts w:hAnsi="宋体"/>
          <w:b/>
          <w:bCs/>
          <w:sz w:val="24"/>
        </w:rPr>
      </w:pPr>
    </w:p>
    <w:p>
      <w:pPr>
        <w:pStyle w:val="4"/>
        <w:jc w:val="center"/>
        <w:rPr>
          <w:rFonts w:ascii="黑体" w:eastAsia="黑体"/>
          <w:b w:val="0"/>
          <w:sz w:val="24"/>
          <w:szCs w:val="24"/>
        </w:rPr>
      </w:pPr>
      <w:r>
        <w:rPr>
          <w:rFonts w:hint="eastAsia" w:ascii="黑体" w:eastAsia="黑体"/>
          <w:b w:val="0"/>
          <w:sz w:val="24"/>
          <w:szCs w:val="24"/>
        </w:rPr>
        <w:t>三、投标人情况及资格证明文件</w:t>
      </w:r>
    </w:p>
    <w:p>
      <w:pPr>
        <w:rPr>
          <w:b/>
          <w:bCs/>
          <w:sz w:val="24"/>
        </w:rPr>
      </w:pPr>
    </w:p>
    <w:p>
      <w:pPr>
        <w:ind w:firstLine="2640" w:firstLineChars="1100"/>
        <w:outlineLvl w:val="3"/>
        <w:rPr>
          <w:rFonts w:ascii="黑体" w:hAnsi="宋体" w:eastAsia="黑体"/>
          <w:bCs/>
          <w:kern w:val="0"/>
          <w:sz w:val="24"/>
          <w:szCs w:val="32"/>
        </w:rPr>
      </w:pPr>
      <w:bookmarkStart w:id="57" w:name="_Hlk72257590"/>
      <w:r>
        <w:rPr>
          <w:rFonts w:hint="eastAsia" w:ascii="黑体" w:hAnsi="宋体" w:eastAsia="黑体"/>
          <w:bCs/>
          <w:kern w:val="0"/>
          <w:sz w:val="24"/>
          <w:szCs w:val="32"/>
        </w:rPr>
        <w:t>（一）投标人资格证明文件</w:t>
      </w:r>
    </w:p>
    <w:p>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pPr>
        <w:rPr>
          <w:b/>
          <w:bCs/>
          <w:sz w:val="24"/>
        </w:rPr>
      </w:pPr>
    </w:p>
    <w:p>
      <w:pPr>
        <w:ind w:firstLine="480" w:firstLineChars="200"/>
        <w:outlineLvl w:val="3"/>
        <w:rPr>
          <w:rFonts w:ascii="黑体" w:hAnsi="宋体" w:eastAsia="黑体"/>
          <w:bCs/>
          <w:kern w:val="0"/>
          <w:sz w:val="24"/>
          <w:szCs w:val="32"/>
        </w:rPr>
      </w:pPr>
      <w:bookmarkStart w:id="58" w:name="_Hlk72257908"/>
      <w:r>
        <w:rPr>
          <w:rFonts w:hint="eastAsia" w:ascii="黑体" w:hAnsi="宋体" w:eastAsia="黑体"/>
          <w:bCs/>
          <w:kern w:val="0"/>
          <w:sz w:val="24"/>
          <w:szCs w:val="32"/>
        </w:rPr>
        <w:t>（二）中小企业声明函、残疾人福利性单位声明函及监狱企业声明函</w:t>
      </w:r>
    </w:p>
    <w:bookmarkEnd w:id="57"/>
    <w:p>
      <w:pPr>
        <w:jc w:val="left"/>
        <w:outlineLvl w:val="9"/>
        <w:rPr>
          <w:rFonts w:ascii="黑体" w:hAnsi="宋体" w:eastAsia="黑体"/>
          <w:bCs/>
          <w:kern w:val="0"/>
          <w:sz w:val="24"/>
          <w:szCs w:val="32"/>
        </w:rPr>
      </w:pP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pPr>
        <w:numPr>
          <w:ilvl w:val="0"/>
          <w:numId w:val="0"/>
        </w:num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pPr>
        <w:ind w:firstLine="420" w:firstLineChars="200"/>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pPr>
        <w:ind w:firstLine="420" w:firstLineChars="200"/>
      </w:pPr>
    </w:p>
    <w:p>
      <w:pPr>
        <w:numPr>
          <w:ilvl w:val="0"/>
          <w:numId w:val="3"/>
        </w:numPr>
        <w:jc w:val="center"/>
        <w:outlineLvl w:val="9"/>
        <w:rPr>
          <w:b/>
          <w:sz w:val="24"/>
        </w:rPr>
      </w:pPr>
      <w:r>
        <w:rPr>
          <w:b/>
          <w:sz w:val="24"/>
        </w:rPr>
        <w:t>中小企业声明函（货物）</w:t>
      </w:r>
    </w:p>
    <w:p>
      <w:pPr>
        <w:pStyle w:val="8"/>
        <w:widowControl w:val="0"/>
        <w:numPr>
          <w:ilvl w:val="0"/>
          <w:numId w:val="0"/>
        </w:numPr>
        <w:spacing w:line="360" w:lineRule="auto"/>
        <w:jc w:val="both"/>
      </w:pPr>
    </w:p>
    <w:p>
      <w:pPr>
        <w:pStyle w:val="15"/>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pPr>
        <w:pStyle w:val="15"/>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5"/>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5"/>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pPr>
        <w:pStyle w:val="15"/>
        <w:ind w:firstLine="420" w:firstLineChars="200"/>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9"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9"/>
    </w:p>
    <w:p>
      <w:pPr>
        <w:ind w:firstLine="420" w:firstLineChars="200"/>
        <w:outlineLvl w:val="9"/>
        <w:rPr>
          <w:rFonts w:ascii="宋体" w:hAnsi="宋体"/>
          <w:bCs/>
          <w:color w:val="FF0000"/>
          <w:kern w:val="0"/>
          <w:szCs w:val="21"/>
        </w:rPr>
      </w:pPr>
    </w:p>
    <w:p/>
    <w:p>
      <w:pPr>
        <w:ind w:firstLine="420" w:firstLineChars="200"/>
      </w:pPr>
    </w:p>
    <w:p>
      <w:pPr>
        <w:jc w:val="center"/>
        <w:outlineLvl w:val="9"/>
        <w:rPr>
          <w:b/>
          <w:sz w:val="24"/>
        </w:rPr>
      </w:pPr>
      <w:r>
        <w:rPr>
          <w:rFonts w:hint="eastAsia"/>
          <w:b/>
          <w:sz w:val="24"/>
        </w:rPr>
        <w:t>2、残疾人福利性单位声明函（货物类）</w:t>
      </w:r>
    </w:p>
    <w:p>
      <w:pPr>
        <w:rPr>
          <w:b/>
          <w:bCs/>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60" w:name="_Hlk73562331"/>
      <w:bookmarkStart w:id="61"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60"/>
    </w:p>
    <w:bookmarkEnd w:id="61"/>
    <w:p>
      <w:pPr>
        <w:ind w:firstLine="420" w:firstLineChars="200"/>
        <w:rPr>
          <w:rFonts w:ascii="宋体" w:hAnsi="宋体"/>
          <w:szCs w:val="21"/>
        </w:rPr>
      </w:pPr>
    </w:p>
    <w:p>
      <w:pPr>
        <w:ind w:firstLine="420" w:firstLineChars="200"/>
        <w:rPr>
          <w:rFonts w:ascii="宋体" w:hAnsi="宋体"/>
          <w:szCs w:val="21"/>
        </w:rPr>
      </w:pPr>
    </w:p>
    <w:p>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8"/>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p>
    <w:p>
      <w:pPr>
        <w:pStyle w:val="4"/>
        <w:jc w:val="center"/>
        <w:rPr>
          <w:rFonts w:ascii="黑体" w:eastAsia="黑体"/>
          <w:b w:val="0"/>
          <w:sz w:val="24"/>
          <w:szCs w:val="24"/>
        </w:rPr>
      </w:pPr>
      <w:bookmarkStart w:id="62" w:name="_Hlk72259976"/>
      <w:r>
        <w:rPr>
          <w:rFonts w:hint="eastAsia" w:ascii="黑体" w:eastAsia="黑体"/>
          <w:b w:val="0"/>
          <w:sz w:val="24"/>
          <w:szCs w:val="24"/>
        </w:rPr>
        <w:t>四、项目详细报价</w:t>
      </w:r>
    </w:p>
    <w:p>
      <w:pPr>
        <w:tabs>
          <w:tab w:val="left" w:pos="720"/>
        </w:tabs>
        <w:ind w:firstLine="3132" w:firstLineChars="1300"/>
        <w:rPr>
          <w:b/>
          <w:sz w:val="24"/>
        </w:rPr>
      </w:pPr>
      <w:r>
        <w:rPr>
          <w:rFonts w:hint="eastAsia"/>
          <w:b/>
          <w:sz w:val="24"/>
        </w:rPr>
        <w:t>（一）分项报价表</w:t>
      </w:r>
    </w:p>
    <w:tbl>
      <w:tblPr>
        <w:tblStyle w:val="18"/>
        <w:tblpPr w:leftFromText="180" w:rightFromText="180" w:vertAnchor="text" w:horzAnchor="page" w:tblpX="1358" w:tblpY="849"/>
        <w:tblOverlap w:val="never"/>
        <w:tblW w:w="817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710"/>
        <w:gridCol w:w="779"/>
        <w:gridCol w:w="1778"/>
        <w:gridCol w:w="523"/>
        <w:gridCol w:w="523"/>
        <w:gridCol w:w="523"/>
        <w:gridCol w:w="523"/>
        <w:gridCol w:w="523"/>
        <w:gridCol w:w="460"/>
        <w:gridCol w:w="460"/>
        <w:gridCol w:w="460"/>
        <w:gridCol w:w="91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840" w:hRule="atLeast"/>
        </w:trPr>
        <w:tc>
          <w:tcPr>
            <w:tcW w:w="710" w:type="dxa"/>
            <w:vAlign w:val="center"/>
          </w:tcPr>
          <w:p>
            <w:pPr>
              <w:widowControl/>
              <w:jc w:val="center"/>
              <w:textAlignment w:val="center"/>
              <w:rPr>
                <w:rFonts w:ascii="宋体" w:hAnsi="宋体" w:eastAsia="宋体" w:cs="宋体"/>
                <w:b/>
                <w:bCs/>
                <w:color w:val="000000"/>
                <w:szCs w:val="21"/>
              </w:rPr>
            </w:pPr>
            <w:r>
              <w:rPr>
                <w:rFonts w:hint="default" w:ascii="宋体" w:hAnsi="宋体" w:eastAsia="宋体" w:cs="宋体"/>
                <w:b/>
                <w:bCs/>
                <w:color w:val="000000"/>
                <w:szCs w:val="21"/>
                <w:u w:val="none"/>
                <w:lang w:bidi="ar"/>
              </w:rPr>
              <w:t>序号</w:t>
            </w:r>
          </w:p>
        </w:tc>
        <w:tc>
          <w:tcPr>
            <w:tcW w:w="779" w:type="dxa"/>
            <w:vAlign w:val="center"/>
          </w:tcPr>
          <w:p>
            <w:pPr>
              <w:widowControl/>
              <w:jc w:val="center"/>
              <w:textAlignment w:val="center"/>
              <w:rPr>
                <w:rFonts w:hint="default" w:ascii="宋体" w:hAnsi="宋体" w:eastAsia="宋体" w:cs="宋体"/>
                <w:b/>
                <w:bCs/>
                <w:color w:val="000000"/>
                <w:szCs w:val="21"/>
                <w:u w:val="none"/>
                <w:lang w:bidi="ar"/>
              </w:rPr>
            </w:pPr>
            <w:r>
              <w:rPr>
                <w:rFonts w:hint="default" w:ascii="宋体" w:hAnsi="宋体" w:eastAsia="宋体" w:cs="宋体"/>
                <w:b/>
                <w:bCs/>
                <w:color w:val="000000"/>
                <w:szCs w:val="21"/>
                <w:u w:val="none"/>
                <w:lang w:bidi="ar"/>
              </w:rPr>
              <w:t>采购计划编号</w:t>
            </w:r>
          </w:p>
        </w:tc>
        <w:tc>
          <w:tcPr>
            <w:tcW w:w="1778" w:type="dxa"/>
            <w:vAlign w:val="center"/>
          </w:tcPr>
          <w:p>
            <w:pPr>
              <w:widowControl/>
              <w:jc w:val="center"/>
              <w:textAlignment w:val="center"/>
              <w:rPr>
                <w:rFonts w:ascii="宋体" w:hAnsi="宋体" w:eastAsia="宋体" w:cs="宋体"/>
                <w:b/>
                <w:bCs/>
                <w:color w:val="000000"/>
                <w:szCs w:val="21"/>
              </w:rPr>
            </w:pPr>
            <w:r>
              <w:rPr>
                <w:rFonts w:hint="default" w:ascii="宋体" w:hAnsi="宋体" w:eastAsia="宋体" w:cs="宋体"/>
                <w:b/>
                <w:bCs/>
                <w:color w:val="000000"/>
                <w:szCs w:val="21"/>
                <w:u w:val="none"/>
                <w:lang w:bidi="ar"/>
              </w:rPr>
              <w:t>货物名称（标的名称）</w:t>
            </w:r>
          </w:p>
        </w:tc>
        <w:tc>
          <w:tcPr>
            <w:tcW w:w="523" w:type="dxa"/>
            <w:vAlign w:val="center"/>
          </w:tcPr>
          <w:p>
            <w:pPr>
              <w:widowControl/>
              <w:jc w:val="center"/>
              <w:textAlignment w:val="center"/>
              <w:rPr>
                <w:rFonts w:hint="default" w:ascii="宋体" w:hAnsi="宋体" w:eastAsia="宋体" w:cs="宋体"/>
                <w:b/>
                <w:bCs/>
                <w:color w:val="000000"/>
                <w:szCs w:val="21"/>
                <w:u w:val="none"/>
                <w:lang w:bidi="ar"/>
              </w:rPr>
            </w:pPr>
            <w:r>
              <w:rPr>
                <w:rFonts w:hint="default" w:ascii="宋体" w:hAnsi="宋体" w:eastAsia="宋体" w:cs="宋体"/>
                <w:b/>
                <w:bCs/>
                <w:color w:val="000000"/>
                <w:szCs w:val="21"/>
                <w:u w:val="none"/>
                <w:lang w:bidi="ar"/>
              </w:rPr>
              <w:t>品牌</w:t>
            </w:r>
          </w:p>
        </w:tc>
        <w:tc>
          <w:tcPr>
            <w:tcW w:w="523" w:type="dxa"/>
            <w:vAlign w:val="center"/>
          </w:tcPr>
          <w:p>
            <w:pPr>
              <w:widowControl/>
              <w:jc w:val="center"/>
              <w:textAlignment w:val="center"/>
              <w:rPr>
                <w:rFonts w:hint="default" w:ascii="宋体" w:hAnsi="宋体" w:eastAsia="宋体" w:cs="宋体"/>
                <w:b/>
                <w:bCs/>
                <w:color w:val="000000"/>
                <w:szCs w:val="21"/>
                <w:u w:val="none"/>
                <w:lang w:bidi="ar"/>
              </w:rPr>
            </w:pPr>
            <w:r>
              <w:rPr>
                <w:rFonts w:hint="default" w:ascii="宋体" w:hAnsi="宋体" w:eastAsia="宋体" w:cs="宋体"/>
                <w:b/>
                <w:bCs/>
                <w:color w:val="000000"/>
                <w:szCs w:val="21"/>
                <w:u w:val="none"/>
                <w:lang w:bidi="ar"/>
              </w:rPr>
              <w:t>规格/型号</w:t>
            </w:r>
          </w:p>
        </w:tc>
        <w:tc>
          <w:tcPr>
            <w:tcW w:w="523" w:type="dxa"/>
            <w:vAlign w:val="center"/>
          </w:tcPr>
          <w:p>
            <w:pPr>
              <w:widowControl/>
              <w:jc w:val="center"/>
              <w:textAlignment w:val="center"/>
              <w:rPr>
                <w:rFonts w:hint="default" w:ascii="宋体" w:hAnsi="宋体" w:eastAsia="宋体" w:cs="宋体"/>
                <w:b/>
                <w:bCs/>
                <w:color w:val="000000"/>
                <w:szCs w:val="21"/>
                <w:u w:val="none"/>
                <w:lang w:bidi="ar"/>
              </w:rPr>
            </w:pPr>
            <w:r>
              <w:rPr>
                <w:rFonts w:hint="eastAsia" w:ascii="Times New Roman" w:hAnsi="Times New Roman" w:eastAsia="宋体" w:cs="Times New Roman"/>
                <w:b/>
                <w:color w:val="FF0000"/>
                <w:szCs w:val="21"/>
              </w:rPr>
              <w:t>原产地</w:t>
            </w:r>
          </w:p>
        </w:tc>
        <w:tc>
          <w:tcPr>
            <w:tcW w:w="523" w:type="dxa"/>
            <w:vAlign w:val="center"/>
          </w:tcPr>
          <w:p>
            <w:pPr>
              <w:widowControl/>
              <w:jc w:val="center"/>
              <w:textAlignment w:val="center"/>
              <w:rPr>
                <w:rFonts w:hint="eastAsia" w:ascii="Times New Roman" w:hAnsi="Times New Roman" w:eastAsia="宋体" w:cs="Times New Roman"/>
                <w:b/>
                <w:color w:val="FF0000"/>
                <w:szCs w:val="21"/>
              </w:rPr>
            </w:pPr>
            <w:r>
              <w:rPr>
                <w:rFonts w:hint="eastAsia" w:ascii="Times New Roman" w:hAnsi="Times New Roman" w:eastAsia="宋体" w:cs="Times New Roman"/>
                <w:b/>
                <w:color w:val="auto"/>
                <w:szCs w:val="21"/>
              </w:rPr>
              <w:t>制造商名称</w:t>
            </w:r>
          </w:p>
        </w:tc>
        <w:tc>
          <w:tcPr>
            <w:tcW w:w="523" w:type="dxa"/>
            <w:vAlign w:val="center"/>
          </w:tcPr>
          <w:p>
            <w:pPr>
              <w:widowControl/>
              <w:jc w:val="center"/>
              <w:textAlignment w:val="center"/>
              <w:rPr>
                <w:rFonts w:ascii="宋体" w:hAnsi="宋体" w:eastAsia="宋体" w:cs="宋体"/>
                <w:b/>
                <w:bCs/>
                <w:color w:val="000000"/>
                <w:szCs w:val="21"/>
              </w:rPr>
            </w:pPr>
            <w:r>
              <w:rPr>
                <w:rFonts w:hint="default" w:ascii="宋体" w:hAnsi="宋体" w:eastAsia="宋体" w:cs="宋体"/>
                <w:b/>
                <w:bCs/>
                <w:color w:val="000000"/>
                <w:szCs w:val="21"/>
                <w:u w:val="none"/>
                <w:lang w:bidi="ar"/>
              </w:rPr>
              <w:t>数量</w:t>
            </w:r>
          </w:p>
        </w:tc>
        <w:tc>
          <w:tcPr>
            <w:tcW w:w="460" w:type="dxa"/>
            <w:vAlign w:val="center"/>
          </w:tcPr>
          <w:p>
            <w:pPr>
              <w:widowControl/>
              <w:jc w:val="center"/>
              <w:textAlignment w:val="center"/>
              <w:rPr>
                <w:rFonts w:ascii="宋体" w:hAnsi="宋体" w:eastAsia="宋体" w:cs="宋体"/>
                <w:b/>
                <w:bCs/>
                <w:color w:val="000000"/>
                <w:szCs w:val="21"/>
              </w:rPr>
            </w:pPr>
            <w:r>
              <w:rPr>
                <w:rFonts w:hint="default" w:ascii="宋体" w:hAnsi="宋体" w:eastAsia="宋体" w:cs="宋体"/>
                <w:b/>
                <w:bCs/>
                <w:color w:val="000000"/>
                <w:szCs w:val="21"/>
                <w:u w:val="none"/>
                <w:lang w:bidi="ar"/>
              </w:rPr>
              <w:t>单位</w:t>
            </w:r>
          </w:p>
        </w:tc>
        <w:tc>
          <w:tcPr>
            <w:tcW w:w="460" w:type="dxa"/>
            <w:vAlign w:val="center"/>
          </w:tcPr>
          <w:p>
            <w:pPr>
              <w:widowControl/>
              <w:jc w:val="center"/>
              <w:textAlignment w:val="center"/>
              <w:rPr>
                <w:rFonts w:hint="default" w:ascii="宋体" w:hAnsi="宋体" w:eastAsia="宋体" w:cs="宋体"/>
                <w:b/>
                <w:bCs/>
                <w:color w:val="000000"/>
                <w:szCs w:val="21"/>
                <w:u w:val="none"/>
                <w:lang w:bidi="ar"/>
              </w:rPr>
            </w:pPr>
            <w:r>
              <w:rPr>
                <w:rFonts w:hint="default" w:ascii="宋体" w:hAnsi="宋体" w:eastAsia="宋体" w:cs="宋体"/>
                <w:b/>
                <w:bCs/>
                <w:color w:val="000000"/>
                <w:szCs w:val="21"/>
                <w:u w:val="none"/>
                <w:lang w:bidi="ar"/>
              </w:rPr>
              <w:t>单价(元)</w:t>
            </w:r>
          </w:p>
        </w:tc>
        <w:tc>
          <w:tcPr>
            <w:tcW w:w="460" w:type="dxa"/>
            <w:vAlign w:val="center"/>
          </w:tcPr>
          <w:p>
            <w:pPr>
              <w:widowControl/>
              <w:jc w:val="center"/>
              <w:textAlignment w:val="center"/>
              <w:rPr>
                <w:rFonts w:hint="default" w:ascii="宋体" w:hAnsi="宋体" w:eastAsia="宋体" w:cs="宋体"/>
                <w:b/>
                <w:bCs/>
                <w:color w:val="000000"/>
                <w:szCs w:val="21"/>
                <w:u w:val="none"/>
                <w:lang w:bidi="ar"/>
              </w:rPr>
            </w:pPr>
            <w:r>
              <w:rPr>
                <w:rFonts w:hint="default" w:ascii="宋体" w:hAnsi="宋体" w:eastAsia="宋体" w:cs="宋体"/>
                <w:b/>
                <w:bCs/>
                <w:color w:val="000000"/>
                <w:szCs w:val="21"/>
                <w:u w:val="none"/>
                <w:lang w:bidi="ar"/>
              </w:rPr>
              <w:t>合价(元)</w:t>
            </w:r>
          </w:p>
        </w:tc>
        <w:tc>
          <w:tcPr>
            <w:tcW w:w="914" w:type="dxa"/>
            <w:vAlign w:val="center"/>
          </w:tcPr>
          <w:p>
            <w:pPr>
              <w:widowControl/>
              <w:jc w:val="center"/>
              <w:textAlignment w:val="center"/>
              <w:rPr>
                <w:rFonts w:hint="default" w:ascii="宋体" w:hAnsi="宋体" w:eastAsia="宋体" w:cs="宋体"/>
                <w:b/>
                <w:bCs/>
                <w:color w:val="000000"/>
                <w:szCs w:val="21"/>
                <w:u w:val="none"/>
                <w:lang w:bidi="ar"/>
              </w:rPr>
            </w:pPr>
            <w:r>
              <w:rPr>
                <w:rFonts w:hint="default" w:ascii="宋体" w:hAnsi="宋体" w:eastAsia="宋体" w:cs="宋体"/>
                <w:b/>
                <w:bCs/>
                <w:color w:val="000000"/>
                <w:szCs w:val="21"/>
                <w:u w:val="none"/>
                <w:lang w:bidi="ar"/>
              </w:rPr>
              <w:t>预算金额（元）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71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1</w:t>
            </w:r>
          </w:p>
        </w:tc>
        <w:tc>
          <w:tcPr>
            <w:tcW w:w="779" w:type="dxa"/>
            <w:vMerge w:val="restart"/>
            <w:vAlign w:val="center"/>
          </w:tcPr>
          <w:p>
            <w:pPr>
              <w:widowControl/>
              <w:jc w:val="center"/>
              <w:textAlignment w:val="center"/>
              <w:rPr>
                <w:rFonts w:hint="eastAsia" w:ascii="宋体" w:hAnsi="宋体" w:eastAsia="宋体" w:cs="华文楷体"/>
                <w:color w:val="auto"/>
                <w:sz w:val="21"/>
                <w:szCs w:val="21"/>
                <w:u w:val="none"/>
                <w:lang w:bidi="ar"/>
              </w:rPr>
            </w:pPr>
            <w:r>
              <w:rPr>
                <w:rFonts w:hint="eastAsia" w:ascii="宋体" w:hAnsi="宋体" w:eastAsia="宋体" w:cs="华文楷体"/>
                <w:b/>
                <w:bCs/>
                <w:color w:val="auto"/>
                <w:sz w:val="21"/>
                <w:szCs w:val="21"/>
                <w:u w:val="none"/>
                <w:lang w:bidi="ar"/>
              </w:rPr>
              <w:t>BAJYJ2025052907165A</w:t>
            </w:r>
          </w:p>
        </w:tc>
        <w:tc>
          <w:tcPr>
            <w:tcW w:w="17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b/>
                <w:bCs/>
                <w:color w:val="FF0000"/>
                <w:kern w:val="0"/>
                <w:szCs w:val="21"/>
                <w:lang w:bidi="ar"/>
              </w:rPr>
              <w:t>实木幼儿长桌1</w:t>
            </w:r>
          </w:p>
        </w:tc>
        <w:tc>
          <w:tcPr>
            <w:tcW w:w="523" w:type="dxa"/>
            <w:vAlign w:val="center"/>
          </w:tcPr>
          <w:p>
            <w:pPr>
              <w:widowControl/>
              <w:jc w:val="center"/>
              <w:textAlignment w:val="center"/>
              <w:rPr>
                <w:rFonts w:hint="eastAsia" w:ascii="宋体" w:hAnsi="宋体" w:eastAsia="宋体" w:cs="华文楷体"/>
                <w:b/>
                <w:bCs/>
                <w:color w:val="FF0000"/>
                <w:kern w:val="0"/>
                <w:szCs w:val="21"/>
                <w:lang w:bidi="ar"/>
              </w:rPr>
            </w:pPr>
          </w:p>
        </w:tc>
        <w:tc>
          <w:tcPr>
            <w:tcW w:w="523" w:type="dxa"/>
            <w:vAlign w:val="center"/>
          </w:tcPr>
          <w:p>
            <w:pPr>
              <w:widowControl/>
              <w:jc w:val="center"/>
              <w:textAlignment w:val="center"/>
              <w:rPr>
                <w:rFonts w:hint="eastAsia" w:ascii="宋体" w:hAnsi="宋体" w:eastAsia="宋体" w:cs="华文楷体"/>
                <w:b/>
                <w:bCs/>
                <w:color w:val="FF0000"/>
                <w:kern w:val="0"/>
                <w:szCs w:val="21"/>
                <w:lang w:bidi="ar"/>
              </w:rPr>
            </w:pPr>
          </w:p>
        </w:tc>
        <w:tc>
          <w:tcPr>
            <w:tcW w:w="523" w:type="dxa"/>
            <w:vAlign w:val="center"/>
          </w:tcPr>
          <w:p>
            <w:pPr>
              <w:widowControl/>
              <w:jc w:val="center"/>
              <w:textAlignment w:val="center"/>
              <w:rPr>
                <w:rFonts w:hint="eastAsia" w:ascii="宋体" w:hAnsi="宋体" w:eastAsia="宋体" w:cs="华文楷体"/>
                <w:b/>
                <w:bCs/>
                <w:color w:val="FF0000"/>
                <w:kern w:val="0"/>
                <w:szCs w:val="21"/>
                <w:lang w:bidi="ar"/>
              </w:rPr>
            </w:pPr>
          </w:p>
        </w:tc>
        <w:tc>
          <w:tcPr>
            <w:tcW w:w="523" w:type="dxa"/>
            <w:vAlign w:val="center"/>
          </w:tcPr>
          <w:p>
            <w:pPr>
              <w:widowControl/>
              <w:jc w:val="center"/>
              <w:textAlignment w:val="center"/>
              <w:rPr>
                <w:rFonts w:hint="eastAsia" w:ascii="宋体" w:hAnsi="宋体" w:eastAsia="宋体" w:cs="华文楷体"/>
                <w:b/>
                <w:bCs/>
                <w:color w:val="FF0000"/>
                <w:kern w:val="0"/>
                <w:szCs w:val="21"/>
                <w:lang w:bidi="ar"/>
              </w:rPr>
            </w:pPr>
          </w:p>
        </w:tc>
        <w:tc>
          <w:tcPr>
            <w:tcW w:w="523"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8</w:t>
            </w:r>
          </w:p>
        </w:tc>
        <w:tc>
          <w:tcPr>
            <w:tcW w:w="46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张</w:t>
            </w: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914" w:type="dxa"/>
            <w:vMerge w:val="restart"/>
            <w:vAlign w:val="center"/>
          </w:tcPr>
          <w:p>
            <w:pPr>
              <w:widowControl/>
              <w:jc w:val="center"/>
              <w:textAlignment w:val="center"/>
              <w:rPr>
                <w:rFonts w:hint="eastAsia" w:ascii="宋体" w:hAnsi="宋体" w:eastAsia="宋体" w:cs="华文楷体"/>
                <w:color w:val="auto"/>
                <w:sz w:val="21"/>
                <w:szCs w:val="21"/>
                <w:u w:val="none"/>
                <w:lang w:bidi="ar"/>
              </w:rPr>
            </w:pPr>
            <w:r>
              <w:rPr>
                <w:rFonts w:hint="eastAsia" w:ascii="宋体" w:hAnsi="宋体" w:eastAsia="宋体" w:cs="华文楷体"/>
                <w:b/>
                <w:bCs/>
                <w:color w:val="FF0000"/>
                <w:sz w:val="21"/>
                <w:szCs w:val="21"/>
                <w:u w:val="none"/>
                <w:lang w:bidi="ar"/>
              </w:rPr>
              <w:t>742,500.00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71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2</w:t>
            </w:r>
          </w:p>
        </w:tc>
        <w:tc>
          <w:tcPr>
            <w:tcW w:w="779"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17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实木幼儿长桌2</w:t>
            </w: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18</w:t>
            </w:r>
          </w:p>
        </w:tc>
        <w:tc>
          <w:tcPr>
            <w:tcW w:w="46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张</w:t>
            </w: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914"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71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3</w:t>
            </w:r>
          </w:p>
        </w:tc>
        <w:tc>
          <w:tcPr>
            <w:tcW w:w="779"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17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实木幼儿长桌3</w:t>
            </w: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18</w:t>
            </w:r>
          </w:p>
        </w:tc>
        <w:tc>
          <w:tcPr>
            <w:tcW w:w="46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张</w:t>
            </w: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914"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71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4</w:t>
            </w:r>
          </w:p>
        </w:tc>
        <w:tc>
          <w:tcPr>
            <w:tcW w:w="779"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17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实木幼儿方桌1</w:t>
            </w: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2</w:t>
            </w:r>
          </w:p>
        </w:tc>
        <w:tc>
          <w:tcPr>
            <w:tcW w:w="46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张</w:t>
            </w: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914"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71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5</w:t>
            </w:r>
          </w:p>
        </w:tc>
        <w:tc>
          <w:tcPr>
            <w:tcW w:w="779"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17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实木幼儿方桌2</w:t>
            </w: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3</w:t>
            </w:r>
          </w:p>
        </w:tc>
        <w:tc>
          <w:tcPr>
            <w:tcW w:w="46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张</w:t>
            </w: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914"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71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6</w:t>
            </w:r>
          </w:p>
        </w:tc>
        <w:tc>
          <w:tcPr>
            <w:tcW w:w="779"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17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实木幼儿方桌3</w:t>
            </w: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3</w:t>
            </w:r>
          </w:p>
        </w:tc>
        <w:tc>
          <w:tcPr>
            <w:tcW w:w="46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张</w:t>
            </w: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914"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71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7</w:t>
            </w:r>
          </w:p>
        </w:tc>
        <w:tc>
          <w:tcPr>
            <w:tcW w:w="779"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17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实木幼儿圆桌1</w:t>
            </w: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2</w:t>
            </w:r>
          </w:p>
        </w:tc>
        <w:tc>
          <w:tcPr>
            <w:tcW w:w="46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张</w:t>
            </w: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914"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71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8</w:t>
            </w:r>
          </w:p>
        </w:tc>
        <w:tc>
          <w:tcPr>
            <w:tcW w:w="779"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17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实木幼儿圆桌2</w:t>
            </w: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3</w:t>
            </w:r>
          </w:p>
        </w:tc>
        <w:tc>
          <w:tcPr>
            <w:tcW w:w="46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张</w:t>
            </w: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914"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71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9</w:t>
            </w:r>
          </w:p>
        </w:tc>
        <w:tc>
          <w:tcPr>
            <w:tcW w:w="779"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17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实木幼儿圆桌3</w:t>
            </w: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3</w:t>
            </w:r>
          </w:p>
        </w:tc>
        <w:tc>
          <w:tcPr>
            <w:tcW w:w="46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张</w:t>
            </w: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914"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71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10</w:t>
            </w:r>
          </w:p>
        </w:tc>
        <w:tc>
          <w:tcPr>
            <w:tcW w:w="779"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17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实木儿童椅1</w:t>
            </w: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56</w:t>
            </w:r>
          </w:p>
        </w:tc>
        <w:tc>
          <w:tcPr>
            <w:tcW w:w="46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张</w:t>
            </w: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914"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71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11</w:t>
            </w:r>
          </w:p>
        </w:tc>
        <w:tc>
          <w:tcPr>
            <w:tcW w:w="779"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17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实木儿童椅2</w:t>
            </w: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99</w:t>
            </w:r>
          </w:p>
        </w:tc>
        <w:tc>
          <w:tcPr>
            <w:tcW w:w="46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张</w:t>
            </w: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914"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71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12</w:t>
            </w:r>
          </w:p>
        </w:tc>
        <w:tc>
          <w:tcPr>
            <w:tcW w:w="779"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17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实木儿童椅3</w:t>
            </w: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114</w:t>
            </w:r>
          </w:p>
        </w:tc>
        <w:tc>
          <w:tcPr>
            <w:tcW w:w="46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张</w:t>
            </w: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914"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71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13</w:t>
            </w:r>
          </w:p>
        </w:tc>
        <w:tc>
          <w:tcPr>
            <w:tcW w:w="779"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17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美术展示柜A</w:t>
            </w: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5</w:t>
            </w:r>
          </w:p>
        </w:tc>
        <w:tc>
          <w:tcPr>
            <w:tcW w:w="46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914"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71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14</w:t>
            </w:r>
          </w:p>
        </w:tc>
        <w:tc>
          <w:tcPr>
            <w:tcW w:w="779"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17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美术展示柜C</w:t>
            </w: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3</w:t>
            </w:r>
          </w:p>
        </w:tc>
        <w:tc>
          <w:tcPr>
            <w:tcW w:w="46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914"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71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15</w:t>
            </w:r>
          </w:p>
        </w:tc>
        <w:tc>
          <w:tcPr>
            <w:tcW w:w="779"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17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实木十二格收纳柜</w:t>
            </w: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8</w:t>
            </w:r>
          </w:p>
        </w:tc>
        <w:tc>
          <w:tcPr>
            <w:tcW w:w="46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914"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710" w:type="dxa"/>
            <w:shd w:val="clear" w:color="auto" w:fill="FFFFFF"/>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16</w:t>
            </w:r>
          </w:p>
        </w:tc>
        <w:tc>
          <w:tcPr>
            <w:tcW w:w="779" w:type="dxa"/>
            <w:vMerge w:val="continue"/>
            <w:shd w:val="clear" w:color="auto" w:fill="FFFFFF"/>
            <w:vAlign w:val="center"/>
          </w:tcPr>
          <w:p>
            <w:pPr>
              <w:widowControl/>
              <w:jc w:val="center"/>
              <w:textAlignment w:val="center"/>
              <w:rPr>
                <w:rFonts w:hint="eastAsia" w:ascii="宋体" w:hAnsi="宋体" w:eastAsia="宋体" w:cs="华文楷体"/>
                <w:color w:val="auto"/>
                <w:sz w:val="21"/>
                <w:szCs w:val="21"/>
                <w:u w:val="none"/>
                <w:lang w:bidi="ar"/>
              </w:rPr>
            </w:pPr>
          </w:p>
        </w:tc>
        <w:tc>
          <w:tcPr>
            <w:tcW w:w="1778" w:type="dxa"/>
            <w:shd w:val="clear" w:color="auto" w:fill="FFFFFF"/>
            <w:vAlign w:val="center"/>
          </w:tcPr>
          <w:p>
            <w:pPr>
              <w:widowControl/>
              <w:jc w:val="center"/>
              <w:textAlignment w:val="center"/>
              <w:rPr>
                <w:rFonts w:ascii="宋体" w:hAnsi="宋体" w:eastAsia="宋体" w:cs="华文楷体"/>
                <w:kern w:val="0"/>
                <w:szCs w:val="21"/>
                <w:lang w:bidi="ar"/>
              </w:rPr>
            </w:pPr>
            <w:r>
              <w:rPr>
                <w:rFonts w:hint="eastAsia" w:ascii="宋体" w:hAnsi="宋体" w:eastAsia="宋体" w:cs="华文楷体"/>
                <w:kern w:val="0"/>
                <w:szCs w:val="21"/>
                <w:lang w:bidi="ar"/>
              </w:rPr>
              <w:t>实木六格活动柜</w:t>
            </w:r>
          </w:p>
        </w:tc>
        <w:tc>
          <w:tcPr>
            <w:tcW w:w="523" w:type="dxa"/>
            <w:shd w:val="clear" w:color="auto" w:fill="FFFFFF"/>
            <w:vAlign w:val="center"/>
          </w:tcPr>
          <w:p>
            <w:pPr>
              <w:widowControl/>
              <w:jc w:val="center"/>
              <w:textAlignment w:val="center"/>
              <w:rPr>
                <w:rFonts w:hint="eastAsia" w:ascii="宋体" w:hAnsi="宋体" w:eastAsia="宋体" w:cs="华文楷体"/>
                <w:kern w:val="0"/>
                <w:szCs w:val="21"/>
                <w:lang w:bidi="ar"/>
              </w:rPr>
            </w:pPr>
          </w:p>
        </w:tc>
        <w:tc>
          <w:tcPr>
            <w:tcW w:w="523" w:type="dxa"/>
            <w:shd w:val="clear" w:color="auto" w:fill="FFFFFF"/>
            <w:vAlign w:val="center"/>
          </w:tcPr>
          <w:p>
            <w:pPr>
              <w:widowControl/>
              <w:jc w:val="center"/>
              <w:textAlignment w:val="center"/>
              <w:rPr>
                <w:rFonts w:hint="eastAsia" w:ascii="宋体" w:hAnsi="宋体" w:eastAsia="宋体" w:cs="华文楷体"/>
                <w:kern w:val="0"/>
                <w:szCs w:val="21"/>
                <w:lang w:bidi="ar"/>
              </w:rPr>
            </w:pPr>
          </w:p>
        </w:tc>
        <w:tc>
          <w:tcPr>
            <w:tcW w:w="523" w:type="dxa"/>
            <w:shd w:val="clear" w:color="auto" w:fill="FFFFFF"/>
            <w:vAlign w:val="center"/>
          </w:tcPr>
          <w:p>
            <w:pPr>
              <w:widowControl/>
              <w:jc w:val="center"/>
              <w:textAlignment w:val="center"/>
              <w:rPr>
                <w:rFonts w:hint="eastAsia" w:ascii="宋体" w:hAnsi="宋体" w:eastAsia="宋体" w:cs="华文楷体"/>
                <w:kern w:val="0"/>
                <w:szCs w:val="21"/>
                <w:lang w:bidi="ar"/>
              </w:rPr>
            </w:pPr>
          </w:p>
        </w:tc>
        <w:tc>
          <w:tcPr>
            <w:tcW w:w="523" w:type="dxa"/>
            <w:shd w:val="clear" w:color="auto" w:fill="FFFFFF"/>
            <w:vAlign w:val="center"/>
          </w:tcPr>
          <w:p>
            <w:pPr>
              <w:widowControl/>
              <w:jc w:val="center"/>
              <w:textAlignment w:val="center"/>
              <w:rPr>
                <w:rFonts w:hint="eastAsia" w:ascii="宋体" w:hAnsi="宋体" w:eastAsia="宋体" w:cs="华文楷体"/>
                <w:kern w:val="0"/>
                <w:szCs w:val="21"/>
                <w:lang w:bidi="ar"/>
              </w:rPr>
            </w:pPr>
          </w:p>
        </w:tc>
        <w:tc>
          <w:tcPr>
            <w:tcW w:w="523" w:type="dxa"/>
            <w:shd w:val="clear" w:color="auto" w:fill="FFFFFF"/>
            <w:vAlign w:val="center"/>
          </w:tcPr>
          <w:p>
            <w:pPr>
              <w:widowControl/>
              <w:jc w:val="center"/>
              <w:textAlignment w:val="center"/>
              <w:rPr>
                <w:rFonts w:ascii="宋体" w:hAnsi="宋体" w:eastAsia="宋体" w:cs="华文楷体"/>
                <w:kern w:val="0"/>
                <w:szCs w:val="21"/>
                <w:lang w:bidi="ar"/>
              </w:rPr>
            </w:pPr>
            <w:r>
              <w:rPr>
                <w:rFonts w:hint="eastAsia" w:ascii="宋体" w:hAnsi="宋体" w:eastAsia="宋体" w:cs="华文楷体"/>
                <w:kern w:val="0"/>
                <w:szCs w:val="21"/>
                <w:lang w:bidi="ar"/>
              </w:rPr>
              <w:t>16</w:t>
            </w:r>
          </w:p>
        </w:tc>
        <w:tc>
          <w:tcPr>
            <w:tcW w:w="460" w:type="dxa"/>
            <w:shd w:val="clear" w:color="auto" w:fill="FFFFFF"/>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460" w:type="dxa"/>
            <w:shd w:val="clear" w:color="auto" w:fill="FFFFFF"/>
            <w:vAlign w:val="center"/>
          </w:tcPr>
          <w:p>
            <w:pPr>
              <w:widowControl/>
              <w:jc w:val="center"/>
              <w:textAlignment w:val="center"/>
              <w:rPr>
                <w:rFonts w:hint="eastAsia" w:ascii="宋体" w:hAnsi="宋体" w:eastAsia="宋体" w:cs="华文楷体"/>
                <w:color w:val="auto"/>
                <w:sz w:val="21"/>
                <w:szCs w:val="21"/>
                <w:u w:val="none"/>
                <w:lang w:bidi="ar"/>
              </w:rPr>
            </w:pPr>
          </w:p>
        </w:tc>
        <w:tc>
          <w:tcPr>
            <w:tcW w:w="460" w:type="dxa"/>
            <w:shd w:val="clear" w:color="auto" w:fill="FFFFFF"/>
            <w:vAlign w:val="center"/>
          </w:tcPr>
          <w:p>
            <w:pPr>
              <w:widowControl/>
              <w:jc w:val="center"/>
              <w:textAlignment w:val="center"/>
              <w:rPr>
                <w:rFonts w:hint="eastAsia" w:ascii="宋体" w:hAnsi="宋体" w:eastAsia="宋体" w:cs="华文楷体"/>
                <w:color w:val="auto"/>
                <w:sz w:val="21"/>
                <w:szCs w:val="21"/>
                <w:u w:val="none"/>
                <w:lang w:bidi="ar"/>
              </w:rPr>
            </w:pPr>
          </w:p>
        </w:tc>
        <w:tc>
          <w:tcPr>
            <w:tcW w:w="914" w:type="dxa"/>
            <w:vMerge w:val="continue"/>
            <w:shd w:val="clear" w:color="auto" w:fill="FFFFFF"/>
            <w:vAlign w:val="center"/>
          </w:tcPr>
          <w:p>
            <w:pPr>
              <w:widowControl/>
              <w:jc w:val="center"/>
              <w:textAlignment w:val="center"/>
              <w:rPr>
                <w:rFonts w:hint="eastAsia" w:ascii="宋体" w:hAnsi="宋体" w:eastAsia="宋体" w:cs="华文楷体"/>
                <w:color w:val="auto"/>
                <w:sz w:val="21"/>
                <w:szCs w:val="21"/>
                <w:u w:val="none"/>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710" w:type="dxa"/>
            <w:shd w:val="clear" w:color="auto" w:fill="FFFFFF"/>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17</w:t>
            </w:r>
          </w:p>
        </w:tc>
        <w:tc>
          <w:tcPr>
            <w:tcW w:w="779" w:type="dxa"/>
            <w:vMerge w:val="continue"/>
            <w:shd w:val="clear" w:color="auto" w:fill="FFFFFF"/>
            <w:vAlign w:val="center"/>
          </w:tcPr>
          <w:p>
            <w:pPr>
              <w:widowControl/>
              <w:jc w:val="center"/>
              <w:textAlignment w:val="center"/>
              <w:rPr>
                <w:rFonts w:hint="eastAsia" w:ascii="宋体" w:hAnsi="宋体" w:eastAsia="宋体" w:cs="华文楷体"/>
                <w:color w:val="auto"/>
                <w:sz w:val="21"/>
                <w:szCs w:val="21"/>
                <w:u w:val="none"/>
                <w:lang w:bidi="ar"/>
              </w:rPr>
            </w:pPr>
          </w:p>
        </w:tc>
        <w:tc>
          <w:tcPr>
            <w:tcW w:w="1778" w:type="dxa"/>
            <w:shd w:val="clear" w:color="auto" w:fill="FFFFFF"/>
            <w:vAlign w:val="center"/>
          </w:tcPr>
          <w:p>
            <w:pPr>
              <w:widowControl/>
              <w:jc w:val="center"/>
              <w:textAlignment w:val="center"/>
              <w:rPr>
                <w:rFonts w:ascii="宋体" w:hAnsi="宋体" w:eastAsia="宋体" w:cs="华文楷体"/>
                <w:kern w:val="0"/>
                <w:szCs w:val="21"/>
                <w:lang w:bidi="ar"/>
              </w:rPr>
            </w:pPr>
            <w:r>
              <w:rPr>
                <w:rFonts w:hint="eastAsia" w:ascii="宋体" w:hAnsi="宋体" w:eastAsia="宋体" w:cs="华文楷体"/>
                <w:kern w:val="0"/>
                <w:szCs w:val="21"/>
                <w:lang w:bidi="ar"/>
              </w:rPr>
              <w:t>实木美术材料柜（活动）</w:t>
            </w:r>
          </w:p>
        </w:tc>
        <w:tc>
          <w:tcPr>
            <w:tcW w:w="523" w:type="dxa"/>
            <w:shd w:val="clear" w:color="auto" w:fill="FFFFFF"/>
            <w:vAlign w:val="center"/>
          </w:tcPr>
          <w:p>
            <w:pPr>
              <w:widowControl/>
              <w:jc w:val="center"/>
              <w:textAlignment w:val="center"/>
              <w:rPr>
                <w:rFonts w:hint="eastAsia" w:ascii="宋体" w:hAnsi="宋体" w:eastAsia="宋体" w:cs="华文楷体"/>
                <w:kern w:val="0"/>
                <w:szCs w:val="21"/>
                <w:lang w:bidi="ar"/>
              </w:rPr>
            </w:pPr>
          </w:p>
        </w:tc>
        <w:tc>
          <w:tcPr>
            <w:tcW w:w="523" w:type="dxa"/>
            <w:shd w:val="clear" w:color="auto" w:fill="FFFFFF"/>
            <w:vAlign w:val="center"/>
          </w:tcPr>
          <w:p>
            <w:pPr>
              <w:widowControl/>
              <w:jc w:val="center"/>
              <w:textAlignment w:val="center"/>
              <w:rPr>
                <w:rFonts w:hint="eastAsia" w:ascii="宋体" w:hAnsi="宋体" w:eastAsia="宋体" w:cs="华文楷体"/>
                <w:kern w:val="0"/>
                <w:szCs w:val="21"/>
                <w:lang w:bidi="ar"/>
              </w:rPr>
            </w:pPr>
          </w:p>
        </w:tc>
        <w:tc>
          <w:tcPr>
            <w:tcW w:w="523" w:type="dxa"/>
            <w:shd w:val="clear" w:color="auto" w:fill="FFFFFF"/>
            <w:vAlign w:val="center"/>
          </w:tcPr>
          <w:p>
            <w:pPr>
              <w:widowControl/>
              <w:jc w:val="center"/>
              <w:textAlignment w:val="center"/>
              <w:rPr>
                <w:rFonts w:hint="eastAsia" w:ascii="宋体" w:hAnsi="宋体" w:eastAsia="宋体" w:cs="华文楷体"/>
                <w:kern w:val="0"/>
                <w:szCs w:val="21"/>
                <w:lang w:bidi="ar"/>
              </w:rPr>
            </w:pPr>
          </w:p>
        </w:tc>
        <w:tc>
          <w:tcPr>
            <w:tcW w:w="523" w:type="dxa"/>
            <w:shd w:val="clear" w:color="auto" w:fill="FFFFFF"/>
            <w:vAlign w:val="center"/>
          </w:tcPr>
          <w:p>
            <w:pPr>
              <w:widowControl/>
              <w:jc w:val="center"/>
              <w:textAlignment w:val="center"/>
              <w:rPr>
                <w:rFonts w:hint="eastAsia" w:ascii="宋体" w:hAnsi="宋体" w:eastAsia="宋体" w:cs="华文楷体"/>
                <w:kern w:val="0"/>
                <w:szCs w:val="21"/>
                <w:lang w:bidi="ar"/>
              </w:rPr>
            </w:pPr>
          </w:p>
        </w:tc>
        <w:tc>
          <w:tcPr>
            <w:tcW w:w="523" w:type="dxa"/>
            <w:shd w:val="clear" w:color="auto" w:fill="FFFFFF"/>
            <w:vAlign w:val="center"/>
          </w:tcPr>
          <w:p>
            <w:pPr>
              <w:widowControl/>
              <w:jc w:val="center"/>
              <w:textAlignment w:val="center"/>
              <w:rPr>
                <w:rFonts w:ascii="宋体" w:hAnsi="宋体" w:eastAsia="宋体" w:cs="华文楷体"/>
                <w:kern w:val="0"/>
                <w:szCs w:val="21"/>
                <w:lang w:bidi="ar"/>
              </w:rPr>
            </w:pPr>
            <w:r>
              <w:rPr>
                <w:rFonts w:hint="eastAsia" w:ascii="宋体" w:hAnsi="宋体" w:eastAsia="宋体" w:cs="华文楷体"/>
                <w:kern w:val="0"/>
                <w:szCs w:val="21"/>
                <w:lang w:bidi="ar"/>
              </w:rPr>
              <w:t>8</w:t>
            </w:r>
          </w:p>
        </w:tc>
        <w:tc>
          <w:tcPr>
            <w:tcW w:w="460" w:type="dxa"/>
            <w:shd w:val="clear" w:color="auto" w:fill="FFFFFF"/>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460" w:type="dxa"/>
            <w:shd w:val="clear" w:color="auto" w:fill="FFFFFF"/>
            <w:vAlign w:val="center"/>
          </w:tcPr>
          <w:p>
            <w:pPr>
              <w:widowControl/>
              <w:jc w:val="center"/>
              <w:textAlignment w:val="center"/>
              <w:rPr>
                <w:rFonts w:hint="eastAsia" w:ascii="宋体" w:hAnsi="宋体" w:eastAsia="宋体" w:cs="华文楷体"/>
                <w:color w:val="auto"/>
                <w:sz w:val="21"/>
                <w:szCs w:val="21"/>
                <w:u w:val="none"/>
                <w:lang w:bidi="ar"/>
              </w:rPr>
            </w:pPr>
          </w:p>
        </w:tc>
        <w:tc>
          <w:tcPr>
            <w:tcW w:w="460" w:type="dxa"/>
            <w:shd w:val="clear" w:color="auto" w:fill="FFFFFF"/>
            <w:vAlign w:val="center"/>
          </w:tcPr>
          <w:p>
            <w:pPr>
              <w:widowControl/>
              <w:jc w:val="center"/>
              <w:textAlignment w:val="center"/>
              <w:rPr>
                <w:rFonts w:hint="eastAsia" w:ascii="宋体" w:hAnsi="宋体" w:eastAsia="宋体" w:cs="华文楷体"/>
                <w:color w:val="auto"/>
                <w:sz w:val="21"/>
                <w:szCs w:val="21"/>
                <w:u w:val="none"/>
                <w:lang w:bidi="ar"/>
              </w:rPr>
            </w:pPr>
          </w:p>
        </w:tc>
        <w:tc>
          <w:tcPr>
            <w:tcW w:w="914" w:type="dxa"/>
            <w:vMerge w:val="continue"/>
            <w:shd w:val="clear" w:color="auto" w:fill="FFFFFF"/>
            <w:vAlign w:val="center"/>
          </w:tcPr>
          <w:p>
            <w:pPr>
              <w:widowControl/>
              <w:jc w:val="center"/>
              <w:textAlignment w:val="center"/>
              <w:rPr>
                <w:rFonts w:hint="eastAsia" w:ascii="宋体" w:hAnsi="宋体" w:eastAsia="宋体" w:cs="华文楷体"/>
                <w:color w:val="auto"/>
                <w:sz w:val="21"/>
                <w:szCs w:val="21"/>
                <w:u w:val="none"/>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71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18</w:t>
            </w:r>
          </w:p>
        </w:tc>
        <w:tc>
          <w:tcPr>
            <w:tcW w:w="779"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17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实木布偶玩具柜台</w:t>
            </w: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5</w:t>
            </w:r>
          </w:p>
        </w:tc>
        <w:tc>
          <w:tcPr>
            <w:tcW w:w="46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914"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71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19</w:t>
            </w:r>
          </w:p>
        </w:tc>
        <w:tc>
          <w:tcPr>
            <w:tcW w:w="779"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17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实木5格中空收纳柜</w:t>
            </w: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7</w:t>
            </w:r>
          </w:p>
        </w:tc>
        <w:tc>
          <w:tcPr>
            <w:tcW w:w="46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914"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71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20</w:t>
            </w:r>
          </w:p>
        </w:tc>
        <w:tc>
          <w:tcPr>
            <w:tcW w:w="779"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17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实木2层中空柜</w:t>
            </w: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5</w:t>
            </w:r>
          </w:p>
        </w:tc>
        <w:tc>
          <w:tcPr>
            <w:tcW w:w="46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914"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3" w:hRule="atLeast"/>
        </w:trPr>
        <w:tc>
          <w:tcPr>
            <w:tcW w:w="71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21</w:t>
            </w:r>
          </w:p>
        </w:tc>
        <w:tc>
          <w:tcPr>
            <w:tcW w:w="779"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17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实木2层矮柜</w:t>
            </w: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2</w:t>
            </w:r>
          </w:p>
        </w:tc>
        <w:tc>
          <w:tcPr>
            <w:tcW w:w="46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914"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71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22</w:t>
            </w:r>
          </w:p>
        </w:tc>
        <w:tc>
          <w:tcPr>
            <w:tcW w:w="779"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17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实木双层弧形收纳柜</w:t>
            </w: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4</w:t>
            </w:r>
          </w:p>
        </w:tc>
        <w:tc>
          <w:tcPr>
            <w:tcW w:w="46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914"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71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23</w:t>
            </w:r>
          </w:p>
        </w:tc>
        <w:tc>
          <w:tcPr>
            <w:tcW w:w="779"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17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实木3层玩具柜</w:t>
            </w: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32</w:t>
            </w:r>
          </w:p>
        </w:tc>
        <w:tc>
          <w:tcPr>
            <w:tcW w:w="46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914"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71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24</w:t>
            </w:r>
          </w:p>
        </w:tc>
        <w:tc>
          <w:tcPr>
            <w:tcW w:w="779"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17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实木3层收纳柜</w:t>
            </w: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19</w:t>
            </w:r>
          </w:p>
        </w:tc>
        <w:tc>
          <w:tcPr>
            <w:tcW w:w="46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914"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71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25</w:t>
            </w:r>
          </w:p>
        </w:tc>
        <w:tc>
          <w:tcPr>
            <w:tcW w:w="779"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17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实木阶梯柜</w:t>
            </w: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8</w:t>
            </w:r>
          </w:p>
        </w:tc>
        <w:tc>
          <w:tcPr>
            <w:tcW w:w="46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套</w:t>
            </w: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914"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11" w:hRule="atLeast"/>
        </w:trPr>
        <w:tc>
          <w:tcPr>
            <w:tcW w:w="71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26</w:t>
            </w:r>
          </w:p>
        </w:tc>
        <w:tc>
          <w:tcPr>
            <w:tcW w:w="779"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17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贩卖台（不含盒）</w:t>
            </w: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3</w:t>
            </w:r>
          </w:p>
        </w:tc>
        <w:tc>
          <w:tcPr>
            <w:tcW w:w="46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914"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71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27</w:t>
            </w:r>
          </w:p>
        </w:tc>
        <w:tc>
          <w:tcPr>
            <w:tcW w:w="779"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17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实木小屋阅读柜</w:t>
            </w: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2</w:t>
            </w:r>
          </w:p>
        </w:tc>
        <w:tc>
          <w:tcPr>
            <w:tcW w:w="46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914"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71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28</w:t>
            </w:r>
          </w:p>
        </w:tc>
        <w:tc>
          <w:tcPr>
            <w:tcW w:w="779"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17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实木6格中空分区柜</w:t>
            </w: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6</w:t>
            </w:r>
          </w:p>
        </w:tc>
        <w:tc>
          <w:tcPr>
            <w:tcW w:w="46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914"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71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29</w:t>
            </w:r>
          </w:p>
        </w:tc>
        <w:tc>
          <w:tcPr>
            <w:tcW w:w="779"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17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实木教具柜（含盒）</w:t>
            </w: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6</w:t>
            </w:r>
          </w:p>
        </w:tc>
        <w:tc>
          <w:tcPr>
            <w:tcW w:w="46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套</w:t>
            </w: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914"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71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30</w:t>
            </w:r>
          </w:p>
        </w:tc>
        <w:tc>
          <w:tcPr>
            <w:tcW w:w="779"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17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实木8格收纳柜</w:t>
            </w: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12</w:t>
            </w:r>
          </w:p>
        </w:tc>
        <w:tc>
          <w:tcPr>
            <w:tcW w:w="46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914"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71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31</w:t>
            </w:r>
          </w:p>
        </w:tc>
        <w:tc>
          <w:tcPr>
            <w:tcW w:w="779"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17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实木系统书柜</w:t>
            </w: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8</w:t>
            </w:r>
          </w:p>
        </w:tc>
        <w:tc>
          <w:tcPr>
            <w:tcW w:w="46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914"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71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32</w:t>
            </w:r>
          </w:p>
        </w:tc>
        <w:tc>
          <w:tcPr>
            <w:tcW w:w="779"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17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实木10格书包、鞋一体柜</w:t>
            </w: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22</w:t>
            </w:r>
          </w:p>
        </w:tc>
        <w:tc>
          <w:tcPr>
            <w:tcW w:w="46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914"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71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33</w:t>
            </w:r>
          </w:p>
        </w:tc>
        <w:tc>
          <w:tcPr>
            <w:tcW w:w="779"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17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实木6格书包、鞋一体柜</w:t>
            </w: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5</w:t>
            </w:r>
          </w:p>
        </w:tc>
        <w:tc>
          <w:tcPr>
            <w:tcW w:w="46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914"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71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34</w:t>
            </w:r>
          </w:p>
        </w:tc>
        <w:tc>
          <w:tcPr>
            <w:tcW w:w="779"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17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实木榻榻米床</w:t>
            </w: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159</w:t>
            </w:r>
          </w:p>
        </w:tc>
        <w:tc>
          <w:tcPr>
            <w:tcW w:w="46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张</w:t>
            </w: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914"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71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35</w:t>
            </w:r>
          </w:p>
        </w:tc>
        <w:tc>
          <w:tcPr>
            <w:tcW w:w="779"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17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便携式儿童床架</w:t>
            </w: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8</w:t>
            </w:r>
          </w:p>
        </w:tc>
        <w:tc>
          <w:tcPr>
            <w:tcW w:w="46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914"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71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36</w:t>
            </w:r>
          </w:p>
        </w:tc>
        <w:tc>
          <w:tcPr>
            <w:tcW w:w="779"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17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便携式可堆叠儿童床1</w:t>
            </w: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28</w:t>
            </w:r>
          </w:p>
        </w:tc>
        <w:tc>
          <w:tcPr>
            <w:tcW w:w="46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张</w:t>
            </w: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914"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71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37</w:t>
            </w:r>
          </w:p>
        </w:tc>
        <w:tc>
          <w:tcPr>
            <w:tcW w:w="779"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17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便携式可堆叠儿童床2</w:t>
            </w: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84</w:t>
            </w:r>
          </w:p>
        </w:tc>
        <w:tc>
          <w:tcPr>
            <w:tcW w:w="46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张</w:t>
            </w: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914"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1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38</w:t>
            </w:r>
          </w:p>
        </w:tc>
        <w:tc>
          <w:tcPr>
            <w:tcW w:w="779"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17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毛巾架</w:t>
            </w: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32</w:t>
            </w:r>
          </w:p>
        </w:tc>
        <w:tc>
          <w:tcPr>
            <w:tcW w:w="46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914"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71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39</w:t>
            </w:r>
          </w:p>
        </w:tc>
        <w:tc>
          <w:tcPr>
            <w:tcW w:w="779"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17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水杯柜</w:t>
            </w: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8</w:t>
            </w:r>
          </w:p>
        </w:tc>
        <w:tc>
          <w:tcPr>
            <w:tcW w:w="46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914"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71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40</w:t>
            </w:r>
          </w:p>
        </w:tc>
        <w:tc>
          <w:tcPr>
            <w:tcW w:w="779"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17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放床储物一体柜</w:t>
            </w: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8</w:t>
            </w:r>
          </w:p>
        </w:tc>
        <w:tc>
          <w:tcPr>
            <w:tcW w:w="46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914"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71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41</w:t>
            </w:r>
          </w:p>
        </w:tc>
        <w:tc>
          <w:tcPr>
            <w:tcW w:w="779"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17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1号半开放式号储物柜</w:t>
            </w: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4</w:t>
            </w:r>
          </w:p>
        </w:tc>
        <w:tc>
          <w:tcPr>
            <w:tcW w:w="46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914"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71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42</w:t>
            </w:r>
          </w:p>
        </w:tc>
        <w:tc>
          <w:tcPr>
            <w:tcW w:w="779"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17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2号半开放式号储物柜</w:t>
            </w: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1</w:t>
            </w:r>
          </w:p>
        </w:tc>
        <w:tc>
          <w:tcPr>
            <w:tcW w:w="46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914"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3" w:hRule="atLeast"/>
        </w:trPr>
        <w:tc>
          <w:tcPr>
            <w:tcW w:w="71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43</w:t>
            </w:r>
          </w:p>
        </w:tc>
        <w:tc>
          <w:tcPr>
            <w:tcW w:w="779"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17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3号半开放式号储物柜</w:t>
            </w: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1</w:t>
            </w:r>
          </w:p>
        </w:tc>
        <w:tc>
          <w:tcPr>
            <w:tcW w:w="46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914"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71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44</w:t>
            </w:r>
          </w:p>
        </w:tc>
        <w:tc>
          <w:tcPr>
            <w:tcW w:w="779"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17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储物被褥一体柜</w:t>
            </w: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2</w:t>
            </w:r>
          </w:p>
        </w:tc>
        <w:tc>
          <w:tcPr>
            <w:tcW w:w="46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914"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1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45</w:t>
            </w:r>
          </w:p>
        </w:tc>
        <w:tc>
          <w:tcPr>
            <w:tcW w:w="779"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1778"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1号储物柜</w:t>
            </w: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kern w:val="0"/>
                <w:szCs w:val="21"/>
                <w:lang w:bidi="ar"/>
              </w:rPr>
              <w:t>4</w:t>
            </w:r>
          </w:p>
        </w:tc>
        <w:tc>
          <w:tcPr>
            <w:tcW w:w="46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914"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1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46</w:t>
            </w:r>
          </w:p>
        </w:tc>
        <w:tc>
          <w:tcPr>
            <w:tcW w:w="779"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1778" w:type="dxa"/>
            <w:vAlign w:val="center"/>
          </w:tcPr>
          <w:p>
            <w:pPr>
              <w:widowControl/>
              <w:jc w:val="center"/>
              <w:textAlignment w:val="center"/>
              <w:rPr>
                <w:rFonts w:ascii="宋体" w:hAnsi="宋体" w:eastAsia="宋体" w:cs="华文楷体"/>
                <w:kern w:val="0"/>
                <w:szCs w:val="21"/>
                <w:lang w:bidi="ar"/>
              </w:rPr>
            </w:pPr>
            <w:r>
              <w:rPr>
                <w:rFonts w:hint="eastAsia" w:ascii="宋体" w:hAnsi="宋体" w:eastAsia="宋体" w:cs="华文楷体"/>
                <w:kern w:val="0"/>
                <w:szCs w:val="21"/>
                <w:lang w:bidi="ar"/>
              </w:rPr>
              <w:t>2号储物柜</w:t>
            </w: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ascii="宋体" w:hAnsi="宋体" w:eastAsia="宋体" w:cs="华文楷体"/>
                <w:kern w:val="0"/>
                <w:szCs w:val="21"/>
                <w:lang w:bidi="ar"/>
              </w:rPr>
            </w:pPr>
            <w:r>
              <w:rPr>
                <w:rFonts w:hint="eastAsia" w:ascii="宋体" w:hAnsi="宋体" w:eastAsia="宋体" w:cs="华文楷体"/>
                <w:kern w:val="0"/>
                <w:szCs w:val="21"/>
                <w:lang w:bidi="ar"/>
              </w:rPr>
              <w:t>4</w:t>
            </w:r>
          </w:p>
        </w:tc>
        <w:tc>
          <w:tcPr>
            <w:tcW w:w="46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914"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1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47</w:t>
            </w:r>
          </w:p>
        </w:tc>
        <w:tc>
          <w:tcPr>
            <w:tcW w:w="779"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1778" w:type="dxa"/>
            <w:vAlign w:val="center"/>
          </w:tcPr>
          <w:p>
            <w:pPr>
              <w:widowControl/>
              <w:jc w:val="center"/>
              <w:textAlignment w:val="center"/>
              <w:rPr>
                <w:rFonts w:ascii="宋体" w:hAnsi="宋体" w:eastAsia="宋体" w:cs="华文楷体"/>
                <w:kern w:val="0"/>
                <w:szCs w:val="21"/>
                <w:lang w:bidi="ar"/>
              </w:rPr>
            </w:pPr>
            <w:r>
              <w:rPr>
                <w:rFonts w:hint="eastAsia" w:ascii="宋体" w:hAnsi="宋体" w:eastAsia="宋体" w:cs="华文楷体"/>
                <w:kern w:val="0"/>
                <w:szCs w:val="21"/>
                <w:lang w:bidi="ar"/>
              </w:rPr>
              <w:t>28格被褥柜</w:t>
            </w: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ascii="宋体" w:hAnsi="宋体" w:eastAsia="宋体" w:cs="华文楷体"/>
                <w:kern w:val="0"/>
                <w:szCs w:val="21"/>
                <w:lang w:bidi="ar"/>
              </w:rPr>
            </w:pPr>
            <w:r>
              <w:rPr>
                <w:rFonts w:hint="eastAsia" w:ascii="宋体" w:hAnsi="宋体" w:eastAsia="宋体" w:cs="华文楷体"/>
                <w:kern w:val="0"/>
                <w:szCs w:val="21"/>
                <w:lang w:bidi="ar"/>
              </w:rPr>
              <w:t>6</w:t>
            </w:r>
          </w:p>
        </w:tc>
        <w:tc>
          <w:tcPr>
            <w:tcW w:w="46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914"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1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48</w:t>
            </w:r>
          </w:p>
        </w:tc>
        <w:tc>
          <w:tcPr>
            <w:tcW w:w="779"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1778" w:type="dxa"/>
            <w:vAlign w:val="center"/>
          </w:tcPr>
          <w:p>
            <w:pPr>
              <w:widowControl/>
              <w:jc w:val="center"/>
              <w:textAlignment w:val="center"/>
              <w:rPr>
                <w:rFonts w:ascii="宋体" w:hAnsi="宋体" w:eastAsia="宋体" w:cs="华文楷体"/>
                <w:kern w:val="0"/>
                <w:szCs w:val="21"/>
                <w:lang w:bidi="ar"/>
              </w:rPr>
            </w:pPr>
            <w:r>
              <w:rPr>
                <w:rFonts w:hint="eastAsia" w:ascii="宋体" w:hAnsi="宋体" w:eastAsia="宋体" w:cs="华文楷体"/>
                <w:kern w:val="0"/>
                <w:szCs w:val="21"/>
                <w:lang w:bidi="ar"/>
              </w:rPr>
              <w:t>24格被褥柜</w:t>
            </w: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ascii="宋体" w:hAnsi="宋体" w:eastAsia="宋体" w:cs="华文楷体"/>
                <w:kern w:val="0"/>
                <w:szCs w:val="21"/>
                <w:lang w:bidi="ar"/>
              </w:rPr>
            </w:pPr>
            <w:r>
              <w:rPr>
                <w:rFonts w:hint="eastAsia" w:ascii="宋体" w:hAnsi="宋体" w:eastAsia="宋体" w:cs="华文楷体"/>
                <w:kern w:val="0"/>
                <w:szCs w:val="21"/>
                <w:lang w:bidi="ar"/>
              </w:rPr>
              <w:t>2</w:t>
            </w:r>
          </w:p>
        </w:tc>
        <w:tc>
          <w:tcPr>
            <w:tcW w:w="46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914"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1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49</w:t>
            </w:r>
          </w:p>
        </w:tc>
        <w:tc>
          <w:tcPr>
            <w:tcW w:w="779"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1778" w:type="dxa"/>
            <w:vAlign w:val="center"/>
          </w:tcPr>
          <w:p>
            <w:pPr>
              <w:widowControl/>
              <w:jc w:val="center"/>
              <w:textAlignment w:val="center"/>
              <w:rPr>
                <w:rFonts w:ascii="宋体" w:hAnsi="宋体" w:eastAsia="宋体" w:cs="华文楷体"/>
                <w:kern w:val="0"/>
                <w:szCs w:val="21"/>
                <w:lang w:bidi="ar"/>
              </w:rPr>
            </w:pPr>
            <w:r>
              <w:rPr>
                <w:rFonts w:hint="eastAsia" w:ascii="宋体" w:hAnsi="宋体" w:eastAsia="宋体" w:cs="华文楷体"/>
                <w:kern w:val="0"/>
                <w:szCs w:val="21"/>
                <w:lang w:bidi="ar"/>
              </w:rPr>
              <w:t>1号储物吊柜</w:t>
            </w: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ascii="宋体" w:hAnsi="宋体" w:eastAsia="宋体" w:cs="华文楷体"/>
                <w:kern w:val="0"/>
                <w:szCs w:val="21"/>
                <w:lang w:bidi="ar"/>
              </w:rPr>
            </w:pPr>
            <w:r>
              <w:rPr>
                <w:rFonts w:hint="eastAsia" w:ascii="宋体" w:hAnsi="宋体" w:eastAsia="宋体" w:cs="华文楷体"/>
                <w:kern w:val="0"/>
                <w:szCs w:val="21"/>
                <w:lang w:bidi="ar"/>
              </w:rPr>
              <w:t>5</w:t>
            </w:r>
          </w:p>
        </w:tc>
        <w:tc>
          <w:tcPr>
            <w:tcW w:w="46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914"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trPr>
        <w:tc>
          <w:tcPr>
            <w:tcW w:w="71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50</w:t>
            </w:r>
          </w:p>
        </w:tc>
        <w:tc>
          <w:tcPr>
            <w:tcW w:w="779"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1778" w:type="dxa"/>
            <w:vAlign w:val="center"/>
          </w:tcPr>
          <w:p>
            <w:pPr>
              <w:widowControl/>
              <w:jc w:val="center"/>
              <w:textAlignment w:val="center"/>
              <w:rPr>
                <w:rFonts w:ascii="宋体" w:hAnsi="宋体" w:eastAsia="宋体" w:cs="华文楷体"/>
                <w:kern w:val="0"/>
                <w:szCs w:val="21"/>
                <w:lang w:bidi="ar"/>
              </w:rPr>
            </w:pPr>
            <w:r>
              <w:rPr>
                <w:rFonts w:hint="eastAsia" w:ascii="宋体" w:hAnsi="宋体" w:eastAsia="宋体" w:cs="华文楷体"/>
                <w:kern w:val="0"/>
                <w:szCs w:val="21"/>
                <w:lang w:bidi="ar"/>
              </w:rPr>
              <w:t>2号储物吊柜</w:t>
            </w: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ascii="宋体" w:hAnsi="宋体" w:eastAsia="宋体" w:cs="华文楷体"/>
                <w:kern w:val="0"/>
                <w:szCs w:val="21"/>
                <w:lang w:bidi="ar"/>
              </w:rPr>
            </w:pPr>
            <w:r>
              <w:rPr>
                <w:rFonts w:hint="eastAsia" w:ascii="宋体" w:hAnsi="宋体" w:eastAsia="宋体" w:cs="华文楷体"/>
                <w:kern w:val="0"/>
                <w:szCs w:val="21"/>
                <w:lang w:bidi="ar"/>
              </w:rPr>
              <w:t>3</w:t>
            </w:r>
          </w:p>
        </w:tc>
        <w:tc>
          <w:tcPr>
            <w:tcW w:w="46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914"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3" w:hRule="atLeast"/>
        </w:trPr>
        <w:tc>
          <w:tcPr>
            <w:tcW w:w="71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51</w:t>
            </w:r>
          </w:p>
        </w:tc>
        <w:tc>
          <w:tcPr>
            <w:tcW w:w="779"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c>
          <w:tcPr>
            <w:tcW w:w="1778" w:type="dxa"/>
            <w:vAlign w:val="center"/>
          </w:tcPr>
          <w:p>
            <w:pPr>
              <w:widowControl/>
              <w:jc w:val="center"/>
              <w:textAlignment w:val="center"/>
              <w:rPr>
                <w:rFonts w:ascii="宋体" w:hAnsi="宋体" w:eastAsia="宋体" w:cs="华文楷体"/>
                <w:kern w:val="0"/>
                <w:szCs w:val="21"/>
                <w:lang w:bidi="ar"/>
              </w:rPr>
            </w:pPr>
            <w:r>
              <w:rPr>
                <w:rFonts w:hint="eastAsia" w:ascii="宋体" w:hAnsi="宋体" w:eastAsia="宋体" w:cs="华文楷体"/>
                <w:kern w:val="0"/>
                <w:szCs w:val="21"/>
                <w:lang w:bidi="ar"/>
              </w:rPr>
              <w:t>护墙板</w:t>
            </w: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hint="eastAsia" w:ascii="宋体" w:hAnsi="宋体" w:eastAsia="宋体" w:cs="华文楷体"/>
                <w:kern w:val="0"/>
                <w:szCs w:val="21"/>
                <w:lang w:bidi="ar"/>
              </w:rPr>
            </w:pPr>
          </w:p>
        </w:tc>
        <w:tc>
          <w:tcPr>
            <w:tcW w:w="523" w:type="dxa"/>
            <w:vAlign w:val="center"/>
          </w:tcPr>
          <w:p>
            <w:pPr>
              <w:widowControl/>
              <w:jc w:val="center"/>
              <w:textAlignment w:val="center"/>
              <w:rPr>
                <w:rFonts w:ascii="宋体" w:hAnsi="宋体" w:eastAsia="宋体" w:cs="华文楷体"/>
                <w:kern w:val="0"/>
                <w:szCs w:val="21"/>
                <w:lang w:bidi="ar"/>
              </w:rPr>
            </w:pPr>
            <w:r>
              <w:rPr>
                <w:rFonts w:hint="eastAsia" w:ascii="宋体" w:hAnsi="宋体" w:eastAsia="宋体" w:cs="华文楷体"/>
                <w:kern w:val="0"/>
                <w:szCs w:val="21"/>
                <w:lang w:bidi="ar"/>
              </w:rPr>
              <w:t>16</w:t>
            </w:r>
          </w:p>
        </w:tc>
        <w:tc>
          <w:tcPr>
            <w:tcW w:w="460" w:type="dxa"/>
            <w:vAlign w:val="center"/>
          </w:tcPr>
          <w:p>
            <w:pPr>
              <w:widowControl/>
              <w:jc w:val="center"/>
              <w:textAlignment w:val="center"/>
              <w:rPr>
                <w:rFonts w:ascii="宋体" w:hAnsi="宋体" w:eastAsia="宋体" w:cs="Times New Roman"/>
                <w:color w:val="auto"/>
                <w:sz w:val="21"/>
                <w:szCs w:val="21"/>
                <w:lang w:bidi="ar"/>
              </w:rPr>
            </w:pPr>
            <w:r>
              <w:rPr>
                <w:rFonts w:hint="eastAsia" w:ascii="宋体" w:hAnsi="宋体" w:eastAsia="宋体" w:cs="华文楷体"/>
                <w:color w:val="auto"/>
                <w:sz w:val="21"/>
                <w:szCs w:val="21"/>
                <w:u w:val="none"/>
                <w:lang w:bidi="ar"/>
              </w:rPr>
              <w:t>件</w:t>
            </w: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460" w:type="dxa"/>
            <w:vAlign w:val="center"/>
          </w:tcPr>
          <w:p>
            <w:pPr>
              <w:widowControl/>
              <w:jc w:val="center"/>
              <w:textAlignment w:val="center"/>
              <w:rPr>
                <w:rFonts w:hint="eastAsia" w:ascii="宋体" w:hAnsi="宋体" w:eastAsia="宋体" w:cs="华文楷体"/>
                <w:color w:val="auto"/>
                <w:sz w:val="21"/>
                <w:szCs w:val="21"/>
                <w:u w:val="none"/>
                <w:lang w:bidi="ar"/>
              </w:rPr>
            </w:pPr>
          </w:p>
        </w:tc>
        <w:tc>
          <w:tcPr>
            <w:tcW w:w="914" w:type="dxa"/>
            <w:vMerge w:val="continue"/>
            <w:vAlign w:val="center"/>
          </w:tcPr>
          <w:p>
            <w:pPr>
              <w:widowControl/>
              <w:jc w:val="center"/>
              <w:textAlignment w:val="center"/>
              <w:rPr>
                <w:rFonts w:hint="eastAsia" w:ascii="宋体" w:hAnsi="宋体" w:eastAsia="宋体" w:cs="华文楷体"/>
                <w:color w:val="auto"/>
                <w:sz w:val="21"/>
                <w:szCs w:val="21"/>
                <w:u w:val="none"/>
                <w:lang w:bidi="ar"/>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3" w:hRule="atLeast"/>
        </w:trPr>
        <w:tc>
          <w:tcPr>
            <w:tcW w:w="8176" w:type="dxa"/>
            <w:gridSpan w:val="12"/>
            <w:vAlign w:val="center"/>
          </w:tcPr>
          <w:p>
            <w:pPr>
              <w:widowControl/>
              <w:jc w:val="center"/>
              <w:textAlignment w:val="center"/>
              <w:rPr>
                <w:rFonts w:hint="eastAsia" w:ascii="宋体" w:hAnsi="宋体" w:eastAsia="宋体" w:cs="华文楷体"/>
                <w:color w:val="auto"/>
                <w:sz w:val="21"/>
                <w:szCs w:val="21"/>
                <w:u w:val="none"/>
                <w:lang w:bidi="ar"/>
              </w:rPr>
            </w:pPr>
            <w:r>
              <w:rPr>
                <w:rFonts w:hint="eastAsia" w:ascii="Times New Roman" w:hAnsi="Times New Roman" w:eastAsia="宋体" w:cs="Times New Roman"/>
                <w:bCs/>
                <w:szCs w:val="21"/>
              </w:rPr>
              <w:t>合计（即投标总价；币种：人民币；单位：元） 小写：            大写：</w:t>
            </w:r>
          </w:p>
        </w:tc>
      </w:tr>
    </w:tbl>
    <w:p>
      <w:pPr>
        <w:ind w:firstLine="482" w:firstLineChars="200"/>
        <w:rPr>
          <w:rFonts w:hint="eastAsia" w:ascii="宋体" w:hAnsi="宋体"/>
          <w:b/>
          <w:sz w:val="24"/>
        </w:rPr>
      </w:pPr>
    </w:p>
    <w:p>
      <w:pPr>
        <w:pStyle w:val="2"/>
        <w:rPr>
          <w:rFonts w:hint="eastAsia" w:ascii="宋体" w:hAnsi="宋体"/>
          <w:b/>
          <w:sz w:val="24"/>
        </w:rPr>
      </w:pPr>
    </w:p>
    <w:p>
      <w:pPr>
        <w:pStyle w:val="2"/>
        <w:rPr>
          <w:rFonts w:hint="eastAsia" w:ascii="宋体" w:hAnsi="宋体"/>
          <w:b/>
          <w:sz w:val="24"/>
        </w:rPr>
      </w:pPr>
    </w:p>
    <w:p>
      <w:pPr>
        <w:pStyle w:val="2"/>
        <w:rPr>
          <w:rFonts w:hint="eastAsia" w:ascii="宋体" w:hAnsi="宋体"/>
          <w:b/>
          <w:sz w:val="24"/>
        </w:rPr>
      </w:pPr>
    </w:p>
    <w:p>
      <w:pPr>
        <w:pStyle w:val="2"/>
        <w:rPr>
          <w:rFonts w:hint="eastAsia" w:ascii="宋体" w:hAnsi="宋体"/>
          <w:b/>
          <w:sz w:val="24"/>
        </w:rPr>
      </w:pPr>
    </w:p>
    <w:p>
      <w:pPr>
        <w:pStyle w:val="2"/>
        <w:rPr>
          <w:rFonts w:hint="eastAsia" w:ascii="宋体" w:hAnsi="宋体"/>
          <w:b/>
          <w:sz w:val="24"/>
        </w:rPr>
      </w:pPr>
    </w:p>
    <w:p>
      <w:pPr>
        <w:pStyle w:val="2"/>
        <w:rPr>
          <w:rFonts w:hint="eastAsia" w:ascii="宋体" w:hAnsi="宋体"/>
          <w:b/>
          <w:sz w:val="24"/>
        </w:rPr>
      </w:pPr>
    </w:p>
    <w:p>
      <w:pPr>
        <w:pStyle w:val="2"/>
        <w:rPr>
          <w:rFonts w:hint="eastAsia" w:ascii="宋体" w:hAnsi="宋体"/>
          <w:b/>
          <w:sz w:val="24"/>
        </w:rPr>
      </w:pPr>
    </w:p>
    <w:p>
      <w:pPr>
        <w:ind w:firstLine="482" w:firstLineChars="200"/>
        <w:rPr>
          <w:rFonts w:hint="eastAsia" w:ascii="宋体" w:hAnsi="宋体"/>
          <w:b/>
          <w:sz w:val="24"/>
        </w:rPr>
      </w:pPr>
    </w:p>
    <w:p>
      <w:pPr>
        <w:ind w:firstLine="482" w:firstLineChars="200"/>
        <w:rPr>
          <w:rFonts w:hint="eastAsia" w:ascii="宋体" w:hAnsi="宋体"/>
          <w:b/>
          <w:sz w:val="24"/>
        </w:rPr>
      </w:pPr>
    </w:p>
    <w:p>
      <w:pPr>
        <w:ind w:firstLine="482" w:firstLineChars="200"/>
        <w:rPr>
          <w:rFonts w:hint="eastAsia" w:ascii="宋体" w:hAnsi="宋体"/>
          <w:b/>
          <w:sz w:val="24"/>
        </w:rPr>
      </w:pPr>
    </w:p>
    <w:p>
      <w:pPr>
        <w:ind w:firstLine="482" w:firstLineChars="200"/>
        <w:rPr>
          <w:rFonts w:hint="eastAsia" w:ascii="宋体" w:hAnsi="宋体"/>
          <w:b/>
          <w:sz w:val="24"/>
        </w:rPr>
      </w:pPr>
    </w:p>
    <w:p>
      <w:pPr>
        <w:ind w:firstLine="482" w:firstLineChars="200"/>
        <w:rPr>
          <w:rFonts w:hint="eastAsia" w:ascii="宋体" w:hAnsi="宋体"/>
          <w:b/>
          <w:sz w:val="24"/>
        </w:rPr>
      </w:pPr>
    </w:p>
    <w:p>
      <w:pPr>
        <w:ind w:firstLine="482" w:firstLineChars="200"/>
        <w:rPr>
          <w:rFonts w:hint="eastAsia" w:ascii="宋体" w:hAnsi="宋体"/>
          <w:b/>
          <w:sz w:val="24"/>
        </w:rPr>
      </w:pPr>
    </w:p>
    <w:p>
      <w:pPr>
        <w:ind w:firstLine="482" w:firstLineChars="200"/>
        <w:rPr>
          <w:rFonts w:ascii="宋体" w:hAnsi="宋体"/>
          <w:b/>
          <w:sz w:val="24"/>
        </w:rPr>
      </w:pPr>
      <w:r>
        <w:rPr>
          <w:rFonts w:hint="eastAsia" w:ascii="宋体" w:hAnsi="宋体"/>
          <w:b/>
          <w:sz w:val="24"/>
        </w:rPr>
        <w:t>注：1.本表可按同样格式扩展。</w:t>
      </w:r>
    </w:p>
    <w:p>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63"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63"/>
    </w:p>
    <w:p>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pPr>
        <w:ind w:firstLine="482" w:firstLineChars="200"/>
        <w:rPr>
          <w:rFonts w:ascii="宋体" w:hAnsi="宋体"/>
          <w:b/>
          <w:color w:val="FF0000"/>
          <w:sz w:val="24"/>
        </w:rPr>
      </w:pPr>
    </w:p>
    <w:p>
      <w:pPr>
        <w:ind w:firstLine="482" w:firstLineChars="200"/>
        <w:rPr>
          <w:rFonts w:ascii="宋体" w:hAnsi="宋体"/>
          <w:b/>
          <w:color w:val="FF0000"/>
          <w:sz w:val="24"/>
        </w:rPr>
      </w:pPr>
    </w:p>
    <w:p>
      <w:pPr>
        <w:tabs>
          <w:tab w:val="left" w:pos="720"/>
        </w:tabs>
        <w:jc w:val="center"/>
        <w:rPr>
          <w:b/>
          <w:sz w:val="24"/>
        </w:rPr>
      </w:pPr>
      <w:r>
        <w:rPr>
          <w:rFonts w:hint="eastAsia"/>
          <w:b/>
          <w:sz w:val="24"/>
        </w:rPr>
        <w:t>（二）核心产品品牌</w:t>
      </w:r>
    </w:p>
    <w:p>
      <w:pPr>
        <w:ind w:firstLine="482" w:firstLineChars="200"/>
        <w:rPr>
          <w:rFonts w:ascii="宋体" w:hAnsi="宋体"/>
          <w:b/>
          <w:color w:val="FF0000"/>
          <w:sz w:val="24"/>
        </w:rPr>
      </w:pPr>
    </w:p>
    <w:p>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pPr>
        <w:ind w:firstLine="482" w:firstLineChars="200"/>
        <w:rPr>
          <w:rFonts w:ascii="宋体" w:hAnsi="宋体"/>
          <w:b/>
          <w:color w:val="FF0000"/>
          <w:sz w:val="24"/>
        </w:rPr>
      </w:pPr>
    </w:p>
    <w:p>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pPr>
        <w:ind w:firstLine="482" w:firstLineChars="200"/>
        <w:rPr>
          <w:rFonts w:ascii="宋体" w:hAnsi="宋体"/>
          <w:b/>
          <w:color w:val="FF0000"/>
          <w:sz w:val="24"/>
        </w:rPr>
      </w:pPr>
    </w:p>
    <w:p>
      <w:pPr>
        <w:ind w:firstLine="482" w:firstLineChars="200"/>
        <w:rPr>
          <w:rFonts w:ascii="宋体" w:hAnsi="宋体"/>
          <w:b/>
          <w:color w:val="FF0000"/>
          <w:sz w:val="24"/>
        </w:rPr>
      </w:pPr>
    </w:p>
    <w:p>
      <w:pPr>
        <w:rPr>
          <w:b/>
          <w:sz w:val="24"/>
        </w:rPr>
      </w:pPr>
    </w:p>
    <w:p>
      <w:pPr>
        <w:tabs>
          <w:tab w:val="left" w:pos="720"/>
        </w:tabs>
        <w:ind w:firstLine="1928" w:firstLineChars="800"/>
        <w:rPr>
          <w:b/>
          <w:sz w:val="24"/>
        </w:rPr>
      </w:pPr>
      <w:r>
        <w:rPr>
          <w:rFonts w:hint="eastAsia"/>
          <w:b/>
          <w:sz w:val="24"/>
        </w:rPr>
        <w:t>（三）可选配件报价清单（不包括在总报价内）</w:t>
      </w:r>
    </w:p>
    <w:p>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pPr>
        <w:ind w:firstLine="482" w:firstLineChars="200"/>
        <w:rPr>
          <w:rFonts w:hAnsi="宋体"/>
          <w:b/>
          <w:bCs/>
          <w:sz w:val="24"/>
        </w:rPr>
      </w:pPr>
    </w:p>
    <w:p>
      <w:pPr>
        <w:ind w:firstLine="482" w:firstLineChars="200"/>
        <w:rPr>
          <w:rFonts w:hAnsi="宋体"/>
          <w:b/>
          <w:bCs/>
          <w:sz w:val="24"/>
        </w:rPr>
      </w:pPr>
    </w:p>
    <w:p>
      <w:pPr>
        <w:tabs>
          <w:tab w:val="left" w:pos="720"/>
        </w:tabs>
        <w:jc w:val="center"/>
        <w:rPr>
          <w:b/>
          <w:sz w:val="24"/>
        </w:rPr>
      </w:pPr>
      <w:r>
        <w:rPr>
          <w:rFonts w:hint="eastAsia"/>
          <w:b/>
          <w:sz w:val="24"/>
        </w:rPr>
        <w:t>（四）</w:t>
      </w:r>
      <w:bookmarkStart w:id="64" w:name="_Hlk72073235"/>
      <w:r>
        <w:rPr>
          <w:rFonts w:hint="eastAsia"/>
          <w:b/>
          <w:sz w:val="24"/>
        </w:rPr>
        <w:t>投标人认为需要涉及的其他内容报价清单</w:t>
      </w:r>
      <w:bookmarkEnd w:id="64"/>
    </w:p>
    <w:p>
      <w:pPr>
        <w:rPr>
          <w:b/>
          <w:bCs/>
        </w:rPr>
      </w:pPr>
    </w:p>
    <w:p/>
    <w:p>
      <w:pPr>
        <w:pStyle w:val="4"/>
        <w:jc w:val="center"/>
        <w:rPr>
          <w:rFonts w:ascii="黑体" w:eastAsia="黑体"/>
          <w:b w:val="0"/>
          <w:sz w:val="24"/>
          <w:szCs w:val="24"/>
        </w:rPr>
      </w:pPr>
      <w:r>
        <w:rPr>
          <w:rFonts w:hint="eastAsia"/>
        </w:rPr>
        <w:t xml:space="preserve"> </w:t>
      </w:r>
      <w:r>
        <w:t xml:space="preserve">         </w:t>
      </w:r>
      <w:r>
        <w:rPr>
          <w:rFonts w:hint="eastAsia" w:ascii="黑体" w:eastAsia="黑体"/>
          <w:b w:val="0"/>
          <w:sz w:val="24"/>
          <w:szCs w:val="24"/>
        </w:rPr>
        <w:t>五、同类项目经验评价（格式自定）</w:t>
      </w:r>
    </w:p>
    <w:p>
      <w:pPr>
        <w:pStyle w:val="8"/>
        <w:rPr>
          <w:b w:val="0"/>
          <w:bCs w:val="0"/>
        </w:rPr>
      </w:pPr>
      <w:r>
        <w:rPr>
          <w:rFonts w:hint="eastAsia"/>
          <w:b w:val="0"/>
          <w:bCs w:val="0"/>
        </w:rPr>
        <w:t>（特别提示：投标人须按本招标文件评标信息中这一评审因素要求，提供证明资料）</w:t>
      </w:r>
    </w:p>
    <w:p/>
    <w:p/>
    <w:p>
      <w:pPr>
        <w:ind w:firstLine="723" w:firstLineChars="300"/>
        <w:rPr>
          <w:b/>
          <w:color w:val="FF0000"/>
          <w:sz w:val="24"/>
        </w:rPr>
      </w:pPr>
      <w:r>
        <w:rPr>
          <w:rFonts w:hint="eastAsia"/>
          <w:b/>
          <w:color w:val="FF0000"/>
          <w:sz w:val="24"/>
        </w:rPr>
        <w:t>（信息公开部分的内容到此为止！以下为信息不公开部分。）</w:t>
      </w:r>
    </w:p>
    <w:bookmarkEnd w:id="62"/>
    <w:p>
      <w:r>
        <w:br w:type="page"/>
      </w:r>
    </w:p>
    <w:p>
      <w:pPr>
        <w:outlineLvl w:val="1"/>
        <w:rPr>
          <w:rFonts w:ascii="宋体" w:hAnsi="宋体"/>
          <w:b/>
          <w:color w:val="FF0000"/>
          <w:sz w:val="28"/>
          <w:szCs w:val="28"/>
        </w:rPr>
      </w:pPr>
      <w:bookmarkStart w:id="65" w:name="_Hlk72260530"/>
      <w:r>
        <w:rPr>
          <w:rFonts w:hint="eastAsia" w:ascii="宋体" w:hAnsi="宋体"/>
          <w:b/>
          <w:color w:val="FF0000"/>
          <w:sz w:val="28"/>
          <w:szCs w:val="28"/>
        </w:rPr>
        <w:t>投标文件附件（信息不公开部分）</w:t>
      </w:r>
    </w:p>
    <w:p>
      <w:pPr>
        <w:pStyle w:val="4"/>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9"/>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pPr>
        <w:rPr>
          <w:rFonts w:hint="eastAsia" w:ascii="黑体" w:eastAsia="黑体"/>
          <w:b w:val="0"/>
          <w:sz w:val="24"/>
        </w:rPr>
      </w:pPr>
      <w:r>
        <w:rPr>
          <w:rFonts w:hint="eastAsia" w:ascii="黑体" w:eastAsia="黑体"/>
          <w:b w:val="0"/>
          <w:sz w:val="24"/>
        </w:rPr>
        <w:br w:type="page"/>
      </w:r>
    </w:p>
    <w:p>
      <w:pPr>
        <w:pStyle w:val="4"/>
        <w:spacing w:before="120" w:after="120"/>
        <w:jc w:val="center"/>
        <w:rPr>
          <w:rFonts w:ascii="黑体" w:eastAsia="黑体"/>
          <w:b w:val="0"/>
          <w:sz w:val="24"/>
        </w:rPr>
      </w:pPr>
      <w:r>
        <w:rPr>
          <w:rFonts w:hint="eastAsia" w:ascii="黑体" w:eastAsia="黑体"/>
          <w:b w:val="0"/>
          <w:sz w:val="24"/>
        </w:rPr>
        <w:t>二、</w:t>
      </w:r>
      <w:bookmarkStart w:id="66" w:name="_Hlk72092499"/>
      <w:r>
        <w:rPr>
          <w:rFonts w:hint="eastAsia" w:ascii="黑体" w:eastAsia="黑体"/>
          <w:b w:val="0"/>
          <w:sz w:val="24"/>
        </w:rPr>
        <w:t>法定代表人（负责人）证明书</w:t>
      </w:r>
      <w:bookmarkEnd w:id="66"/>
    </w:p>
    <w:p>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pPr>
        <w:spacing w:line="360" w:lineRule="auto"/>
        <w:ind w:firstLine="420" w:firstLineChars="200"/>
        <w:rPr>
          <w:szCs w:val="21"/>
        </w:rPr>
      </w:pPr>
      <w:r>
        <w:rPr>
          <w:rFonts w:hint="eastAsia"/>
          <w:szCs w:val="21"/>
        </w:rPr>
        <w:t>特此证明。</w:t>
      </w:r>
    </w:p>
    <w:p>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pPr>
        <w:numPr>
          <w:ilvl w:val="0"/>
          <w:numId w:val="4"/>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pPr>
        <w:numPr>
          <w:ilvl w:val="0"/>
          <w:numId w:val="4"/>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pPr>
        <w:numPr>
          <w:ilvl w:val="0"/>
          <w:numId w:val="4"/>
        </w:numPr>
        <w:spacing w:line="360" w:lineRule="auto"/>
        <w:ind w:firstLine="420" w:firstLineChars="200"/>
        <w:rPr>
          <w:szCs w:val="21"/>
        </w:rPr>
      </w:pPr>
      <w:r>
        <w:rPr>
          <w:rFonts w:hint="eastAsia"/>
          <w:szCs w:val="21"/>
        </w:rPr>
        <w:t>内容必须填写真实、清楚，涂改无效，不得转让、买卖。</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lang w:val="en-US" w:eastAsia="zh-CN"/>
              </w:rPr>
              <w:t>证件扫描件正面</w:t>
            </w:r>
          </w:p>
          <w:p>
            <w:pPr>
              <w:pStyle w:val="8"/>
              <w:jc w:val="center"/>
              <w:rPr>
                <w:rFonts w:hint="eastAsia"/>
                <w:lang w:val="en-US" w:eastAsia="zh-CN"/>
              </w:rPr>
            </w:pPr>
          </w:p>
          <w:p>
            <w:pPr>
              <w:pStyle w:val="15"/>
              <w:jc w:val="center"/>
              <w:rPr>
                <w:rFonts w:hint="default"/>
                <w:lang w:val="en-US" w:eastAsia="zh-CN"/>
              </w:rPr>
            </w:pPr>
          </w:p>
          <w:p>
            <w:pPr>
              <w:pStyle w:val="15"/>
              <w:jc w:val="center"/>
              <w:rPr>
                <w:rFonts w:hint="default"/>
                <w:lang w:val="en-US" w:eastAsia="zh-CN"/>
              </w:rPr>
            </w:pPr>
          </w:p>
          <w:p>
            <w:pPr>
              <w:pStyle w:val="15"/>
              <w:jc w:val="center"/>
              <w:rPr>
                <w:rFonts w:hint="default"/>
                <w:lang w:val="en-US" w:eastAsia="zh-CN"/>
              </w:rPr>
            </w:pPr>
          </w:p>
          <w:p>
            <w:pPr>
              <w:pStyle w:val="15"/>
              <w:jc w:val="center"/>
              <w:rPr>
                <w:rFonts w:hint="default"/>
                <w:lang w:val="en-US" w:eastAsia="zh-CN"/>
              </w:rPr>
            </w:pPr>
          </w:p>
          <w:p>
            <w:pPr>
              <w:pStyle w:val="15"/>
              <w:jc w:val="center"/>
              <w:rPr>
                <w:rFonts w:hint="default"/>
                <w:lang w:val="en-US" w:eastAsia="zh-CN"/>
              </w:rPr>
            </w:pPr>
          </w:p>
          <w:p>
            <w:pPr>
              <w:pStyle w:val="15"/>
              <w:jc w:val="center"/>
              <w:rPr>
                <w:rFonts w:hint="default"/>
                <w:lang w:val="en-US" w:eastAsia="zh-CN"/>
              </w:rPr>
            </w:pPr>
          </w:p>
        </w:tc>
        <w:tc>
          <w:tcPr>
            <w:tcW w:w="4265" w:type="dxa"/>
            <w:vAlign w:val="top"/>
          </w:tcPr>
          <w:p>
            <w:pPr>
              <w:jc w:val="center"/>
              <w:rPr>
                <w:rFonts w:hint="eastAsia"/>
                <w:lang w:val="en-US" w:eastAsia="zh-CN"/>
              </w:rPr>
            </w:pPr>
            <w:r>
              <w:rPr>
                <w:rFonts w:hint="eastAsia"/>
                <w:lang w:val="en-US" w:eastAsia="zh-CN"/>
              </w:rPr>
              <w:t>证件扫描件反面</w:t>
            </w:r>
          </w:p>
          <w:p>
            <w:pPr>
              <w:pStyle w:val="8"/>
              <w:jc w:val="center"/>
              <w:rPr>
                <w:rFonts w:hint="eastAsia"/>
                <w:lang w:val="en-US" w:eastAsia="zh-CN"/>
              </w:rPr>
            </w:pPr>
          </w:p>
          <w:p>
            <w:pPr>
              <w:pStyle w:val="15"/>
              <w:jc w:val="center"/>
              <w:rPr>
                <w:rFonts w:hint="eastAsia"/>
                <w:sz w:val="24"/>
                <w:vertAlign w:val="baseline"/>
                <w:lang w:val="en-US" w:eastAsia="zh-CN"/>
              </w:rPr>
            </w:pPr>
          </w:p>
        </w:tc>
      </w:tr>
    </w:tbl>
    <w:p>
      <w:pPr>
        <w:rPr>
          <w:sz w:val="24"/>
        </w:rPr>
      </w:pPr>
    </w:p>
    <w:p>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Pr>
        <w:rPr>
          <w:rFonts w:hint="eastAsia" w:ascii="黑体" w:eastAsia="黑体"/>
          <w:b w:val="0"/>
          <w:kern w:val="0"/>
          <w:sz w:val="24"/>
          <w:szCs w:val="24"/>
        </w:rPr>
      </w:pPr>
      <w:r>
        <w:rPr>
          <w:rFonts w:hint="eastAsia" w:ascii="黑体" w:eastAsia="黑体"/>
          <w:b w:val="0"/>
          <w:kern w:val="0"/>
          <w:sz w:val="24"/>
          <w:szCs w:val="24"/>
        </w:rPr>
        <w:br w:type="page"/>
      </w:r>
    </w:p>
    <w:p>
      <w:pPr>
        <w:pStyle w:val="4"/>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pPr>
        <w:ind w:firstLine="482" w:firstLineChars="200"/>
        <w:rPr>
          <w:b/>
          <w:sz w:val="24"/>
          <w:szCs w:val="22"/>
        </w:rPr>
      </w:pPr>
    </w:p>
    <w:bookmarkEnd w:id="65"/>
    <w:p>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pPr>
        <w:spacing w:line="360" w:lineRule="auto"/>
        <w:ind w:firstLine="420" w:firstLineChars="200"/>
        <w:rPr>
          <w:rFonts w:hint="eastAsia"/>
          <w:szCs w:val="21"/>
        </w:rPr>
      </w:pPr>
      <w:r>
        <w:rPr>
          <w:rFonts w:hint="eastAsia"/>
          <w:szCs w:val="21"/>
        </w:rPr>
        <w:t>代理人无转委托权，特此委托。</w:t>
      </w:r>
    </w:p>
    <w:p>
      <w:pPr>
        <w:spacing w:line="360" w:lineRule="auto"/>
        <w:ind w:firstLine="420" w:firstLineChars="200"/>
        <w:rPr>
          <w:rFonts w:hint="eastAsia"/>
          <w:szCs w:val="21"/>
        </w:rPr>
      </w:pPr>
    </w:p>
    <w:p>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ascii="Times New Roman" w:eastAsia="宋体"/>
                <w:lang w:val="en-US" w:eastAsia="zh-CN"/>
              </w:rPr>
              <w:t>证件扫描件正面</w:t>
            </w:r>
          </w:p>
          <w:p>
            <w:pPr>
              <w:pStyle w:val="8"/>
              <w:jc w:val="center"/>
              <w:rPr>
                <w:rFonts w:hint="eastAsia"/>
                <w:lang w:val="en-US" w:eastAsia="zh-CN"/>
              </w:rPr>
            </w:pPr>
          </w:p>
          <w:p>
            <w:pPr>
              <w:pStyle w:val="15"/>
              <w:jc w:val="center"/>
              <w:rPr>
                <w:rFonts w:hint="default"/>
                <w:lang w:val="en-US" w:eastAsia="zh-CN"/>
              </w:rPr>
            </w:pPr>
          </w:p>
          <w:p>
            <w:pPr>
              <w:pStyle w:val="15"/>
              <w:jc w:val="center"/>
              <w:rPr>
                <w:rFonts w:hint="default"/>
                <w:lang w:val="en-US" w:eastAsia="zh-CN"/>
              </w:rPr>
            </w:pPr>
          </w:p>
          <w:p>
            <w:pPr>
              <w:pStyle w:val="15"/>
              <w:jc w:val="center"/>
              <w:rPr>
                <w:rFonts w:hint="default"/>
                <w:lang w:val="en-US" w:eastAsia="zh-CN"/>
              </w:rPr>
            </w:pPr>
          </w:p>
          <w:p>
            <w:pPr>
              <w:pStyle w:val="15"/>
              <w:jc w:val="center"/>
              <w:rPr>
                <w:rFonts w:hint="default"/>
                <w:lang w:val="en-US" w:eastAsia="zh-CN"/>
              </w:rPr>
            </w:pPr>
          </w:p>
          <w:p>
            <w:pPr>
              <w:pStyle w:val="15"/>
              <w:jc w:val="center"/>
              <w:rPr>
                <w:rFonts w:hint="default"/>
                <w:lang w:val="en-US" w:eastAsia="zh-CN"/>
              </w:rPr>
            </w:pPr>
          </w:p>
          <w:p>
            <w:pPr>
              <w:pStyle w:val="15"/>
              <w:jc w:val="center"/>
              <w:rPr>
                <w:rFonts w:hint="default"/>
                <w:lang w:val="en-US" w:eastAsia="zh-CN"/>
              </w:rPr>
            </w:pPr>
          </w:p>
        </w:tc>
        <w:tc>
          <w:tcPr>
            <w:tcW w:w="4265" w:type="dxa"/>
            <w:vAlign w:val="top"/>
          </w:tcPr>
          <w:p>
            <w:pPr>
              <w:jc w:val="center"/>
              <w:rPr>
                <w:rFonts w:hint="eastAsia"/>
                <w:lang w:val="en-US" w:eastAsia="zh-CN"/>
              </w:rPr>
            </w:pPr>
            <w:r>
              <w:rPr>
                <w:rFonts w:hint="eastAsia" w:ascii="Times New Roman" w:eastAsia="宋体"/>
                <w:lang w:val="en-US" w:eastAsia="zh-CN"/>
              </w:rPr>
              <w:t>证件扫描件反面</w:t>
            </w:r>
          </w:p>
          <w:p>
            <w:pPr>
              <w:pStyle w:val="8"/>
              <w:jc w:val="center"/>
              <w:rPr>
                <w:rFonts w:hint="eastAsia"/>
                <w:lang w:val="en-US" w:eastAsia="zh-CN"/>
              </w:rPr>
            </w:pPr>
          </w:p>
          <w:p>
            <w:pPr>
              <w:pStyle w:val="15"/>
              <w:jc w:val="center"/>
              <w:rPr>
                <w:rFonts w:hint="eastAsia"/>
                <w:sz w:val="24"/>
                <w:vertAlign w:val="baseline"/>
                <w:lang w:val="en-US" w:eastAsia="zh-CN"/>
              </w:rPr>
            </w:pPr>
          </w:p>
        </w:tc>
      </w:tr>
    </w:tbl>
    <w:p>
      <w:pPr>
        <w:widowControl w:val="0"/>
        <w:jc w:val="both"/>
        <w:rPr>
          <w:rFonts w:hint="eastAsia" w:ascii="黑体" w:hAnsi="黑体" w:eastAsia="黑体" w:cs="黑体"/>
          <w:b/>
          <w:bCs/>
          <w:color w:val="auto"/>
          <w:kern w:val="2"/>
          <w:sz w:val="24"/>
          <w:szCs w:val="24"/>
          <w:u w:val="none"/>
          <w:lang w:val="en-US" w:eastAsia="zh-CN" w:bidi="ar-SA"/>
        </w:rPr>
      </w:pPr>
    </w:p>
    <w:p>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pPr>
        <w:pStyle w:val="9"/>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8"/>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pPr>
              <w:adjustRightInd w:val="0"/>
              <w:snapToGrid w:val="0"/>
              <w:spacing w:line="360" w:lineRule="auto"/>
              <w:jc w:val="center"/>
              <w:rPr>
                <w:rFonts w:ascii="宋体" w:hAnsi="宋体"/>
                <w:kern w:val="0"/>
                <w:szCs w:val="21"/>
              </w:rPr>
            </w:pPr>
            <w:bookmarkStart w:id="67" w:name="_Hlk72092651"/>
            <w:r>
              <w:rPr>
                <w:rFonts w:hint="eastAsia" w:ascii="宋体" w:hAnsi="宋体"/>
                <w:kern w:val="0"/>
                <w:szCs w:val="21"/>
              </w:rPr>
              <w:t>序号</w:t>
            </w:r>
          </w:p>
        </w:tc>
        <w:tc>
          <w:tcPr>
            <w:tcW w:w="2664" w:type="dxa"/>
            <w:vAlign w:val="center"/>
          </w:tcPr>
          <w:p>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pPr>
              <w:adjustRightInd w:val="0"/>
              <w:snapToGrid w:val="0"/>
              <w:spacing w:line="360" w:lineRule="auto"/>
              <w:jc w:val="center"/>
              <w:rPr>
                <w:rFonts w:ascii="宋体" w:hAnsi="宋体"/>
                <w:kern w:val="0"/>
                <w:szCs w:val="21"/>
              </w:rPr>
            </w:pPr>
            <w:r>
              <w:rPr>
                <w:rFonts w:hint="eastAsia"/>
              </w:rPr>
              <w:t>说明</w:t>
            </w:r>
          </w:p>
        </w:tc>
      </w:tr>
      <w:bookmarkEnd w:id="6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pPr>
              <w:adjustRightInd w:val="0"/>
              <w:snapToGrid w:val="0"/>
              <w:spacing w:line="360" w:lineRule="auto"/>
              <w:rPr>
                <w:rFonts w:ascii="宋体" w:hAnsi="宋体"/>
                <w:kern w:val="0"/>
                <w:szCs w:val="21"/>
              </w:rPr>
            </w:pPr>
          </w:p>
        </w:tc>
        <w:tc>
          <w:tcPr>
            <w:tcW w:w="1842" w:type="dxa"/>
          </w:tcPr>
          <w:p>
            <w:pPr>
              <w:adjustRightInd w:val="0"/>
              <w:snapToGrid w:val="0"/>
              <w:spacing w:line="360" w:lineRule="auto"/>
              <w:rPr>
                <w:rFonts w:ascii="宋体" w:hAnsi="宋体"/>
                <w:kern w:val="0"/>
                <w:szCs w:val="21"/>
              </w:rPr>
            </w:pPr>
          </w:p>
        </w:tc>
        <w:tc>
          <w:tcPr>
            <w:tcW w:w="1418" w:type="dxa"/>
          </w:tcPr>
          <w:p>
            <w:pPr>
              <w:adjustRightInd w:val="0"/>
              <w:snapToGrid w:val="0"/>
              <w:spacing w:line="360" w:lineRule="auto"/>
              <w:rPr>
                <w:rFonts w:ascii="宋体" w:hAnsi="宋体"/>
                <w:kern w:val="0"/>
                <w:szCs w:val="21"/>
              </w:rPr>
            </w:pPr>
          </w:p>
        </w:tc>
      </w:tr>
    </w:tbl>
    <w:p>
      <w:pPr>
        <w:ind w:firstLine="482" w:firstLineChars="200"/>
        <w:rPr>
          <w:b/>
          <w:sz w:val="24"/>
          <w:szCs w:val="22"/>
        </w:rPr>
      </w:pPr>
    </w:p>
    <w:p>
      <w:pPr>
        <w:ind w:firstLine="482" w:firstLineChars="200"/>
        <w:rPr>
          <w:b/>
          <w:sz w:val="24"/>
          <w:szCs w:val="22"/>
        </w:rPr>
      </w:pPr>
      <w:r>
        <w:rPr>
          <w:rFonts w:hint="eastAsia"/>
          <w:b/>
          <w:sz w:val="24"/>
          <w:szCs w:val="22"/>
        </w:rPr>
        <w:t>注：1.上表所列各项均为不可负偏离条款。</w:t>
      </w:r>
    </w:p>
    <w:p>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pPr>
        <w:ind w:firstLine="482" w:firstLineChars="200"/>
        <w:rPr>
          <w:b/>
          <w:sz w:val="24"/>
        </w:rPr>
      </w:pPr>
      <w:r>
        <w:rPr>
          <w:b/>
          <w:sz w:val="24"/>
        </w:rPr>
        <w:t>4.</w:t>
      </w:r>
      <w:r>
        <w:rPr>
          <w:rFonts w:hint="eastAsia"/>
          <w:b/>
          <w:sz w:val="24"/>
        </w:rPr>
        <w:t>评审委员会有权对投标响应情况作出判断（作出评审结论）。</w:t>
      </w:r>
    </w:p>
    <w:p>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pPr>
        <w:pStyle w:val="4"/>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18"/>
        <w:tblW w:w="7991"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20"/>
        <w:gridCol w:w="1020"/>
        <w:gridCol w:w="2447"/>
        <w:gridCol w:w="1168"/>
        <w:gridCol w:w="1168"/>
        <w:gridCol w:w="11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0" w:hRule="atLeast"/>
        </w:trPr>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设备</w:t>
            </w:r>
          </w:p>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名称</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招标技术要求</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投标技术响应</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偏离情况</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实木幼儿长桌1</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 （设备及组件尺寸允许误差±5%）产品尺寸：L120cm×W60cm×H48cm</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 板材：桌面面板采用20.3mm厚AAA级橡胶木板，四角圆R50圆角，边缘部位圆R10圆角，桌子反面锣防变形槽，承载力佳；桌面连接板采用20.3mm厚AAA级橡胶木板，长度540mm，宽90mm，一棱边圆R15圆角，四角位圆R30圆角；脚与桌面连接板用4颗防锈木牙螺丝7*50mm，连接板与面板用6颗防锈丝牙螺丝8*30mm，结构稳固。桌脚为48*48mm橡胶木木方，四棱边圆R10圆角。原材料橡胶木齿接板含水率≤12%、甲醛释放量≤0.012mg/m³。</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 ▲水性漆检测项满足以下：细度≤30μm；不挥发物≥50%；游离甲醛未检出；抗细菌率-白色念珠菌≥99%。检验依据：GB/T 23999-2009、GB/T 1724-2019、GB/T 1725-2007、HJ 2537-2014、HG/T 3950-2007。</w:t>
            </w:r>
            <w:r>
              <w:rPr>
                <w:rFonts w:hint="eastAsia" w:ascii="宋体" w:hAnsi="宋体" w:eastAsia="宋体" w:cs="宋体"/>
                <w:b/>
                <w:bCs/>
                <w:i w:val="0"/>
                <w:iCs w:val="0"/>
                <w:color w:val="3366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①对应参数（检验检测项）在检验检测报告中进行标注；②检测报告封面产品名称与所投产品不一致的需作书面说明，否则该项不得分；</w:t>
            </w:r>
            <w:r>
              <w:rPr>
                <w:rFonts w:hint="eastAsia" w:ascii="宋体" w:hAnsi="宋体" w:eastAsia="宋体" w:cs="宋体"/>
                <w:b/>
                <w:bCs/>
                <w:i w:val="0"/>
                <w:iCs w:val="0"/>
                <w:color w:val="FF0000"/>
                <w:kern w:val="0"/>
                <w:sz w:val="21"/>
                <w:szCs w:val="21"/>
                <w:u w:val="none"/>
                <w:lang w:val="en-US" w:eastAsia="zh-CN" w:bidi="ar"/>
              </w:rPr>
              <w:t>③检验检测报告出具的时间应在本项目投标截止日前1年内。</w:t>
            </w:r>
            <w:r>
              <w:rPr>
                <w:rFonts w:hint="eastAsia" w:ascii="宋体" w:hAnsi="宋体" w:eastAsia="宋体" w:cs="宋体"/>
                <w:b/>
                <w:bCs/>
                <w:i w:val="0"/>
                <w:iCs w:val="0"/>
                <w:color w:val="3366FF"/>
                <w:kern w:val="0"/>
                <w:sz w:val="21"/>
                <w:szCs w:val="21"/>
                <w:u w:val="none"/>
                <w:lang w:val="en-US" w:eastAsia="zh-CN" w:bidi="ar"/>
              </w:rPr>
              <w:t>④若相关检验检测项不在检验检测机构CMA资质许可（认定）范围内的，不符合招标文件要求。）</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实木幼儿长桌2</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 （设备及组件尺寸允许误差±5%）产品尺寸:L120cm×W60cm×52cm</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 板材：桌面面板采用20.3mm厚AAA级橡胶木板，四角圆R50圆角，边缘部位圆R10圆角，桌子反面锣防变形槽，承载力佳；桌面连接板采用20.3mm厚AAA级橡胶木板，长度540mm，宽90mm，一棱边圆R15圆角，四角位圆R30圆角；脚与桌面连接板用4颗防锈木牙螺丝7*50mm，连接板与面板用6颗防锈丝牙螺丝8*30mm，结构稳固。桌脚为48*48mm橡胶木木方，四棱边圆R10圆角。原材料橡胶木齿接板含水率≤12%、甲醛释放量≤0.012mg/m³。</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 ▲实木幼儿长桌检测项满足以下：甲醛释放量≤0.012mg/m³；苯未检出、甲苯未检出、二甲苯未检出；TVOC未检出；可迁移元素铅未检出、镉未检出、铬未检出、汞未检出、锑未检出、钡未检出、硒未检出、砷未检出；富马酸二甲酯未检出；检验依据：GB/T 31106-2014、HJ2547-2016、GB/T 27717-2011。</w:t>
            </w:r>
            <w:r>
              <w:rPr>
                <w:rFonts w:hint="eastAsia" w:ascii="宋体" w:hAnsi="宋体" w:eastAsia="宋体" w:cs="宋体"/>
                <w:b/>
                <w:bCs/>
                <w:i w:val="0"/>
                <w:iCs w:val="0"/>
                <w:color w:val="3366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①对应参数（检验检测项）在检验检测报告中进行标注；②检测报告封面产品名称与所投产品不一致的需作书面说明，否则该项不得分；</w:t>
            </w:r>
            <w:r>
              <w:rPr>
                <w:rFonts w:hint="eastAsia" w:ascii="宋体" w:hAnsi="宋体" w:eastAsia="宋体" w:cs="宋体"/>
                <w:b/>
                <w:bCs/>
                <w:i w:val="0"/>
                <w:iCs w:val="0"/>
                <w:color w:val="FF0000"/>
                <w:kern w:val="0"/>
                <w:sz w:val="21"/>
                <w:szCs w:val="21"/>
                <w:u w:val="none"/>
                <w:lang w:val="en-US" w:eastAsia="zh-CN" w:bidi="ar"/>
              </w:rPr>
              <w:t>③检验检测报告出具的时间应在本项目投标截止日前3年内。</w:t>
            </w:r>
            <w:r>
              <w:rPr>
                <w:rFonts w:hint="eastAsia" w:ascii="宋体" w:hAnsi="宋体" w:eastAsia="宋体" w:cs="宋体"/>
                <w:b/>
                <w:bCs/>
                <w:i w:val="0"/>
                <w:iCs w:val="0"/>
                <w:color w:val="3366FF"/>
                <w:kern w:val="0"/>
                <w:sz w:val="21"/>
                <w:szCs w:val="21"/>
                <w:u w:val="none"/>
                <w:lang w:val="en-US" w:eastAsia="zh-CN" w:bidi="ar"/>
              </w:rPr>
              <w:t>④若相关检验检测项不在检验检测机构CMA资质许可（认定）范围内的，不符合招标文件要求。）</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实木幼儿长桌3</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 （设备及组件尺寸允许误差±5%）产品尺寸:L120cm×W60cm×56cm</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 板材：桌面面板采用20.3mm厚AAA级橡胶木板，四角圆R50圆角，边缘部位圆R10圆角，桌子反面锣防变形槽，承载力佳；桌面连接板采用20.3mm厚AAA级橡胶木板，长度540mm，宽90mm，一棱边圆R15圆角，四角位圆R30圆角；脚与桌面连接板用4颗防锈木牙螺丝7*50mm，连接板与面板用6颗防锈丝牙螺丝8*30mm，结构稳固。桌脚为48*48mm橡胶木木方，四棱边圆R10圆角。原材料橡胶木齿接板含水率≤12%、甲醛释放量≤0.012mg/m³。</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 ▲</w:t>
            </w:r>
            <w:r>
              <w:rPr>
                <w:rFonts w:hint="eastAsia" w:ascii="宋体" w:hAnsi="宋体" w:eastAsia="宋体" w:cs="宋体"/>
                <w:i w:val="0"/>
                <w:iCs w:val="0"/>
                <w:color w:val="000000"/>
                <w:kern w:val="0"/>
                <w:sz w:val="21"/>
                <w:szCs w:val="21"/>
                <w:highlight w:val="yellow"/>
                <w:u w:val="none"/>
                <w:lang w:val="en-US" w:eastAsia="zh-CN" w:bidi="ar"/>
              </w:rPr>
              <w:t>橡胶木实木板</w:t>
            </w:r>
            <w:bookmarkStart w:id="142" w:name="_GoBack"/>
            <w:bookmarkEnd w:id="142"/>
            <w:r>
              <w:rPr>
                <w:rFonts w:hint="eastAsia" w:ascii="宋体" w:hAnsi="宋体" w:eastAsia="宋体" w:cs="宋体"/>
                <w:i w:val="0"/>
                <w:iCs w:val="0"/>
                <w:color w:val="000000"/>
                <w:kern w:val="0"/>
                <w:sz w:val="21"/>
                <w:szCs w:val="21"/>
                <w:u w:val="none"/>
                <w:lang w:val="en-US" w:eastAsia="zh-CN" w:bidi="ar"/>
              </w:rPr>
              <w:t>检测项满足以下：硬度≥8000N；湿胀性：径向气干湿胀率≥1.5%、弦向气干湿胀率≥3.5%；抗冲击压痕性能≥65kJ/㎡；苯未检出、甲苯未检出、二甲苯未检出；通过耐气候老化≥188h测试后综合评定等级不低于0级。检验依据：GB/T 35601-2024、GB/T 29899-2024、GB/T 1865-2009、GB/T 1766-2008、GB/T 1927.8-2021、GB/T 1927.18-2021。</w:t>
            </w:r>
            <w:r>
              <w:rPr>
                <w:rFonts w:hint="eastAsia" w:ascii="宋体" w:hAnsi="宋体" w:eastAsia="宋体" w:cs="宋体"/>
                <w:b/>
                <w:bCs/>
                <w:i w:val="0"/>
                <w:iCs w:val="0"/>
                <w:color w:val="3366FF"/>
                <w:kern w:val="0"/>
                <w:sz w:val="21"/>
                <w:szCs w:val="21"/>
                <w:u w:val="none"/>
                <w:lang w:val="en-US" w:eastAsia="zh-CN" w:bidi="ar"/>
              </w:rPr>
              <w:t>（投标时同时提供：①由第三方检验检测机构出具并加盖（或带有）CMA标志的抽样检验报告扫描件，原件备查；②上述检验检测报告在全国认证认可信息公共服务平台（认e云）（http://cx.cnca.cn/）的信息查询记录截图。注：①对应参数（检验检测项）在检验检测报告中进行标注；②检测报告封面产品名称与所投产品不一致的需作书面说明，否则该项不得分；</w:t>
            </w:r>
            <w:r>
              <w:rPr>
                <w:rFonts w:hint="eastAsia" w:ascii="宋体" w:hAnsi="宋体" w:eastAsia="宋体" w:cs="宋体"/>
                <w:b/>
                <w:bCs/>
                <w:i w:val="0"/>
                <w:iCs w:val="0"/>
                <w:color w:val="FF0000"/>
                <w:kern w:val="0"/>
                <w:sz w:val="21"/>
                <w:szCs w:val="21"/>
                <w:u w:val="none"/>
                <w:lang w:val="en-US" w:eastAsia="zh-CN" w:bidi="ar"/>
              </w:rPr>
              <w:t>③检验检测报告出具的时间应在本项目投标截止日前1年内。</w:t>
            </w:r>
            <w:r>
              <w:rPr>
                <w:rFonts w:hint="eastAsia" w:ascii="宋体" w:hAnsi="宋体" w:eastAsia="宋体" w:cs="宋体"/>
                <w:b/>
                <w:bCs/>
                <w:i w:val="0"/>
                <w:iCs w:val="0"/>
                <w:color w:val="3366FF"/>
                <w:kern w:val="0"/>
                <w:sz w:val="21"/>
                <w:szCs w:val="21"/>
                <w:u w:val="none"/>
                <w:lang w:val="en-US" w:eastAsia="zh-CN" w:bidi="ar"/>
              </w:rPr>
              <w:t>④若相关检验检测项不在检验检测机构CMA资质许可（认定）范围内的，不符合招标文件要求。）</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实木幼儿方桌1</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 （设备及组件尺寸允许误差±5%）产品尺寸：L60cm×W60cm×H48cm</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 板材：桌面面板采用20.3mm厚AAA级橡胶木板，四角圆R50圆角，边缘部位圆R10圆角，桌子反面锣防变形槽，承载力佳；桌面连接板采用20.3mm厚AAA级橡胶木板，长度540mm，宽90mm，一棱边圆R15圆角，四角位圆R30圆角；脚与桌面连接板用4颗防锈木牙螺丝7*50mm，连接板与面板用6颗防锈丝牙螺丝8*30mm，结构稳固。桌脚为48*48mm橡胶木木方，四棱边圆R10圆角。原材料橡胶木齿接板含水率≤12%、甲醛释放量≤0.012mg/m³。</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 ▲木牙螺丝检测项满足以下：外观性能：金属件-喷漆涂层：无漏喷、锈蚀、脱色、掉色等。光滑均匀，色泽一致，无流挂、疙瘩、皱皮、飞漆等；抗拉强度≥300MPa；下屈服强度（屈服强度）≥200MPa；断后伸长率≥35%；耐腐蚀试验：通过铜加速乙酸盐雾试验≥188h测试后涂层本身的耐腐蚀等级不低于10级，涂层对基体的保护等级不低于10级。检验依据：GB/T 3325-2024、GB/T 10125-2021、QB/T 3832-1999、GB/T 6461-2002、GB/T 228.1-2021。</w:t>
            </w:r>
            <w:r>
              <w:rPr>
                <w:rFonts w:hint="eastAsia" w:ascii="宋体" w:hAnsi="宋体" w:eastAsia="宋体" w:cs="宋体"/>
                <w:b/>
                <w:bCs/>
                <w:i w:val="0"/>
                <w:iCs w:val="0"/>
                <w:color w:val="3366FF"/>
                <w:kern w:val="0"/>
                <w:sz w:val="21"/>
                <w:szCs w:val="21"/>
                <w:u w:val="none"/>
                <w:lang w:val="en-US" w:eastAsia="zh-CN" w:bidi="ar"/>
              </w:rPr>
              <w:t>（投标时同时提供：①由第三方检验检测机构出具并加盖（或带有）CMA标志的抽样检验报告扫描件，原件备查；②上述检验检测报告在全国认证认可信息公共服务平台（认e云）（http://cx.cnca.cn/）的信息查询记录截图。注：①对应参数（检验检测项）在检验检测报告中进行标注；②检测报告封面产品名称与所投产品不一致的需作书面说明，否则该项不得分；</w:t>
            </w:r>
            <w:r>
              <w:rPr>
                <w:rFonts w:hint="eastAsia" w:ascii="宋体" w:hAnsi="宋体" w:eastAsia="宋体" w:cs="宋体"/>
                <w:b/>
                <w:bCs/>
                <w:i w:val="0"/>
                <w:iCs w:val="0"/>
                <w:color w:val="FF0000"/>
                <w:kern w:val="0"/>
                <w:sz w:val="21"/>
                <w:szCs w:val="21"/>
                <w:u w:val="none"/>
                <w:lang w:val="en-US" w:eastAsia="zh-CN" w:bidi="ar"/>
              </w:rPr>
              <w:t>③检验检测报告出具的时间应在本项目投标截止日前1年内。</w:t>
            </w:r>
            <w:r>
              <w:rPr>
                <w:rFonts w:hint="eastAsia" w:ascii="宋体" w:hAnsi="宋体" w:eastAsia="宋体" w:cs="宋体"/>
                <w:b/>
                <w:bCs/>
                <w:i w:val="0"/>
                <w:iCs w:val="0"/>
                <w:color w:val="3366FF"/>
                <w:kern w:val="0"/>
                <w:sz w:val="21"/>
                <w:szCs w:val="21"/>
                <w:u w:val="none"/>
                <w:lang w:val="en-US" w:eastAsia="zh-CN" w:bidi="ar"/>
              </w:rPr>
              <w:t>④若相关检验检测项不在检验检测机构CMA资质许可（认定）范围内的，不符合招标文件要求。）</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实木幼儿方桌2</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 （设备及组件尺寸允许误差±5%）产品尺寸:L60cm×W60cm×H52cm</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 板材：桌面面板采用20.3mm厚AAA级橡胶木板，四角圆R50圆角，边缘部位圆R10圆角，桌子反面锣防变形槽，承载力佳；桌面连接板采用20.3mm厚AAA级橡胶木板，长度540mm，宽90mm，一棱边圆R15圆角，四角位圆R30圆角；脚与桌面连接板用4颗防锈木牙螺丝7*50mm，连接板与面板用6颗防锈丝牙螺丝8*30mm，结构稳固。桌脚为48*48mm橡胶木木方，四棱边圆R10圆角。原材料橡胶木齿接板含水率≤12%、甲醛释放量≤0.012mg/m³。</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实木幼儿方桌3</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highlight w:val="none"/>
                <w:u w:val="none"/>
              </w:rPr>
              <w:t>20. （设备及组件尺寸允许误差±5%）产品尺寸:L60cm×W60cm×H56cm</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 板材：桌面面板采用20.3mm厚AAA级橡胶木板，四角圆R50圆角，边缘部位圆R10圆角，桌子反面锣防变形槽，承载力佳；桌面连接板采用20.3mm厚AAA级橡胶木板，长度540mm，宽90mm，一棱边圆R15圆角，四角位圆R30圆角；脚与桌面连接板用4颗防锈木牙螺丝7*50mm，连接板与面板用6颗防锈丝牙螺丝8*30mm，结构稳固。桌脚为48*48mm橡胶木木方，四棱边圆R10圆角。原材料橡胶木齿接板含水率≤12%、甲醛释放量≤0.012mg/m³。</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实木幼儿圆桌1</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 （设备及组件尺寸允许误差±5%）产品尺寸:φ80cm×H48cm</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 板材：桌面面板采用20.3mm厚AAA级橡胶木板，四角圆R50圆角，边缘部位圆R10圆角，桌子反面锣防变形槽，承载力佳；桌面连接板采用20.3mm厚AAA级橡胶木板，长度540mm，宽90mm，一棱边圆R15圆角，四角位圆R30圆角；脚与桌面连接板用4颗防锈木牙螺丝7*50mm，连接板与面板用6颗防锈丝牙螺丝8*30mm，结构稳固。桌脚为48*48mm橡胶木木方，四棱边圆R10圆角。原材料橡胶木齿接板含水率≤12%、甲醛释放量≤0.012mg/m³。</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 ▲透明尼龙一体成型脚垫检测项满足以下：DBP未检出、BBP未检出、DEHP未检出、DNOP未检出、DINP未检出、DIDP未检出；通过氙弧灯老化≥200h测试达到4-5级；燃烧性能：水平燃烧不低于HB级、垂直燃烧不低于V-0级。检验依据：GB/T 16422.2-2022、GB/T 40906-2021、GB/T 2408-2021。</w:t>
            </w:r>
            <w:r>
              <w:rPr>
                <w:rFonts w:hint="eastAsia" w:ascii="宋体" w:hAnsi="宋体" w:eastAsia="宋体" w:cs="宋体"/>
                <w:b/>
                <w:bCs/>
                <w:i w:val="0"/>
                <w:iCs w:val="0"/>
                <w:color w:val="3366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①对应参数（检验检测项）在检验检测报告中进行标注；②检测报告封面产品名称与所投产品不一致的需作书面说明，否则该项不得分；</w:t>
            </w:r>
            <w:r>
              <w:rPr>
                <w:rFonts w:hint="eastAsia" w:ascii="宋体" w:hAnsi="宋体" w:eastAsia="宋体" w:cs="宋体"/>
                <w:b/>
                <w:bCs/>
                <w:i w:val="0"/>
                <w:iCs w:val="0"/>
                <w:color w:val="FF0000"/>
                <w:kern w:val="0"/>
                <w:sz w:val="21"/>
                <w:szCs w:val="21"/>
                <w:u w:val="none"/>
                <w:lang w:val="en-US" w:eastAsia="zh-CN" w:bidi="ar"/>
              </w:rPr>
              <w:t>③检验检测报告出具的时间应在本项目投标截止日前1年内。</w:t>
            </w:r>
            <w:r>
              <w:rPr>
                <w:rFonts w:hint="eastAsia" w:ascii="宋体" w:hAnsi="宋体" w:eastAsia="宋体" w:cs="宋体"/>
                <w:b/>
                <w:bCs/>
                <w:i w:val="0"/>
                <w:iCs w:val="0"/>
                <w:color w:val="3366FF"/>
                <w:kern w:val="0"/>
                <w:sz w:val="21"/>
                <w:szCs w:val="21"/>
                <w:u w:val="none"/>
                <w:lang w:val="en-US" w:eastAsia="zh-CN" w:bidi="ar"/>
              </w:rPr>
              <w:t>④若相关检验检测项不在检验检测机构CMA资质许可（认定）范围内的，不符合招标文件要求。）</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实木幼儿圆桌2</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 （设备及组件尺寸允许误差±5%）产品尺寸:φ80cm×H52cm</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 板材：桌面面板采用20.3mm厚AAA级橡胶木板，四角圆R50圆角，边缘部位圆R10圆角，桌子反面锣防变形槽，承载力佳；桌面连接板采用20.3mm厚AAA级橡胶木板，长度540mm，宽90mm，一棱边圆R15圆角，四角位圆R30圆角；脚与桌面连接板用4颗防锈木牙螺丝7*50mm，连接板与面板用6颗防锈丝牙螺丝8*30mm，结构稳固。桌脚为48*48mm橡胶木木方，四棱边圆R10圆角。原材料橡胶木齿接板含水率≤12%、甲醛释放量≤0.012mg/m³。</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实木幼儿圆桌3</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 （设备及组件尺寸允许误差±5%）产品尺寸:φ80cm×H56cm</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 板材：桌面面板采用20.3mm厚AAA级橡胶木板，四角圆R50圆角，边缘部位圆R10圆角，桌子反面锣防变形槽，承载力佳；桌面连接板采用20.3mm厚AAA级橡胶木板，长度540mm，宽90mm，一棱边圆R15圆角，四角位圆R30圆角；脚与桌面连接板用4颗防锈木牙螺丝7*50mm，连接板与面板用6颗防锈丝牙螺丝8*30mm，结构稳固。桌脚为48*48mm橡胶木木方，四棱边圆R10圆角。原材料橡胶木齿接板含水率≤12%、甲醛释放量≤0.012mg/m³。</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实木儿童椅1</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 （设备及组件尺寸允许误差±5%）产品尺寸：座高26cm</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 板材：椅面采用16.3mm厚AAA级橡胶木板，四脚及靠背采用AAA橡胶木原木。原材料橡胶木板含水率≤12%、甲醛释放量≤0.02mg/m³。结构：榫卯结构，前脚规格245*45*20mm，后脚规格470*45*22mm，座板底部加4个三角板加固。</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 ▲实木儿童椅检测项满足以下：甲醛释放量≤0.012mg/m³；苯未检出、甲苯未检出、二甲苯未检出；TVOC未检出；可迁移元素铅未检出、镉未检出、铬未检出、汞未检出、锑未检出、钡未检出、硒未检出、砷未检出；富马酸二甲酯未检出。检验依据：GB/T 31106-2014、HJ2547-2016、GB/T 27717-2011。</w:t>
            </w:r>
            <w:r>
              <w:rPr>
                <w:rFonts w:hint="eastAsia" w:ascii="宋体" w:hAnsi="宋体" w:eastAsia="宋体" w:cs="宋体"/>
                <w:b/>
                <w:bCs/>
                <w:i w:val="0"/>
                <w:iCs w:val="0"/>
                <w:color w:val="3366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①对应参数（检验检测项）在检验检测报告中进行标注；②检测报告封面产品名称与所投产品不一致的需作书面说明，否则该项不得分；</w:t>
            </w:r>
            <w:r>
              <w:rPr>
                <w:rFonts w:hint="eastAsia" w:ascii="宋体" w:hAnsi="宋体" w:eastAsia="宋体" w:cs="宋体"/>
                <w:b/>
                <w:bCs/>
                <w:i w:val="0"/>
                <w:iCs w:val="0"/>
                <w:color w:val="FF0000"/>
                <w:kern w:val="0"/>
                <w:sz w:val="21"/>
                <w:szCs w:val="21"/>
                <w:u w:val="none"/>
                <w:lang w:val="en-US" w:eastAsia="zh-CN" w:bidi="ar"/>
              </w:rPr>
              <w:t>③检验检测报告出具的时间应在本项目投标截止日前3年内。</w:t>
            </w:r>
            <w:r>
              <w:rPr>
                <w:rFonts w:hint="eastAsia" w:ascii="宋体" w:hAnsi="宋体" w:eastAsia="宋体" w:cs="宋体"/>
                <w:b/>
                <w:bCs/>
                <w:i w:val="0"/>
                <w:iCs w:val="0"/>
                <w:color w:val="3366FF"/>
                <w:kern w:val="0"/>
                <w:sz w:val="21"/>
                <w:szCs w:val="21"/>
                <w:u w:val="none"/>
                <w:lang w:val="en-US" w:eastAsia="zh-CN" w:bidi="ar"/>
              </w:rPr>
              <w:t>④若相关检验检测项不在检验检测机构CMA资质许可（认定）范围内的，不符合招标文件要求。）</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实木儿童椅2</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 （设备及组件尺寸允许误差±5%）产品尺寸:座高：28cm</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 板材：椅面采用16.3mm厚AAA级橡胶木板，四脚及靠背采用AAA橡胶木原木。原材料橡胶木板含水率≤12%、甲醛释放量≤0.02mg/m³。结构：榫卯结构，前脚规格245*45*20mm，后脚规格470*45*22mm，座板底部加4个三角板加固。</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实木儿童椅3</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 （设备及组件尺寸允许误差±5%）产品尺寸:座高30cm</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 板材：椅面采用16.3mm厚AAA级橡胶木板，四脚及靠背采用AAA橡胶木原木。原材料橡胶木板含水率≤12%、甲醛释放量≤0.02mg/m³。结构：榫卯结构，前脚规格245*45*20mm，后脚规格470*45*22mm，座板底部加4个三角板加固。</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美术展示柜A</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 （设备及组件尺寸允许误差±5%）产品尺寸：L90cm×W30cm×H160cm</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 板材：16.3mm厚AAA级橡胶木板，可视面倒R10与R2加强产品的视角圆润性及安全性。原材料橡胶木板含水率≤12%、甲醛释放量≤0.011mg/m³。</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美术展示柜C</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 （设备及组件尺寸允许误差±5%）产品尺寸：L90cm×W30cm×H160cm</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 板材：16.3mm厚AAA级橡胶木板，可视面倒R10与R2加强产品的视角圆润性及安全性。原材料橡胶木板含水率≤12%、甲醛释放量≤0.011mg/m³。</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实木十二格收纳柜</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 （设备及组件尺寸允许误差±5%）产品尺寸：L110cm×W30cm×H80.5cm</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 板材：16.3mm厚AAA级橡胶木板，可视面倒R10与R2加强产品的视角圆润性及安全性。原材料橡胶木板含水率≤12%、甲醛释放量≤0.011mg/m³。</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实木六格活动柜</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 （设备及组件尺寸允许误差±5%）产品尺寸：L90cm×W30cm×H62cm</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 板材：16.3mm厚AAA级橡胶木板，可视面倒R10与R2加强产品的视角圆润性及安全性。原材料橡胶木板含水率≤12%、甲醛释放量≤0.011mg/m³。</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54.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实木美术材料柜（活动）</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 （设备及组件尺寸允许误差±5%）产品尺寸：L90cm×W40cm×H73cm</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 板材：16.3mm厚AAA级橡胶木板，可视面倒R10与R2加强产品的视角圆润性及安全性。原材料橡胶木板含水率≤12%、甲醛释放量≤0.011mg/m³。</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57. 油漆：采用环保安全水性油漆，采用五底三面工艺，经久耐用，不易黄变，耐霉菌，耐人工气候老化，涂膜无起泡无剥落、无裂纹，游离甲醛≤5mg/kg、苯系物总和含量≤100mg/kg；五金：采用环保五金，安全无毒；采用万向轮，可活动；涂层：涂层外观无褪色、掉色现象，不应有皱皮、发粘或漏漆现象。</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58. ▲万向轮检测项满足以下：外观：脚轮的轮面光洁，不应有裂纹、伤痕、毛边等缺陷。金属件的表面光滑平整，无锈蚀、毛刺刃口、露底等缺陷；装配：转动零部件转动灵活，无卡滞及松脱现象。脚轮零部件之间装配牢固，轮轴不应随车轮转动；通过氙弧灯老化≥188h测试达到4-5级。检验依据：GB/T 22048-2022、QB/T 4765-2014、GB/T 16422.2-2022。</w:t>
            </w:r>
            <w:r>
              <w:rPr>
                <w:rFonts w:hint="eastAsia" w:ascii="宋体" w:hAnsi="宋体" w:eastAsia="宋体" w:cs="宋体"/>
                <w:b/>
                <w:bCs/>
                <w:i w:val="0"/>
                <w:iCs w:val="0"/>
                <w:color w:val="3366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①对应参数（检验检测项）在检验检测报告中进行标注；②检测报告封面产品名称与所投产品不一致的需作书面说明，否则该项不得分；</w:t>
            </w:r>
            <w:r>
              <w:rPr>
                <w:rFonts w:hint="eastAsia" w:ascii="宋体" w:hAnsi="宋体" w:eastAsia="宋体" w:cs="宋体"/>
                <w:b/>
                <w:bCs/>
                <w:i w:val="0"/>
                <w:iCs w:val="0"/>
                <w:color w:val="FF0000"/>
                <w:kern w:val="0"/>
                <w:sz w:val="21"/>
                <w:szCs w:val="21"/>
                <w:u w:val="none"/>
                <w:lang w:val="en-US" w:eastAsia="zh-CN" w:bidi="ar"/>
              </w:rPr>
              <w:t>③检验检测报告出具的时间应在本项目投标截止日前1年内。</w:t>
            </w:r>
            <w:r>
              <w:rPr>
                <w:rFonts w:hint="eastAsia" w:ascii="宋体" w:hAnsi="宋体" w:eastAsia="宋体" w:cs="宋体"/>
                <w:b/>
                <w:bCs/>
                <w:i w:val="0"/>
                <w:iCs w:val="0"/>
                <w:color w:val="3366FF"/>
                <w:kern w:val="0"/>
                <w:sz w:val="21"/>
                <w:szCs w:val="21"/>
                <w:u w:val="none"/>
                <w:lang w:val="en-US" w:eastAsia="zh-CN" w:bidi="ar"/>
              </w:rPr>
              <w:t>④若相关检验检测项不在检验检测机构CMA资质许可（认定）范围内的，不符合招标文件要求。）</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实木布偶玩具柜台</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59. （设备及组件尺寸允许误差±5%）产品尺寸：L90cm×W30cm×H130cm</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 板材：16.3mm厚AAA级橡胶木板，可视面倒R10与R2加强产品的视角圆润性及安全性。原材料橡胶木板含水率≤12%、甲醛释放量≤0.011mg/m³。</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61.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实木5格中空收纳柜</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 （设备及组件尺寸允许误差±5%）产品尺寸：L90cm×W30cm×H62cm</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63. 板材：16.3mm厚AAA级橡胶木板，可视面倒R10与R2加强产品的视角圆润性及安全性。原材料橡胶木板含水率≤12%、甲醛释放量≤0.011mg/m³。</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实木2层中空柜</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65. （设备及组件尺寸允许误差±5%）产品尺寸：L90cm×W30cm×H62cm</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 板材：16.3mm厚AAA级橡胶木板，可视面倒R10与R2加强产品的视角圆润性及安全性。原材料橡胶木板含水率≤12%、甲醛释放量≤0.011mg/m³。</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67.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68. ▲实木中空柜检测项满足以下：甲醛释放量≤0.035mg/m³；苯未检出；甲苯未检出；二甲苯未检出；TVOC释放量≤0.05mg/m³。检验依据SZJG 52-2016标准。</w:t>
            </w:r>
            <w:r>
              <w:rPr>
                <w:rFonts w:hint="eastAsia" w:ascii="宋体" w:hAnsi="宋体" w:eastAsia="宋体" w:cs="宋体"/>
                <w:b/>
                <w:bCs/>
                <w:i w:val="0"/>
                <w:iCs w:val="0"/>
                <w:color w:val="3366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①对应参数（检验检测项）在检验检测报告中进行标注；②检测报告封面产品名称与所投产品不一致的需作书面说明，否则该项不得分；</w:t>
            </w:r>
            <w:r>
              <w:rPr>
                <w:rFonts w:hint="eastAsia" w:ascii="宋体" w:hAnsi="宋体" w:eastAsia="宋体" w:cs="宋体"/>
                <w:b/>
                <w:bCs/>
                <w:i w:val="0"/>
                <w:iCs w:val="0"/>
                <w:color w:val="FF0000"/>
                <w:kern w:val="0"/>
                <w:sz w:val="21"/>
                <w:szCs w:val="21"/>
                <w:u w:val="none"/>
                <w:lang w:val="en-US" w:eastAsia="zh-CN" w:bidi="ar"/>
              </w:rPr>
              <w:t>③检验检测报告出具的时间应在本项目投标截止日前3年内。</w:t>
            </w:r>
            <w:r>
              <w:rPr>
                <w:rFonts w:hint="eastAsia" w:ascii="宋体" w:hAnsi="宋体" w:eastAsia="宋体" w:cs="宋体"/>
                <w:b/>
                <w:bCs/>
                <w:i w:val="0"/>
                <w:iCs w:val="0"/>
                <w:color w:val="3366FF"/>
                <w:kern w:val="0"/>
                <w:sz w:val="21"/>
                <w:szCs w:val="21"/>
                <w:u w:val="none"/>
                <w:lang w:val="en-US" w:eastAsia="zh-CN" w:bidi="ar"/>
              </w:rPr>
              <w:t>④若相关检验检测项不在检验检测机构CMA资质许可（认定）范围内的，不符合招标文件要求。）</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实木2层矮柜</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69. （设备及组件尺寸允许误差±5%）产品尺寸:L90cm×W30cm×H62cm</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 板材：16.3mm厚AAA级橡胶木板，可视面倒R10与R2加强产品的视角圆润性及安全性。原材料橡胶木板含水率≤12%、甲醛释放量≤0.011mg/m³。</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71.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实木双层弧形收纳柜</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 （设备及组件尺寸允许误差±5%）产品尺寸:L70cm×W36cm×H62cm</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73. 板材：16.3mm厚AAA级橡胶木板，可视面倒R10与R2加强产品的视角圆润性及安全性。原材料橡胶木板含水率≤12%、甲醛释放量≤0.011mg/m³。</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74.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实木3层玩具柜</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 （设备及组件尺寸允许误差±5%）产品尺寸:L90cm×W30cm×H62cm</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76. 板材：16.3mm厚AAA级橡胶木板，可视面倒R10与R2加强产品的视角圆润性及安全性。原材料橡胶木板含水率≤12%、甲醛释放量≤0.011mg/m³。</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77.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实木3层收纳柜</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78. （设备及组件尺寸允许误差±5%）产品尺寸:L90cm×W30cm×H80.5cm</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79. 板材：16.3mm厚AAA级橡胶木板，可视面倒R10与R2加强产品的视角圆润性及安全性。原材料橡胶木板含水率≤12%、甲醛释放量≤0.011mg/m³。</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实木阶梯柜</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81. （设备及组件尺寸允许误差±5%）产品尺寸: 1格柜：L30cm×W30cm×H32cm；2格柜：L30×W30×H56cm；3格柜：L30×W30×H80.5cm</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82. 板材：16.3mm厚AAA级橡胶木板，可视面倒R10与R2加强产品的视角圆润性及安全性。原材料橡胶木板含水率≤12%、甲醛释放量≤0.011mg/m³。</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83.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贩卖台（不含盒）</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84. （设备及组件尺寸允许误差±5%）产品尺寸:L90cm×W42cm×H120cm</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85. 板材：16.3mm厚AAA级橡胶木板，可视面倒R10与R2加强产品的视角圆润性及安全性。原材料橡胶木板含水率≤12%、甲醛释放量≤0.011mg/m³。上部是麻棉作帘布，下层柜子有收纳格。面板与侧板使用二合一螺丝固定，层板与侧板使用防锈木牙螺丝连接，结构稳固。</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 ▲棉麻面料符合检测项满足以下：染色牢度-耐酸汗渍（变色、沾色）不低于4级；染色牢度-耐碱汗渍（变色、沾色）不低于4级；染色牢度-耐干摩擦不低于4级；邻苯二甲酸酯-总量：未检出；甲醛含量：未检出；抗菌性能：抑菌率-金黄色葡萄球菌≥99%；耐光色牢度不低于4级；抗老化≥188h测试结果不低于4级。检验依据：GB/T 3922-2013、GB/T 2912.3-2009、GB/T 20944.3-2008、GB/T 18885-2020、GB/T 16991-2008。</w:t>
            </w:r>
            <w:r>
              <w:rPr>
                <w:rFonts w:hint="eastAsia" w:ascii="宋体" w:hAnsi="宋体" w:eastAsia="宋体" w:cs="宋体"/>
                <w:b/>
                <w:bCs/>
                <w:i w:val="0"/>
                <w:iCs w:val="0"/>
                <w:color w:val="3366FF"/>
                <w:kern w:val="0"/>
                <w:sz w:val="21"/>
                <w:szCs w:val="21"/>
                <w:u w:val="none"/>
                <w:lang w:val="en-US" w:eastAsia="zh-CN" w:bidi="ar"/>
              </w:rPr>
              <w:t>（投标时同时提供：①由第三方检验检测机构出具并加盖（或带有）CMA标志的抽样检验报告扫描件，原件备查；②上述检验检测报告在全国认证认可信息公共服务平台（认e云）（http://cx.cnca.cn/）的信息查询记录截图。注：①对应参数（检验检测项）在检验检测报告中进行标注；②检测报告封面产品名称与所投产品不一致的需作书面说明，否则该项不得分；</w:t>
            </w:r>
            <w:r>
              <w:rPr>
                <w:rFonts w:hint="eastAsia" w:ascii="宋体" w:hAnsi="宋体" w:eastAsia="宋体" w:cs="宋体"/>
                <w:b/>
                <w:bCs/>
                <w:i w:val="0"/>
                <w:iCs w:val="0"/>
                <w:color w:val="FF0000"/>
                <w:kern w:val="0"/>
                <w:sz w:val="21"/>
                <w:szCs w:val="21"/>
                <w:u w:val="none"/>
                <w:lang w:val="en-US" w:eastAsia="zh-CN" w:bidi="ar"/>
              </w:rPr>
              <w:t>③检验检测报告出具的时间应在本项目投标截止日前1年内。</w:t>
            </w:r>
            <w:r>
              <w:rPr>
                <w:rFonts w:hint="eastAsia" w:ascii="宋体" w:hAnsi="宋体" w:eastAsia="宋体" w:cs="宋体"/>
                <w:b/>
                <w:bCs/>
                <w:i w:val="0"/>
                <w:iCs w:val="0"/>
                <w:color w:val="3366FF"/>
                <w:kern w:val="0"/>
                <w:sz w:val="21"/>
                <w:szCs w:val="21"/>
                <w:u w:val="none"/>
                <w:lang w:val="en-US" w:eastAsia="zh-CN" w:bidi="ar"/>
              </w:rPr>
              <w:t>④若相关检验检测项不在检验检测机构CMA资质许可（认定）范围内的，不符合招标文件要求。）</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87.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实木小屋阅读柜</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88. （设备及组件尺寸允许误差±5%）产品尺寸:L120cm×W50cm×H129cm</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89. 板材：16.3mm厚AAA级橡胶木板，可视面倒R10与R2加强产品的视角圆润性及安全性。原材料橡胶木板含水率≤12%、甲醛释放量≤0.011mg/m³。</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91. ▲小屋阅读柜检测项满足以下：木制件表面理化性能-漆膜耐磨性不低于2级；家具涂层可迁移元素铅未检出、镉未检出、铬未检出、汞未检出、锑未检出、钡未检出、硒未检出、砷未检出；甲醛释放量：未检出；抑菌率-表面葡萄球菌≥99%。检验依据：GB/T 3324-2024、GB/T 35607-2024、GB/T 4893.8-2023、GB/T 38794-2020、QB/T 4371-2012。</w:t>
            </w:r>
            <w:r>
              <w:rPr>
                <w:rFonts w:hint="eastAsia" w:ascii="宋体" w:hAnsi="宋体" w:eastAsia="宋体" w:cs="宋体"/>
                <w:b/>
                <w:bCs/>
                <w:i w:val="0"/>
                <w:iCs w:val="0"/>
                <w:color w:val="3366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①对应参数（检验检测项）在检验检测报告中进行标注；②检测报告封面产品名称与所投产品不一致的需作书面说明，否则该项不得分；</w:t>
            </w:r>
            <w:r>
              <w:rPr>
                <w:rFonts w:hint="eastAsia" w:ascii="宋体" w:hAnsi="宋体" w:eastAsia="宋体" w:cs="宋体"/>
                <w:b/>
                <w:bCs/>
                <w:i w:val="0"/>
                <w:iCs w:val="0"/>
                <w:color w:val="FF0000"/>
                <w:kern w:val="0"/>
                <w:sz w:val="21"/>
                <w:szCs w:val="21"/>
                <w:u w:val="none"/>
                <w:lang w:val="en-US" w:eastAsia="zh-CN" w:bidi="ar"/>
              </w:rPr>
              <w:t>③检验检测报告出具的时间应在本项目投标截止日前3年内。</w:t>
            </w:r>
            <w:r>
              <w:rPr>
                <w:rFonts w:hint="eastAsia" w:ascii="宋体" w:hAnsi="宋体" w:eastAsia="宋体" w:cs="宋体"/>
                <w:b/>
                <w:bCs/>
                <w:i w:val="0"/>
                <w:iCs w:val="0"/>
                <w:color w:val="3366FF"/>
                <w:kern w:val="0"/>
                <w:sz w:val="21"/>
                <w:szCs w:val="21"/>
                <w:u w:val="none"/>
                <w:lang w:val="en-US" w:eastAsia="zh-CN" w:bidi="ar"/>
              </w:rPr>
              <w:t>④若相关检验检测项不在检验检测机构CMA资质许可（认定）范围内的，不符合招标文件要求。）</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实木6格中空分区柜</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92. （设备及组件尺寸允许误差±5%）产品尺寸:L90cm×W30cm×H62cm</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93. 板材：16.3mm厚AAA级橡胶木板，可视面倒R10与R2加强产品的视角圆润性及安全性。原材料橡胶木板含水率≤12%、甲醛释放量≤0.011mg/m³。</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94.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实木教具柜（含盒）</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95. （设备及组件尺寸允许误差±5%）产品尺寸:L106cm×W30cm×H80.5cm</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96. 板材：16.3mm厚AAA级橡胶木板，可视面倒R10与R2加强产品的视角圆润性及安全性。原材料橡胶木板含水率≤12%、甲醛释放量≤0.011mg/m³。原木三层，含教具盒。</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98. ▲实木教具柜检测项满足以下：木制件表面理化性能-漆膜耐磨性不低于2级；家具涂层可迁移元素铅未检出、镉未检出、铬未检出、汞未检出、锑未检出、钡未检出、硒未检出、砷未检出；甲醛释放量：未检出；抑菌率-表面葡萄球菌≥99%。检验依据：GB/T 3324-2024、GB/T 35607-2024、GB/T 4893.8-2023、GB/T 38794-2020、QB/T 4371-2012。</w:t>
            </w:r>
            <w:r>
              <w:rPr>
                <w:rFonts w:hint="eastAsia" w:ascii="宋体" w:hAnsi="宋体" w:eastAsia="宋体" w:cs="宋体"/>
                <w:b/>
                <w:bCs/>
                <w:i w:val="0"/>
                <w:iCs w:val="0"/>
                <w:color w:val="3366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①对应参数（检验检测项）在检验检测报告中进行标注；②检测报告封面产品名称与所投产品不一致的需作书面说明，否则该项不得分；</w:t>
            </w:r>
            <w:r>
              <w:rPr>
                <w:rFonts w:hint="eastAsia" w:ascii="宋体" w:hAnsi="宋体" w:eastAsia="宋体" w:cs="宋体"/>
                <w:b/>
                <w:bCs/>
                <w:i w:val="0"/>
                <w:iCs w:val="0"/>
                <w:color w:val="FF0000"/>
                <w:kern w:val="0"/>
                <w:sz w:val="21"/>
                <w:szCs w:val="21"/>
                <w:u w:val="none"/>
                <w:lang w:val="en-US" w:eastAsia="zh-CN" w:bidi="ar"/>
              </w:rPr>
              <w:t>③检验检测报告出具的时间应在本项目投标截止日前3年内。</w:t>
            </w:r>
            <w:r>
              <w:rPr>
                <w:rFonts w:hint="eastAsia" w:ascii="宋体" w:hAnsi="宋体" w:eastAsia="宋体" w:cs="宋体"/>
                <w:b/>
                <w:bCs/>
                <w:i w:val="0"/>
                <w:iCs w:val="0"/>
                <w:color w:val="3366FF"/>
                <w:kern w:val="0"/>
                <w:sz w:val="21"/>
                <w:szCs w:val="21"/>
                <w:u w:val="none"/>
                <w:lang w:val="en-US" w:eastAsia="zh-CN" w:bidi="ar"/>
              </w:rPr>
              <w:t>④若相关检验检测项不在检验检测机构CMA资质许可（认定）范围内的，不符合招标文件要求。）</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实木8格收纳柜</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99. （设备及组件尺寸允许误差±5%）产品尺寸:L90cm×W30cm×H80.5cm</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 板材：16.3mm厚AAA级橡胶木板，可视面倒R10与R2加强产品的视角圆润性及安全性。原材料橡胶木板含水率≤12%、甲醛释放量≤0.011mg/m³。</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101.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实木系统书柜</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102. （设备及组件尺寸允许误差±5%）产品尺寸:L90cm×W30cm×H84cm</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103. 板材：16.3mm厚AAA级橡胶木板，可视面倒R10与R2加强产品的视角圆润性及安全性。原材料橡胶木板含水率≤12%、甲醛释放量≤0.011mg/m³。</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实木10格书包、鞋一体柜</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105. （设备及组件尺寸允许误差±5%）产品尺寸:L100.1cm×W30cm×H100cm</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106. 板材：16.3mm厚AAA级橡胶木板，可视面倒R10与R2加强产品的视角圆润性及安全性。原材料橡胶木板含水率≤12%、甲醛释放量≤0.011mg/m³。</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107.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实木6格书包、鞋一体柜</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108. （设备及组件尺寸允许误差±5%）产品尺寸:L60.7cm×W30cm×H100cm</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109. 板材：16.3mm厚AAA级橡胶木板，可视面倒R10与R2加强产品的视角圆润性及安全性。原材料橡胶木板含水率≤12%、甲醛释放量≤0.011mg/m³。</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110.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实木榻榻米床</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111. （设备及组件尺寸允许误差±5%）产品尺寸:L120cm×W60cm×H15cm</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112. 板材：16.3mm厚AAA级橡胶木板，可视面倒R10与R2加强产品的视角圆润性及安全性。原材料橡胶木板含水率≤12%、甲醛释放量≤0.011mg/m³。</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113. 油漆：采用环保安全水性油漆，采用五底三面工艺，经久耐用，不易黄变，耐霉菌，耐人工气候老化，涂膜无起泡无剥落、无裂纹，游离甲醛≤5mg/kg、苯系物总和含量≤100mg/kg；五金：采用环保五金，安全无毒；脚钉（透明尼龙一体成型脚垫），Φ22*19mm，保护地板减少噪音；涂层：涂层外观无褪色、掉色现象，不应有皱皮、发粘或漏漆现象。</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便携式儿童床架</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114. （设备及组件尺寸允许误差±5%）产品尺寸:110cm×62cm×10.5cm（黄色）</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115. 材质：采用直径25mm铁管制成，表面抗紫外线户外用烤漆处理，不易变色，漆面牢固，底部带有4个滑轮（其中2个带锁定），便于移动。适用于130、140规格床使用。</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便携式可堆叠儿童床1</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116. （设备及组件尺寸允许误差±5%）产品尺寸:130cm×56cm×20cm，最大载重：50kg。</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117. 床面采用环保网布，床架采用直径25mm铁管制成，表面抗紫外线户外用烤漆处理，不易变色，漆面牢固。床脚采用安全环保塑料，可堆叠收纳。</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便携式可堆叠儿童床2</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118. （设备及组件尺寸允许误差±5%）产品尺寸:140cm×56cm×20cm，最大载重：50kg。</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119. 床面采用环保网布，床架采用直径25mm铁管制成，表面抗紫外线户外用烤漆处理，不易变色，漆面牢固。床脚采用安全环保塑料，可堆叠收纳。</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毛巾架</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 （设备及组件尺寸允许误差±5%）产品尺寸：720mm*90mm*80mm、φ12mm透明柱，挂钩柱高48mm。</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121. 材质：15厘瓷白亚克力板材；工艺：电脑雕刻、R角磨边、机器整体抛光、亚克力胶水粘结；安装位：10mm*3mm沉孔、6mm穿透孔；挂钩：电脑雕刻U形卡位。</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122. ▲幼儿毛巾架检测项满足以下：甲醛释放量≤0.012mg/m³；苯未检出、甲苯未检出、二甲苯未检出；TVOC未检出；可迁移元素铅未检出、镉未检出、铬未检出、汞未检出、锑未检出、钡未检出、硒未检出、砷未检出；抗菌性能：大肠杆菌≥99%、金黄色葡萄球菌≥99%；检验依据：GB/T 31106-2014、HJ2547-2016、QB/T 4371-2012。</w:t>
            </w:r>
            <w:r>
              <w:rPr>
                <w:rFonts w:hint="eastAsia" w:ascii="宋体" w:hAnsi="宋体" w:eastAsia="宋体" w:cs="宋体"/>
                <w:b/>
                <w:bCs/>
                <w:i w:val="0"/>
                <w:iCs w:val="0"/>
                <w:color w:val="3366FF"/>
                <w:kern w:val="0"/>
                <w:sz w:val="21"/>
                <w:szCs w:val="21"/>
                <w:u w:val="none"/>
                <w:lang w:val="en-US" w:eastAsia="zh-CN" w:bidi="ar"/>
              </w:rPr>
              <w:t>（投标时同时提供：①由第三方检验检测机构出具并加盖（或带有）CMA标志的检验检测报告扫描件，原件备查；②上述检验检测报告在全国认证认可信息公共服务平台（认e云）（http://cx.cnca.cn/）的信息查询记录截图。注：①对应参数（检验检测项）在检验检测报告中进行标注；②检测报告封面产品名称与所投产品不一致的需作书面说明，否则该项不得分；</w:t>
            </w:r>
            <w:r>
              <w:rPr>
                <w:rFonts w:hint="eastAsia" w:ascii="宋体" w:hAnsi="宋体" w:eastAsia="宋体" w:cs="宋体"/>
                <w:b/>
                <w:bCs/>
                <w:i w:val="0"/>
                <w:iCs w:val="0"/>
                <w:color w:val="FF0000"/>
                <w:kern w:val="0"/>
                <w:sz w:val="21"/>
                <w:szCs w:val="21"/>
                <w:u w:val="none"/>
                <w:lang w:val="en-US" w:eastAsia="zh-CN" w:bidi="ar"/>
              </w:rPr>
              <w:t>③检验检测报告出具的时间应在本项目投标截止日前3年内。</w:t>
            </w:r>
            <w:r>
              <w:rPr>
                <w:rFonts w:hint="eastAsia" w:ascii="宋体" w:hAnsi="宋体" w:eastAsia="宋体" w:cs="宋体"/>
                <w:b/>
                <w:bCs/>
                <w:i w:val="0"/>
                <w:iCs w:val="0"/>
                <w:color w:val="3366FF"/>
                <w:kern w:val="0"/>
                <w:sz w:val="21"/>
                <w:szCs w:val="21"/>
                <w:u w:val="none"/>
                <w:lang w:val="en-US" w:eastAsia="zh-CN" w:bidi="ar"/>
              </w:rPr>
              <w:t>④若相关检验检测项不在检验检测机构CMA资质许可（认定）范围内的，不符合招标文件要求。）</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水杯柜</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123. （设备及组件尺寸允许误差±5%）产品尺寸：L83.6cm×W13.8cm×H63.3cm，杯格规格：8.9*8.9cm（内径）；</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124. 柜体：128*25mm铝型材，防潮、防霉变腐烂；柜体连接件：工程塑料L型内嵌式连接件，R5防撞边；隔层：隔层板材采用8mm透明亚克力板，边缘R2mm 圆边；上悬式内置卡位设计；组合隔层可拆卸、安装；柜门：采用双层立体蜂窝软帘，能柔顺开合、无极定位，透气、防尘、防蚊虫。</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放床储物一体柜</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 （设备及组件尺寸允许误差±5%）产品尺寸：下柜:宽1600mm*深680mm*高1600mm；上柜:宽1600mm*深680mm*高1205mm</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126. 板材：立板、隔板采用E0级18mm双面木色多层免漆夹板；面板采用E0级18mm双面白色多层免漆夹板。下柜背板用E0级18mm双面木色多层免漆夹板，以保证柜体稳定不变形；储物柜背板用E0级9mm双面木色多层免漆夹板。</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127. 下柜柜门带透气窗口，窗网采用铝型材蜂窝圆造型板；柜体有钢结构件加固，以防柜体变形；柜门下方安装内弹承压缓冲滚轮；使用标准铰链、合金螺丝；封边：使用PVC专业封边条封边。</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1号半开放式储物柜</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128. （设备及组件尺寸允许误差±5%）产品尺寸：宽952mm*深340mm*高2805mm</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129. 板材：立板、隔板采用E0级18mm双面木色多层免漆夹板；面板采用E0级18mm双面白色多层免漆夹板。储物柜背板用E0级9mm双面木色多层免漆夹板。使用标准铰链、合金螺丝；封边：使用PVC专业封边条封边。</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2号半开放式储物柜</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130. （设备及组件尺寸允许误差±5%）产品尺寸：宽947mm*深210mm*高1045mm；下面墙板规格：宽417mm*高1760mm</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131. 板材：立板、隔板采用E0级18mm双面木色多层免漆夹板；面板采用E0级18mm双面白色多层免漆夹板。储物柜背板用E0级9mm双面木色多层免漆夹板。使用标准铰链、合金螺丝；封边：使用PVC专业封边条封边。</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3号半开放式储物柜</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132. （设备及组件尺寸允许误差±5%）产品尺寸：宽967mm*深350mm*高1045mm；下面墙板规格：宽417mm*高1760mm</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133. 板材：立板、隔板采用E0级18mm双面木色多层免漆夹板；面板采用E0级18mm双面白色多层免漆夹板。储物柜背板用E0级9mm双面木色多层免漆夹板。使用标准铰链、合金螺丝；封边：使用PVC专业封边条封边。</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储物被褥一体柜</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134. （设备及组件尺寸允许误差±5%）产品尺寸：上柜：宽947mm*深680mm*高1045mm；下柜：宽947mm*深680*高1760mm（四个格）</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135. 板材：立板、隔板采用E0级18mm双面木色多层免漆夹板；面板采用E0级18mm双面白色多层免漆夹板。储物柜背板用E0级9mm双面木色多层免漆夹板。使用标准铰链、合金螺丝；封边：使用PVC专业封边条封边。</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1号储物柜</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136. （设备及组件尺寸允许误差±5%）产品尺寸：宽3280mm*深618mm*高1045mm</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137. 板材：立板、隔板采用E0级18mm双面木色多层免漆夹板；面板采用E0级18mm双面白色多层免漆夹板；储物柜背板用E0级9mm双面木色多层免漆夹板。下柜柜门带透气窗，窗网采用铝型材蜂窝圆造型板；柜体用钢结构件与墙体固定；柜门下方内侧安装隐形门帘轨道，波浪折叠门帘；使用标准铰链、合金螺丝；封边：使用PVC专业封边条封边。</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2号储物柜</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138. （设备及组件尺寸允许误差±5%）产品尺寸：宽2890mm*深618mm*高1045mm</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139. 板材：立板、隔板采用E0级18Mmm双面木色多层免漆夹板；面板采用E0级18mm双面白色多层免漆夹板；储物柜背板用E0级9mm双面木色多层免漆夹板。下柜柜门带透气窗，窗网采用铝型材蜂窝圆造型板；柜体用钢结构件与墙体固定；柜门下方内侧安装隐形门帘轨道，波浪折叠门帘；使用标准铰链、合金螺丝；封边：使用PVC专业封边条封边。</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28格被褥柜</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140. （设备及组件尺寸允许误差±5%）产品尺寸：宽3280mm*深550mm*高1760mm（带隐形轨道及门帘）</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141. 板材：立板、隔板采用E0级18mm双面木色多层免漆夹板；背板用E0级9mm双面木色多层免漆夹板。使用标准铰链、合金螺丝；封边：使用PVC专业封边条封边。</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24格被褥柜</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142. （设备及组件尺寸允许误差±5%）产品尺寸：宽2890mm*深550mm*高1760mm（带隐形轨道及门帘）</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143. 板材：立板、隔板采用E0级18mm双面木色多层免漆夹板；背板用E0级9mm双面木色多层免漆夹板。使用标准铰链、合金螺丝；封边：使用PVC专业封边条封边。</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1号储物吊柜</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144. （设备及组件尺寸允许误差±5%）产品尺寸：宽2700mm*深350mm*高1095mm</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145. 板材：立板、隔板采用E0级18mm背板用E0级18mm双面木色多层免漆夹板。</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146. 柜体吊装，用钢结构件与墙体固定；使用标准铰链、合金螺丝；封边：使用PVC专业封边条封边。</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2号储物吊柜</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147. （设备及组件尺寸允许误差±5%）产品尺寸：宽2070mm*深350mm*高1095mm</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148. 板材：立板、隔板采用E0级18mm双面木色多层免漆夹板；面板采用E0级18mm双面白色多层免漆夹板；储物柜背板用E0级18mm双面木色多层免漆夹板。</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149. 柜体吊装，用钢结构件与墙体固定；使用标准铰链、合金螺丝；封边：使用PVC专业封边条封边。</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护墙板</w:t>
            </w: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 （设备及组件尺寸允许误差±5%）产品尺寸：宽1072mm*厚18mm*高1710mm；</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4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151. 板材：采用E0级18mm双面多层木色免漆夹板；使用PVC专业封边条封边。</w:t>
            </w: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bl>
    <w:p>
      <w:pPr>
        <w:rPr>
          <w:sz w:val="24"/>
        </w:rPr>
      </w:pPr>
    </w:p>
    <w:p>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8" w:name="_Hlk72095977"/>
      <w:r>
        <w:rPr>
          <w:rFonts w:hint="eastAsia"/>
          <w:sz w:val="21"/>
          <w:szCs w:val="21"/>
        </w:rPr>
        <w:t>证明资料【如有的话，提供的证明资料应统一编号（排序），格式自定】</w:t>
      </w:r>
      <w:bookmarkEnd w:id="68"/>
      <w:r>
        <w:rPr>
          <w:rFonts w:hint="eastAsia"/>
          <w:sz w:val="21"/>
          <w:szCs w:val="21"/>
        </w:rPr>
        <w:t>：</w:t>
      </w: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9" w:name="_Hlk72094407"/>
      <w:r>
        <w:rPr>
          <w:rFonts w:hint="eastAsia"/>
          <w:b w:val="0"/>
          <w:bCs/>
          <w:sz w:val="21"/>
          <w:szCs w:val="21"/>
        </w:rPr>
        <w:t>对应“用户需求书”中的“技术要求”章节</w:t>
      </w:r>
      <w:bookmarkEnd w:id="69"/>
      <w:r>
        <w:rPr>
          <w:rFonts w:hint="eastAsia"/>
          <w:b w:val="0"/>
          <w:bCs/>
          <w:sz w:val="21"/>
          <w:szCs w:val="21"/>
        </w:rPr>
        <w:t>相关内容。</w:t>
      </w:r>
    </w:p>
    <w:p>
      <w:pPr>
        <w:pStyle w:val="16"/>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70" w:name="_Hlk72158270"/>
      <w:r>
        <w:rPr>
          <w:rFonts w:hint="eastAsia"/>
          <w:b w:val="0"/>
          <w:bCs/>
          <w:sz w:val="21"/>
          <w:szCs w:val="21"/>
        </w:rPr>
        <w:t>“偏离情况”</w:t>
      </w:r>
      <w:bookmarkEnd w:id="70"/>
      <w:r>
        <w:rPr>
          <w:rFonts w:hint="eastAsia"/>
          <w:b w:val="0"/>
          <w:bCs/>
          <w:sz w:val="21"/>
          <w:szCs w:val="21"/>
        </w:rPr>
        <w:t>一栏填写如实填写“正偏离”、“负偏离”或“无偏离”，其中：</w:t>
      </w:r>
      <w:bookmarkStart w:id="71" w:name="_Hlk72093866"/>
      <w:r>
        <w:rPr>
          <w:rFonts w:hint="eastAsia"/>
          <w:b w:val="0"/>
          <w:bCs/>
          <w:sz w:val="21"/>
          <w:szCs w:val="21"/>
        </w:rPr>
        <w:t>“正偏离”表示“投标响应优于招标技术要求”，“负偏离”表示“投标响应不满足招标技术要求”，“无偏离”表示“投标响应与招标技术要求一致”</w:t>
      </w:r>
      <w:bookmarkEnd w:id="71"/>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pPr>
        <w:ind w:firstLine="420" w:firstLineChars="200"/>
        <w:rPr>
          <w:b w:val="0"/>
          <w:bCs/>
          <w:sz w:val="21"/>
          <w:szCs w:val="21"/>
        </w:rPr>
      </w:pPr>
      <w:r>
        <w:rPr>
          <w:rFonts w:hint="eastAsia"/>
          <w:b w:val="0"/>
          <w:bCs/>
          <w:sz w:val="21"/>
          <w:szCs w:val="21"/>
        </w:rPr>
        <w:t>5、</w:t>
      </w:r>
      <w:bookmarkStart w:id="72" w:name="_Hlk72096106"/>
      <w:r>
        <w:rPr>
          <w:rFonts w:hint="eastAsia"/>
          <w:b w:val="0"/>
          <w:bCs/>
          <w:sz w:val="21"/>
          <w:szCs w:val="21"/>
        </w:rPr>
        <w:t>证明资料条款响应要求</w:t>
      </w:r>
      <w:bookmarkEnd w:id="72"/>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3"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4" w:name="_Hlk73558164"/>
      <w:r>
        <w:rPr>
          <w:rFonts w:hint="eastAsia"/>
          <w:b w:val="0"/>
          <w:bCs/>
          <w:sz w:val="21"/>
          <w:szCs w:val="21"/>
        </w:rPr>
        <w:t>且投标人在“偏离情况”一栏响应为“正偏离”或“无偏离”的，经评审委员会认定，将判定为负偏离。</w:t>
      </w:r>
      <w:bookmarkEnd w:id="73"/>
      <w:bookmarkEnd w:id="74"/>
    </w:p>
    <w:p>
      <w:pPr>
        <w:ind w:firstLine="420" w:firstLineChars="200"/>
        <w:rPr>
          <w:b w:val="0"/>
          <w:bCs/>
          <w:sz w:val="21"/>
          <w:szCs w:val="21"/>
        </w:rPr>
      </w:pPr>
      <w:r>
        <w:rPr>
          <w:rFonts w:hint="eastAsia"/>
          <w:b w:val="0"/>
          <w:bCs/>
          <w:sz w:val="21"/>
          <w:szCs w:val="21"/>
        </w:rPr>
        <w:t>6、</w:t>
      </w:r>
      <w:bookmarkStart w:id="75" w:name="_Hlk72096137"/>
      <w:r>
        <w:rPr>
          <w:rFonts w:hint="eastAsia"/>
          <w:b w:val="0"/>
          <w:bCs/>
          <w:sz w:val="21"/>
          <w:szCs w:val="21"/>
        </w:rPr>
        <w:t>表后“证明资料”部分内容的编制</w:t>
      </w:r>
      <w:bookmarkEnd w:id="75"/>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6" w:name="_Hlk73558180"/>
      <w:r>
        <w:rPr>
          <w:rFonts w:hint="eastAsia"/>
          <w:b w:val="0"/>
          <w:bCs/>
          <w:sz w:val="21"/>
          <w:szCs w:val="21"/>
        </w:rPr>
        <w:t>未按照招标文件要求在表后放置证明材料的供应商将承担不利后果，经评审委员会认定，相关技术要求将判定为负偏离。</w:t>
      </w:r>
      <w:bookmarkEnd w:id="76"/>
    </w:p>
    <w:p>
      <w:pPr>
        <w:ind w:firstLine="420" w:firstLineChars="200"/>
        <w:rPr>
          <w:b w:val="0"/>
          <w:bCs/>
          <w:sz w:val="21"/>
          <w:szCs w:val="21"/>
        </w:rPr>
      </w:pPr>
      <w:r>
        <w:rPr>
          <w:rFonts w:hint="eastAsia"/>
          <w:b w:val="0"/>
          <w:bCs/>
          <w:sz w:val="21"/>
          <w:szCs w:val="21"/>
        </w:rPr>
        <w:t>7、</w:t>
      </w:r>
      <w:bookmarkStart w:id="77" w:name="_Hlk72096176"/>
      <w:r>
        <w:rPr>
          <w:rFonts w:hint="eastAsia"/>
          <w:b w:val="0"/>
          <w:bCs/>
          <w:sz w:val="21"/>
          <w:szCs w:val="21"/>
        </w:rPr>
        <w:t>证明资料的形式及其它具体要求</w:t>
      </w:r>
      <w:bookmarkEnd w:id="77"/>
      <w:r>
        <w:rPr>
          <w:rFonts w:hint="eastAsia"/>
          <w:b w:val="0"/>
          <w:bCs/>
          <w:sz w:val="21"/>
          <w:szCs w:val="21"/>
        </w:rPr>
        <w:t>：</w:t>
      </w:r>
    </w:p>
    <w:p>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pPr>
        <w:ind w:firstLine="420" w:firstLineChars="200"/>
        <w:rPr>
          <w:b w:val="0"/>
          <w:bCs/>
          <w:sz w:val="21"/>
          <w:szCs w:val="21"/>
        </w:rPr>
      </w:pPr>
      <w:r>
        <w:rPr>
          <w:rFonts w:hint="eastAsia"/>
          <w:b w:val="0"/>
          <w:bCs/>
          <w:sz w:val="21"/>
          <w:szCs w:val="21"/>
        </w:rPr>
        <w:t>其它证明资料的形式要求参照以上要求执行；</w:t>
      </w:r>
    </w:p>
    <w:p>
      <w:pPr>
        <w:ind w:firstLine="420" w:firstLineChars="200"/>
        <w:rPr>
          <w:b w:val="0"/>
          <w:bCs/>
          <w:sz w:val="21"/>
          <w:szCs w:val="21"/>
        </w:rPr>
      </w:pPr>
      <w:r>
        <w:rPr>
          <w:rFonts w:hint="eastAsia"/>
          <w:b w:val="0"/>
          <w:bCs/>
          <w:sz w:val="21"/>
          <w:szCs w:val="21"/>
        </w:rPr>
        <w:t>（4）证明资料均要求原件备查。</w:t>
      </w:r>
    </w:p>
    <w:p>
      <w:pPr>
        <w:ind w:firstLine="420" w:firstLineChars="200"/>
        <w:rPr>
          <w:b w:val="0"/>
          <w:bCs/>
          <w:sz w:val="21"/>
          <w:szCs w:val="21"/>
        </w:rPr>
      </w:pPr>
      <w:r>
        <w:rPr>
          <w:rFonts w:hint="eastAsia"/>
          <w:b w:val="0"/>
          <w:bCs/>
          <w:sz w:val="21"/>
          <w:szCs w:val="21"/>
        </w:rPr>
        <w:t>8、其它注意事项：</w:t>
      </w:r>
    </w:p>
    <w:p>
      <w:pPr>
        <w:ind w:firstLine="420" w:firstLineChars="200"/>
        <w:rPr>
          <w:b w:val="0"/>
          <w:bCs/>
          <w:sz w:val="21"/>
          <w:szCs w:val="21"/>
        </w:rPr>
      </w:pPr>
      <w:r>
        <w:rPr>
          <w:rFonts w:hint="eastAsia"/>
          <w:b w:val="0"/>
          <w:bCs/>
          <w:sz w:val="21"/>
          <w:szCs w:val="21"/>
        </w:rPr>
        <w:t>（1）评审委员会有权对投标人的响应情况作出判断（评审结论）；</w:t>
      </w:r>
    </w:p>
    <w:p>
      <w:pPr>
        <w:ind w:firstLine="420" w:firstLineChars="200"/>
        <w:rPr>
          <w:b w:val="0"/>
          <w:bCs/>
          <w:sz w:val="21"/>
          <w:szCs w:val="21"/>
        </w:rPr>
      </w:pPr>
      <w:r>
        <w:rPr>
          <w:rFonts w:hint="eastAsia"/>
          <w:b w:val="0"/>
          <w:bCs/>
          <w:sz w:val="21"/>
          <w:szCs w:val="21"/>
        </w:rPr>
        <w:t>（2）</w:t>
      </w:r>
      <w:bookmarkStart w:id="78"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8"/>
    </w:p>
    <w:p>
      <w:pPr>
        <w:ind w:firstLine="482" w:firstLineChars="200"/>
        <w:rPr>
          <w:b/>
          <w:sz w:val="24"/>
        </w:rPr>
      </w:pPr>
    </w:p>
    <w:p>
      <w:pPr>
        <w:rPr>
          <w:sz w:val="24"/>
        </w:rPr>
      </w:pPr>
    </w:p>
    <w:p>
      <w:pPr>
        <w:rPr>
          <w:sz w:val="24"/>
        </w:rPr>
      </w:pPr>
    </w:p>
    <w:p>
      <w:pPr>
        <w:jc w:val="center"/>
        <w:rPr>
          <w:rFonts w:hint="eastAsia" w:ascii="黑体" w:eastAsia="黑体"/>
          <w:b w:val="0"/>
          <w:bCs w:val="0"/>
          <w:sz w:val="24"/>
          <w:szCs w:val="20"/>
          <w:lang w:val="en-US" w:eastAsia="zh-CN"/>
        </w:rPr>
      </w:pPr>
      <w:bookmarkStart w:id="79" w:name="_Hlk72260576"/>
    </w:p>
    <w:p>
      <w:pPr>
        <w:ind w:left="420" w:leftChars="200" w:firstLine="210" w:firstLineChars="100"/>
        <w:rPr>
          <w:rFonts w:hint="default"/>
          <w:lang w:val="en-US" w:eastAsia="zh-CN"/>
        </w:rPr>
      </w:pPr>
    </w:p>
    <w:p>
      <w:pPr>
        <w:pStyle w:val="4"/>
        <w:numPr>
          <w:ilvl w:val="0"/>
          <w:numId w:val="5"/>
        </w:numPr>
        <w:jc w:val="center"/>
        <w:rPr>
          <w:rFonts w:hint="eastAsia" w:ascii="黑体" w:eastAsia="黑体"/>
          <w:b w:val="0"/>
          <w:kern w:val="0"/>
          <w:sz w:val="24"/>
          <w:szCs w:val="24"/>
        </w:rPr>
      </w:pPr>
      <w:r>
        <w:rPr>
          <w:rFonts w:hint="eastAsia" w:ascii="黑体" w:eastAsia="黑体"/>
          <w:b w:val="0"/>
          <w:kern w:val="0"/>
          <w:sz w:val="24"/>
          <w:szCs w:val="24"/>
        </w:rPr>
        <w:t>政府采购节能环保产品情况（格式自定）</w:t>
      </w:r>
    </w:p>
    <w:p>
      <w:pPr>
        <w:pStyle w:val="7"/>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numPr>
          <w:ilvl w:val="0"/>
          <w:numId w:val="0"/>
        </w:numPr>
        <w:rPr>
          <w:rFonts w:hint="eastAsia"/>
        </w:rPr>
      </w:pPr>
    </w:p>
    <w:p>
      <w:pPr>
        <w:pStyle w:val="4"/>
        <w:numPr>
          <w:ilvl w:val="0"/>
          <w:numId w:val="5"/>
        </w:numPr>
        <w:ind w:left="0" w:leftChars="0" w:firstLine="0" w:firstLineChars="0"/>
        <w:jc w:val="center"/>
        <w:rPr>
          <w:rFonts w:hint="eastAsia" w:ascii="黑体" w:eastAsia="黑体"/>
          <w:b w:val="0"/>
          <w:kern w:val="0"/>
          <w:sz w:val="24"/>
          <w:szCs w:val="24"/>
        </w:rPr>
      </w:pPr>
      <w:r>
        <w:rPr>
          <w:rFonts w:hint="eastAsia" w:ascii="黑体" w:eastAsia="黑体"/>
          <w:b w:val="0"/>
          <w:kern w:val="0"/>
          <w:sz w:val="24"/>
          <w:szCs w:val="24"/>
        </w:rPr>
        <w:t>绿色采购情况（格式自定）</w:t>
      </w:r>
    </w:p>
    <w:p>
      <w:pPr>
        <w:pStyle w:val="7"/>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numPr>
          <w:ilvl w:val="0"/>
          <w:numId w:val="0"/>
        </w:numPr>
        <w:ind w:leftChars="0"/>
        <w:rPr>
          <w:rFonts w:hint="eastAsia"/>
        </w:rPr>
      </w:pPr>
    </w:p>
    <w:p>
      <w:pPr>
        <w:pStyle w:val="4"/>
        <w:numPr>
          <w:ilvl w:val="0"/>
          <w:numId w:val="5"/>
        </w:numPr>
        <w:ind w:left="0" w:leftChars="0" w:firstLine="0" w:firstLineChars="0"/>
        <w:jc w:val="center"/>
        <w:rPr>
          <w:rFonts w:hint="eastAsia" w:ascii="黑体" w:eastAsia="黑体"/>
          <w:b w:val="0"/>
          <w:kern w:val="0"/>
          <w:sz w:val="24"/>
          <w:szCs w:val="24"/>
        </w:rPr>
      </w:pPr>
      <w:r>
        <w:rPr>
          <w:rFonts w:hint="eastAsia" w:ascii="黑体" w:eastAsia="黑体"/>
          <w:b w:val="0"/>
          <w:kern w:val="0"/>
          <w:sz w:val="24"/>
          <w:szCs w:val="24"/>
        </w:rPr>
        <w:t>设计图评价（格式自定）</w:t>
      </w:r>
    </w:p>
    <w:p>
      <w:pPr>
        <w:pStyle w:val="7"/>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numPr>
          <w:ilvl w:val="0"/>
          <w:numId w:val="0"/>
        </w:numPr>
        <w:ind w:leftChars="0"/>
        <w:rPr>
          <w:rFonts w:hint="eastAsia"/>
        </w:rPr>
      </w:pPr>
    </w:p>
    <w:p>
      <w:pPr>
        <w:pStyle w:val="4"/>
        <w:numPr>
          <w:ilvl w:val="0"/>
          <w:numId w:val="5"/>
        </w:numPr>
        <w:ind w:left="0" w:leftChars="0" w:firstLine="0" w:firstLineChars="0"/>
        <w:jc w:val="center"/>
        <w:rPr>
          <w:rFonts w:hint="eastAsia" w:ascii="黑体" w:eastAsia="黑体"/>
          <w:b w:val="0"/>
          <w:kern w:val="0"/>
          <w:sz w:val="24"/>
          <w:szCs w:val="24"/>
        </w:rPr>
      </w:pPr>
      <w:r>
        <w:rPr>
          <w:rFonts w:hint="eastAsia" w:ascii="黑体" w:eastAsia="黑体"/>
          <w:b w:val="0"/>
          <w:kern w:val="0"/>
          <w:sz w:val="24"/>
          <w:szCs w:val="24"/>
        </w:rPr>
        <w:t>项目组织实施方案评价（格式自定）</w:t>
      </w:r>
    </w:p>
    <w:p>
      <w:pPr>
        <w:pStyle w:val="7"/>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numPr>
          <w:ilvl w:val="0"/>
          <w:numId w:val="0"/>
        </w:numPr>
        <w:ind w:leftChars="0"/>
        <w:rPr>
          <w:rFonts w:hint="eastAsia"/>
        </w:rPr>
      </w:pPr>
    </w:p>
    <w:p>
      <w:pPr>
        <w:pStyle w:val="4"/>
        <w:numPr>
          <w:ilvl w:val="0"/>
          <w:numId w:val="5"/>
        </w:numPr>
        <w:ind w:left="0" w:leftChars="0" w:firstLine="0" w:firstLineChars="0"/>
        <w:jc w:val="center"/>
        <w:rPr>
          <w:rFonts w:hint="eastAsia" w:ascii="黑体" w:eastAsia="黑体"/>
          <w:b w:val="0"/>
          <w:kern w:val="0"/>
          <w:sz w:val="24"/>
          <w:szCs w:val="24"/>
        </w:rPr>
      </w:pPr>
      <w:r>
        <w:rPr>
          <w:rFonts w:hint="eastAsia" w:ascii="黑体" w:eastAsia="黑体"/>
          <w:b w:val="0"/>
          <w:kern w:val="0"/>
          <w:sz w:val="24"/>
          <w:szCs w:val="24"/>
        </w:rPr>
        <w:t>售后服务方案评价（格式自定）</w:t>
      </w:r>
    </w:p>
    <w:p>
      <w:pPr>
        <w:pStyle w:val="7"/>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rPr>
          <w:sz w:val="24"/>
        </w:rPr>
      </w:pPr>
    </w:p>
    <w:p>
      <w:pPr>
        <w:pStyle w:val="4"/>
        <w:jc w:val="center"/>
        <w:rPr>
          <w:rFonts w:ascii="黑体" w:eastAsia="黑体"/>
          <w:b w:val="0"/>
          <w:bCs w:val="0"/>
          <w:sz w:val="24"/>
          <w:szCs w:val="20"/>
        </w:rPr>
      </w:pPr>
      <w:r>
        <w:rPr>
          <w:rFonts w:hint="eastAsia" w:ascii="黑体" w:eastAsia="黑体"/>
          <w:b w:val="0"/>
          <w:bCs w:val="0"/>
          <w:sz w:val="24"/>
          <w:szCs w:val="20"/>
          <w:lang w:val="en-US" w:eastAsia="zh-CN"/>
        </w:rPr>
        <w:t>十一</w:t>
      </w:r>
      <w:r>
        <w:rPr>
          <w:rFonts w:hint="eastAsia" w:ascii="黑体" w:eastAsia="黑体"/>
          <w:b w:val="0"/>
          <w:bCs w:val="0"/>
          <w:sz w:val="24"/>
          <w:szCs w:val="20"/>
        </w:rPr>
        <w:t>、</w:t>
      </w:r>
      <w:bookmarkStart w:id="80" w:name="_Hlk72062872"/>
      <w:r>
        <w:rPr>
          <w:rFonts w:hint="eastAsia" w:ascii="黑体" w:eastAsia="黑体"/>
          <w:b w:val="0"/>
          <w:bCs w:val="0"/>
          <w:sz w:val="24"/>
          <w:szCs w:val="20"/>
        </w:rPr>
        <w:t>投标人认为需要加以说明的其他内容</w:t>
      </w:r>
      <w:bookmarkEnd w:id="80"/>
    </w:p>
    <w:bookmarkEnd w:id="79"/>
    <w:p>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pPr>
        <w:widowControl/>
        <w:jc w:val="center"/>
        <w:rPr>
          <w:rFonts w:ascii="黑体" w:hAnsi="宋体" w:eastAsia="黑体"/>
          <w:kern w:val="0"/>
          <w:sz w:val="24"/>
          <w:szCs w:val="20"/>
        </w:rPr>
      </w:pPr>
    </w:p>
    <w:p>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pPr>
        <w:spacing w:beforeLines="0" w:line="380" w:lineRule="exact"/>
        <w:ind w:firstLine="420" w:firstLineChars="200"/>
        <w:rPr>
          <w:color w:val="auto"/>
        </w:rPr>
      </w:pPr>
      <w:r>
        <w:rPr>
          <w:rFonts w:hint="eastAsia"/>
          <w:color w:val="auto"/>
        </w:rPr>
        <w:t>（三）项目负责人或者主要技术人员不是本单位人员的。</w:t>
      </w:r>
    </w:p>
    <w:p>
      <w:pPr>
        <w:spacing w:beforeLines="0" w:line="380" w:lineRule="exact"/>
        <w:ind w:firstLine="420" w:firstLineChars="200"/>
        <w:rPr>
          <w:color w:val="auto"/>
        </w:rPr>
      </w:pPr>
      <w:r>
        <w:rPr>
          <w:rFonts w:hint="eastAsia"/>
          <w:color w:val="auto"/>
        </w:rPr>
        <w:t>（四）投标保证金不是从投标供应商基本账户转出的。</w:t>
      </w:r>
    </w:p>
    <w:p>
      <w:pPr>
        <w:spacing w:beforeLines="0" w:line="380" w:lineRule="exact"/>
        <w:ind w:firstLine="420" w:firstLineChars="200"/>
        <w:rPr>
          <w:color w:val="auto"/>
        </w:rPr>
      </w:pPr>
      <w:r>
        <w:rPr>
          <w:rFonts w:hint="eastAsia"/>
          <w:color w:val="auto"/>
        </w:rPr>
        <w:t>（五）其他隐瞒真实情况、提供虚假资料的行为。</w:t>
      </w:r>
    </w:p>
    <w:p>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pPr>
        <w:spacing w:beforeLines="0" w:line="380" w:lineRule="exact"/>
        <w:ind w:firstLine="420" w:firstLineChars="200"/>
        <w:rPr>
          <w:color w:val="auto"/>
        </w:rPr>
      </w:pPr>
      <w:r>
        <w:rPr>
          <w:rFonts w:hint="eastAsia"/>
          <w:color w:val="auto"/>
        </w:rPr>
        <w:t>（一）投标供应商之间相互约定给予未中标的供应商利益补偿。</w:t>
      </w:r>
    </w:p>
    <w:p>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pPr>
        <w:spacing w:beforeLines="0" w:line="340" w:lineRule="exact"/>
        <w:ind w:firstLine="420" w:firstLineChars="200"/>
        <w:rPr>
          <w:color w:val="auto"/>
        </w:rPr>
      </w:pPr>
      <w:r>
        <w:rPr>
          <w:rFonts w:hint="eastAsia"/>
          <w:color w:val="auto"/>
        </w:rPr>
        <w:t>（四）不同投标供应商的投标文件或部分投标文件相互混装。</w:t>
      </w:r>
    </w:p>
    <w:p>
      <w:pPr>
        <w:spacing w:beforeLines="0" w:line="340" w:lineRule="exact"/>
        <w:ind w:firstLine="420" w:firstLineChars="200"/>
        <w:rPr>
          <w:color w:val="auto"/>
        </w:rPr>
      </w:pPr>
      <w:r>
        <w:rPr>
          <w:rFonts w:hint="eastAsia"/>
          <w:color w:val="auto"/>
        </w:rPr>
        <w:t>（五）不同投标供应商的投标文件内容存在非正常一致。</w:t>
      </w:r>
    </w:p>
    <w:p>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pPr>
        <w:spacing w:beforeLines="0" w:line="340" w:lineRule="exact"/>
        <w:ind w:firstLine="420" w:firstLineChars="200"/>
        <w:rPr>
          <w:color w:val="auto"/>
        </w:rPr>
      </w:pPr>
      <w:r>
        <w:rPr>
          <w:rFonts w:hint="eastAsia"/>
          <w:color w:val="auto"/>
        </w:rPr>
        <w:t>（七）不同投标人的投标报价呈规律性差异。</w:t>
      </w:r>
    </w:p>
    <w:p>
      <w:pPr>
        <w:spacing w:beforeLines="0" w:line="340" w:lineRule="exact"/>
        <w:ind w:firstLine="420" w:firstLineChars="200"/>
        <w:rPr>
          <w:color w:val="auto"/>
        </w:rPr>
      </w:pPr>
      <w:r>
        <w:rPr>
          <w:rFonts w:hint="eastAsia"/>
          <w:color w:val="auto"/>
        </w:rPr>
        <w:t>（八）不同投标人的投标保证金从同一单位或者个人的账户转出。</w:t>
      </w:r>
    </w:p>
    <w:p>
      <w:pPr>
        <w:spacing w:beforeLines="0" w:line="340" w:lineRule="exact"/>
        <w:ind w:firstLine="420" w:firstLineChars="200"/>
        <w:rPr>
          <w:color w:val="auto"/>
        </w:rPr>
      </w:pPr>
      <w:r>
        <w:rPr>
          <w:rFonts w:hint="eastAsia"/>
          <w:color w:val="auto"/>
        </w:rPr>
        <w:t>（九）主管部门依照法律、法规认定的其他情形。</w:t>
      </w:r>
    </w:p>
    <w:p>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pPr>
              <w:autoSpaceDE w:val="0"/>
              <w:autoSpaceDN w:val="0"/>
              <w:spacing w:line="400" w:lineRule="exact"/>
              <w:ind w:firstLine="1866"/>
              <w:rPr>
                <w:rFonts w:ascii="宋体" w:hAnsi="宋体" w:eastAsiaTheme="minorEastAsia"/>
                <w:spacing w:val="-4"/>
                <w:kern w:val="0"/>
                <w:szCs w:val="21"/>
              </w:rPr>
            </w:pPr>
          </w:p>
        </w:tc>
      </w:tr>
    </w:tbl>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pPr>
        <w:widowControl/>
        <w:wordWrap/>
        <w:autoSpaceDE w:val="0"/>
        <w:autoSpaceDN w:val="0"/>
        <w:spacing w:line="400" w:lineRule="exact"/>
        <w:ind w:right="1414" w:firstLine="480" w:firstLineChars="200"/>
        <w:jc w:val="right"/>
        <w:rPr>
          <w:rFonts w:eastAsiaTheme="minorEastAsia"/>
          <w:kern w:val="0"/>
          <w:sz w:val="24"/>
        </w:rPr>
      </w:pPr>
    </w:p>
    <w:p>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pPr>
        <w:pStyle w:val="8"/>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pPr>
        <w:ind w:left="420" w:leftChars="200" w:firstLine="210" w:firstLineChars="100"/>
        <w:rPr>
          <w:rFonts w:hint="eastAsia"/>
          <w:szCs w:val="21"/>
          <w:u w:val="none"/>
          <w:lang w:eastAsia="zh-CN"/>
        </w:rPr>
      </w:pPr>
    </w:p>
    <w:p>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pPr>
        <w:widowControl/>
        <w:wordWrap/>
        <w:autoSpaceDE w:val="0"/>
        <w:autoSpaceDN w:val="0"/>
        <w:spacing w:line="400" w:lineRule="exact"/>
        <w:ind w:right="1414" w:firstLine="480" w:firstLineChars="200"/>
        <w:jc w:val="right"/>
        <w:rPr>
          <w:rFonts w:eastAsiaTheme="minorEastAsia"/>
          <w:kern w:val="0"/>
          <w:sz w:val="24"/>
        </w:rPr>
      </w:pPr>
    </w:p>
    <w:p>
      <w:pPr>
        <w:ind w:firstLine="720" w:firstLineChars="300"/>
        <w:rPr>
          <w:sz w:val="24"/>
        </w:rPr>
      </w:pPr>
    </w:p>
    <w:p>
      <w:pPr>
        <w:widowControl/>
        <w:spacing w:line="360" w:lineRule="auto"/>
        <w:jc w:val="left"/>
        <w:rPr>
          <w:rFonts w:eastAsiaTheme="minorEastAsia"/>
          <w:b/>
          <w:bCs/>
          <w:kern w:val="0"/>
          <w:sz w:val="24"/>
        </w:rPr>
      </w:pPr>
    </w:p>
    <w:p>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pPr>
        <w:jc w:val="center"/>
        <w:rPr>
          <w:b/>
          <w:sz w:val="32"/>
          <w:szCs w:val="32"/>
        </w:rPr>
      </w:pPr>
    </w:p>
    <w:p>
      <w:pPr>
        <w:ind w:firstLine="424" w:firstLineChars="202"/>
        <w:rPr>
          <w:rFonts w:ascii="宋体" w:hAnsi="宋体"/>
          <w:szCs w:val="21"/>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pPr>
        <w:pStyle w:val="6"/>
        <w:jc w:val="center"/>
      </w:pPr>
      <w:r>
        <w:rPr>
          <w:rFonts w:hint="eastAsia"/>
        </w:rPr>
        <w:t>第五章  合同条款及格式</w:t>
      </w:r>
    </w:p>
    <w:p/>
    <w:p>
      <w:pPr>
        <w:jc w:val="center"/>
        <w:outlineLvl w:val="9"/>
      </w:pPr>
      <w:bookmarkStart w:id="81" w:name="_Toc3995"/>
      <w:r>
        <w:rPr>
          <w:rFonts w:hint="eastAsia"/>
          <w:b/>
          <w:sz w:val="24"/>
        </w:rPr>
        <w:t>（仅供参考，具体以项目需求及采购结果为准）</w:t>
      </w:r>
    </w:p>
    <w:p>
      <w:pPr>
        <w:widowControl w:val="0"/>
        <w:spacing w:after="0"/>
        <w:jc w:val="center"/>
        <w:rPr>
          <w:rFonts w:ascii="宋体" w:hAnsi="宋体" w:eastAsia="宋体" w:cs="宋体"/>
          <w:b/>
          <w:bCs/>
          <w:spacing w:val="-20"/>
          <w:kern w:val="44"/>
          <w:sz w:val="48"/>
          <w:szCs w:val="48"/>
          <w:lang w:val="en-US" w:eastAsia="zh-CN" w:bidi="ar-SA"/>
        </w:rPr>
      </w:pPr>
    </w:p>
    <w:p>
      <w:pPr>
        <w:widowControl w:val="0"/>
        <w:spacing w:after="0"/>
        <w:jc w:val="center"/>
        <w:rPr>
          <w:rFonts w:ascii="宋体" w:hAnsi="宋体" w:eastAsia="宋体" w:cs="宋体"/>
          <w:b/>
          <w:bCs/>
          <w:spacing w:val="-20"/>
          <w:kern w:val="44"/>
          <w:sz w:val="48"/>
          <w:szCs w:val="48"/>
          <w:lang w:val="en-US" w:eastAsia="zh-CN" w:bidi="ar-SA"/>
        </w:rPr>
      </w:pPr>
    </w:p>
    <w:p>
      <w:pPr>
        <w:pStyle w:val="8"/>
        <w:rPr>
          <w:lang w:val="en-US" w:eastAsia="zh-CN"/>
        </w:rPr>
      </w:pP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pPr>
        <w:rPr>
          <w:rFonts w:eastAsia="宋体"/>
        </w:rPr>
      </w:pPr>
    </w:p>
    <w:p>
      <w:pPr>
        <w:rPr>
          <w:rFonts w:eastAsia="黑体"/>
          <w:sz w:val="44"/>
          <w:szCs w:val="44"/>
        </w:rPr>
      </w:pPr>
      <w:r>
        <w:rPr>
          <w:rFonts w:eastAsia="黑体"/>
          <w:sz w:val="44"/>
          <w:szCs w:val="44"/>
        </w:rPr>
        <w:br w:type="page"/>
      </w:r>
    </w:p>
    <w:p>
      <w:pPr>
        <w:rPr>
          <w:rFonts w:eastAsia="黑体"/>
          <w:sz w:val="44"/>
          <w:szCs w:val="44"/>
        </w:rPr>
      </w:pPr>
    </w:p>
    <w:p>
      <w:pPr>
        <w:rPr>
          <w:rFonts w:eastAsia="黑体"/>
          <w:sz w:val="44"/>
          <w:szCs w:val="44"/>
        </w:rPr>
      </w:pPr>
    </w:p>
    <w:p>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pPr>
        <w:ind w:firstLine="640" w:firstLineChars="200"/>
        <w:rPr>
          <w:rFonts w:hint="eastAsia" w:ascii="仿宋_GB2312" w:hAnsi="仿宋_GB2312" w:eastAsia="仿宋_GB2312" w:cs="仿宋_GB2312"/>
          <w:sz w:val="32"/>
          <w:szCs w:val="32"/>
          <w:lang w:val="en-US" w:eastAsia="zh-CN"/>
        </w:rPr>
      </w:pP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81"/>
    <w:p>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82" w:name="_Toc22209"/>
    </w:p>
    <w:p>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82"/>
    </w:p>
    <w:p>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spacing w:beforeLines="0" w:line="400" w:lineRule="exact"/>
        <w:rPr>
          <w:rFonts w:hint="default" w:eastAsia="宋体"/>
          <w:lang w:val="en-US" w:eastAsia="zh-CN"/>
        </w:rPr>
      </w:pP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pPr>
        <w:numPr>
          <w:ilvl w:val="0"/>
          <w:numId w:val="6"/>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pPr>
        <w:widowControl w:val="0"/>
        <w:numPr>
          <w:ilvl w:val="0"/>
          <w:numId w:val="7"/>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pPr>
        <w:numPr>
          <w:ilvl w:val="0"/>
          <w:numId w:val="6"/>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pPr>
        <w:numPr>
          <w:ilvl w:val="0"/>
          <w:numId w:val="6"/>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pPr>
        <w:numPr>
          <w:ilvl w:val="0"/>
          <w:numId w:val="6"/>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pPr>
        <w:numPr>
          <w:ilvl w:val="0"/>
          <w:numId w:val="8"/>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pPr>
        <w:numPr>
          <w:ilvl w:val="0"/>
          <w:numId w:val="6"/>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pPr>
        <w:numPr>
          <w:ilvl w:val="0"/>
          <w:numId w:val="6"/>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pPr>
        <w:numPr>
          <w:ilvl w:val="0"/>
          <w:numId w:val="6"/>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pPr>
        <w:rPr>
          <w:rFonts w:hint="eastAsia" w:eastAsia="宋体"/>
        </w:rPr>
      </w:pPr>
      <w:r>
        <w:rPr>
          <w:rFonts w:hint="eastAsia" w:eastAsia="宋体"/>
        </w:rPr>
        <w:br w:type="page"/>
      </w:r>
    </w:p>
    <w:p>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8"/>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83" w:name="_Toc27624"/>
      <w:r>
        <w:rPr>
          <w:rFonts w:hint="eastAsia" w:ascii="黑体" w:hAnsi="黑体" w:eastAsia="黑体" w:cs="Times New Roman"/>
          <w:b w:val="0"/>
          <w:bCs w:val="0"/>
          <w:kern w:val="2"/>
          <w:sz w:val="28"/>
          <w:szCs w:val="28"/>
          <w:lang w:val="en-US" w:eastAsia="zh-CN" w:bidi="ar-SA"/>
        </w:rPr>
        <w:t>第二节 政府采购合同通用条款</w:t>
      </w:r>
      <w:bookmarkEnd w:id="83"/>
    </w:p>
    <w:p>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numPr>
          <w:ilvl w:val="0"/>
          <w:numId w:val="9"/>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pPr>
        <w:numPr>
          <w:ilvl w:val="0"/>
          <w:numId w:val="10"/>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84"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4"/>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pPr>
        <w:numPr>
          <w:ilvl w:val="0"/>
          <w:numId w:val="11"/>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pPr>
        <w:numPr>
          <w:ilvl w:val="0"/>
          <w:numId w:val="12"/>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5" w:name="_Toc20313"/>
    </w:p>
    <w:p>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5"/>
    </w:p>
    <w:tbl>
      <w:tblPr>
        <w:tblStyle w:val="18"/>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hint="eastAsia" w:ascii="宋体" w:hAnsi="宋体" w:eastAsia="宋体"/>
                <w:szCs w:val="21"/>
              </w:rPr>
            </w:pP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pPr>
              <w:autoSpaceDE w:val="0"/>
              <w:autoSpaceDN w:val="0"/>
              <w:adjustRightInd w:val="0"/>
              <w:snapToGrid w:val="0"/>
              <w:ind w:firstLine="420" w:firstLineChars="20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pPr>
              <w:adjustRightInd w:val="0"/>
              <w:snapToGrid w:val="0"/>
              <w:jc w:val="left"/>
              <w:rPr>
                <w:rFonts w:hint="default" w:ascii="宋体" w:hAnsi="宋体" w:eastAsia="宋体"/>
                <w:szCs w:val="21"/>
                <w:lang w:val="en-US" w:eastAsia="zh-CN"/>
              </w:rPr>
            </w:pPr>
          </w:p>
        </w:tc>
      </w:tr>
    </w:tbl>
    <w:p>
      <w:pPr>
        <w:rPr>
          <w:rFonts w:eastAsia="宋体"/>
        </w:rPr>
      </w:pPr>
    </w:p>
    <w:p>
      <w:pPr>
        <w:rPr>
          <w:rFonts w:eastAsia="宋体"/>
        </w:rPr>
      </w:pPr>
    </w:p>
    <w:p>
      <w:pPr>
        <w:widowControl/>
        <w:jc w:val="left"/>
        <w:rPr>
          <w:rFonts w:ascii="宋体" w:hAnsi="宋体"/>
          <w:szCs w:val="21"/>
        </w:rPr>
      </w:pPr>
      <w:r>
        <w:rPr>
          <w:rFonts w:ascii="宋体" w:hAnsi="宋体"/>
          <w:szCs w:val="21"/>
        </w:rPr>
        <w:br w:type="page"/>
      </w:r>
    </w:p>
    <w:p>
      <w:pPr>
        <w:widowControl/>
        <w:jc w:val="left"/>
        <w:rPr>
          <w:rFonts w:ascii="宋体" w:hAnsi="宋体"/>
          <w:szCs w:val="21"/>
        </w:rPr>
      </w:pPr>
    </w:p>
    <w:p>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86" w:name="_Hlk72399513"/>
      <w:bookmarkStart w:id="87" w:name="_Hlk72439706"/>
      <w:r>
        <w:rPr>
          <w:rFonts w:hint="eastAsia" w:asciiTheme="majorHAnsi" w:hAnsiTheme="majorHAnsi" w:eastAsiaTheme="majorEastAsia" w:cstheme="majorBidi"/>
          <w:b/>
          <w:bCs/>
          <w:sz w:val="28"/>
          <w:szCs w:val="28"/>
        </w:rPr>
        <w:t>总则</w:t>
      </w:r>
    </w:p>
    <w:bookmarkEnd w:id="86"/>
    <w:p>
      <w:pPr>
        <w:ind w:firstLine="420" w:firstLineChars="200"/>
        <w:rPr>
          <w:rFonts w:ascii="黑体" w:hAnsi="宋体" w:eastAsia="黑体"/>
          <w:szCs w:val="21"/>
        </w:rPr>
      </w:pPr>
      <w:r>
        <w:rPr>
          <w:rFonts w:hint="eastAsia" w:ascii="黑体" w:hAnsi="宋体" w:eastAsia="黑体"/>
          <w:szCs w:val="21"/>
        </w:rPr>
        <w:t>1. 通用条款说明</w:t>
      </w:r>
    </w:p>
    <w:p>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8" w:name="_Hlk72399729"/>
      <w:r>
        <w:rPr>
          <w:rFonts w:hint="eastAsia" w:ascii="宋体" w:hAnsi="宋体"/>
          <w:szCs w:val="21"/>
        </w:rPr>
        <w:t>如有需要，政府集中采购机构可以对通用条款的内容进行补充。</w:t>
      </w:r>
      <w:bookmarkEnd w:id="88"/>
    </w:p>
    <w:p>
      <w:pPr>
        <w:ind w:firstLine="420" w:firstLineChars="200"/>
        <w:rPr>
          <w:rFonts w:ascii="宋体" w:hAnsi="宋体"/>
          <w:szCs w:val="21"/>
        </w:rPr>
      </w:pPr>
      <w:r>
        <w:rPr>
          <w:rFonts w:hint="eastAsia" w:ascii="宋体" w:hAnsi="宋体"/>
          <w:szCs w:val="21"/>
        </w:rPr>
        <w:t>1.2招标文件分为第一册“专用条款”和第二册“通用条款”。</w:t>
      </w:r>
    </w:p>
    <w:p>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pPr>
        <w:ind w:firstLine="420" w:firstLineChars="200"/>
        <w:rPr>
          <w:rFonts w:ascii="宋体" w:hAnsi="宋体"/>
          <w:szCs w:val="21"/>
        </w:rPr>
      </w:pPr>
      <w:r>
        <w:rPr>
          <w:rFonts w:hint="eastAsia" w:ascii="宋体" w:hAnsi="宋体"/>
          <w:szCs w:val="21"/>
        </w:rPr>
        <w:t>1.5 “专用条款”和“通用条款”表述不一致或有冲突时，以“专用条款”为准。</w:t>
      </w:r>
    </w:p>
    <w:p>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pPr>
        <w:ind w:firstLine="420" w:firstLineChars="200"/>
        <w:rPr>
          <w:rFonts w:ascii="黑体" w:hAnsi="宋体" w:eastAsia="黑体"/>
          <w:szCs w:val="21"/>
        </w:rPr>
      </w:pPr>
      <w:r>
        <w:rPr>
          <w:rFonts w:hint="eastAsia" w:ascii="黑体" w:hAnsi="宋体" w:eastAsia="黑体"/>
          <w:szCs w:val="21"/>
        </w:rPr>
        <w:t>3．定义</w:t>
      </w:r>
    </w:p>
    <w:p>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pPr>
        <w:ind w:firstLine="420" w:firstLineChars="200"/>
        <w:rPr>
          <w:rFonts w:ascii="宋体" w:hAnsi="宋体"/>
          <w:szCs w:val="21"/>
        </w:rPr>
      </w:pPr>
      <w:r>
        <w:rPr>
          <w:rFonts w:hint="eastAsia" w:ascii="宋体" w:hAnsi="宋体"/>
          <w:szCs w:val="21"/>
        </w:rPr>
        <w:t>3.6“合同”指由本次招标所产生的合同或合约文件；</w:t>
      </w:r>
    </w:p>
    <w:p>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pPr>
        <w:ind w:firstLine="420" w:firstLineChars="200"/>
        <w:rPr>
          <w:rFonts w:ascii="黑体" w:hAnsi="宋体" w:eastAsia="黑体"/>
          <w:szCs w:val="21"/>
        </w:rPr>
      </w:pPr>
      <w:r>
        <w:rPr>
          <w:rFonts w:hint="eastAsia" w:ascii="黑体" w:hAnsi="宋体" w:eastAsia="黑体"/>
          <w:szCs w:val="21"/>
        </w:rPr>
        <w:t xml:space="preserve">4. </w:t>
      </w:r>
      <w:bookmarkStart w:id="89" w:name="_Hlk72398643"/>
      <w:r>
        <w:rPr>
          <w:rFonts w:hint="eastAsia" w:ascii="黑体" w:hAnsi="宋体" w:eastAsia="黑体"/>
          <w:szCs w:val="21"/>
        </w:rPr>
        <w:t>自行采购供应商责任</w:t>
      </w:r>
    </w:p>
    <w:p>
      <w:pPr>
        <w:ind w:firstLine="420" w:firstLineChars="200"/>
        <w:rPr>
          <w:rFonts w:ascii="宋体" w:hAnsi="宋体"/>
          <w:szCs w:val="21"/>
        </w:rPr>
      </w:pPr>
      <w:r>
        <w:rPr>
          <w:rFonts w:hint="eastAsia" w:ascii="宋体" w:hAnsi="宋体"/>
          <w:szCs w:val="21"/>
        </w:rPr>
        <w:t>4.1欢迎诚信、有实力和有社会责任心的供应商参与自行采购事业。</w:t>
      </w:r>
    </w:p>
    <w:p>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pPr>
        <w:ind w:firstLine="420" w:firstLineChars="200"/>
        <w:rPr>
          <w:rFonts w:ascii="黑体" w:hAnsi="宋体" w:eastAsia="黑体"/>
          <w:szCs w:val="21"/>
        </w:rPr>
      </w:pPr>
      <w:r>
        <w:rPr>
          <w:rFonts w:hint="eastAsia" w:ascii="黑体" w:hAnsi="宋体" w:eastAsia="黑体"/>
          <w:szCs w:val="21"/>
        </w:rPr>
        <w:t>5．投标人参加自行采购的条件</w:t>
      </w:r>
    </w:p>
    <w:p>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pPr>
        <w:ind w:firstLine="420" w:firstLineChars="200"/>
        <w:rPr>
          <w:rFonts w:ascii="宋体" w:hAnsi="宋体"/>
          <w:szCs w:val="21"/>
        </w:rPr>
      </w:pPr>
      <w:r>
        <w:rPr>
          <w:rFonts w:hint="eastAsia" w:ascii="宋体" w:hAnsi="宋体"/>
          <w:szCs w:val="21"/>
        </w:rPr>
        <w:t>5.2投标人资格要求</w:t>
      </w:r>
    </w:p>
    <w:p>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pPr>
        <w:ind w:firstLine="420" w:firstLineChars="200"/>
        <w:rPr>
          <w:rFonts w:ascii="宋体" w:hAnsi="宋体"/>
          <w:szCs w:val="21"/>
        </w:rPr>
      </w:pPr>
      <w:r>
        <w:rPr>
          <w:rFonts w:hint="eastAsia" w:ascii="宋体" w:hAnsi="宋体"/>
          <w:szCs w:val="21"/>
        </w:rPr>
        <w:t>5.3联合体投标</w:t>
      </w:r>
    </w:p>
    <w:p>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pPr>
        <w:ind w:firstLine="420" w:firstLineChars="200"/>
        <w:rPr>
          <w:rFonts w:ascii="黑体" w:hAnsi="宋体" w:eastAsia="黑体"/>
          <w:szCs w:val="21"/>
        </w:rPr>
      </w:pPr>
      <w:r>
        <w:rPr>
          <w:rFonts w:hint="eastAsia" w:ascii="黑体" w:hAnsi="宋体" w:eastAsia="黑体"/>
          <w:szCs w:val="21"/>
        </w:rPr>
        <w:t>6．政策导向</w:t>
      </w:r>
    </w:p>
    <w:p>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90"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90"/>
    </w:p>
    <w:p>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pPr>
        <w:ind w:firstLine="420" w:firstLineChars="200"/>
        <w:rPr>
          <w:rFonts w:ascii="黑体" w:hAnsi="宋体" w:eastAsia="黑体"/>
          <w:szCs w:val="21"/>
        </w:rPr>
      </w:pPr>
      <w:r>
        <w:rPr>
          <w:rFonts w:hint="eastAsia" w:ascii="黑体" w:hAnsi="宋体" w:eastAsia="黑体"/>
          <w:szCs w:val="21"/>
        </w:rPr>
        <w:t>8．投标费用</w:t>
      </w:r>
    </w:p>
    <w:p>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pPr>
        <w:ind w:firstLine="420" w:firstLineChars="200"/>
        <w:rPr>
          <w:rFonts w:ascii="黑体" w:hAnsi="宋体" w:eastAsia="黑体"/>
          <w:szCs w:val="21"/>
        </w:rPr>
      </w:pPr>
      <w:r>
        <w:rPr>
          <w:rFonts w:hint="eastAsia" w:ascii="黑体" w:hAnsi="宋体" w:eastAsia="黑体"/>
          <w:szCs w:val="21"/>
        </w:rPr>
        <w:t>9．踏勘现场</w:t>
      </w:r>
    </w:p>
    <w:p>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9"/>
    <w:p>
      <w:pPr>
        <w:ind w:firstLine="411" w:firstLineChars="196"/>
        <w:rPr>
          <w:rFonts w:ascii="宋体" w:hAnsi="宋体"/>
        </w:rPr>
      </w:pPr>
    </w:p>
    <w:p>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91" w:name="_Hlk72399819"/>
      <w:r>
        <w:rPr>
          <w:rFonts w:hint="eastAsia" w:ascii="黑体" w:hAnsi="宋体" w:eastAsia="黑体"/>
          <w:szCs w:val="21"/>
        </w:rPr>
        <w:t>招标文件的编制与组成</w:t>
      </w:r>
    </w:p>
    <w:p>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pPr>
        <w:ind w:firstLine="420" w:firstLineChars="200"/>
        <w:rPr>
          <w:rFonts w:ascii="宋体" w:hAnsi="宋体"/>
          <w:szCs w:val="21"/>
        </w:rPr>
      </w:pPr>
      <w:r>
        <w:rPr>
          <w:rFonts w:hint="eastAsia" w:ascii="宋体" w:hAnsi="宋体"/>
          <w:szCs w:val="21"/>
        </w:rPr>
        <w:t>招标文件包括下列内容：</w:t>
      </w:r>
    </w:p>
    <w:p>
      <w:pPr>
        <w:ind w:firstLine="422" w:firstLineChars="200"/>
        <w:rPr>
          <w:rFonts w:ascii="宋体" w:hAnsi="宋体"/>
          <w:b/>
          <w:szCs w:val="21"/>
        </w:rPr>
      </w:pPr>
      <w:r>
        <w:rPr>
          <w:rFonts w:hint="eastAsia" w:ascii="宋体" w:hAnsi="宋体"/>
          <w:b/>
          <w:szCs w:val="21"/>
        </w:rPr>
        <w:t>第一册  专用条款</w:t>
      </w:r>
    </w:p>
    <w:p>
      <w:pPr>
        <w:ind w:firstLine="422" w:firstLineChars="200"/>
        <w:rPr>
          <w:rFonts w:ascii="宋体" w:hAnsi="宋体"/>
          <w:b/>
          <w:szCs w:val="21"/>
        </w:rPr>
      </w:pPr>
      <w:r>
        <w:rPr>
          <w:rFonts w:hint="eastAsia" w:ascii="宋体" w:hAnsi="宋体"/>
          <w:b/>
          <w:szCs w:val="21"/>
        </w:rPr>
        <w:t>关键信息</w:t>
      </w:r>
    </w:p>
    <w:p>
      <w:pPr>
        <w:ind w:firstLine="420" w:firstLineChars="200"/>
        <w:rPr>
          <w:rFonts w:ascii="宋体" w:hAnsi="宋体"/>
          <w:szCs w:val="21"/>
        </w:rPr>
      </w:pPr>
      <w:r>
        <w:rPr>
          <w:rFonts w:hint="eastAsia" w:ascii="宋体" w:hAnsi="宋体"/>
          <w:szCs w:val="21"/>
        </w:rPr>
        <w:t>第一章  招标公告</w:t>
      </w:r>
    </w:p>
    <w:p>
      <w:pPr>
        <w:ind w:firstLine="420" w:firstLineChars="200"/>
        <w:rPr>
          <w:rFonts w:ascii="宋体" w:hAnsi="宋体"/>
          <w:szCs w:val="21"/>
        </w:rPr>
      </w:pPr>
      <w:r>
        <w:rPr>
          <w:rFonts w:hint="eastAsia" w:ascii="宋体" w:hAnsi="宋体"/>
          <w:szCs w:val="21"/>
        </w:rPr>
        <w:t>第二章  对通用条款的补充内容及其他关键信息</w:t>
      </w:r>
    </w:p>
    <w:p>
      <w:pPr>
        <w:ind w:firstLine="420" w:firstLineChars="200"/>
        <w:rPr>
          <w:rFonts w:ascii="宋体" w:hAnsi="宋体"/>
          <w:szCs w:val="21"/>
        </w:rPr>
      </w:pPr>
      <w:r>
        <w:rPr>
          <w:rFonts w:hint="eastAsia" w:ascii="宋体" w:hAnsi="宋体"/>
          <w:szCs w:val="21"/>
        </w:rPr>
        <w:t>第三章  用户需求书</w:t>
      </w:r>
    </w:p>
    <w:p>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pPr>
        <w:ind w:firstLine="420" w:firstLineChars="200"/>
        <w:rPr>
          <w:rFonts w:ascii="宋体" w:hAnsi="宋体"/>
          <w:szCs w:val="21"/>
        </w:rPr>
      </w:pPr>
      <w:r>
        <w:rPr>
          <w:rFonts w:hint="eastAsia" w:ascii="宋体" w:hAnsi="宋体"/>
          <w:szCs w:val="21"/>
        </w:rPr>
        <w:t>第五章  合同条款及格式</w:t>
      </w:r>
    </w:p>
    <w:p>
      <w:pPr>
        <w:ind w:firstLine="422" w:firstLineChars="200"/>
        <w:rPr>
          <w:rFonts w:ascii="宋体" w:hAnsi="宋体"/>
          <w:b/>
          <w:szCs w:val="21"/>
        </w:rPr>
      </w:pPr>
      <w:r>
        <w:rPr>
          <w:rFonts w:hint="eastAsia" w:ascii="宋体" w:hAnsi="宋体"/>
          <w:b/>
          <w:szCs w:val="21"/>
        </w:rPr>
        <w:t>第二册  通用条款</w:t>
      </w:r>
    </w:p>
    <w:p>
      <w:pPr>
        <w:ind w:firstLine="420" w:firstLineChars="200"/>
        <w:rPr>
          <w:rFonts w:ascii="宋体" w:hAnsi="宋体"/>
          <w:szCs w:val="21"/>
        </w:rPr>
      </w:pPr>
      <w:r>
        <w:rPr>
          <w:rFonts w:hint="eastAsia" w:ascii="宋体" w:hAnsi="宋体"/>
          <w:szCs w:val="21"/>
        </w:rPr>
        <w:t>第一章  总则</w:t>
      </w:r>
    </w:p>
    <w:p>
      <w:pPr>
        <w:ind w:firstLine="420" w:firstLineChars="200"/>
        <w:rPr>
          <w:rFonts w:ascii="宋体" w:hAnsi="宋体"/>
          <w:szCs w:val="21"/>
        </w:rPr>
      </w:pPr>
      <w:r>
        <w:rPr>
          <w:rFonts w:hint="eastAsia" w:ascii="宋体" w:hAnsi="宋体"/>
          <w:szCs w:val="21"/>
        </w:rPr>
        <w:t>第二章  招标文件</w:t>
      </w:r>
    </w:p>
    <w:p>
      <w:pPr>
        <w:ind w:firstLine="420" w:firstLineChars="200"/>
        <w:rPr>
          <w:rFonts w:ascii="宋体" w:hAnsi="宋体"/>
          <w:szCs w:val="21"/>
        </w:rPr>
      </w:pPr>
      <w:r>
        <w:rPr>
          <w:rFonts w:hint="eastAsia" w:ascii="宋体" w:hAnsi="宋体"/>
          <w:szCs w:val="21"/>
        </w:rPr>
        <w:t>第三章  投标文件的编制</w:t>
      </w:r>
    </w:p>
    <w:p>
      <w:pPr>
        <w:ind w:firstLine="420" w:firstLineChars="200"/>
        <w:rPr>
          <w:rFonts w:ascii="宋体" w:hAnsi="宋体"/>
          <w:szCs w:val="21"/>
        </w:rPr>
      </w:pPr>
      <w:r>
        <w:rPr>
          <w:rFonts w:hint="eastAsia" w:ascii="宋体" w:hAnsi="宋体"/>
          <w:szCs w:val="21"/>
        </w:rPr>
        <w:t>第四章  投标文件的递交</w:t>
      </w:r>
    </w:p>
    <w:p>
      <w:pPr>
        <w:ind w:firstLine="420" w:firstLineChars="200"/>
        <w:rPr>
          <w:rFonts w:ascii="宋体" w:hAnsi="宋体"/>
          <w:szCs w:val="21"/>
        </w:rPr>
      </w:pPr>
      <w:r>
        <w:rPr>
          <w:rFonts w:hint="eastAsia" w:ascii="宋体" w:hAnsi="宋体"/>
          <w:szCs w:val="21"/>
        </w:rPr>
        <w:t>第五章  开标</w:t>
      </w:r>
    </w:p>
    <w:p>
      <w:pPr>
        <w:ind w:firstLine="420" w:firstLineChars="200"/>
        <w:rPr>
          <w:rFonts w:ascii="宋体" w:hAnsi="宋体"/>
          <w:szCs w:val="21"/>
        </w:rPr>
      </w:pPr>
      <w:r>
        <w:rPr>
          <w:rFonts w:hint="eastAsia" w:ascii="宋体" w:hAnsi="宋体"/>
          <w:szCs w:val="21"/>
        </w:rPr>
        <w:t>第六章  评审要求</w:t>
      </w:r>
    </w:p>
    <w:p>
      <w:pPr>
        <w:ind w:firstLine="420" w:firstLineChars="200"/>
        <w:rPr>
          <w:rFonts w:ascii="宋体" w:hAnsi="宋体"/>
          <w:szCs w:val="21"/>
        </w:rPr>
      </w:pPr>
      <w:r>
        <w:rPr>
          <w:rFonts w:hint="eastAsia" w:ascii="宋体" w:hAnsi="宋体"/>
          <w:szCs w:val="21"/>
        </w:rPr>
        <w:t>第七章  评审程序及评审方法</w:t>
      </w:r>
    </w:p>
    <w:p>
      <w:pPr>
        <w:ind w:firstLine="420" w:firstLineChars="200"/>
        <w:rPr>
          <w:rFonts w:ascii="宋体" w:hAnsi="宋体"/>
          <w:szCs w:val="21"/>
        </w:rPr>
      </w:pPr>
      <w:r>
        <w:rPr>
          <w:rFonts w:hint="eastAsia" w:ascii="宋体" w:hAnsi="宋体"/>
          <w:szCs w:val="21"/>
        </w:rPr>
        <w:t>第八章  定标及公示</w:t>
      </w:r>
    </w:p>
    <w:p>
      <w:pPr>
        <w:ind w:firstLine="420" w:firstLineChars="200"/>
        <w:rPr>
          <w:rFonts w:ascii="宋体" w:hAnsi="宋体"/>
          <w:szCs w:val="21"/>
        </w:rPr>
      </w:pPr>
      <w:r>
        <w:rPr>
          <w:rFonts w:hint="eastAsia" w:ascii="宋体" w:hAnsi="宋体"/>
          <w:szCs w:val="21"/>
        </w:rPr>
        <w:t>第九章  公开招标失败的后续处理</w:t>
      </w:r>
    </w:p>
    <w:p>
      <w:pPr>
        <w:ind w:firstLine="420" w:firstLineChars="200"/>
        <w:rPr>
          <w:rFonts w:ascii="宋体" w:hAnsi="宋体"/>
          <w:szCs w:val="21"/>
        </w:rPr>
      </w:pPr>
      <w:r>
        <w:rPr>
          <w:rFonts w:hint="eastAsia" w:ascii="宋体" w:hAnsi="宋体"/>
          <w:szCs w:val="21"/>
        </w:rPr>
        <w:t>第十章  合同的授予与备案</w:t>
      </w:r>
    </w:p>
    <w:p>
      <w:pPr>
        <w:ind w:firstLine="420" w:firstLineChars="200"/>
        <w:rPr>
          <w:rFonts w:ascii="宋体" w:hAnsi="宋体"/>
          <w:szCs w:val="21"/>
        </w:rPr>
      </w:pPr>
      <w:r>
        <w:rPr>
          <w:rFonts w:hint="eastAsia" w:ascii="宋体" w:hAnsi="宋体"/>
          <w:szCs w:val="21"/>
        </w:rPr>
        <w:t>第十一章  质疑处理</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91"/>
    </w:p>
    <w:p>
      <w:pPr>
        <w:rPr>
          <w:rFonts w:ascii="宋体" w:hAnsi="宋体"/>
          <w:szCs w:val="21"/>
        </w:rPr>
      </w:pPr>
    </w:p>
    <w:p>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pPr>
        <w:ind w:firstLine="420" w:firstLineChars="200"/>
        <w:rPr>
          <w:rFonts w:ascii="黑体" w:hAnsi="宋体" w:eastAsia="黑体"/>
          <w:szCs w:val="21"/>
        </w:rPr>
      </w:pPr>
      <w:r>
        <w:rPr>
          <w:rFonts w:hint="eastAsia" w:ascii="黑体" w:hAnsi="宋体" w:eastAsia="黑体"/>
          <w:szCs w:val="21"/>
        </w:rPr>
        <w:t>14．</w:t>
      </w:r>
      <w:bookmarkStart w:id="92" w:name="_Hlk72400236"/>
      <w:r>
        <w:rPr>
          <w:rFonts w:hint="eastAsia" w:ascii="黑体" w:hAnsi="宋体" w:eastAsia="黑体"/>
          <w:szCs w:val="21"/>
        </w:rPr>
        <w:t>投标文件的语言及度量单位</w:t>
      </w:r>
    </w:p>
    <w:p>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92"/>
    <w:p>
      <w:pPr>
        <w:ind w:firstLine="420" w:firstLineChars="200"/>
        <w:rPr>
          <w:rFonts w:ascii="黑体" w:hAnsi="宋体" w:eastAsia="黑体"/>
          <w:szCs w:val="21"/>
        </w:rPr>
      </w:pPr>
      <w:r>
        <w:rPr>
          <w:rFonts w:hint="eastAsia" w:ascii="黑体" w:hAnsi="宋体" w:eastAsia="黑体"/>
          <w:szCs w:val="21"/>
        </w:rPr>
        <w:t>15．</w:t>
      </w:r>
      <w:bookmarkStart w:id="93" w:name="_Hlk72401567"/>
      <w:r>
        <w:rPr>
          <w:rFonts w:hint="eastAsia" w:ascii="黑体" w:hAnsi="宋体" w:eastAsia="黑体"/>
          <w:szCs w:val="21"/>
        </w:rPr>
        <w:t>投标文件的组成</w:t>
      </w:r>
    </w:p>
    <w:p>
      <w:pPr>
        <w:ind w:firstLine="420" w:firstLineChars="200"/>
        <w:rPr>
          <w:rFonts w:ascii="宋体" w:hAnsi="宋体"/>
          <w:szCs w:val="21"/>
        </w:rPr>
      </w:pPr>
      <w:r>
        <w:rPr>
          <w:rFonts w:hint="eastAsia" w:ascii="宋体" w:hAnsi="宋体"/>
          <w:szCs w:val="21"/>
        </w:rPr>
        <w:t>具体内容在招标文件专用条款中进行规定。</w:t>
      </w:r>
    </w:p>
    <w:p>
      <w:pPr>
        <w:ind w:firstLine="420" w:firstLineChars="200"/>
        <w:rPr>
          <w:rFonts w:ascii="黑体" w:hAnsi="宋体" w:eastAsia="黑体"/>
          <w:szCs w:val="21"/>
        </w:rPr>
      </w:pPr>
      <w:r>
        <w:rPr>
          <w:rFonts w:ascii="黑体" w:hAnsi="宋体" w:eastAsia="黑体"/>
          <w:szCs w:val="21"/>
        </w:rPr>
        <w:t>16．投标文件格式</w:t>
      </w:r>
    </w:p>
    <w:p>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pPr>
        <w:ind w:firstLine="420" w:firstLineChars="200"/>
        <w:rPr>
          <w:rFonts w:ascii="黑体" w:hAnsi="宋体" w:eastAsia="黑体"/>
          <w:szCs w:val="21"/>
        </w:rPr>
      </w:pPr>
      <w:r>
        <w:rPr>
          <w:rFonts w:hint="eastAsia" w:ascii="黑体" w:hAnsi="宋体" w:eastAsia="黑体"/>
          <w:szCs w:val="21"/>
        </w:rPr>
        <w:t>17．投标货币</w:t>
      </w:r>
    </w:p>
    <w:p>
      <w:pPr>
        <w:ind w:firstLine="420" w:firstLineChars="200"/>
        <w:rPr>
          <w:rFonts w:ascii="宋体" w:hAnsi="宋体"/>
          <w:szCs w:val="21"/>
        </w:rPr>
      </w:pPr>
      <w:r>
        <w:rPr>
          <w:rFonts w:hint="eastAsia" w:ascii="宋体" w:hAnsi="宋体"/>
          <w:szCs w:val="21"/>
        </w:rPr>
        <w:t>本项目的投标报价应以人民币计。</w:t>
      </w:r>
    </w:p>
    <w:bookmarkEnd w:id="93"/>
    <w:p>
      <w:pPr>
        <w:ind w:firstLine="420" w:firstLineChars="200"/>
        <w:rPr>
          <w:rFonts w:ascii="黑体" w:hAnsi="宋体" w:eastAsia="黑体"/>
          <w:szCs w:val="21"/>
        </w:rPr>
      </w:pPr>
      <w:r>
        <w:rPr>
          <w:rFonts w:hint="eastAsia" w:ascii="黑体" w:hAnsi="宋体" w:eastAsia="黑体"/>
          <w:szCs w:val="21"/>
        </w:rPr>
        <w:t>18．</w:t>
      </w:r>
      <w:bookmarkStart w:id="94" w:name="_Hlk72401735"/>
      <w:r>
        <w:rPr>
          <w:rFonts w:hint="eastAsia" w:ascii="黑体" w:hAnsi="宋体" w:eastAsia="黑体"/>
          <w:szCs w:val="21"/>
        </w:rPr>
        <w:t>证明投标文件投标技术方案的合格性和符合招标文件规定的文件要求</w:t>
      </w:r>
    </w:p>
    <w:p>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pPr>
        <w:ind w:firstLine="420" w:firstLineChars="200"/>
        <w:rPr>
          <w:rFonts w:ascii="宋体" w:hAnsi="宋体"/>
          <w:szCs w:val="21"/>
        </w:rPr>
      </w:pPr>
      <w:r>
        <w:rPr>
          <w:rFonts w:hint="eastAsia" w:ascii="宋体" w:hAnsi="宋体"/>
          <w:szCs w:val="21"/>
        </w:rPr>
        <w:t>18.2.1主要技术指标和性能的详细说明。</w:t>
      </w:r>
    </w:p>
    <w:p>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94"/>
    <w:p>
      <w:pPr>
        <w:ind w:firstLine="420" w:firstLineChars="200"/>
        <w:rPr>
          <w:rFonts w:ascii="黑体" w:hAnsi="宋体" w:eastAsia="黑体"/>
          <w:szCs w:val="21"/>
        </w:rPr>
      </w:pPr>
      <w:r>
        <w:rPr>
          <w:rFonts w:hint="eastAsia" w:ascii="黑体" w:hAnsi="宋体" w:eastAsia="黑体"/>
          <w:szCs w:val="21"/>
        </w:rPr>
        <w:t>19．</w:t>
      </w:r>
      <w:bookmarkStart w:id="95" w:name="_Hlk72402034"/>
      <w:r>
        <w:rPr>
          <w:rFonts w:hint="eastAsia" w:ascii="黑体" w:hAnsi="宋体" w:eastAsia="黑体"/>
          <w:szCs w:val="21"/>
        </w:rPr>
        <w:t>投标文件其他证明文件的要求</w:t>
      </w:r>
    </w:p>
    <w:p>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6" w:name="_Hlk71407299"/>
    </w:p>
    <w:bookmarkEnd w:id="96"/>
    <w:p>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pPr>
        <w:ind w:firstLine="420" w:firstLineChars="200"/>
        <w:rPr>
          <w:rFonts w:ascii="黑体" w:hAnsi="宋体" w:eastAsia="黑体"/>
          <w:szCs w:val="21"/>
        </w:rPr>
      </w:pPr>
      <w:r>
        <w:rPr>
          <w:rFonts w:hint="eastAsia" w:ascii="黑体" w:hAnsi="宋体" w:eastAsia="黑体"/>
          <w:szCs w:val="21"/>
        </w:rPr>
        <w:t>20．投标有效期</w:t>
      </w:r>
    </w:p>
    <w:bookmarkEnd w:id="95"/>
    <w:p>
      <w:pPr>
        <w:ind w:firstLine="420" w:firstLineChars="200"/>
        <w:rPr>
          <w:rFonts w:ascii="宋体" w:hAnsi="宋体"/>
          <w:szCs w:val="21"/>
        </w:rPr>
      </w:pPr>
      <w:bookmarkStart w:id="97"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7"/>
    <w:p>
      <w:pPr>
        <w:ind w:firstLine="420" w:firstLineChars="200"/>
        <w:rPr>
          <w:rFonts w:ascii="黑体" w:hAnsi="宋体" w:eastAsia="黑体"/>
          <w:szCs w:val="21"/>
        </w:rPr>
      </w:pPr>
      <w:r>
        <w:rPr>
          <w:rFonts w:hint="eastAsia" w:ascii="黑体" w:hAnsi="宋体" w:eastAsia="黑体"/>
          <w:szCs w:val="21"/>
        </w:rPr>
        <w:t>21．</w:t>
      </w:r>
      <w:bookmarkStart w:id="98" w:name="_Hlk72402325"/>
      <w:r>
        <w:rPr>
          <w:rFonts w:hint="eastAsia" w:ascii="黑体" w:hAnsi="宋体" w:eastAsia="黑体"/>
          <w:szCs w:val="21"/>
        </w:rPr>
        <w:t xml:space="preserve">关于投标保证金 </w:t>
      </w:r>
    </w:p>
    <w:p>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pPr>
        <w:ind w:firstLine="420" w:firstLineChars="200"/>
        <w:rPr>
          <w:rFonts w:ascii="黑体" w:hAnsi="宋体" w:eastAsia="黑体"/>
          <w:szCs w:val="21"/>
        </w:rPr>
      </w:pPr>
      <w:r>
        <w:rPr>
          <w:rFonts w:hint="eastAsia" w:ascii="黑体" w:hAnsi="宋体" w:eastAsia="黑体"/>
          <w:szCs w:val="21"/>
        </w:rPr>
        <w:t>22．投标人的替代方案</w:t>
      </w:r>
    </w:p>
    <w:p>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8"/>
    <w:p>
      <w:pPr>
        <w:ind w:firstLine="420" w:firstLineChars="200"/>
        <w:rPr>
          <w:rFonts w:ascii="黑体" w:hAnsi="宋体" w:eastAsia="黑体"/>
          <w:szCs w:val="21"/>
        </w:rPr>
      </w:pPr>
      <w:r>
        <w:rPr>
          <w:rFonts w:hint="eastAsia" w:ascii="黑体" w:hAnsi="宋体" w:eastAsia="黑体"/>
          <w:szCs w:val="21"/>
        </w:rPr>
        <w:t>23．</w:t>
      </w:r>
      <w:bookmarkStart w:id="99"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pPr>
        <w:ind w:firstLine="420" w:firstLineChars="200"/>
        <w:rPr>
          <w:rFonts w:ascii="宋体" w:hAnsi="宋体"/>
          <w:szCs w:val="21"/>
        </w:rPr>
      </w:pPr>
      <w:r>
        <w:rPr>
          <w:rFonts w:hint="eastAsia" w:ascii="宋体" w:hAnsi="宋体"/>
          <w:szCs w:val="21"/>
        </w:rPr>
        <w:t>23.1投标人应准备所投项目的电子投标文件一份。</w:t>
      </w:r>
    </w:p>
    <w:p>
      <w:pPr>
        <w:ind w:firstLine="420" w:firstLineChars="200"/>
        <w:rPr>
          <w:rFonts w:ascii="宋体" w:hAnsi="宋体"/>
          <w:szCs w:val="21"/>
        </w:rPr>
      </w:pPr>
      <w:r>
        <w:rPr>
          <w:rFonts w:hint="eastAsia" w:ascii="宋体" w:hAnsi="宋体"/>
          <w:szCs w:val="21"/>
        </w:rPr>
        <w:t>23.2投标人在使用《投标书编制软件》编制投标书时须注意：</w:t>
      </w:r>
    </w:p>
    <w:p>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pPr>
        <w:ind w:firstLine="420" w:firstLineChars="200"/>
        <w:rPr>
          <w:rFonts w:ascii="宋体" w:hAnsi="宋体"/>
          <w:szCs w:val="21"/>
        </w:rPr>
      </w:pPr>
      <w:r>
        <w:rPr>
          <w:rFonts w:hint="eastAsia" w:ascii="宋体" w:hAnsi="宋体"/>
          <w:szCs w:val="21"/>
        </w:rPr>
        <w:t>23.3电报、电话、传真形式的投标概不接受。</w:t>
      </w:r>
    </w:p>
    <w:p>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9"/>
    </w:p>
    <w:p>
      <w:pPr>
        <w:ind w:firstLine="411" w:firstLineChars="196"/>
        <w:rPr>
          <w:rFonts w:ascii="宋体" w:hAnsi="宋体"/>
          <w:szCs w:val="21"/>
        </w:rPr>
      </w:pPr>
    </w:p>
    <w:p>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pPr>
        <w:ind w:firstLine="420" w:firstLineChars="200"/>
        <w:rPr>
          <w:rFonts w:ascii="黑体" w:hAnsi="宋体" w:eastAsia="黑体"/>
          <w:szCs w:val="21"/>
        </w:rPr>
      </w:pPr>
      <w:bookmarkStart w:id="100" w:name="_Hlk72405459"/>
      <w:r>
        <w:rPr>
          <w:rFonts w:hint="eastAsia" w:ascii="黑体" w:hAnsi="宋体" w:eastAsia="黑体"/>
          <w:szCs w:val="21"/>
        </w:rPr>
        <w:t>24．投标文件的保密</w:t>
      </w:r>
    </w:p>
    <w:p>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pPr>
        <w:ind w:firstLine="422" w:firstLineChars="200"/>
        <w:rPr>
          <w:rFonts w:ascii="宋体" w:hAnsi="宋体"/>
          <w:b/>
          <w:szCs w:val="21"/>
        </w:rPr>
      </w:pPr>
      <w:r>
        <w:rPr>
          <w:rFonts w:hint="eastAsia" w:ascii="宋体" w:hAnsi="宋体"/>
          <w:b/>
          <w:szCs w:val="21"/>
        </w:rPr>
        <w:t>24.2若采购项目出现延期情况：</w:t>
      </w:r>
    </w:p>
    <w:p>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pPr>
        <w:ind w:firstLine="420" w:firstLineChars="200"/>
        <w:rPr>
          <w:rFonts w:ascii="黑体" w:hAnsi="宋体" w:eastAsia="黑体"/>
          <w:szCs w:val="21"/>
        </w:rPr>
      </w:pPr>
      <w:r>
        <w:rPr>
          <w:rFonts w:hint="eastAsia" w:ascii="黑体" w:hAnsi="宋体" w:eastAsia="黑体"/>
          <w:szCs w:val="21"/>
        </w:rPr>
        <w:t>25．上传投标文件及投标截止日期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100"/>
    <w:p>
      <w:pPr>
        <w:ind w:firstLine="420" w:firstLineChars="200"/>
        <w:rPr>
          <w:rFonts w:ascii="黑体" w:hAnsi="宋体" w:eastAsia="黑体"/>
          <w:szCs w:val="21"/>
        </w:rPr>
      </w:pPr>
      <w:r>
        <w:rPr>
          <w:rFonts w:hint="eastAsia" w:ascii="黑体" w:hAnsi="宋体" w:eastAsia="黑体"/>
          <w:szCs w:val="21"/>
        </w:rPr>
        <w:t>26. 样品、现场演示、方案讲解</w:t>
      </w:r>
    </w:p>
    <w:p>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pPr>
        <w:ind w:firstLine="420" w:firstLineChars="200"/>
        <w:rPr>
          <w:rFonts w:ascii="黑体" w:hAnsi="宋体" w:eastAsia="黑体"/>
          <w:szCs w:val="21"/>
        </w:rPr>
      </w:pPr>
      <w:bookmarkStart w:id="101"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101"/>
    <w:p>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pPr>
        <w:ind w:firstLine="420" w:firstLineChars="200"/>
        <w:rPr>
          <w:rFonts w:ascii="黑体" w:hAnsi="宋体" w:eastAsia="黑体"/>
          <w:szCs w:val="21"/>
        </w:rPr>
      </w:pPr>
      <w:r>
        <w:rPr>
          <w:rFonts w:hint="eastAsia" w:ascii="黑体" w:hAnsi="宋体" w:eastAsia="黑体"/>
          <w:szCs w:val="21"/>
        </w:rPr>
        <w:t>28．开标</w:t>
      </w:r>
    </w:p>
    <w:p>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pPr>
        <w:ind w:firstLine="315" w:firstLineChars="150"/>
        <w:rPr>
          <w:rFonts w:ascii="宋体" w:hAnsi="宋体"/>
          <w:szCs w:val="21"/>
        </w:rPr>
      </w:pPr>
    </w:p>
    <w:p>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pPr>
        <w:ind w:firstLine="420" w:firstLineChars="200"/>
        <w:rPr>
          <w:rFonts w:ascii="黑体" w:hAnsi="宋体" w:eastAsia="黑体"/>
          <w:szCs w:val="21"/>
        </w:rPr>
      </w:pPr>
      <w:r>
        <w:rPr>
          <w:rFonts w:hint="eastAsia" w:ascii="黑体" w:hAnsi="宋体" w:eastAsia="黑体"/>
          <w:szCs w:val="21"/>
        </w:rPr>
        <w:t>29．评审委员会组成</w:t>
      </w:r>
    </w:p>
    <w:p>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pPr>
        <w:ind w:firstLine="420" w:firstLineChars="200"/>
        <w:rPr>
          <w:rFonts w:ascii="宋体" w:hAnsi="宋体"/>
          <w:szCs w:val="21"/>
        </w:rPr>
      </w:pPr>
      <w:bookmarkStart w:id="102"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102"/>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pPr>
        <w:ind w:firstLine="420" w:firstLineChars="200"/>
        <w:rPr>
          <w:rFonts w:ascii="宋体" w:hAnsi="宋体"/>
          <w:szCs w:val="21"/>
        </w:rPr>
      </w:pPr>
      <w:r>
        <w:rPr>
          <w:rFonts w:hint="eastAsia" w:ascii="宋体" w:hAnsi="宋体"/>
          <w:szCs w:val="21"/>
        </w:rPr>
        <w:t>29.2评审定标应当遵循公平、公正、科学、择优的原则。</w:t>
      </w:r>
    </w:p>
    <w:p>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pPr>
        <w:ind w:firstLine="420" w:firstLineChars="200"/>
        <w:rPr>
          <w:rFonts w:ascii="黑体" w:hAnsi="宋体" w:eastAsia="黑体"/>
          <w:szCs w:val="21"/>
        </w:rPr>
      </w:pPr>
      <w:r>
        <w:rPr>
          <w:rFonts w:hint="eastAsia" w:ascii="黑体" w:hAnsi="宋体" w:eastAsia="黑体"/>
          <w:szCs w:val="21"/>
        </w:rPr>
        <w:t>30．向评审委员会提供的资料</w:t>
      </w:r>
    </w:p>
    <w:p>
      <w:pPr>
        <w:ind w:firstLine="420" w:firstLineChars="200"/>
        <w:rPr>
          <w:rFonts w:ascii="宋体" w:hAnsi="宋体"/>
          <w:szCs w:val="21"/>
        </w:rPr>
      </w:pPr>
      <w:r>
        <w:rPr>
          <w:rFonts w:hint="eastAsia" w:ascii="宋体" w:hAnsi="宋体"/>
          <w:szCs w:val="21"/>
        </w:rPr>
        <w:t>30.1公开发布的招标文件，包括图纸、服务清单、答疑文件等；</w:t>
      </w:r>
    </w:p>
    <w:p>
      <w:pPr>
        <w:ind w:firstLine="420" w:firstLineChars="200"/>
        <w:rPr>
          <w:rFonts w:ascii="宋体" w:hAnsi="宋体"/>
          <w:szCs w:val="21"/>
        </w:rPr>
      </w:pPr>
      <w:r>
        <w:rPr>
          <w:rFonts w:hint="eastAsia" w:ascii="宋体" w:hAnsi="宋体"/>
          <w:szCs w:val="21"/>
        </w:rPr>
        <w:t>30.2其他评标必须的资料。</w:t>
      </w:r>
    </w:p>
    <w:p>
      <w:pPr>
        <w:ind w:firstLine="420" w:firstLineChars="200"/>
        <w:rPr>
          <w:rFonts w:ascii="宋体" w:hAnsi="宋体"/>
          <w:szCs w:val="21"/>
        </w:rPr>
      </w:pPr>
      <w:r>
        <w:rPr>
          <w:rFonts w:hint="eastAsia" w:ascii="宋体" w:hAnsi="宋体"/>
          <w:szCs w:val="21"/>
        </w:rPr>
        <w:t>30.3评审委员会应当认真研究招标文件，至少应了解熟悉以下内容：</w:t>
      </w:r>
    </w:p>
    <w:p>
      <w:pPr>
        <w:ind w:firstLine="420" w:firstLineChars="200"/>
        <w:rPr>
          <w:rFonts w:ascii="宋体" w:hAnsi="宋体"/>
          <w:szCs w:val="21"/>
        </w:rPr>
      </w:pPr>
      <w:r>
        <w:rPr>
          <w:rFonts w:hint="eastAsia" w:ascii="宋体" w:hAnsi="宋体"/>
          <w:szCs w:val="21"/>
        </w:rPr>
        <w:t>（1）招标的目的；</w:t>
      </w:r>
    </w:p>
    <w:p>
      <w:pPr>
        <w:ind w:firstLine="420" w:firstLineChars="200"/>
        <w:rPr>
          <w:rFonts w:ascii="宋体" w:hAnsi="宋体"/>
          <w:szCs w:val="21"/>
        </w:rPr>
      </w:pPr>
      <w:r>
        <w:rPr>
          <w:rFonts w:hint="eastAsia" w:ascii="宋体" w:hAnsi="宋体"/>
          <w:szCs w:val="21"/>
        </w:rPr>
        <w:t>（2）招标项目需求的范围和性质；</w:t>
      </w:r>
    </w:p>
    <w:p>
      <w:pPr>
        <w:ind w:firstLine="420" w:firstLineChars="200"/>
        <w:rPr>
          <w:rFonts w:ascii="宋体" w:hAnsi="宋体"/>
          <w:szCs w:val="21"/>
        </w:rPr>
      </w:pPr>
      <w:r>
        <w:rPr>
          <w:rFonts w:hint="eastAsia" w:ascii="宋体" w:hAnsi="宋体"/>
          <w:szCs w:val="21"/>
        </w:rPr>
        <w:t>（3）招标文件规定的投标人的资格、财政预算限额、商务条款；</w:t>
      </w:r>
    </w:p>
    <w:p>
      <w:pPr>
        <w:ind w:firstLine="420" w:firstLineChars="200"/>
        <w:rPr>
          <w:rFonts w:ascii="宋体" w:hAnsi="宋体"/>
          <w:szCs w:val="21"/>
        </w:rPr>
      </w:pPr>
      <w:r>
        <w:rPr>
          <w:rFonts w:hint="eastAsia" w:ascii="宋体" w:hAnsi="宋体"/>
          <w:szCs w:val="21"/>
        </w:rPr>
        <w:t>（4）招标文件规定的评标程序、评标方法和评标因素；</w:t>
      </w:r>
    </w:p>
    <w:p>
      <w:pPr>
        <w:ind w:firstLine="420" w:firstLineChars="200"/>
        <w:rPr>
          <w:rFonts w:ascii="宋体" w:hAnsi="宋体"/>
          <w:szCs w:val="21"/>
        </w:rPr>
      </w:pPr>
      <w:r>
        <w:rPr>
          <w:rFonts w:hint="eastAsia" w:ascii="宋体" w:hAnsi="宋体"/>
          <w:szCs w:val="21"/>
        </w:rPr>
        <w:t>（5）招标文件所列示的资格性审查表及符合性审查表。</w:t>
      </w:r>
    </w:p>
    <w:p>
      <w:pPr>
        <w:ind w:firstLine="420" w:firstLineChars="200"/>
        <w:rPr>
          <w:rFonts w:ascii="黑体" w:hAnsi="宋体" w:eastAsia="黑体"/>
          <w:szCs w:val="21"/>
        </w:rPr>
      </w:pPr>
      <w:r>
        <w:rPr>
          <w:rFonts w:hint="eastAsia" w:ascii="黑体" w:hAnsi="宋体" w:eastAsia="黑体"/>
          <w:szCs w:val="21"/>
        </w:rPr>
        <w:t>31．独立评审</w:t>
      </w:r>
    </w:p>
    <w:p>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pPr>
        <w:ind w:firstLine="411" w:firstLineChars="196"/>
        <w:rPr>
          <w:rFonts w:ascii="宋体" w:hAnsi="宋体"/>
          <w:bCs/>
          <w:szCs w:val="21"/>
        </w:rPr>
      </w:pPr>
    </w:p>
    <w:p>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pPr>
        <w:ind w:firstLine="420" w:firstLineChars="200"/>
        <w:rPr>
          <w:rFonts w:ascii="黑体" w:hAnsi="宋体" w:eastAsia="黑体"/>
          <w:szCs w:val="21"/>
        </w:rPr>
      </w:pPr>
      <w:r>
        <w:rPr>
          <w:rFonts w:hint="eastAsia" w:ascii="黑体" w:hAnsi="宋体" w:eastAsia="黑体"/>
          <w:szCs w:val="21"/>
        </w:rPr>
        <w:t>32．投标文件初审</w:t>
      </w:r>
    </w:p>
    <w:p>
      <w:pPr>
        <w:ind w:firstLine="420" w:firstLineChars="200"/>
        <w:rPr>
          <w:rFonts w:ascii="宋体" w:hAnsi="宋体"/>
          <w:szCs w:val="21"/>
        </w:rPr>
      </w:pPr>
      <w:r>
        <w:rPr>
          <w:rFonts w:hint="eastAsia" w:ascii="宋体" w:hAnsi="宋体"/>
          <w:szCs w:val="21"/>
        </w:rPr>
        <w:t>32.1投标文件初审包括资格性审查和符合性审查。</w:t>
      </w:r>
    </w:p>
    <w:p>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pPr>
        <w:ind w:firstLine="420" w:firstLineChars="200"/>
        <w:rPr>
          <w:rFonts w:ascii="宋体" w:hAnsi="宋体"/>
          <w:bCs/>
          <w:szCs w:val="21"/>
        </w:rPr>
      </w:pPr>
      <w:r>
        <w:rPr>
          <w:rFonts w:hint="eastAsia" w:ascii="宋体" w:hAnsi="宋体"/>
          <w:bCs/>
          <w:szCs w:val="21"/>
        </w:rPr>
        <w:t>32.3 投标文件初审中关于供应商家数的计算:</w:t>
      </w:r>
    </w:p>
    <w:p>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pPr>
        <w:ind w:firstLine="420" w:firstLineChars="200"/>
        <w:rPr>
          <w:rFonts w:ascii="宋体" w:hAnsi="宋体"/>
          <w:szCs w:val="21"/>
        </w:rPr>
      </w:pPr>
      <w:r>
        <w:rPr>
          <w:rFonts w:hint="eastAsia" w:ascii="宋体" w:hAnsi="宋体"/>
          <w:szCs w:val="21"/>
        </w:rPr>
        <w:t>32.4投标人投标文件作无效处理的情形，具体包括但不限于以下：</w:t>
      </w:r>
    </w:p>
    <w:p>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pPr>
        <w:ind w:firstLine="420" w:firstLineChars="200"/>
        <w:rPr>
          <w:rFonts w:ascii="宋体" w:hAnsi="宋体"/>
          <w:szCs w:val="21"/>
        </w:rPr>
      </w:pPr>
      <w:r>
        <w:rPr>
          <w:rFonts w:hint="eastAsia" w:ascii="宋体" w:hAnsi="宋体"/>
          <w:szCs w:val="21"/>
        </w:rPr>
        <w:t>32.4.4不同投标人的投标文件异常一致或者投标报价呈规律性差异；</w:t>
      </w:r>
    </w:p>
    <w:p>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pPr>
        <w:ind w:firstLine="420" w:firstLineChars="200"/>
        <w:rPr>
          <w:rFonts w:ascii="宋体" w:hAnsi="宋体"/>
          <w:szCs w:val="21"/>
        </w:rPr>
      </w:pPr>
      <w:r>
        <w:rPr>
          <w:rFonts w:hint="eastAsia" w:ascii="宋体" w:hAnsi="宋体"/>
          <w:szCs w:val="21"/>
        </w:rPr>
        <w:t>32.4.6投标供应商之间相互约定给予未中标的供应商利益补偿；</w:t>
      </w:r>
    </w:p>
    <w:p>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pPr>
        <w:ind w:firstLine="420" w:firstLineChars="200"/>
        <w:rPr>
          <w:rFonts w:ascii="宋体" w:hAnsi="宋体"/>
          <w:szCs w:val="21"/>
        </w:rPr>
      </w:pPr>
      <w:r>
        <w:rPr>
          <w:rFonts w:hint="eastAsia" w:ascii="宋体" w:hAnsi="宋体"/>
          <w:szCs w:val="21"/>
        </w:rPr>
        <w:t>32.4.8不同投标供应商的投标文件内容存在非正常一致；</w:t>
      </w:r>
    </w:p>
    <w:p>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pPr>
        <w:ind w:firstLine="420" w:firstLineChars="200"/>
        <w:rPr>
          <w:rFonts w:ascii="宋体" w:hAnsi="宋体"/>
          <w:szCs w:val="21"/>
        </w:rPr>
      </w:pPr>
      <w:r>
        <w:rPr>
          <w:rFonts w:hint="eastAsia" w:ascii="宋体" w:hAnsi="宋体"/>
          <w:szCs w:val="21"/>
        </w:rPr>
        <w:t>32.4.10主管部门依照法律、法规认定的其他情形。</w:t>
      </w:r>
    </w:p>
    <w:p>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pPr>
        <w:ind w:firstLine="420" w:firstLineChars="200"/>
        <w:rPr>
          <w:rFonts w:ascii="黑体" w:hAnsi="宋体" w:eastAsia="黑体"/>
          <w:szCs w:val="21"/>
        </w:rPr>
      </w:pPr>
      <w:r>
        <w:rPr>
          <w:rFonts w:hint="eastAsia" w:ascii="黑体" w:hAnsi="宋体" w:eastAsia="黑体"/>
          <w:szCs w:val="21"/>
        </w:rPr>
        <w:t>33．澄清有关问题</w:t>
      </w:r>
    </w:p>
    <w:p>
      <w:pPr>
        <w:ind w:firstLine="420" w:firstLineChars="200"/>
        <w:rPr>
          <w:rFonts w:ascii="宋体" w:hAnsi="宋体"/>
          <w:szCs w:val="21"/>
        </w:rPr>
      </w:pPr>
      <w:bookmarkStart w:id="103"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103"/>
    </w:p>
    <w:p>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pPr>
        <w:ind w:firstLine="420" w:firstLineChars="200"/>
        <w:rPr>
          <w:rFonts w:ascii="黑体" w:hAnsi="宋体" w:eastAsia="黑体"/>
          <w:szCs w:val="21"/>
        </w:rPr>
      </w:pPr>
      <w:bookmarkStart w:id="104" w:name="_Toc73517673"/>
      <w:bookmarkStart w:id="105" w:name="_Toc73521669"/>
      <w:bookmarkStart w:id="106" w:name="_Toc73518151"/>
      <w:bookmarkStart w:id="107" w:name="_Toc73521581"/>
      <w:bookmarkStart w:id="108" w:name="_Toc100052400"/>
      <w:r>
        <w:rPr>
          <w:rFonts w:hint="eastAsia" w:ascii="黑体" w:hAnsi="宋体" w:eastAsia="黑体"/>
          <w:szCs w:val="21"/>
        </w:rPr>
        <w:t>34．错误的修正</w:t>
      </w:r>
      <w:bookmarkEnd w:id="104"/>
      <w:bookmarkEnd w:id="105"/>
      <w:bookmarkEnd w:id="106"/>
      <w:bookmarkEnd w:id="107"/>
      <w:bookmarkEnd w:id="108"/>
    </w:p>
    <w:p>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pPr>
        <w:ind w:firstLine="420" w:firstLineChars="200"/>
        <w:rPr>
          <w:rFonts w:ascii="宋体" w:hAnsi="宋体"/>
          <w:szCs w:val="21"/>
        </w:rPr>
      </w:pPr>
      <w:r>
        <w:rPr>
          <w:rFonts w:hint="eastAsia" w:ascii="宋体" w:hAnsi="宋体"/>
          <w:szCs w:val="21"/>
        </w:rPr>
        <w:t>34.2大写金额和小写金额不一致的，以大写金额为准；</w:t>
      </w:r>
    </w:p>
    <w:p>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pPr>
        <w:ind w:firstLine="420" w:firstLineChars="200"/>
        <w:rPr>
          <w:rFonts w:ascii="宋体" w:hAnsi="宋体"/>
          <w:szCs w:val="21"/>
        </w:rPr>
      </w:pPr>
      <w:r>
        <w:rPr>
          <w:rFonts w:hint="eastAsia" w:ascii="宋体" w:hAnsi="宋体"/>
          <w:szCs w:val="21"/>
        </w:rPr>
        <w:t>34.4总价金额与按单价汇总金额不一致的，以单价金额计算结果为准。</w:t>
      </w:r>
    </w:p>
    <w:p>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pPr>
        <w:ind w:firstLine="420" w:firstLineChars="200"/>
        <w:rPr>
          <w:rFonts w:ascii="黑体" w:hAnsi="宋体" w:eastAsia="黑体"/>
          <w:szCs w:val="21"/>
        </w:rPr>
      </w:pPr>
      <w:r>
        <w:rPr>
          <w:rFonts w:hint="eastAsia" w:ascii="黑体" w:hAnsi="宋体" w:eastAsia="黑体"/>
          <w:szCs w:val="21"/>
        </w:rPr>
        <w:t>35．投标文件的比较与评价</w:t>
      </w:r>
    </w:p>
    <w:p>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pPr>
        <w:ind w:firstLine="420" w:firstLineChars="200"/>
        <w:rPr>
          <w:rFonts w:ascii="黑体" w:hAnsi="宋体" w:eastAsia="黑体"/>
          <w:szCs w:val="21"/>
        </w:rPr>
      </w:pPr>
      <w:r>
        <w:rPr>
          <w:rFonts w:hint="eastAsia" w:ascii="黑体" w:hAnsi="宋体" w:eastAsia="黑体"/>
          <w:szCs w:val="21"/>
        </w:rPr>
        <w:t>36. 实地考察或资料查验</w:t>
      </w:r>
    </w:p>
    <w:p>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pPr>
        <w:ind w:firstLine="420" w:firstLineChars="200"/>
        <w:rPr>
          <w:rFonts w:ascii="黑体" w:hAnsi="宋体" w:eastAsia="黑体"/>
          <w:szCs w:val="21"/>
        </w:rPr>
      </w:pPr>
      <w:r>
        <w:rPr>
          <w:rFonts w:hint="eastAsia" w:ascii="黑体" w:hAnsi="宋体" w:eastAsia="黑体"/>
          <w:szCs w:val="21"/>
        </w:rPr>
        <w:t>37．评审方法</w:t>
      </w:r>
    </w:p>
    <w:p>
      <w:pPr>
        <w:ind w:firstLine="422" w:firstLineChars="200"/>
        <w:rPr>
          <w:rFonts w:ascii="宋体" w:hAnsi="宋体"/>
          <w:b/>
          <w:bCs/>
          <w:szCs w:val="21"/>
        </w:rPr>
      </w:pPr>
      <w:r>
        <w:rPr>
          <w:rFonts w:hint="eastAsia" w:ascii="宋体" w:hAnsi="宋体"/>
          <w:b/>
          <w:bCs/>
          <w:szCs w:val="21"/>
        </w:rPr>
        <w:t>37.1.1最低价法</w:t>
      </w:r>
    </w:p>
    <w:p>
      <w:pPr>
        <w:ind w:firstLine="420" w:firstLineChars="200"/>
        <w:rPr>
          <w:rFonts w:ascii="ˎ̥" w:hAnsi="ˎ̥"/>
          <w:szCs w:val="21"/>
        </w:rPr>
      </w:pPr>
      <w:bookmarkStart w:id="109"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pPr>
        <w:ind w:firstLine="422" w:firstLineChars="200"/>
        <w:rPr>
          <w:rFonts w:ascii="宋体" w:hAnsi="宋体"/>
          <w:b/>
          <w:bCs/>
          <w:szCs w:val="21"/>
        </w:rPr>
      </w:pPr>
      <w:r>
        <w:rPr>
          <w:rFonts w:hint="eastAsia" w:ascii="宋体" w:hAnsi="宋体"/>
          <w:b/>
          <w:bCs/>
          <w:szCs w:val="21"/>
        </w:rPr>
        <w:t>37.1.2综合评分法</w:t>
      </w:r>
    </w:p>
    <w:p>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9"/>
      <w:r>
        <w:rPr>
          <w:rFonts w:hint="eastAsia" w:ascii="宋体" w:hAnsi="宋体"/>
          <w:bCs/>
          <w:color w:val="FF0000"/>
          <w:szCs w:val="21"/>
        </w:rPr>
        <w:t xml:space="preserve">  </w:t>
      </w:r>
      <w:r>
        <w:rPr>
          <w:rFonts w:hint="eastAsia" w:ascii="宋体" w:hAnsi="宋体"/>
          <w:bCs/>
          <w:szCs w:val="21"/>
        </w:rPr>
        <w:t xml:space="preserve">                                                                                                                                                                                                                                                                                                                                                                                                                                                                                                                                                                                                                                                                                                                                                                                                                                                                                                                                                                                                                                                                                                                                                                                                                                                                                                                                                                                                                                                                                                                                                                                                                                                                                                                                                                                                                                                                                                                                                                                                                                                                                                                                                                                                                                                                                                                                                                                                                                                                                                                                                                                                                                                                                                                                                                                                                                                                                                                                                                                                                           </w:t>
      </w:r>
    </w:p>
    <w:p>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pPr>
        <w:ind w:firstLine="422" w:firstLineChars="200"/>
        <w:rPr>
          <w:rFonts w:ascii="宋体" w:hAnsi="宋体"/>
          <w:b/>
          <w:bCs/>
          <w:szCs w:val="21"/>
        </w:rPr>
      </w:pPr>
      <w:r>
        <w:rPr>
          <w:rFonts w:hint="eastAsia" w:ascii="宋体" w:hAnsi="宋体"/>
          <w:b/>
          <w:bCs/>
          <w:szCs w:val="21"/>
        </w:rPr>
        <w:t>37.3重新评审的情形</w:t>
      </w:r>
    </w:p>
    <w:p>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pPr>
        <w:ind w:firstLine="420" w:firstLineChars="200"/>
        <w:rPr>
          <w:rFonts w:ascii="宋体" w:hAnsi="宋体" w:cs="宋体"/>
          <w:kern w:val="0"/>
          <w:szCs w:val="21"/>
        </w:rPr>
      </w:pPr>
      <w:r>
        <w:rPr>
          <w:rFonts w:hint="eastAsia" w:ascii="宋体" w:hAnsi="宋体" w:cs="宋体"/>
          <w:kern w:val="0"/>
          <w:szCs w:val="21"/>
        </w:rPr>
        <w:t>37.3.1分值汇总计算错误的；</w:t>
      </w:r>
    </w:p>
    <w:p>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pPr>
        <w:ind w:firstLine="422" w:firstLineChars="200"/>
        <w:rPr>
          <w:rFonts w:ascii="宋体" w:hAnsi="宋体"/>
          <w:b/>
          <w:bCs/>
          <w:szCs w:val="21"/>
        </w:rPr>
      </w:pPr>
      <w:r>
        <w:rPr>
          <w:rFonts w:hint="eastAsia" w:ascii="宋体" w:hAnsi="宋体"/>
          <w:b/>
          <w:bCs/>
          <w:szCs w:val="21"/>
        </w:rPr>
        <w:t xml:space="preserve"> 37.4重新组建评审委员会的情形</w:t>
      </w:r>
    </w:p>
    <w:p>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pPr>
        <w:ind w:firstLine="411" w:firstLineChars="196"/>
        <w:rPr>
          <w:rFonts w:ascii="宋体" w:hAnsi="宋体"/>
          <w:szCs w:val="21"/>
        </w:rPr>
      </w:pPr>
    </w:p>
    <w:p>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pPr>
        <w:ind w:firstLine="420" w:firstLineChars="200"/>
        <w:rPr>
          <w:rFonts w:ascii="黑体" w:hAnsi="宋体" w:eastAsia="黑体"/>
          <w:szCs w:val="21"/>
        </w:rPr>
      </w:pPr>
      <w:r>
        <w:rPr>
          <w:rFonts w:hint="eastAsia" w:ascii="黑体" w:hAnsi="宋体" w:eastAsia="黑体"/>
          <w:szCs w:val="21"/>
        </w:rPr>
        <w:t>38．定标方法</w:t>
      </w:r>
    </w:p>
    <w:p>
      <w:pPr>
        <w:ind w:firstLine="420" w:firstLineChars="200"/>
        <w:rPr>
          <w:rFonts w:ascii="宋体" w:hAnsi="宋体"/>
          <w:szCs w:val="21"/>
        </w:rPr>
      </w:pPr>
      <w:bookmarkStart w:id="110" w:name="_Hlk73782795"/>
      <w:r>
        <w:rPr>
          <w:rFonts w:hint="eastAsia" w:ascii="宋体" w:hAnsi="宋体"/>
          <w:szCs w:val="21"/>
        </w:rPr>
        <w:t>38.1非评定分离项目定标方法</w:t>
      </w:r>
    </w:p>
    <w:p>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11" w:name="_Hlk73821177"/>
      <w:r>
        <w:rPr>
          <w:rFonts w:hint="eastAsia" w:ascii="ˎ̥" w:hAnsi="ˎ̥"/>
          <w:szCs w:val="21"/>
        </w:rPr>
        <w:t>唯一候选中标供应商</w:t>
      </w:r>
      <w:bookmarkEnd w:id="111"/>
      <w:r>
        <w:rPr>
          <w:rFonts w:ascii="ˎ̥" w:hAnsi="ˎ̥"/>
          <w:szCs w:val="21"/>
        </w:rPr>
        <w:t>。</w:t>
      </w:r>
    </w:p>
    <w:p>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pPr>
        <w:ind w:firstLine="420" w:firstLineChars="200"/>
        <w:rPr>
          <w:rFonts w:ascii="宋体" w:hAnsi="宋体"/>
          <w:szCs w:val="21"/>
        </w:rPr>
      </w:pPr>
      <w:r>
        <w:rPr>
          <w:rFonts w:hint="eastAsia" w:ascii="宋体" w:hAnsi="宋体"/>
          <w:szCs w:val="21"/>
        </w:rPr>
        <w:t>38.2评定分离项目定标方法</w:t>
      </w:r>
    </w:p>
    <w:p>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pPr>
        <w:ind w:firstLine="420" w:firstLineChars="200"/>
        <w:rPr>
          <w:szCs w:val="21"/>
        </w:rPr>
      </w:pPr>
      <w:r>
        <w:rPr>
          <w:rFonts w:ascii="宋体" w:hAnsi="宋体"/>
          <w:szCs w:val="21"/>
        </w:rPr>
        <w:t xml:space="preserve">38.2.2 </w:t>
      </w:r>
      <w:bookmarkStart w:id="112"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pPr>
        <w:ind w:firstLine="420" w:firstLineChars="200"/>
        <w:rPr>
          <w:rFonts w:ascii="宋体" w:hAnsi="宋体"/>
          <w:szCs w:val="21"/>
        </w:rPr>
      </w:pPr>
      <w:r>
        <w:rPr>
          <w:rFonts w:hint="eastAsia" w:ascii="宋体" w:hAnsi="宋体"/>
          <w:szCs w:val="21"/>
        </w:rPr>
        <w:t>38.2.3</w:t>
      </w:r>
      <w:bookmarkStart w:id="113"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12"/>
      <w:bookmarkEnd w:id="113"/>
    </w:p>
    <w:p>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pPr>
        <w:ind w:firstLine="420" w:firstLineChars="200"/>
        <w:rPr>
          <w:rFonts w:ascii="宋体" w:hAnsi="宋体"/>
          <w:szCs w:val="21"/>
        </w:rPr>
      </w:pPr>
      <w:r>
        <w:rPr>
          <w:rFonts w:hint="eastAsia" w:ascii="宋体" w:hAnsi="宋体"/>
          <w:szCs w:val="21"/>
        </w:rPr>
        <w:t>说明：采购人及投标供应商应按照上述方法提前做好相关准备。</w:t>
      </w:r>
    </w:p>
    <w:p>
      <w:pPr>
        <w:ind w:firstLine="420" w:firstLineChars="200"/>
        <w:rPr>
          <w:rFonts w:ascii="宋体" w:hAnsi="宋体"/>
          <w:szCs w:val="21"/>
        </w:rPr>
      </w:pPr>
      <w:r>
        <w:rPr>
          <w:rFonts w:hint="eastAsia" w:ascii="宋体" w:hAnsi="宋体"/>
          <w:szCs w:val="21"/>
        </w:rPr>
        <w:t>38.3专用条款另有规定的，按专用条款相关要求定标。</w:t>
      </w:r>
      <w:bookmarkEnd w:id="110"/>
    </w:p>
    <w:p>
      <w:pPr>
        <w:ind w:firstLine="420" w:firstLineChars="200"/>
        <w:rPr>
          <w:rFonts w:ascii="黑体" w:hAnsi="宋体" w:eastAsia="黑体"/>
          <w:szCs w:val="21"/>
        </w:rPr>
      </w:pPr>
      <w:r>
        <w:rPr>
          <w:rFonts w:hint="eastAsia" w:ascii="黑体" w:hAnsi="宋体" w:eastAsia="黑体"/>
          <w:szCs w:val="21"/>
        </w:rPr>
        <w:t>39．编写评审报告</w:t>
      </w:r>
    </w:p>
    <w:p>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ind w:firstLine="420" w:firstLineChars="200"/>
        <w:rPr>
          <w:rFonts w:ascii="黑体" w:hAnsi="宋体" w:eastAsia="黑体"/>
          <w:szCs w:val="21"/>
        </w:rPr>
      </w:pPr>
      <w:r>
        <w:rPr>
          <w:rFonts w:hint="eastAsia" w:ascii="黑体" w:hAnsi="宋体" w:eastAsia="黑体"/>
          <w:szCs w:val="21"/>
        </w:rPr>
        <w:t>40．中标（成交）公告</w:t>
      </w:r>
    </w:p>
    <w:p>
      <w:pPr>
        <w:ind w:firstLine="420" w:firstLineChars="200"/>
        <w:rPr>
          <w:rFonts w:ascii="宋体" w:hAnsi="宋体"/>
          <w:szCs w:val="21"/>
        </w:rPr>
      </w:pPr>
      <w:r>
        <w:rPr>
          <w:rFonts w:hint="eastAsia" w:ascii="宋体" w:hAnsi="宋体"/>
          <w:szCs w:val="21"/>
        </w:rPr>
        <w:t>40.1</w:t>
      </w:r>
      <w:bookmarkStart w:id="114"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14"/>
      <w:bookmarkStart w:id="115"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5"/>
    <w:p>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pPr>
        <w:ind w:firstLine="420" w:firstLineChars="200"/>
        <w:rPr>
          <w:rFonts w:ascii="黑体" w:hAnsi="宋体" w:eastAsia="黑体"/>
          <w:szCs w:val="21"/>
        </w:rPr>
      </w:pPr>
      <w:r>
        <w:rPr>
          <w:rFonts w:hint="eastAsia" w:ascii="黑体" w:hAnsi="宋体" w:eastAsia="黑体"/>
          <w:szCs w:val="21"/>
        </w:rPr>
        <w:t>41．中标通知书</w:t>
      </w:r>
    </w:p>
    <w:p>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6"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6"/>
    </w:p>
    <w:p>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pPr>
        <w:ind w:firstLine="420" w:firstLineChars="200"/>
        <w:rPr>
          <w:rFonts w:ascii="宋体" w:hAnsi="宋体"/>
          <w:szCs w:val="21"/>
        </w:rPr>
      </w:pPr>
      <w:bookmarkStart w:id="117" w:name="_Hlk71407340"/>
      <w:r>
        <w:rPr>
          <w:rFonts w:hint="eastAsia" w:ascii="宋体" w:hAnsi="宋体"/>
          <w:szCs w:val="21"/>
        </w:rPr>
        <w:t>41.3因质疑投诉或其他原因导致项目结果变更或采购终止的，政府集中采购机构有权吊销中标通知书。</w:t>
      </w:r>
    </w:p>
    <w:bookmarkEnd w:id="117"/>
    <w:p>
      <w:pPr>
        <w:ind w:firstLine="411" w:firstLineChars="196"/>
        <w:rPr>
          <w:rFonts w:ascii="宋体" w:hAnsi="宋体"/>
          <w:szCs w:val="21"/>
        </w:rPr>
      </w:pPr>
    </w:p>
    <w:p>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pPr>
        <w:ind w:firstLine="420" w:firstLineChars="200"/>
        <w:rPr>
          <w:rFonts w:ascii="黑体" w:hAnsi="宋体" w:eastAsia="黑体"/>
          <w:szCs w:val="21"/>
        </w:rPr>
      </w:pPr>
      <w:r>
        <w:rPr>
          <w:rFonts w:hint="eastAsia" w:ascii="黑体" w:hAnsi="宋体" w:eastAsia="黑体"/>
          <w:szCs w:val="21"/>
        </w:rPr>
        <w:t>42．公开招标失败的处理</w:t>
      </w:r>
    </w:p>
    <w:p>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pPr>
        <w:ind w:firstLine="411" w:firstLineChars="196"/>
        <w:rPr>
          <w:rFonts w:ascii="宋体" w:hAnsi="宋体"/>
          <w:szCs w:val="21"/>
        </w:rPr>
      </w:pPr>
      <w:r>
        <w:rPr>
          <w:rFonts w:hint="eastAsia" w:ascii="宋体" w:hAnsi="宋体"/>
          <w:szCs w:val="21"/>
        </w:rPr>
        <w:t>42.3重新组织采购有以下两种组织形式：</w:t>
      </w:r>
    </w:p>
    <w:p>
      <w:pPr>
        <w:ind w:firstLine="411" w:firstLineChars="196"/>
        <w:rPr>
          <w:rFonts w:ascii="宋体" w:hAnsi="宋体"/>
        </w:rPr>
      </w:pPr>
      <w:r>
        <w:rPr>
          <w:rFonts w:hint="eastAsia" w:ascii="宋体" w:hAnsi="宋体"/>
        </w:rPr>
        <w:t>（1）由政府集中采购机构重新组织公开招标；</w:t>
      </w:r>
    </w:p>
    <w:p>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pPr>
        <w:ind w:firstLine="420" w:firstLineChars="200"/>
        <w:rPr>
          <w:rFonts w:ascii="宋体" w:hAnsi="宋体"/>
          <w:szCs w:val="21"/>
        </w:rPr>
      </w:pPr>
    </w:p>
    <w:p>
      <w:pPr>
        <w:rPr>
          <w:rFonts w:ascii="黑体" w:hAnsi="宋体" w:eastAsia="黑体"/>
          <w:sz w:val="24"/>
        </w:rPr>
      </w:pPr>
    </w:p>
    <w:p>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8" w:name="_Hlk72439043"/>
      <w:r>
        <w:rPr>
          <w:rFonts w:hint="eastAsia" w:asciiTheme="majorHAnsi" w:hAnsiTheme="majorHAnsi" w:eastAsiaTheme="majorEastAsia" w:cstheme="majorBidi"/>
          <w:b/>
          <w:bCs/>
          <w:sz w:val="28"/>
          <w:szCs w:val="28"/>
        </w:rPr>
        <w:t>合同的授予与备案</w:t>
      </w:r>
      <w:bookmarkEnd w:id="118"/>
    </w:p>
    <w:p>
      <w:pPr>
        <w:ind w:firstLine="420" w:firstLineChars="200"/>
        <w:rPr>
          <w:rFonts w:ascii="黑体" w:hAnsi="宋体" w:eastAsia="黑体"/>
          <w:szCs w:val="21"/>
        </w:rPr>
      </w:pPr>
      <w:bookmarkStart w:id="119" w:name="_Toc100052408"/>
      <w:bookmarkStart w:id="120" w:name="_Toc73518157"/>
      <w:bookmarkStart w:id="121" w:name="_Toc73521674"/>
      <w:bookmarkStart w:id="122" w:name="_Toc73517679"/>
      <w:bookmarkStart w:id="123" w:name="_Toc73521586"/>
      <w:bookmarkStart w:id="124" w:name="_Hlk72439088"/>
      <w:r>
        <w:rPr>
          <w:rFonts w:hint="eastAsia" w:ascii="黑体" w:hAnsi="宋体" w:eastAsia="黑体"/>
          <w:szCs w:val="21"/>
        </w:rPr>
        <w:t>43．合同授予标准</w:t>
      </w:r>
      <w:bookmarkEnd w:id="119"/>
      <w:bookmarkEnd w:id="120"/>
      <w:bookmarkEnd w:id="121"/>
      <w:bookmarkEnd w:id="122"/>
      <w:bookmarkEnd w:id="123"/>
    </w:p>
    <w:p>
      <w:pPr>
        <w:ind w:firstLine="420" w:firstLineChars="200"/>
        <w:rPr>
          <w:rFonts w:ascii="宋体" w:hAnsi="宋体"/>
          <w:szCs w:val="21"/>
        </w:rPr>
      </w:pPr>
      <w:r>
        <w:rPr>
          <w:rFonts w:hint="eastAsia" w:ascii="宋体" w:hAnsi="宋体"/>
          <w:szCs w:val="21"/>
        </w:rPr>
        <w:t>本项目的合同将授予经本招标文件规定评审确定的中标供应商。</w:t>
      </w:r>
    </w:p>
    <w:p>
      <w:pPr>
        <w:ind w:firstLine="420" w:firstLineChars="200"/>
        <w:rPr>
          <w:rFonts w:ascii="黑体" w:hAnsi="宋体" w:eastAsia="黑体"/>
          <w:szCs w:val="21"/>
        </w:rPr>
      </w:pPr>
      <w:bookmarkStart w:id="125" w:name="_Toc73521675"/>
      <w:bookmarkStart w:id="126" w:name="_Toc100052409"/>
      <w:bookmarkStart w:id="127" w:name="_Toc73517680"/>
      <w:bookmarkStart w:id="128" w:name="_Toc73521587"/>
      <w:bookmarkStart w:id="129" w:name="_Toc73518158"/>
      <w:r>
        <w:rPr>
          <w:rFonts w:hint="eastAsia" w:ascii="黑体" w:hAnsi="宋体" w:eastAsia="黑体"/>
          <w:szCs w:val="21"/>
        </w:rPr>
        <w:t>44．</w:t>
      </w:r>
      <w:bookmarkEnd w:id="125"/>
      <w:bookmarkEnd w:id="126"/>
      <w:bookmarkEnd w:id="127"/>
      <w:bookmarkEnd w:id="128"/>
      <w:bookmarkEnd w:id="129"/>
      <w:r>
        <w:rPr>
          <w:rFonts w:hint="eastAsia" w:ascii="黑体" w:hAnsi="宋体" w:eastAsia="黑体"/>
          <w:szCs w:val="21"/>
        </w:rPr>
        <w:t>接受和拒绝任何或所有投标的权力</w:t>
      </w:r>
    </w:p>
    <w:p>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pPr>
        <w:ind w:firstLine="420" w:firstLineChars="200"/>
        <w:rPr>
          <w:rFonts w:ascii="黑体" w:hAnsi="宋体" w:eastAsia="黑体"/>
          <w:szCs w:val="21"/>
        </w:rPr>
      </w:pPr>
      <w:bookmarkStart w:id="130" w:name="_Toc73521589"/>
      <w:bookmarkStart w:id="131" w:name="_Toc100052410"/>
      <w:bookmarkStart w:id="132" w:name="_Toc73518160"/>
      <w:bookmarkStart w:id="133" w:name="_Toc73521677"/>
      <w:bookmarkStart w:id="134" w:name="_Toc73517682"/>
      <w:r>
        <w:rPr>
          <w:rFonts w:hint="eastAsia" w:ascii="黑体" w:hAnsi="宋体" w:eastAsia="黑体"/>
          <w:szCs w:val="21"/>
        </w:rPr>
        <w:t>45．合同的签订</w:t>
      </w:r>
      <w:bookmarkEnd w:id="130"/>
      <w:bookmarkEnd w:id="131"/>
      <w:bookmarkEnd w:id="132"/>
      <w:bookmarkEnd w:id="133"/>
      <w:bookmarkEnd w:id="134"/>
    </w:p>
    <w:p>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pPr>
        <w:ind w:firstLine="420" w:firstLineChars="200"/>
        <w:rPr>
          <w:rFonts w:ascii="黑体" w:hAnsi="宋体" w:eastAsia="黑体"/>
          <w:szCs w:val="21"/>
        </w:rPr>
      </w:pPr>
      <w:bookmarkStart w:id="135" w:name="_Toc100052411"/>
      <w:bookmarkStart w:id="136" w:name="_Toc73518161"/>
      <w:bookmarkStart w:id="137" w:name="_Toc73521678"/>
      <w:bookmarkStart w:id="138" w:name="_Toc73521590"/>
      <w:bookmarkStart w:id="139" w:name="_Toc73517683"/>
      <w:r>
        <w:rPr>
          <w:rFonts w:hint="eastAsia" w:ascii="黑体" w:hAnsi="宋体" w:eastAsia="黑体"/>
          <w:szCs w:val="21"/>
        </w:rPr>
        <w:t>46．履约担保</w:t>
      </w:r>
      <w:bookmarkEnd w:id="135"/>
      <w:bookmarkEnd w:id="136"/>
      <w:bookmarkEnd w:id="137"/>
      <w:bookmarkEnd w:id="138"/>
      <w:bookmarkEnd w:id="139"/>
    </w:p>
    <w:p>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pPr>
        <w:ind w:firstLine="420" w:firstLineChars="200"/>
        <w:rPr>
          <w:rFonts w:ascii="黑体" w:hAnsi="宋体" w:eastAsia="黑体"/>
          <w:szCs w:val="21"/>
        </w:rPr>
      </w:pPr>
      <w:r>
        <w:rPr>
          <w:rFonts w:hint="eastAsia" w:ascii="黑体" w:hAnsi="宋体" w:eastAsia="黑体"/>
          <w:szCs w:val="21"/>
        </w:rPr>
        <w:t>47. 合同备案</w:t>
      </w:r>
    </w:p>
    <w:p>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pPr>
        <w:ind w:firstLine="420" w:firstLineChars="200"/>
        <w:rPr>
          <w:rFonts w:ascii="黑体" w:hAnsi="宋体" w:eastAsia="黑体"/>
          <w:szCs w:val="21"/>
        </w:rPr>
      </w:pPr>
      <w:r>
        <w:rPr>
          <w:rFonts w:hint="eastAsia" w:ascii="黑体" w:hAnsi="宋体" w:eastAsia="黑体"/>
          <w:szCs w:val="21"/>
        </w:rPr>
        <w:t>48. 合同变更</w:t>
      </w:r>
    </w:p>
    <w:p>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pPr>
        <w:ind w:firstLine="420" w:firstLineChars="200"/>
        <w:rPr>
          <w:rFonts w:ascii="黑体" w:hAnsi="宋体" w:eastAsia="黑体"/>
          <w:szCs w:val="21"/>
        </w:rPr>
      </w:pPr>
      <w:r>
        <w:rPr>
          <w:rFonts w:hint="eastAsia" w:ascii="黑体" w:hAnsi="宋体" w:eastAsia="黑体"/>
          <w:szCs w:val="21"/>
        </w:rPr>
        <w:t>49. 项目验收</w:t>
      </w:r>
    </w:p>
    <w:p>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pPr>
        <w:ind w:firstLine="420" w:firstLineChars="200"/>
        <w:rPr>
          <w:rFonts w:ascii="黑体" w:hAnsi="宋体" w:eastAsia="黑体"/>
          <w:szCs w:val="21"/>
        </w:rPr>
      </w:pPr>
      <w:r>
        <w:rPr>
          <w:rFonts w:hint="eastAsia" w:ascii="黑体" w:hAnsi="宋体" w:eastAsia="黑体"/>
          <w:szCs w:val="21"/>
        </w:rPr>
        <w:t>50. 宣传</w:t>
      </w:r>
    </w:p>
    <w:p>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pPr>
        <w:ind w:firstLine="420" w:firstLineChars="200"/>
        <w:rPr>
          <w:rFonts w:ascii="宋体" w:hAnsi="宋体"/>
          <w:szCs w:val="21"/>
        </w:rPr>
      </w:pPr>
      <w:r>
        <w:rPr>
          <w:rFonts w:hint="eastAsia" w:ascii="宋体" w:hAnsi="宋体"/>
          <w:szCs w:val="21"/>
        </w:rPr>
        <w:t>a.名片、宣传册、广告标语等；</w:t>
      </w:r>
    </w:p>
    <w:p>
      <w:pPr>
        <w:ind w:firstLine="420" w:firstLineChars="200"/>
        <w:rPr>
          <w:rFonts w:ascii="宋体" w:hAnsi="宋体"/>
          <w:szCs w:val="21"/>
        </w:rPr>
      </w:pPr>
      <w:r>
        <w:rPr>
          <w:rFonts w:hint="eastAsia" w:ascii="宋体" w:hAnsi="宋体"/>
          <w:szCs w:val="21"/>
        </w:rPr>
        <w:t>b.案例介绍、推广等；</w:t>
      </w:r>
    </w:p>
    <w:p>
      <w:pPr>
        <w:ind w:firstLine="420" w:firstLineChars="200"/>
        <w:rPr>
          <w:rFonts w:ascii="宋体" w:hAnsi="宋体"/>
          <w:szCs w:val="21"/>
        </w:rPr>
      </w:pPr>
      <w:r>
        <w:rPr>
          <w:rFonts w:hint="eastAsia" w:ascii="宋体" w:hAnsi="宋体"/>
          <w:szCs w:val="21"/>
        </w:rPr>
        <w:t>c.工作人员向其他消费群体宣传。</w:t>
      </w:r>
    </w:p>
    <w:p>
      <w:pPr>
        <w:ind w:firstLine="420" w:firstLineChars="200"/>
        <w:rPr>
          <w:rFonts w:ascii="黑体" w:hAnsi="宋体" w:eastAsia="黑体"/>
          <w:szCs w:val="21"/>
        </w:rPr>
      </w:pPr>
      <w:r>
        <w:rPr>
          <w:rFonts w:hint="eastAsia" w:ascii="黑体" w:hAnsi="宋体" w:eastAsia="黑体"/>
          <w:szCs w:val="21"/>
        </w:rPr>
        <w:t>51. 供应商违法责任</w:t>
      </w:r>
    </w:p>
    <w:p>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ind w:firstLine="420" w:firstLineChars="200"/>
        <w:rPr>
          <w:rFonts w:ascii="宋体" w:hAnsi="宋体"/>
          <w:szCs w:val="21"/>
        </w:rPr>
      </w:pPr>
      <w:r>
        <w:rPr>
          <w:rFonts w:hint="eastAsia" w:ascii="宋体" w:hAnsi="宋体"/>
          <w:szCs w:val="21"/>
        </w:rPr>
        <w:t>（1）在采购活动中应当回避而未回避的；</w:t>
      </w:r>
    </w:p>
    <w:p>
      <w:pPr>
        <w:ind w:firstLine="420" w:firstLineChars="200"/>
        <w:rPr>
          <w:rFonts w:ascii="宋体" w:hAnsi="宋体"/>
          <w:szCs w:val="21"/>
        </w:rPr>
      </w:pPr>
      <w:r>
        <w:rPr>
          <w:rFonts w:hint="eastAsia" w:ascii="宋体" w:hAnsi="宋体"/>
          <w:szCs w:val="21"/>
        </w:rPr>
        <w:t>（2）未按本条例规定签订、履行采购合同，造成严重后果的；</w:t>
      </w:r>
    </w:p>
    <w:p>
      <w:pPr>
        <w:ind w:firstLine="420" w:firstLineChars="200"/>
        <w:rPr>
          <w:rFonts w:ascii="宋体" w:hAnsi="宋体"/>
          <w:szCs w:val="21"/>
        </w:rPr>
      </w:pPr>
      <w:r>
        <w:rPr>
          <w:rFonts w:hint="eastAsia" w:ascii="宋体" w:hAnsi="宋体"/>
          <w:szCs w:val="21"/>
        </w:rPr>
        <w:t>（3）隐瞒真实情况，提供虚假资料的；</w:t>
      </w:r>
    </w:p>
    <w:p>
      <w:pPr>
        <w:ind w:firstLine="420" w:firstLineChars="200"/>
        <w:rPr>
          <w:rFonts w:ascii="宋体" w:hAnsi="宋体"/>
          <w:szCs w:val="21"/>
        </w:rPr>
      </w:pPr>
      <w:r>
        <w:rPr>
          <w:rFonts w:hint="eastAsia" w:ascii="宋体" w:hAnsi="宋体"/>
          <w:szCs w:val="21"/>
        </w:rPr>
        <w:t>（4）以非法手段排斥其他供应商参与竞争的；</w:t>
      </w:r>
    </w:p>
    <w:p>
      <w:pPr>
        <w:ind w:firstLine="420" w:firstLineChars="200"/>
        <w:rPr>
          <w:rFonts w:ascii="宋体" w:hAnsi="宋体"/>
          <w:szCs w:val="21"/>
        </w:rPr>
      </w:pPr>
      <w:r>
        <w:rPr>
          <w:rFonts w:hint="eastAsia" w:ascii="宋体" w:hAnsi="宋体"/>
          <w:szCs w:val="21"/>
        </w:rPr>
        <w:t>（5）与其他采购参加人串通投标的；</w:t>
      </w:r>
    </w:p>
    <w:p>
      <w:pPr>
        <w:ind w:firstLine="420" w:firstLineChars="200"/>
        <w:rPr>
          <w:rFonts w:ascii="宋体" w:hAnsi="宋体"/>
          <w:szCs w:val="21"/>
        </w:rPr>
      </w:pPr>
      <w:r>
        <w:rPr>
          <w:rFonts w:hint="eastAsia" w:ascii="宋体" w:hAnsi="宋体"/>
          <w:szCs w:val="21"/>
        </w:rPr>
        <w:t>（6）恶意投诉的；</w:t>
      </w:r>
    </w:p>
    <w:p>
      <w:pPr>
        <w:ind w:firstLine="420" w:firstLineChars="200"/>
        <w:rPr>
          <w:rFonts w:ascii="宋体" w:hAnsi="宋体"/>
          <w:szCs w:val="21"/>
        </w:rPr>
      </w:pPr>
      <w:r>
        <w:rPr>
          <w:rFonts w:hint="eastAsia" w:ascii="宋体" w:hAnsi="宋体"/>
          <w:szCs w:val="21"/>
        </w:rPr>
        <w:t>（7）向采购项目相关人行贿或者提供其他不当利益的；</w:t>
      </w:r>
    </w:p>
    <w:p>
      <w:pPr>
        <w:ind w:firstLine="420" w:firstLineChars="200"/>
        <w:rPr>
          <w:rFonts w:ascii="宋体" w:hAnsi="宋体"/>
          <w:szCs w:val="21"/>
        </w:rPr>
      </w:pPr>
      <w:r>
        <w:rPr>
          <w:rFonts w:hint="eastAsia" w:ascii="宋体" w:hAnsi="宋体"/>
          <w:szCs w:val="21"/>
        </w:rPr>
        <w:t>（8）阻碍、抗拒主管部门监督检查的；</w:t>
      </w:r>
    </w:p>
    <w:p>
      <w:pPr>
        <w:ind w:firstLine="420" w:firstLineChars="200"/>
        <w:rPr>
          <w:rFonts w:ascii="宋体" w:hAnsi="宋体"/>
          <w:szCs w:val="21"/>
        </w:rPr>
      </w:pPr>
      <w:r>
        <w:rPr>
          <w:rFonts w:hint="eastAsia" w:ascii="宋体" w:hAnsi="宋体"/>
          <w:szCs w:val="21"/>
        </w:rPr>
        <w:t>（9）其他违反本条例规定的行为。</w:t>
      </w:r>
    </w:p>
    <w:p>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40" w:name="_Hlk72440769"/>
      <w:r>
        <w:rPr>
          <w:rFonts w:hint="eastAsia" w:ascii="宋体" w:hAnsi="宋体"/>
          <w:szCs w:val="21"/>
        </w:rPr>
        <w:t>政府集中采购机构或采购人不予退还其交纳的谈判保证金，情节严重的，并由主管部门</w:t>
      </w:r>
      <w:bookmarkEnd w:id="140"/>
      <w:r>
        <w:rPr>
          <w:rFonts w:hint="eastAsia" w:ascii="宋体" w:hAnsi="宋体"/>
          <w:szCs w:val="21"/>
        </w:rPr>
        <w:t>记入供应商诚信档案，予以通报：</w:t>
      </w:r>
    </w:p>
    <w:p>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pPr>
        <w:pStyle w:val="8"/>
      </w:pPr>
    </w:p>
    <w:bookmarkEnd w:id="124"/>
    <w:p>
      <w:pPr>
        <w:pStyle w:val="31"/>
        <w:keepNext/>
        <w:keepLines/>
        <w:numPr>
          <w:ilvl w:val="0"/>
          <w:numId w:val="13"/>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pPr>
        <w:ind w:firstLine="420" w:firstLineChars="200"/>
        <w:rPr>
          <w:rFonts w:ascii="黑体" w:hAnsi="宋体" w:eastAsia="黑体"/>
          <w:szCs w:val="21"/>
        </w:rPr>
      </w:pPr>
      <w:r>
        <w:rPr>
          <w:rFonts w:hint="eastAsia" w:ascii="黑体" w:hAnsi="宋体" w:eastAsia="黑体"/>
          <w:szCs w:val="21"/>
        </w:rPr>
        <w:t>52.质疑提出与答复</w:t>
      </w:r>
    </w:p>
    <w:p>
      <w:pPr>
        <w:ind w:firstLine="420" w:firstLineChars="200"/>
        <w:rPr>
          <w:rFonts w:ascii="宋体" w:hAnsi="宋体"/>
          <w:szCs w:val="21"/>
        </w:rPr>
      </w:pPr>
      <w:r>
        <w:rPr>
          <w:rFonts w:hint="eastAsia" w:ascii="宋体" w:hAnsi="宋体"/>
          <w:szCs w:val="21"/>
        </w:rPr>
        <w:t>52.1提出质疑</w:t>
      </w:r>
    </w:p>
    <w:p>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pPr>
        <w:ind w:firstLine="420" w:firstLineChars="200"/>
        <w:rPr>
          <w:rFonts w:ascii="宋体" w:hAnsi="宋体"/>
          <w:szCs w:val="21"/>
        </w:rPr>
      </w:pPr>
      <w:r>
        <w:rPr>
          <w:rFonts w:hint="eastAsia" w:ascii="宋体" w:hAnsi="宋体"/>
          <w:szCs w:val="21"/>
        </w:rPr>
        <w:t>52.2</w:t>
      </w:r>
      <w:r>
        <w:rPr>
          <w:rFonts w:ascii="宋体" w:hAnsi="宋体"/>
          <w:szCs w:val="21"/>
        </w:rPr>
        <w:t>法律依据</w:t>
      </w:r>
    </w:p>
    <w:p>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pPr>
        <w:ind w:firstLine="420" w:firstLineChars="200"/>
        <w:rPr>
          <w:rFonts w:ascii="宋体" w:hAnsi="宋体"/>
          <w:szCs w:val="21"/>
        </w:rPr>
      </w:pPr>
      <w:r>
        <w:rPr>
          <w:rFonts w:hint="eastAsia" w:ascii="宋体" w:hAnsi="宋体"/>
          <w:szCs w:val="21"/>
        </w:rPr>
        <w:t>52.3质疑条件</w:t>
      </w:r>
    </w:p>
    <w:p>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41" w:name="_Hlk75374941"/>
      <w:r>
        <w:rPr>
          <w:rFonts w:hint="eastAsia" w:ascii="宋体" w:hAnsi="宋体"/>
          <w:szCs w:val="21"/>
        </w:rPr>
        <w:t>以联合体形式参与的，质疑应当由组成联合体的所有成员共同提出</w:t>
      </w:r>
      <w:bookmarkEnd w:id="141"/>
      <w:r>
        <w:rPr>
          <w:rFonts w:hint="eastAsia" w:ascii="宋体" w:hAnsi="宋体"/>
          <w:szCs w:val="21"/>
        </w:rPr>
        <w:t>；</w:t>
      </w:r>
    </w:p>
    <w:p>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（1）供应商的名称（或者姓名）、地址、邮编、邮箱、联系人及联系电话；</w:t>
      </w:r>
    </w:p>
    <w:p>
      <w:pPr>
        <w:ind w:firstLine="420" w:firstLineChars="200"/>
        <w:rPr>
          <w:rFonts w:ascii="宋体" w:hAnsi="宋体"/>
          <w:szCs w:val="21"/>
        </w:rPr>
      </w:pPr>
      <w:r>
        <w:rPr>
          <w:rFonts w:hint="eastAsia" w:ascii="宋体" w:hAnsi="宋体"/>
          <w:szCs w:val="21"/>
        </w:rPr>
        <w:t>（2）质疑项目的名称、编号；</w:t>
      </w:r>
    </w:p>
    <w:p>
      <w:pPr>
        <w:ind w:firstLine="420" w:firstLineChars="200"/>
        <w:rPr>
          <w:rFonts w:ascii="宋体" w:hAnsi="宋体"/>
          <w:szCs w:val="21"/>
        </w:rPr>
      </w:pPr>
      <w:r>
        <w:rPr>
          <w:rFonts w:hint="eastAsia" w:ascii="宋体" w:hAnsi="宋体"/>
          <w:szCs w:val="21"/>
        </w:rPr>
        <w:t>（3）具体、明确的质疑对象、质疑事项和质疑请求；</w:t>
      </w:r>
    </w:p>
    <w:p>
      <w:pPr>
        <w:ind w:firstLine="420" w:firstLineChars="200"/>
        <w:rPr>
          <w:rFonts w:ascii="宋体" w:hAnsi="宋体"/>
          <w:szCs w:val="21"/>
        </w:rPr>
      </w:pPr>
      <w:r>
        <w:rPr>
          <w:rFonts w:hint="eastAsia" w:ascii="宋体" w:hAnsi="宋体"/>
          <w:szCs w:val="21"/>
        </w:rPr>
        <w:t>（4）因质疑事项而受损害的权益；</w:t>
      </w:r>
    </w:p>
    <w:p>
      <w:pPr>
        <w:ind w:firstLine="420" w:firstLineChars="200"/>
        <w:rPr>
          <w:rFonts w:ascii="宋体" w:hAnsi="宋体"/>
          <w:szCs w:val="21"/>
        </w:rPr>
      </w:pPr>
      <w:r>
        <w:rPr>
          <w:rFonts w:hint="eastAsia" w:ascii="宋体" w:hAnsi="宋体"/>
          <w:szCs w:val="21"/>
        </w:rPr>
        <w:t>（5）事实依据；</w:t>
      </w:r>
    </w:p>
    <w:p>
      <w:pPr>
        <w:ind w:firstLine="420" w:firstLineChars="200"/>
        <w:rPr>
          <w:rFonts w:ascii="宋体" w:hAnsi="宋体"/>
          <w:szCs w:val="21"/>
        </w:rPr>
      </w:pPr>
      <w:r>
        <w:rPr>
          <w:rFonts w:hint="eastAsia" w:ascii="宋体" w:hAnsi="宋体"/>
          <w:szCs w:val="21"/>
        </w:rPr>
        <w:t>（6）必要的法律依据；</w:t>
      </w:r>
    </w:p>
    <w:p>
      <w:pPr>
        <w:ind w:firstLine="420" w:firstLineChars="200"/>
        <w:rPr>
          <w:rFonts w:ascii="宋体" w:hAnsi="宋体"/>
          <w:szCs w:val="21"/>
        </w:rPr>
      </w:pPr>
      <w:r>
        <w:rPr>
          <w:rFonts w:hint="eastAsia" w:ascii="宋体" w:hAnsi="宋体"/>
          <w:szCs w:val="21"/>
        </w:rPr>
        <w:t>（7）提出质疑的日期。</w:t>
      </w:r>
    </w:p>
    <w:p>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pPr>
        <w:ind w:firstLine="420" w:firstLineChars="200"/>
        <w:rPr>
          <w:rFonts w:ascii="宋体" w:hAnsi="宋体"/>
          <w:szCs w:val="21"/>
        </w:rPr>
      </w:pPr>
      <w:r>
        <w:rPr>
          <w:rFonts w:hint="eastAsia" w:ascii="宋体" w:hAnsi="宋体"/>
          <w:szCs w:val="21"/>
        </w:rPr>
        <w:t>52.4提交</w:t>
      </w:r>
      <w:r>
        <w:rPr>
          <w:rFonts w:ascii="宋体" w:hAnsi="宋体"/>
          <w:szCs w:val="21"/>
        </w:rPr>
        <w:t>材料</w:t>
      </w:r>
    </w:p>
    <w:p>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pPr>
        <w:ind w:firstLine="420" w:firstLineChars="200"/>
        <w:rPr>
          <w:rFonts w:ascii="宋体" w:hAnsi="宋体"/>
          <w:szCs w:val="21"/>
        </w:rPr>
      </w:pPr>
      <w:r>
        <w:rPr>
          <w:rFonts w:hint="eastAsia" w:ascii="宋体" w:hAnsi="宋体"/>
          <w:szCs w:val="21"/>
        </w:rPr>
        <w:t>52.5收文地点</w:t>
      </w:r>
    </w:p>
    <w:p>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pPr>
        <w:ind w:firstLine="420" w:firstLineChars="200"/>
        <w:rPr>
          <w:rFonts w:ascii="宋体" w:hAnsi="宋体"/>
          <w:szCs w:val="21"/>
        </w:rPr>
      </w:pPr>
      <w:r>
        <w:rPr>
          <w:rFonts w:hint="eastAsia" w:ascii="宋体" w:hAnsi="宋体"/>
          <w:szCs w:val="21"/>
        </w:rPr>
        <w:t>供应商提交的质疑存在下列情形之一的，不予受理：</w:t>
      </w:r>
    </w:p>
    <w:p>
      <w:pPr>
        <w:ind w:firstLine="420" w:firstLineChars="200"/>
        <w:rPr>
          <w:rFonts w:ascii="宋体" w:hAnsi="宋体"/>
          <w:szCs w:val="21"/>
        </w:rPr>
      </w:pPr>
      <w:r>
        <w:rPr>
          <w:rFonts w:hint="eastAsia" w:ascii="宋体" w:hAnsi="宋体"/>
          <w:szCs w:val="21"/>
        </w:rPr>
        <w:t>（1）质疑主体不满足要求的；</w:t>
      </w:r>
    </w:p>
    <w:p>
      <w:pPr>
        <w:ind w:firstLine="420" w:firstLineChars="200"/>
        <w:rPr>
          <w:rFonts w:ascii="宋体" w:hAnsi="宋体"/>
          <w:szCs w:val="21"/>
        </w:rPr>
      </w:pPr>
      <w:r>
        <w:rPr>
          <w:rFonts w:hint="eastAsia" w:ascii="宋体" w:hAnsi="宋体"/>
          <w:szCs w:val="21"/>
        </w:rPr>
        <w:t>（2）供应商自身权益未受到损害的；</w:t>
      </w:r>
    </w:p>
    <w:p>
      <w:pPr>
        <w:ind w:firstLine="420" w:firstLineChars="200"/>
        <w:rPr>
          <w:rFonts w:ascii="宋体" w:hAnsi="宋体"/>
          <w:szCs w:val="21"/>
        </w:rPr>
      </w:pPr>
      <w:r>
        <w:rPr>
          <w:rFonts w:hint="eastAsia" w:ascii="宋体" w:hAnsi="宋体"/>
          <w:szCs w:val="21"/>
        </w:rPr>
        <w:t>（3）供应商未在法定质疑期限内提出质疑的；</w:t>
      </w:r>
    </w:p>
    <w:p>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pPr>
        <w:ind w:firstLine="420" w:firstLineChars="200"/>
        <w:rPr>
          <w:rFonts w:ascii="宋体" w:hAnsi="宋体"/>
          <w:szCs w:val="21"/>
        </w:rPr>
      </w:pPr>
      <w:r>
        <w:rPr>
          <w:rFonts w:hint="eastAsia" w:ascii="宋体" w:hAnsi="宋体"/>
          <w:szCs w:val="21"/>
        </w:rPr>
        <w:t>（5）其他不符合受理条件情形的。</w:t>
      </w:r>
    </w:p>
    <w:p>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pPr>
        <w:ind w:firstLine="420" w:firstLineChars="200"/>
        <w:rPr>
          <w:rFonts w:ascii="宋体" w:hAnsi="宋体"/>
          <w:szCs w:val="21"/>
        </w:rPr>
      </w:pPr>
      <w:r>
        <w:rPr>
          <w:rFonts w:hint="eastAsia" w:ascii="宋体" w:hAnsi="宋体"/>
          <w:szCs w:val="21"/>
        </w:rPr>
        <w:t>52.7质疑答复时限</w:t>
      </w:r>
    </w:p>
    <w:p>
      <w:pPr>
        <w:ind w:firstLine="420" w:firstLineChars="200"/>
        <w:rPr>
          <w:rFonts w:ascii="宋体" w:hAnsi="宋体"/>
          <w:szCs w:val="21"/>
        </w:rPr>
      </w:pPr>
      <w:r>
        <w:rPr>
          <w:rFonts w:hint="eastAsia" w:ascii="宋体" w:hAnsi="宋体"/>
          <w:szCs w:val="21"/>
        </w:rPr>
        <w:t>自收文之日起七个工作日内。</w:t>
      </w:r>
    </w:p>
    <w:p>
      <w:pPr>
        <w:ind w:firstLine="420" w:firstLineChars="200"/>
        <w:rPr>
          <w:rFonts w:ascii="宋体" w:hAnsi="宋体"/>
          <w:szCs w:val="21"/>
        </w:rPr>
      </w:pPr>
      <w:r>
        <w:rPr>
          <w:rFonts w:hint="eastAsia" w:ascii="宋体" w:hAnsi="宋体"/>
          <w:szCs w:val="21"/>
        </w:rPr>
        <w:t>52.8争议（投诉）</w:t>
      </w:r>
    </w:p>
    <w:p>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pPr>
        <w:ind w:firstLine="420" w:firstLineChars="200"/>
        <w:rPr>
          <w:rFonts w:ascii="黑体" w:hAnsi="宋体" w:eastAsia="黑体"/>
          <w:szCs w:val="21"/>
        </w:rPr>
      </w:pPr>
      <w:r>
        <w:rPr>
          <w:rFonts w:hint="eastAsia" w:ascii="黑体" w:hAnsi="宋体" w:eastAsia="黑体"/>
          <w:szCs w:val="21"/>
        </w:rPr>
        <w:t>53. 质疑后续处理</w:t>
      </w:r>
    </w:p>
    <w:p>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pPr>
        <w:jc w:val="center"/>
      </w:pPr>
      <w:r>
        <w:t>---- END ----</w:t>
      </w:r>
      <w:bookmarkEnd w:id="87"/>
    </w:p>
    <w:p/>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9A943FE-9A78-413F-B858-92158B6E915F}"/>
  </w:font>
  <w:font w:name="Arial">
    <w:panose1 w:val="020B0604020202020204"/>
    <w:charset w:val="01"/>
    <w:family w:val="swiss"/>
    <w:pitch w:val="default"/>
    <w:sig w:usb0="E0002EFF" w:usb1="C000785B" w:usb2="00000009" w:usb3="00000000" w:csb0="400001FF" w:csb1="FFFF0000"/>
    <w:embedRegular r:id="rId2" w:fontKey="{3874E954-C2D2-4180-B550-E8764C5AC785}"/>
  </w:font>
  <w:font w:name="黑体">
    <w:panose1 w:val="02010609060101010101"/>
    <w:charset w:val="86"/>
    <w:family w:val="auto"/>
    <w:pitch w:val="default"/>
    <w:sig w:usb0="800002BF" w:usb1="38CF7CFA" w:usb2="00000016" w:usb3="00000000" w:csb0="00040001" w:csb1="00000000"/>
    <w:embedRegular r:id="rId3" w:fontKey="{33F3ABA7-38A0-4E1A-A617-F42BF1B7439C}"/>
  </w:font>
  <w:font w:name="Courier New">
    <w:panose1 w:val="02070309020205020404"/>
    <w:charset w:val="01"/>
    <w:family w:val="modern"/>
    <w:pitch w:val="default"/>
    <w:sig w:usb0="E0002EFF" w:usb1="C0007843" w:usb2="00000009" w:usb3="00000000" w:csb0="400001FF" w:csb1="FFFF0000"/>
    <w:embedRegular r:id="rId4" w:fontKey="{A576D274-D16F-4501-932F-77328880F193}"/>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51CA1634-0C75-4C5F-9BB0-2ACFE37A7F9B}"/>
  </w:font>
  <w:font w:name="Cambria">
    <w:panose1 w:val="02040503050406030204"/>
    <w:charset w:val="00"/>
    <w:family w:val="roman"/>
    <w:pitch w:val="default"/>
    <w:sig w:usb0="E00006FF" w:usb1="420024FF" w:usb2="02000000" w:usb3="00000000" w:csb0="2000019F" w:csb1="00000000"/>
    <w:embedRegular r:id="rId6" w:fontKey="{48186712-1944-4FBD-AB41-9426667D6320}"/>
  </w:font>
  <w:font w:name="隶书">
    <w:panose1 w:val="02010509060101010101"/>
    <w:charset w:val="86"/>
    <w:family w:val="modern"/>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embedRegular r:id="rId7" w:fontKey="{9387C0D3-3380-46E8-A383-872E06603371}"/>
  </w:font>
  <w:font w:name="等线">
    <w:panose1 w:val="02010600030101010101"/>
    <w:charset w:val="86"/>
    <w:family w:val="auto"/>
    <w:pitch w:val="default"/>
    <w:sig w:usb0="A00002BF" w:usb1="38CF7CFA" w:usb2="00000016" w:usb3="00000000" w:csb0="0004000F" w:csb1="00000000"/>
    <w:embedRegular r:id="rId8" w:fontKey="{CC0F583B-02AF-47D2-BD7B-C0CDD079A3EC}"/>
  </w:font>
  <w:font w:name="仿宋_GB2312">
    <w:panose1 w:val="02010609030101010101"/>
    <w:charset w:val="86"/>
    <w:family w:val="auto"/>
    <w:pitch w:val="default"/>
    <w:sig w:usb0="00000001" w:usb1="080E0000" w:usb2="00000000" w:usb3="00000000" w:csb0="00040000" w:csb1="00000000"/>
    <w:embedRegular r:id="rId9" w:fontKey="{E165B4D0-9D7C-4465-95B5-EB2ADDA867D8}"/>
  </w:font>
  <w:font w:name="方正仿宋_GBK">
    <w:panose1 w:val="02000000000000000000"/>
    <w:charset w:val="86"/>
    <w:family w:val="auto"/>
    <w:pitch w:val="default"/>
    <w:sig w:usb0="A00002BF" w:usb1="38CF7CFA" w:usb2="00082016" w:usb3="00000000" w:csb0="00040001" w:csb1="00000000"/>
    <w:embedRegular r:id="rId10" w:fontKey="{F46FFBDC-4855-433F-B294-DAD6A8BD202B}"/>
  </w:font>
  <w:font w:name="华文中宋">
    <w:panose1 w:val="02010600040101010101"/>
    <w:charset w:val="86"/>
    <w:family w:val="auto"/>
    <w:pitch w:val="default"/>
    <w:sig w:usb0="00000287" w:usb1="080F0000" w:usb2="00000000" w:usb3="00000000" w:csb0="0004009F" w:csb1="DFD70000"/>
    <w:embedRegular r:id="rId11" w:fontKey="{F526A9C2-51C7-4A04-B1FA-A479910C08C6}"/>
  </w:font>
  <w:font w:name="汉仪书宋二S">
    <w:panose1 w:val="00020600040101010101"/>
    <w:charset w:val="86"/>
    <w:family w:val="auto"/>
    <w:pitch w:val="default"/>
    <w:sig w:usb0="A00002BF" w:usb1="18EF7CFA" w:usb2="00000016" w:usb3="00000000" w:csb0="00040000" w:csb1="00000000"/>
    <w:embedRegular r:id="rId12" w:fontKey="{6F737CE2-26D1-4964-8AE0-05343FD22ABB}"/>
  </w:font>
  <w:font w:name="ˎ̥">
    <w:altName w:val="Times New Roman"/>
    <w:panose1 w:val="00000000000000000000"/>
    <w:charset w:val="00"/>
    <w:family w:val="auto"/>
    <w:pitch w:val="default"/>
    <w:sig w:usb0="00000000" w:usb1="00000000" w:usb2="00000000" w:usb3="00000000" w:csb0="00040001" w:csb1="00000000"/>
    <w:embedRegular r:id="rId13" w:fontKey="{74993CDC-2CA0-4ED4-8BA9-1F8B026C0BDE}"/>
  </w:font>
  <w:font w:name="仿宋">
    <w:panose1 w:val="02010609060101010101"/>
    <w:charset w:val="86"/>
    <w:family w:val="modern"/>
    <w:pitch w:val="default"/>
    <w:sig w:usb0="800002BF" w:usb1="38CF7CFA" w:usb2="00000016" w:usb3="00000000" w:csb0="00040001" w:csb1="00000000"/>
    <w:embedRegular r:id="rId14" w:fontKey="{2E64DC85-B638-49FD-B807-FAD1E2191418}"/>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2"/>
      </w:rPr>
    </w:pPr>
    <w:r>
      <w:t xml:space="preserve">- </w:t>
    </w:r>
    <w:r>
      <w:fldChar w:fldCharType="begin"/>
    </w:r>
    <w:r>
      <w:instrText xml:space="preserve"> PAGE </w:instrText>
    </w:r>
    <w:r>
      <w:fldChar w:fldCharType="separate"/>
    </w:r>
    <w:r>
      <w:t>32</w:t>
    </w:r>
    <w:r>
      <w:fldChar w:fldCharType="end"/>
    </w:r>
    <w:r>
      <w:t xml:space="preserve"> -</w:t>
    </w:r>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2"/>
      </w:rPr>
    </w:pPr>
    <w:r>
      <w:rPr>
        <w:rStyle w:val="22"/>
      </w:rPr>
      <w:fldChar w:fldCharType="begin"/>
    </w:r>
    <w:r>
      <w:rPr>
        <w:rStyle w:val="22"/>
      </w:rPr>
      <w:instrText xml:space="preserve">PAGE  </w:instrText>
    </w:r>
    <w:r>
      <w:rPr>
        <w:rStyle w:val="22"/>
      </w:rPr>
      <w:fldChar w:fldCharType="end"/>
    </w:r>
  </w:p>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pPr>
          <w:pStyle w:val="13"/>
          <w:jc w:val="center"/>
        </w:pPr>
        <w:r>
          <w:fldChar w:fldCharType="begin"/>
        </w:r>
        <w:r>
          <w:instrText xml:space="preserve"> PAGE   \* MERGEFORMAT </w:instrText>
        </w:r>
        <w:r>
          <w:fldChar w:fldCharType="separate"/>
        </w:r>
        <w:r>
          <w:rPr>
            <w:lang w:val="zh-CN"/>
          </w:rPr>
          <w:t>6</w:t>
        </w:r>
        <w:r>
          <w:rPr>
            <w:lang w:val="zh-CN"/>
          </w:rPr>
          <w:fldChar w:fldCharType="end"/>
        </w:r>
      </w:p>
    </w:sdtContent>
  </w:sdt>
  <w:p>
    <w:pPr>
      <w:pStyle w:val="13"/>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E1A1A987"/>
    <w:multiLevelType w:val="singleLevel"/>
    <w:tmpl w:val="E1A1A987"/>
    <w:lvl w:ilvl="0" w:tentative="0">
      <w:start w:val="6"/>
      <w:numFmt w:val="chineseCounting"/>
      <w:suff w:val="nothing"/>
      <w:lvlText w:val="%1、"/>
      <w:lvlJc w:val="left"/>
      <w:rPr>
        <w:rFonts w:hint="eastAsia"/>
      </w:rPr>
    </w:lvl>
  </w:abstractNum>
  <w:abstractNum w:abstractNumId="8">
    <w:nsid w:val="E5C836DA"/>
    <w:multiLevelType w:val="singleLevel"/>
    <w:tmpl w:val="E5C836DA"/>
    <w:lvl w:ilvl="0" w:tentative="0">
      <w:start w:val="2"/>
      <w:numFmt w:val="chineseCounting"/>
      <w:suff w:val="nothing"/>
      <w:lvlText w:val="%1、"/>
      <w:lvlJc w:val="left"/>
      <w:rPr>
        <w:rFonts w:hint="eastAsia"/>
      </w:rPr>
    </w:lvl>
  </w:abstractNum>
  <w:abstractNum w:abstractNumId="9">
    <w:nsid w:val="E94AAA60"/>
    <w:multiLevelType w:val="singleLevel"/>
    <w:tmpl w:val="E94AAA60"/>
    <w:lvl w:ilvl="0" w:tentative="0">
      <w:start w:val="2"/>
      <w:numFmt w:val="decimal"/>
      <w:suff w:val="nothing"/>
      <w:lvlText w:val="%1、"/>
      <w:lvlJc w:val="left"/>
    </w:lvl>
  </w:abstractNum>
  <w:abstractNum w:abstractNumId="10">
    <w:nsid w:val="FFEFC674"/>
    <w:multiLevelType w:val="singleLevel"/>
    <w:tmpl w:val="FFEFC674"/>
    <w:lvl w:ilvl="0" w:tentative="0">
      <w:start w:val="1"/>
      <w:numFmt w:val="decimal"/>
      <w:suff w:val="nothing"/>
      <w:lvlText w:val="（%1）"/>
      <w:lvlJc w:val="left"/>
    </w:lvl>
  </w:abstractNum>
  <w:abstractNum w:abstractNumId="11">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7A0F6431"/>
    <w:multiLevelType w:val="singleLevel"/>
    <w:tmpl w:val="7A0F6431"/>
    <w:lvl w:ilvl="0" w:tentative="0">
      <w:start w:val="1"/>
      <w:numFmt w:val="decimal"/>
      <w:suff w:val="space"/>
      <w:lvlText w:val="%1."/>
      <w:lvlJc w:val="left"/>
    </w:lvl>
  </w:abstractNum>
  <w:num w:numId="1">
    <w:abstractNumId w:val="8"/>
  </w:num>
  <w:num w:numId="2">
    <w:abstractNumId w:val="9"/>
  </w:num>
  <w:num w:numId="3">
    <w:abstractNumId w:val="0"/>
  </w:num>
  <w:num w:numId="4">
    <w:abstractNumId w:val="1"/>
  </w:num>
  <w:num w:numId="5">
    <w:abstractNumId w:val="7"/>
  </w:num>
  <w:num w:numId="6">
    <w:abstractNumId w:val="12"/>
  </w:num>
  <w:num w:numId="7">
    <w:abstractNumId w:val="3"/>
  </w:num>
  <w:num w:numId="8">
    <w:abstractNumId w:val="10"/>
  </w:num>
  <w:num w:numId="9">
    <w:abstractNumId w:val="5"/>
  </w:num>
  <w:num w:numId="10">
    <w:abstractNumId w:val="4"/>
  </w:num>
  <w:num w:numId="11">
    <w:abstractNumId w:val="2"/>
  </w:num>
  <w:num w:numId="12">
    <w:abstractNumId w:val="6"/>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doNotDisplayPageBoundaries w:val="1"/>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GE3ZjU2M2NjZmFlYmQwYTc0ZDZkMjFmM2ExNmI5ZTQ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93255D"/>
    <w:rsid w:val="02E25F12"/>
    <w:rsid w:val="02FC0E89"/>
    <w:rsid w:val="030516AD"/>
    <w:rsid w:val="038A3F97"/>
    <w:rsid w:val="03993BA4"/>
    <w:rsid w:val="03A66B69"/>
    <w:rsid w:val="03E017D2"/>
    <w:rsid w:val="042C4F6C"/>
    <w:rsid w:val="04446205"/>
    <w:rsid w:val="047255F5"/>
    <w:rsid w:val="048C54B6"/>
    <w:rsid w:val="049A4077"/>
    <w:rsid w:val="05130EC4"/>
    <w:rsid w:val="05452235"/>
    <w:rsid w:val="05A21435"/>
    <w:rsid w:val="06127C3D"/>
    <w:rsid w:val="06215480"/>
    <w:rsid w:val="062E1176"/>
    <w:rsid w:val="063E255E"/>
    <w:rsid w:val="065D710A"/>
    <w:rsid w:val="069468A4"/>
    <w:rsid w:val="06D86E6E"/>
    <w:rsid w:val="06E710CA"/>
    <w:rsid w:val="06E94E42"/>
    <w:rsid w:val="07101435"/>
    <w:rsid w:val="072B0FB7"/>
    <w:rsid w:val="07724E37"/>
    <w:rsid w:val="07B37245"/>
    <w:rsid w:val="07EC1177"/>
    <w:rsid w:val="08A54D99"/>
    <w:rsid w:val="08D94F26"/>
    <w:rsid w:val="08E33B14"/>
    <w:rsid w:val="097A64AA"/>
    <w:rsid w:val="09B4074E"/>
    <w:rsid w:val="09B47989"/>
    <w:rsid w:val="09CB6A81"/>
    <w:rsid w:val="0A0106F5"/>
    <w:rsid w:val="0A4426BD"/>
    <w:rsid w:val="0A522CFE"/>
    <w:rsid w:val="0A537E82"/>
    <w:rsid w:val="0A670558"/>
    <w:rsid w:val="0A87085A"/>
    <w:rsid w:val="0B5C3158"/>
    <w:rsid w:val="0B845139"/>
    <w:rsid w:val="0B913B41"/>
    <w:rsid w:val="0BB023D2"/>
    <w:rsid w:val="0BBA5C46"/>
    <w:rsid w:val="0BC027C4"/>
    <w:rsid w:val="0BC750CE"/>
    <w:rsid w:val="0BE16F32"/>
    <w:rsid w:val="0C0C0F57"/>
    <w:rsid w:val="0C204376"/>
    <w:rsid w:val="0C254A1B"/>
    <w:rsid w:val="0C526FE5"/>
    <w:rsid w:val="0C6875C2"/>
    <w:rsid w:val="0C824D94"/>
    <w:rsid w:val="0CA77331"/>
    <w:rsid w:val="0CB16402"/>
    <w:rsid w:val="0CE242A2"/>
    <w:rsid w:val="0CEC0DE7"/>
    <w:rsid w:val="0CEF73A1"/>
    <w:rsid w:val="0D0227BA"/>
    <w:rsid w:val="0D605732"/>
    <w:rsid w:val="0D844388"/>
    <w:rsid w:val="0DEE34CD"/>
    <w:rsid w:val="0E0B7D94"/>
    <w:rsid w:val="0E230C39"/>
    <w:rsid w:val="0E3D4A66"/>
    <w:rsid w:val="0E607F86"/>
    <w:rsid w:val="0E8A0CB9"/>
    <w:rsid w:val="0E9C279A"/>
    <w:rsid w:val="0EB421D9"/>
    <w:rsid w:val="0F142273"/>
    <w:rsid w:val="0F5B4403"/>
    <w:rsid w:val="0F5D008C"/>
    <w:rsid w:val="0FD3114F"/>
    <w:rsid w:val="0FD465CC"/>
    <w:rsid w:val="0FEE5EBF"/>
    <w:rsid w:val="108300B5"/>
    <w:rsid w:val="108654B0"/>
    <w:rsid w:val="108C64EF"/>
    <w:rsid w:val="10942372"/>
    <w:rsid w:val="10BE733F"/>
    <w:rsid w:val="10CA1840"/>
    <w:rsid w:val="10D97CD5"/>
    <w:rsid w:val="10FC5772"/>
    <w:rsid w:val="11093651"/>
    <w:rsid w:val="11662604"/>
    <w:rsid w:val="11796EDC"/>
    <w:rsid w:val="119D5A3B"/>
    <w:rsid w:val="12052E19"/>
    <w:rsid w:val="122D239D"/>
    <w:rsid w:val="12635AA8"/>
    <w:rsid w:val="127840D2"/>
    <w:rsid w:val="12900790"/>
    <w:rsid w:val="12900868"/>
    <w:rsid w:val="134F24D1"/>
    <w:rsid w:val="137F3A0B"/>
    <w:rsid w:val="13AA7707"/>
    <w:rsid w:val="13FF3EF7"/>
    <w:rsid w:val="142976A3"/>
    <w:rsid w:val="144E2788"/>
    <w:rsid w:val="14806439"/>
    <w:rsid w:val="149C1746"/>
    <w:rsid w:val="14E4477F"/>
    <w:rsid w:val="15BD1BCA"/>
    <w:rsid w:val="15C45497"/>
    <w:rsid w:val="16105DC5"/>
    <w:rsid w:val="16730284"/>
    <w:rsid w:val="16753FFC"/>
    <w:rsid w:val="169A5359"/>
    <w:rsid w:val="16B965DF"/>
    <w:rsid w:val="1741793A"/>
    <w:rsid w:val="1743234C"/>
    <w:rsid w:val="17933E49"/>
    <w:rsid w:val="17966F3F"/>
    <w:rsid w:val="179901BE"/>
    <w:rsid w:val="17C24EE1"/>
    <w:rsid w:val="17C27715"/>
    <w:rsid w:val="17C57205"/>
    <w:rsid w:val="17E4768B"/>
    <w:rsid w:val="17FC3BA5"/>
    <w:rsid w:val="182513C0"/>
    <w:rsid w:val="18397E11"/>
    <w:rsid w:val="184B6C59"/>
    <w:rsid w:val="194505FE"/>
    <w:rsid w:val="19635BBC"/>
    <w:rsid w:val="19687E48"/>
    <w:rsid w:val="196B1CEA"/>
    <w:rsid w:val="198E1EAE"/>
    <w:rsid w:val="1A24288D"/>
    <w:rsid w:val="1A620D3B"/>
    <w:rsid w:val="1B1B5294"/>
    <w:rsid w:val="1B356450"/>
    <w:rsid w:val="1B434F04"/>
    <w:rsid w:val="1B9C14FB"/>
    <w:rsid w:val="1BD81C2B"/>
    <w:rsid w:val="1BEB4F4B"/>
    <w:rsid w:val="1BEF4851"/>
    <w:rsid w:val="1BFE3C79"/>
    <w:rsid w:val="1C2C01A7"/>
    <w:rsid w:val="1C4F3541"/>
    <w:rsid w:val="1C584649"/>
    <w:rsid w:val="1C792E22"/>
    <w:rsid w:val="1CB57848"/>
    <w:rsid w:val="1CBF2475"/>
    <w:rsid w:val="1D2D5631"/>
    <w:rsid w:val="1D345E0F"/>
    <w:rsid w:val="1D880AB9"/>
    <w:rsid w:val="1DB9452C"/>
    <w:rsid w:val="1DE33F41"/>
    <w:rsid w:val="1DE71C83"/>
    <w:rsid w:val="1E16332B"/>
    <w:rsid w:val="1E206809"/>
    <w:rsid w:val="1E5A29B0"/>
    <w:rsid w:val="1E71779F"/>
    <w:rsid w:val="1E8A6AB3"/>
    <w:rsid w:val="1EFB3211"/>
    <w:rsid w:val="1F103EA9"/>
    <w:rsid w:val="1F1D7927"/>
    <w:rsid w:val="1F784B5D"/>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9537A4"/>
    <w:rsid w:val="21C36564"/>
    <w:rsid w:val="21DF0EC4"/>
    <w:rsid w:val="225A4837"/>
    <w:rsid w:val="228D0920"/>
    <w:rsid w:val="23290736"/>
    <w:rsid w:val="23362D65"/>
    <w:rsid w:val="236E5E5F"/>
    <w:rsid w:val="2378337E"/>
    <w:rsid w:val="239A32F4"/>
    <w:rsid w:val="23A61C99"/>
    <w:rsid w:val="23C5440E"/>
    <w:rsid w:val="23F30C56"/>
    <w:rsid w:val="24266C7C"/>
    <w:rsid w:val="244A2F6C"/>
    <w:rsid w:val="246A64EC"/>
    <w:rsid w:val="248E0882"/>
    <w:rsid w:val="24AB04CD"/>
    <w:rsid w:val="24B85FE4"/>
    <w:rsid w:val="24D67678"/>
    <w:rsid w:val="252E63EA"/>
    <w:rsid w:val="25493224"/>
    <w:rsid w:val="256533FF"/>
    <w:rsid w:val="25E847EB"/>
    <w:rsid w:val="267047E0"/>
    <w:rsid w:val="270F7B55"/>
    <w:rsid w:val="273B6B9C"/>
    <w:rsid w:val="27427F2B"/>
    <w:rsid w:val="27857F9B"/>
    <w:rsid w:val="2795721C"/>
    <w:rsid w:val="27A641C3"/>
    <w:rsid w:val="27A6670B"/>
    <w:rsid w:val="27C546B8"/>
    <w:rsid w:val="282633A8"/>
    <w:rsid w:val="284461F5"/>
    <w:rsid w:val="286F1880"/>
    <w:rsid w:val="28A10C81"/>
    <w:rsid w:val="28EC2844"/>
    <w:rsid w:val="29114058"/>
    <w:rsid w:val="29745A9F"/>
    <w:rsid w:val="29791BFE"/>
    <w:rsid w:val="29895F6F"/>
    <w:rsid w:val="29995DFC"/>
    <w:rsid w:val="29AC6F9B"/>
    <w:rsid w:val="29B91807"/>
    <w:rsid w:val="29E821D3"/>
    <w:rsid w:val="29F75268"/>
    <w:rsid w:val="2A4F43BB"/>
    <w:rsid w:val="2A930A9D"/>
    <w:rsid w:val="2A967EB2"/>
    <w:rsid w:val="2AD417E1"/>
    <w:rsid w:val="2B065713"/>
    <w:rsid w:val="2B2871E7"/>
    <w:rsid w:val="2BA9299F"/>
    <w:rsid w:val="2BF832AE"/>
    <w:rsid w:val="2BFE65C2"/>
    <w:rsid w:val="2C02412C"/>
    <w:rsid w:val="2C1665B8"/>
    <w:rsid w:val="2C2535BF"/>
    <w:rsid w:val="2C295297"/>
    <w:rsid w:val="2C6E17C2"/>
    <w:rsid w:val="2D7F69DE"/>
    <w:rsid w:val="2DB16F26"/>
    <w:rsid w:val="2DB3388B"/>
    <w:rsid w:val="2DCA6ECC"/>
    <w:rsid w:val="2E815E80"/>
    <w:rsid w:val="2E954277"/>
    <w:rsid w:val="2EDF69A7"/>
    <w:rsid w:val="2F1A79DF"/>
    <w:rsid w:val="2F2A413F"/>
    <w:rsid w:val="2F363171"/>
    <w:rsid w:val="30311375"/>
    <w:rsid w:val="30473F91"/>
    <w:rsid w:val="306058C5"/>
    <w:rsid w:val="30610607"/>
    <w:rsid w:val="30B023A9"/>
    <w:rsid w:val="30C714A1"/>
    <w:rsid w:val="311772A4"/>
    <w:rsid w:val="31B92B8B"/>
    <w:rsid w:val="324D032D"/>
    <w:rsid w:val="3257574A"/>
    <w:rsid w:val="32EC1EA1"/>
    <w:rsid w:val="32FB3683"/>
    <w:rsid w:val="32FD564D"/>
    <w:rsid w:val="3328091C"/>
    <w:rsid w:val="338F3097"/>
    <w:rsid w:val="33A51F6D"/>
    <w:rsid w:val="33C06DA7"/>
    <w:rsid w:val="33F06054"/>
    <w:rsid w:val="342509B8"/>
    <w:rsid w:val="34297F29"/>
    <w:rsid w:val="34AE6BFF"/>
    <w:rsid w:val="34B71AE0"/>
    <w:rsid w:val="34CA3E45"/>
    <w:rsid w:val="34D34153"/>
    <w:rsid w:val="359758E5"/>
    <w:rsid w:val="359D5EEA"/>
    <w:rsid w:val="35BA1D81"/>
    <w:rsid w:val="35D02BA5"/>
    <w:rsid w:val="35E8637E"/>
    <w:rsid w:val="35FC7E3E"/>
    <w:rsid w:val="363C3B17"/>
    <w:rsid w:val="36474247"/>
    <w:rsid w:val="365612FD"/>
    <w:rsid w:val="3677309A"/>
    <w:rsid w:val="36DB53C4"/>
    <w:rsid w:val="36F40B16"/>
    <w:rsid w:val="370C52DF"/>
    <w:rsid w:val="370C5E5F"/>
    <w:rsid w:val="374B6987"/>
    <w:rsid w:val="374D6BA3"/>
    <w:rsid w:val="375A306E"/>
    <w:rsid w:val="37CE1367"/>
    <w:rsid w:val="37D746BF"/>
    <w:rsid w:val="38C84008"/>
    <w:rsid w:val="38CA5FD2"/>
    <w:rsid w:val="38EB0F04"/>
    <w:rsid w:val="39411452"/>
    <w:rsid w:val="39443A4D"/>
    <w:rsid w:val="397B72CC"/>
    <w:rsid w:val="397C49C3"/>
    <w:rsid w:val="39B22FFA"/>
    <w:rsid w:val="39C15930"/>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FA57E4"/>
    <w:rsid w:val="3D0221DE"/>
    <w:rsid w:val="3D1E60DF"/>
    <w:rsid w:val="3DE2791A"/>
    <w:rsid w:val="3E151A9D"/>
    <w:rsid w:val="3E375EB7"/>
    <w:rsid w:val="3E38205E"/>
    <w:rsid w:val="3EA47C68"/>
    <w:rsid w:val="3ED03C16"/>
    <w:rsid w:val="3EEB27FE"/>
    <w:rsid w:val="3F3423F7"/>
    <w:rsid w:val="3F8E1B07"/>
    <w:rsid w:val="40161AFD"/>
    <w:rsid w:val="403326AF"/>
    <w:rsid w:val="40712158"/>
    <w:rsid w:val="408B6047"/>
    <w:rsid w:val="40AF442B"/>
    <w:rsid w:val="40E165AE"/>
    <w:rsid w:val="411C75E7"/>
    <w:rsid w:val="41540B2E"/>
    <w:rsid w:val="415E333C"/>
    <w:rsid w:val="418F600A"/>
    <w:rsid w:val="419A6F57"/>
    <w:rsid w:val="419B5FD1"/>
    <w:rsid w:val="419E1DAA"/>
    <w:rsid w:val="420D5851"/>
    <w:rsid w:val="424B3CDF"/>
    <w:rsid w:val="426D19F0"/>
    <w:rsid w:val="42D31F27"/>
    <w:rsid w:val="42D33CD5"/>
    <w:rsid w:val="42F30F57"/>
    <w:rsid w:val="42FC5208"/>
    <w:rsid w:val="4320516C"/>
    <w:rsid w:val="43341596"/>
    <w:rsid w:val="436F7EA2"/>
    <w:rsid w:val="43860D47"/>
    <w:rsid w:val="43ED0DC6"/>
    <w:rsid w:val="43FB4652"/>
    <w:rsid w:val="43FF1225"/>
    <w:rsid w:val="445F4788"/>
    <w:rsid w:val="44B32884"/>
    <w:rsid w:val="44E73A68"/>
    <w:rsid w:val="45223845"/>
    <w:rsid w:val="45290298"/>
    <w:rsid w:val="45682973"/>
    <w:rsid w:val="45B51211"/>
    <w:rsid w:val="45BD6D52"/>
    <w:rsid w:val="45D75726"/>
    <w:rsid w:val="45EF52CA"/>
    <w:rsid w:val="46276812"/>
    <w:rsid w:val="462A4554"/>
    <w:rsid w:val="46517D32"/>
    <w:rsid w:val="46753001"/>
    <w:rsid w:val="46821C9A"/>
    <w:rsid w:val="46E51A75"/>
    <w:rsid w:val="47762C36"/>
    <w:rsid w:val="477C0DDF"/>
    <w:rsid w:val="47BE41C3"/>
    <w:rsid w:val="47D17F22"/>
    <w:rsid w:val="480212E4"/>
    <w:rsid w:val="482B73A4"/>
    <w:rsid w:val="483E2513"/>
    <w:rsid w:val="48C04CFB"/>
    <w:rsid w:val="48FF5824"/>
    <w:rsid w:val="49266FC3"/>
    <w:rsid w:val="492B03C7"/>
    <w:rsid w:val="493C6A78"/>
    <w:rsid w:val="49425710"/>
    <w:rsid w:val="494E2C0F"/>
    <w:rsid w:val="498E5824"/>
    <w:rsid w:val="49DE053E"/>
    <w:rsid w:val="4A625D30"/>
    <w:rsid w:val="4A767D68"/>
    <w:rsid w:val="4B475260"/>
    <w:rsid w:val="4B4C2876"/>
    <w:rsid w:val="4B9E1324"/>
    <w:rsid w:val="4BBF201F"/>
    <w:rsid w:val="4BCF6F27"/>
    <w:rsid w:val="4BE17463"/>
    <w:rsid w:val="4C30370D"/>
    <w:rsid w:val="4CA26BF2"/>
    <w:rsid w:val="4CEE1E37"/>
    <w:rsid w:val="4CF64AB0"/>
    <w:rsid w:val="4D145F92"/>
    <w:rsid w:val="4D2305C1"/>
    <w:rsid w:val="4D330192"/>
    <w:rsid w:val="4D461C73"/>
    <w:rsid w:val="4E092CA1"/>
    <w:rsid w:val="4E4156DB"/>
    <w:rsid w:val="4E93713A"/>
    <w:rsid w:val="4F1456D4"/>
    <w:rsid w:val="4F9905AE"/>
    <w:rsid w:val="4FC33F25"/>
    <w:rsid w:val="4FD001C7"/>
    <w:rsid w:val="4FFF6109"/>
    <w:rsid w:val="500B71A4"/>
    <w:rsid w:val="502E60F8"/>
    <w:rsid w:val="50334005"/>
    <w:rsid w:val="505E4B9C"/>
    <w:rsid w:val="50A30487"/>
    <w:rsid w:val="50DD1804"/>
    <w:rsid w:val="50FB1449"/>
    <w:rsid w:val="511E264C"/>
    <w:rsid w:val="51A52CE0"/>
    <w:rsid w:val="52195EFA"/>
    <w:rsid w:val="529674E9"/>
    <w:rsid w:val="5300004C"/>
    <w:rsid w:val="535D3873"/>
    <w:rsid w:val="53876B42"/>
    <w:rsid w:val="54153BAB"/>
    <w:rsid w:val="543E18F6"/>
    <w:rsid w:val="546B1FBF"/>
    <w:rsid w:val="54996B2C"/>
    <w:rsid w:val="54D95840"/>
    <w:rsid w:val="54F5352B"/>
    <w:rsid w:val="550A7A2A"/>
    <w:rsid w:val="554A7E27"/>
    <w:rsid w:val="555E1B24"/>
    <w:rsid w:val="556A04C9"/>
    <w:rsid w:val="559E5653"/>
    <w:rsid w:val="55AB3C2F"/>
    <w:rsid w:val="55EC35D4"/>
    <w:rsid w:val="56383CF3"/>
    <w:rsid w:val="56455CD4"/>
    <w:rsid w:val="565C42B5"/>
    <w:rsid w:val="56AE76A6"/>
    <w:rsid w:val="56AF2613"/>
    <w:rsid w:val="56D4209E"/>
    <w:rsid w:val="56DB2C2D"/>
    <w:rsid w:val="56E4418B"/>
    <w:rsid w:val="57064221"/>
    <w:rsid w:val="57470BA7"/>
    <w:rsid w:val="5773022F"/>
    <w:rsid w:val="57770C7B"/>
    <w:rsid w:val="580A1AEF"/>
    <w:rsid w:val="586F74D3"/>
    <w:rsid w:val="58776655"/>
    <w:rsid w:val="58B74216"/>
    <w:rsid w:val="58C16652"/>
    <w:rsid w:val="590752B6"/>
    <w:rsid w:val="591F15CA"/>
    <w:rsid w:val="596D67DA"/>
    <w:rsid w:val="59760D08"/>
    <w:rsid w:val="599E6993"/>
    <w:rsid w:val="59AC5554"/>
    <w:rsid w:val="5A564466"/>
    <w:rsid w:val="5A7D5921"/>
    <w:rsid w:val="5A902780"/>
    <w:rsid w:val="5A9F4737"/>
    <w:rsid w:val="5AAE2C06"/>
    <w:rsid w:val="5AE8436A"/>
    <w:rsid w:val="5AF80325"/>
    <w:rsid w:val="5B6339F0"/>
    <w:rsid w:val="5BF6561B"/>
    <w:rsid w:val="5BFA4C14"/>
    <w:rsid w:val="5C2A6C04"/>
    <w:rsid w:val="5C3543D2"/>
    <w:rsid w:val="5CE36031"/>
    <w:rsid w:val="5D9C1AF9"/>
    <w:rsid w:val="5DB26EB1"/>
    <w:rsid w:val="5DBA559D"/>
    <w:rsid w:val="5DFE3EA4"/>
    <w:rsid w:val="5E465887"/>
    <w:rsid w:val="5E473A9D"/>
    <w:rsid w:val="5E5E5C0A"/>
    <w:rsid w:val="5E8425FB"/>
    <w:rsid w:val="5EE50BC0"/>
    <w:rsid w:val="5F181B76"/>
    <w:rsid w:val="5F463D55"/>
    <w:rsid w:val="5F604FDB"/>
    <w:rsid w:val="5FD4389C"/>
    <w:rsid w:val="5FEC48FC"/>
    <w:rsid w:val="6013374F"/>
    <w:rsid w:val="60545FFD"/>
    <w:rsid w:val="606210AF"/>
    <w:rsid w:val="60B116A2"/>
    <w:rsid w:val="60B42F40"/>
    <w:rsid w:val="60B7767B"/>
    <w:rsid w:val="61696F59"/>
    <w:rsid w:val="61D672CA"/>
    <w:rsid w:val="61E63AF5"/>
    <w:rsid w:val="61ED15A1"/>
    <w:rsid w:val="623E6EA1"/>
    <w:rsid w:val="626A2DAC"/>
    <w:rsid w:val="62784498"/>
    <w:rsid w:val="63293771"/>
    <w:rsid w:val="637C7D45"/>
    <w:rsid w:val="639808F7"/>
    <w:rsid w:val="645F2960"/>
    <w:rsid w:val="64654C7D"/>
    <w:rsid w:val="64B00AAB"/>
    <w:rsid w:val="64BD496D"/>
    <w:rsid w:val="64BE25DF"/>
    <w:rsid w:val="64DB5DF9"/>
    <w:rsid w:val="64F93617"/>
    <w:rsid w:val="655D3BA6"/>
    <w:rsid w:val="65655387"/>
    <w:rsid w:val="656C74F3"/>
    <w:rsid w:val="659A6BA8"/>
    <w:rsid w:val="65FE7BFD"/>
    <w:rsid w:val="668F4A03"/>
    <w:rsid w:val="66EC6F90"/>
    <w:rsid w:val="66F2031E"/>
    <w:rsid w:val="67AA7E58"/>
    <w:rsid w:val="67AB0BF9"/>
    <w:rsid w:val="67EA0511"/>
    <w:rsid w:val="68077DF9"/>
    <w:rsid w:val="68382663"/>
    <w:rsid w:val="686314D3"/>
    <w:rsid w:val="6888718C"/>
    <w:rsid w:val="68A629A9"/>
    <w:rsid w:val="68E5527F"/>
    <w:rsid w:val="69486B88"/>
    <w:rsid w:val="69A578CA"/>
    <w:rsid w:val="69EA0620"/>
    <w:rsid w:val="6A072816"/>
    <w:rsid w:val="6A204BF3"/>
    <w:rsid w:val="6A67567A"/>
    <w:rsid w:val="6A691ED2"/>
    <w:rsid w:val="6A7343B6"/>
    <w:rsid w:val="6AB029CA"/>
    <w:rsid w:val="6AB40090"/>
    <w:rsid w:val="6ADE7537"/>
    <w:rsid w:val="6AE34B4E"/>
    <w:rsid w:val="6AF208ED"/>
    <w:rsid w:val="6B1F6200"/>
    <w:rsid w:val="6B4A3375"/>
    <w:rsid w:val="6B825FC3"/>
    <w:rsid w:val="6B8359E9"/>
    <w:rsid w:val="6C174E18"/>
    <w:rsid w:val="6C613F7C"/>
    <w:rsid w:val="6C806253"/>
    <w:rsid w:val="6CCB5899"/>
    <w:rsid w:val="6CF748E0"/>
    <w:rsid w:val="6D15191A"/>
    <w:rsid w:val="6D7D3037"/>
    <w:rsid w:val="6D934609"/>
    <w:rsid w:val="6DAE50AD"/>
    <w:rsid w:val="6DDA2238"/>
    <w:rsid w:val="6E0E1EE1"/>
    <w:rsid w:val="6E5A21EA"/>
    <w:rsid w:val="6EB8009F"/>
    <w:rsid w:val="6EC72090"/>
    <w:rsid w:val="6F834B73"/>
    <w:rsid w:val="6F857F81"/>
    <w:rsid w:val="6FC62348"/>
    <w:rsid w:val="6FE10E18"/>
    <w:rsid w:val="6FEC14A9"/>
    <w:rsid w:val="6FEC6252"/>
    <w:rsid w:val="702E23C7"/>
    <w:rsid w:val="706B487A"/>
    <w:rsid w:val="70A15EF2"/>
    <w:rsid w:val="70CB230C"/>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D2E7E"/>
    <w:rsid w:val="74A16CBA"/>
    <w:rsid w:val="74B23B2E"/>
    <w:rsid w:val="74CB28DA"/>
    <w:rsid w:val="74D53759"/>
    <w:rsid w:val="74F33BDF"/>
    <w:rsid w:val="752B5D11"/>
    <w:rsid w:val="752C70F1"/>
    <w:rsid w:val="75387844"/>
    <w:rsid w:val="753903C8"/>
    <w:rsid w:val="75A24103"/>
    <w:rsid w:val="75CC2E8E"/>
    <w:rsid w:val="75DC4AB5"/>
    <w:rsid w:val="75EF406B"/>
    <w:rsid w:val="76391AC6"/>
    <w:rsid w:val="765B7C8E"/>
    <w:rsid w:val="76707B96"/>
    <w:rsid w:val="76726D86"/>
    <w:rsid w:val="768D36C7"/>
    <w:rsid w:val="76C3504D"/>
    <w:rsid w:val="770422FE"/>
    <w:rsid w:val="7746449A"/>
    <w:rsid w:val="775546DD"/>
    <w:rsid w:val="778C3E77"/>
    <w:rsid w:val="77E31CE9"/>
    <w:rsid w:val="78376C25"/>
    <w:rsid w:val="78746DE5"/>
    <w:rsid w:val="78A72AF0"/>
    <w:rsid w:val="790F6B0E"/>
    <w:rsid w:val="79134850"/>
    <w:rsid w:val="79200163"/>
    <w:rsid w:val="79261AEA"/>
    <w:rsid w:val="7956473D"/>
    <w:rsid w:val="795F6957"/>
    <w:rsid w:val="798661F3"/>
    <w:rsid w:val="799314ED"/>
    <w:rsid w:val="79EE2C15"/>
    <w:rsid w:val="7AA46F38"/>
    <w:rsid w:val="7B467F1D"/>
    <w:rsid w:val="7BA7772C"/>
    <w:rsid w:val="7C0924C9"/>
    <w:rsid w:val="7C507B69"/>
    <w:rsid w:val="7C711A95"/>
    <w:rsid w:val="7C8C63A8"/>
    <w:rsid w:val="7C8D4919"/>
    <w:rsid w:val="7CBA4FE2"/>
    <w:rsid w:val="7CD24A22"/>
    <w:rsid w:val="7D2F777E"/>
    <w:rsid w:val="7D5F0561"/>
    <w:rsid w:val="7D60202E"/>
    <w:rsid w:val="7D6458CE"/>
    <w:rsid w:val="7D71105E"/>
    <w:rsid w:val="7D8555F0"/>
    <w:rsid w:val="7D916095"/>
    <w:rsid w:val="7DB14637"/>
    <w:rsid w:val="7DC51E91"/>
    <w:rsid w:val="7E141A72"/>
    <w:rsid w:val="7E2E4E8C"/>
    <w:rsid w:val="7E703977"/>
    <w:rsid w:val="7E963DC6"/>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30"/>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6">
    <w:name w:val="heading 2"/>
    <w:basedOn w:val="4"/>
    <w:next w:val="5"/>
    <w:link w:val="33"/>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4">
    <w:name w:val="heading 3"/>
    <w:basedOn w:val="5"/>
    <w:next w:val="1"/>
    <w:qFormat/>
    <w:uiPriority w:val="9"/>
    <w:pPr>
      <w:spacing w:before="260" w:after="260" w:line="240" w:lineRule="auto"/>
      <w:outlineLvl w:val="2"/>
    </w:pPr>
    <w:rPr>
      <w:rFonts w:ascii="宋体" w:hAnsi="宋体" w:eastAsia="宋体"/>
      <w:szCs w:val="32"/>
    </w:rPr>
  </w:style>
  <w:style w:type="paragraph" w:styleId="5">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paragraph" w:styleId="7">
    <w:name w:val="Normal Indent"/>
    <w:basedOn w:val="1"/>
    <w:next w:val="8"/>
    <w:qFormat/>
    <w:uiPriority w:val="0"/>
    <w:pPr>
      <w:ind w:firstLine="420"/>
    </w:pPr>
    <w:rPr>
      <w:szCs w:val="20"/>
    </w:rPr>
  </w:style>
  <w:style w:type="paragraph" w:styleId="8">
    <w:name w:val="Body Text"/>
    <w:basedOn w:val="1"/>
    <w:next w:val="9"/>
    <w:qFormat/>
    <w:uiPriority w:val="0"/>
    <w:pPr>
      <w:spacing w:line="360" w:lineRule="auto"/>
    </w:pPr>
    <w:rPr>
      <w:b/>
      <w:bCs/>
      <w:sz w:val="24"/>
    </w:rPr>
  </w:style>
  <w:style w:type="paragraph" w:styleId="9">
    <w:name w:val="Title"/>
    <w:basedOn w:val="1"/>
    <w:qFormat/>
    <w:uiPriority w:val="0"/>
    <w:pPr>
      <w:spacing w:before="240" w:after="60"/>
      <w:jc w:val="center"/>
      <w:outlineLvl w:val="0"/>
    </w:pPr>
    <w:rPr>
      <w:rFonts w:ascii="Arial" w:hAnsi="Arial" w:eastAsia="隶书" w:cs="Arial"/>
      <w:b/>
      <w:bCs/>
      <w:sz w:val="32"/>
      <w:szCs w:val="32"/>
    </w:rPr>
  </w:style>
  <w:style w:type="paragraph" w:styleId="10">
    <w:name w:val="Document Map"/>
    <w:basedOn w:val="1"/>
    <w:link w:val="32"/>
    <w:semiHidden/>
    <w:unhideWhenUsed/>
    <w:qFormat/>
    <w:uiPriority w:val="99"/>
    <w:rPr>
      <w:rFonts w:ascii="宋体" w:eastAsia="宋体"/>
      <w:sz w:val="18"/>
      <w:szCs w:val="18"/>
    </w:rPr>
  </w:style>
  <w:style w:type="paragraph" w:styleId="11">
    <w:name w:val="annotation text"/>
    <w:basedOn w:val="1"/>
    <w:link w:val="34"/>
    <w:unhideWhenUsed/>
    <w:qFormat/>
    <w:uiPriority w:val="99"/>
    <w:pPr>
      <w:jc w:val="left"/>
    </w:pPr>
  </w:style>
  <w:style w:type="paragraph" w:styleId="12">
    <w:name w:val="Balloon Text"/>
    <w:basedOn w:val="1"/>
    <w:link w:val="28"/>
    <w:semiHidden/>
    <w:unhideWhenUsed/>
    <w:qFormat/>
    <w:uiPriority w:val="99"/>
    <w:rPr>
      <w:sz w:val="18"/>
      <w:szCs w:val="18"/>
    </w:rPr>
  </w:style>
  <w:style w:type="paragraph" w:styleId="13">
    <w:name w:val="footer"/>
    <w:basedOn w:val="1"/>
    <w:link w:val="27"/>
    <w:unhideWhenUsed/>
    <w:qFormat/>
    <w:uiPriority w:val="99"/>
    <w:pPr>
      <w:tabs>
        <w:tab w:val="center" w:pos="4153"/>
        <w:tab w:val="right" w:pos="8306"/>
      </w:tabs>
      <w:snapToGrid w:val="0"/>
      <w:jc w:val="left"/>
    </w:pPr>
    <w:rPr>
      <w:sz w:val="18"/>
      <w:szCs w:val="18"/>
    </w:rPr>
  </w:style>
  <w:style w:type="paragraph" w:styleId="14">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Body Text 2"/>
    <w:basedOn w:val="1"/>
    <w:qFormat/>
    <w:uiPriority w:val="0"/>
    <w:pPr>
      <w:spacing w:line="360" w:lineRule="auto"/>
    </w:pPr>
    <w:rPr>
      <w:sz w:val="24"/>
    </w:rPr>
  </w:style>
  <w:style w:type="paragraph" w:styleId="16">
    <w:name w:val="Normal (Web)"/>
    <w:basedOn w:val="1"/>
    <w:link w:val="29"/>
    <w:qFormat/>
    <w:uiPriority w:val="99"/>
    <w:pPr>
      <w:widowControl/>
      <w:spacing w:before="100" w:beforeAutospacing="1" w:afterAutospacing="1"/>
      <w:jc w:val="left"/>
    </w:pPr>
    <w:rPr>
      <w:rFonts w:ascii="宋体" w:hAnsi="宋体"/>
      <w:sz w:val="24"/>
      <w:szCs w:val="24"/>
    </w:rPr>
  </w:style>
  <w:style w:type="paragraph" w:styleId="17">
    <w:name w:val="annotation subject"/>
    <w:basedOn w:val="11"/>
    <w:next w:val="11"/>
    <w:link w:val="36"/>
    <w:semiHidden/>
    <w:unhideWhenUsed/>
    <w:qFormat/>
    <w:uiPriority w:val="99"/>
    <w:rPr>
      <w:b/>
      <w:bCs/>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qFormat/>
    <w:uiPriority w:val="0"/>
    <w:rPr>
      <w:b/>
      <w:bCs/>
    </w:rPr>
  </w:style>
  <w:style w:type="character" w:styleId="22">
    <w:name w:val="page number"/>
    <w:basedOn w:val="20"/>
    <w:qFormat/>
    <w:uiPriority w:val="0"/>
  </w:style>
  <w:style w:type="character" w:styleId="23">
    <w:name w:val="FollowedHyperlink"/>
    <w:basedOn w:val="20"/>
    <w:semiHidden/>
    <w:unhideWhenUsed/>
    <w:qFormat/>
    <w:uiPriority w:val="99"/>
    <w:rPr>
      <w:color w:val="800080" w:themeColor="followedHyperlink"/>
      <w:u w:val="single"/>
    </w:rPr>
  </w:style>
  <w:style w:type="character" w:styleId="24">
    <w:name w:val="Hyperlink"/>
    <w:basedOn w:val="20"/>
    <w:unhideWhenUsed/>
    <w:qFormat/>
    <w:uiPriority w:val="99"/>
    <w:rPr>
      <w:color w:val="0000FF" w:themeColor="hyperlink"/>
      <w:u w:val="single"/>
    </w:rPr>
  </w:style>
  <w:style w:type="character" w:styleId="25">
    <w:name w:val="annotation reference"/>
    <w:basedOn w:val="20"/>
    <w:semiHidden/>
    <w:unhideWhenUsed/>
    <w:qFormat/>
    <w:uiPriority w:val="99"/>
    <w:rPr>
      <w:sz w:val="21"/>
      <w:szCs w:val="21"/>
    </w:rPr>
  </w:style>
  <w:style w:type="character" w:customStyle="1" w:styleId="26">
    <w:name w:val="页眉 Char"/>
    <w:basedOn w:val="20"/>
    <w:link w:val="14"/>
    <w:semiHidden/>
    <w:qFormat/>
    <w:uiPriority w:val="99"/>
    <w:rPr>
      <w:sz w:val="18"/>
      <w:szCs w:val="18"/>
    </w:rPr>
  </w:style>
  <w:style w:type="character" w:customStyle="1" w:styleId="27">
    <w:name w:val="页脚 Char"/>
    <w:basedOn w:val="20"/>
    <w:link w:val="13"/>
    <w:qFormat/>
    <w:uiPriority w:val="99"/>
    <w:rPr>
      <w:sz w:val="18"/>
      <w:szCs w:val="18"/>
    </w:rPr>
  </w:style>
  <w:style w:type="character" w:customStyle="1" w:styleId="28">
    <w:name w:val="批注框文本 Char"/>
    <w:basedOn w:val="20"/>
    <w:link w:val="12"/>
    <w:semiHidden/>
    <w:qFormat/>
    <w:uiPriority w:val="99"/>
    <w:rPr>
      <w:sz w:val="18"/>
      <w:szCs w:val="18"/>
    </w:rPr>
  </w:style>
  <w:style w:type="character" w:customStyle="1" w:styleId="29">
    <w:name w:val="普通(网站) Char"/>
    <w:link w:val="16"/>
    <w:qFormat/>
    <w:uiPriority w:val="99"/>
    <w:rPr>
      <w:rFonts w:ascii="宋体" w:hAnsi="宋体"/>
      <w:sz w:val="24"/>
      <w:szCs w:val="24"/>
    </w:rPr>
  </w:style>
  <w:style w:type="character" w:customStyle="1" w:styleId="30">
    <w:name w:val="标题 1 Char"/>
    <w:basedOn w:val="20"/>
    <w:link w:val="3"/>
    <w:qFormat/>
    <w:uiPriority w:val="0"/>
    <w:rPr>
      <w:rFonts w:ascii="Arial" w:hAnsi="Arial" w:eastAsia="宋体" w:cs="Times New Roman"/>
      <w:b/>
      <w:bCs/>
      <w:kern w:val="44"/>
      <w:sz w:val="44"/>
      <w:szCs w:val="44"/>
    </w:rPr>
  </w:style>
  <w:style w:type="paragraph" w:styleId="31">
    <w:name w:val="List Paragraph"/>
    <w:basedOn w:val="1"/>
    <w:qFormat/>
    <w:uiPriority w:val="34"/>
    <w:pPr>
      <w:ind w:firstLine="420" w:firstLineChars="200"/>
    </w:pPr>
  </w:style>
  <w:style w:type="character" w:customStyle="1" w:styleId="32">
    <w:name w:val="文档结构图 Char"/>
    <w:basedOn w:val="20"/>
    <w:link w:val="10"/>
    <w:semiHidden/>
    <w:qFormat/>
    <w:uiPriority w:val="99"/>
    <w:rPr>
      <w:rFonts w:ascii="宋体" w:eastAsia="宋体"/>
      <w:sz w:val="18"/>
      <w:szCs w:val="18"/>
    </w:rPr>
  </w:style>
  <w:style w:type="character" w:customStyle="1" w:styleId="33">
    <w:name w:val="标题 2 Char"/>
    <w:basedOn w:val="20"/>
    <w:link w:val="6"/>
    <w:semiHidden/>
    <w:qFormat/>
    <w:uiPriority w:val="9"/>
    <w:rPr>
      <w:rFonts w:asciiTheme="majorHAnsi" w:hAnsiTheme="majorHAnsi" w:eastAsiaTheme="majorEastAsia" w:cstheme="majorBidi"/>
      <w:b/>
      <w:bCs/>
      <w:sz w:val="32"/>
      <w:szCs w:val="32"/>
    </w:rPr>
  </w:style>
  <w:style w:type="character" w:customStyle="1" w:styleId="34">
    <w:name w:val="批注文字 Char"/>
    <w:basedOn w:val="20"/>
    <w:link w:val="11"/>
    <w:qFormat/>
    <w:uiPriority w:val="99"/>
  </w:style>
  <w:style w:type="character" w:customStyle="1" w:styleId="35">
    <w:name w:val="标题 3 Char"/>
    <w:qFormat/>
    <w:uiPriority w:val="0"/>
    <w:rPr>
      <w:rFonts w:ascii="黑体" w:eastAsia="黑体"/>
      <w:bCs/>
      <w:sz w:val="30"/>
    </w:rPr>
  </w:style>
  <w:style w:type="character" w:customStyle="1" w:styleId="36">
    <w:name w:val="批注主题 Char"/>
    <w:basedOn w:val="34"/>
    <w:link w:val="17"/>
    <w:semiHidden/>
    <w:qFormat/>
    <w:uiPriority w:val="99"/>
    <w:rPr>
      <w:b/>
      <w:bCs/>
    </w:rPr>
  </w:style>
  <w:style w:type="table" w:customStyle="1" w:styleId="37">
    <w:name w:val="网格型1"/>
    <w:basedOn w:val="18"/>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8">
    <w:name w:val="font11"/>
    <w:basedOn w:val="20"/>
    <w:qFormat/>
    <w:uiPriority w:val="0"/>
    <w:rPr>
      <w:rFonts w:hint="eastAsia" w:ascii="宋体" w:hAnsi="宋体" w:eastAsia="宋体" w:cs="宋体"/>
      <w:b/>
      <w:bCs/>
      <w:color w:val="000000"/>
      <w:sz w:val="21"/>
      <w:szCs w:val="21"/>
      <w:u w:val="none"/>
    </w:rPr>
  </w:style>
  <w:style w:type="character" w:customStyle="1" w:styleId="39">
    <w:name w:val="font41"/>
    <w:basedOn w:val="20"/>
    <w:qFormat/>
    <w:uiPriority w:val="0"/>
    <w:rPr>
      <w:rFonts w:hint="default" w:ascii="华文楷体" w:hAnsi="华文楷体" w:eastAsia="华文楷体" w:cs="华文楷体"/>
      <w:color w:val="000000"/>
      <w:sz w:val="20"/>
      <w:szCs w:val="20"/>
      <w:u w:val="none"/>
    </w:rPr>
  </w:style>
  <w:style w:type="character" w:customStyle="1" w:styleId="40">
    <w:name w:val="font21"/>
    <w:basedOn w:val="20"/>
    <w:qFormat/>
    <w:uiPriority w:val="0"/>
    <w:rPr>
      <w:rFonts w:hint="eastAsia" w:ascii="宋体" w:hAnsi="宋体" w:eastAsia="宋体" w:cs="宋体"/>
      <w:color w:val="000000"/>
      <w:sz w:val="21"/>
      <w:szCs w:val="21"/>
      <w:u w:val="none"/>
    </w:rPr>
  </w:style>
  <w:style w:type="character" w:customStyle="1" w:styleId="41">
    <w:name w:val="font31"/>
    <w:basedOn w:val="20"/>
    <w:qFormat/>
    <w:uiPriority w:val="0"/>
    <w:rPr>
      <w:rFonts w:hint="eastAsia" w:ascii="宋体" w:hAnsi="宋体" w:eastAsia="宋体" w:cs="宋体"/>
      <w:color w:val="000000"/>
      <w:sz w:val="21"/>
      <w:szCs w:val="21"/>
      <w:u w:val="none"/>
    </w:rPr>
  </w:style>
  <w:style w:type="character" w:customStyle="1" w:styleId="42">
    <w:name w:val="font51"/>
    <w:basedOn w:val="20"/>
    <w:qFormat/>
    <w:uiPriority w:val="0"/>
    <w:rPr>
      <w:rFonts w:hint="eastAsia" w:ascii="宋体" w:hAnsi="宋体" w:eastAsia="宋体" w:cs="宋体"/>
      <w:b/>
      <w:bCs/>
      <w:color w:val="FF0000"/>
      <w:sz w:val="21"/>
      <w:szCs w:val="21"/>
      <w:u w:val="none"/>
    </w:rPr>
  </w:style>
  <w:style w:type="character" w:customStyle="1" w:styleId="43">
    <w:name w:val="font61"/>
    <w:basedOn w:val="20"/>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121</Pages>
  <Words>9526</Words>
  <Characters>10184</Characters>
  <Lines>316</Lines>
  <Paragraphs>88</Paragraphs>
  <TotalTime>4</TotalTime>
  <ScaleCrop>false</ScaleCrop>
  <LinksUpToDate>false</LinksUpToDate>
  <CharactersWithSpaces>10286</CharactersWithSpaces>
  <Application>WPS Office_12.8.2.16927_F1E327BC-269C-435d-A152-05C5408002CA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C</cp:lastModifiedBy>
  <cp:lastPrinted>2021-01-15T01:17:00Z</cp:lastPrinted>
  <dcterms:modified xsi:type="dcterms:W3CDTF">2025-07-04T01:48:59Z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2052-12.8.2.16927</vt:lpwstr>
  </property>
  <property fmtid="{D5CDD505-2E9C-101B-9397-08002B2CF9AE}" pid="3" name="ICV">
    <vt:lpwstr>1D35441E0ED44CDAA276D758760C3890_12</vt:lpwstr>
  </property>
  <property fmtid="{D5CDD505-2E9C-101B-9397-08002B2CF9AE}" pid="4" name="KSOTemplateDocerSaveRecord">
    <vt:lpwstr>eyJoZGlkIjoiNGE3ZjU2M2NjZmFlYmQwYTc0ZDZkMjFmM2ExNmI5ZTQiLCJ1c2VySWQiOiIyMjQxNTg5MDcifQ==</vt:lpwstr>
  </property>
</Properties>
</file>