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zCs w:val="21"/>
        </w:rPr>
      </w:pPr>
      <w:bookmarkStart w:id="0" w:name="_Hlk7145690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pStyle w:val="25"/>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17"/>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pPr>
              <w:rPr>
                <w:sz w:val="30"/>
                <w:szCs w:val="30"/>
              </w:rPr>
            </w:pPr>
            <w:r>
              <w:rPr>
                <w:sz w:val="30"/>
                <w:szCs w:val="30"/>
              </w:rPr>
              <w:t>BAZXCG-2025-00190</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pPr>
              <w:rPr>
                <w:sz w:val="30"/>
                <w:szCs w:val="30"/>
              </w:rPr>
            </w:pPr>
            <w:r>
              <w:rPr>
                <w:rFonts w:hint="eastAsia" w:ascii="宋体" w:hAnsi="宋体" w:eastAsia="宋体" w:cs="宋体"/>
                <w:sz w:val="28"/>
                <w:szCs w:val="28"/>
                <w:lang w:eastAsia="zh-CN"/>
              </w:rPr>
              <w:t>深圳市宝安区机关第二幼儿园（深圳市宝安区新安未来之光幼儿园）班组部门设备</w:t>
            </w:r>
            <w:r>
              <w:rPr>
                <w:rFonts w:hint="eastAsia" w:ascii="宋体" w:hAnsi="宋体" w:eastAsia="宋体" w:cs="宋体"/>
                <w:sz w:val="28"/>
                <w:szCs w:val="28"/>
                <w:lang w:val="en-US" w:eastAsia="zh-CN"/>
              </w:rPr>
              <w:t>采购</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货物类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bookmarkEnd w:id="0"/>
    </w:tbl>
    <w:p>
      <w:pPr>
        <w:pStyle w:val="15"/>
        <w:widowControl/>
        <w:jc w:val="center"/>
        <w:outlineLvl w:val="1"/>
        <w:rPr>
          <w:rFonts w:hint="eastAsia" w:ascii="黑体" w:hAnsi="宋体" w:eastAsia="黑体" w:cs="黑体"/>
          <w:sz w:val="40"/>
          <w:szCs w:val="40"/>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pStyle w:val="15"/>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投标文件电子文档</w:t>
            </w:r>
            <w:r>
              <w:rPr>
                <w:rFonts w:hint="eastAsia"/>
                <w:lang w:val="en-US" w:eastAsia="zh-CN"/>
              </w:rPr>
              <w:t>不得</w:t>
            </w:r>
            <w:r>
              <w:rPr>
                <w:rFonts w:hint="eastAsia"/>
              </w:rPr>
              <w:t>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default" w:eastAsia="宋体"/>
                <w:szCs w:val="21"/>
                <w:lang w:val="en-US" w:eastAsia="zh-CN"/>
              </w:rPr>
            </w:pPr>
            <w:r>
              <w:rPr>
                <w:rFonts w:hint="eastAsia" w:ascii="宋体" w:hAnsi="宋体" w:cs="宋体"/>
                <w:kern w:val="0"/>
                <w:szCs w:val="21"/>
                <w:lang w:val="en-US" w:eastAsia="zh-CN"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15"/>
        <w:widowControl/>
        <w:jc w:val="center"/>
        <w:outlineLvl w:val="1"/>
        <w:rPr>
          <w:rFonts w:hint="eastAsia" w:ascii="黑体" w:hAnsi="宋体" w:eastAsia="黑体" w:cs="黑体"/>
          <w:sz w:val="40"/>
          <w:szCs w:val="40"/>
        </w:rPr>
        <w:sectPr>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63"/>
        <w:gridCol w:w="618"/>
        <w:gridCol w:w="681"/>
        <w:gridCol w:w="2837"/>
        <w:gridCol w:w="681"/>
        <w:gridCol w:w="4198"/>
        <w:gridCol w:w="6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jc w:val="left"/>
              <w:rPr>
                <w:rFonts w:hint="eastAsia" w:ascii="宋体" w:hAnsi="宋体" w:eastAsia="宋体" w:cs="宋体"/>
                <w:b/>
                <w:bCs/>
                <w:sz w:val="24"/>
                <w:szCs w:val="24"/>
              </w:rPr>
            </w:pPr>
            <w:r>
              <w:rPr>
                <w:rFonts w:hint="eastAsia" w:ascii="宋体" w:hAnsi="宋体" w:eastAsia="宋体" w:cs="宋体"/>
                <w:b/>
                <w:bCs/>
                <w:szCs w:val="24"/>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widowControl w:val="0"/>
              <w:spacing w:after="120"/>
              <w:jc w:val="both"/>
              <w:rPr>
                <w:rFonts w:hint="eastAsia" w:ascii="宋体" w:hAnsi="宋体" w:eastAsia="宋体" w:cs="宋体"/>
                <w:kern w:val="2"/>
                <w:sz w:val="21"/>
                <w:szCs w:val="21"/>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ascii="宋体" w:hAnsi="宋体" w:eastAsia="宋体" w:cs="宋体"/>
                <w:sz w:val="21"/>
                <w:szCs w:val="21"/>
                <w:lang w:eastAsia="zh-CN"/>
              </w:rPr>
            </w:pPr>
            <w:r>
              <w:rPr>
                <w:rFonts w:hint="eastAsia" w:ascii="宋体" w:hAnsi="宋体" w:eastAsia="宋体" w:cs="宋体"/>
                <w:sz w:val="21"/>
                <w:szCs w:val="21"/>
              </w:rPr>
              <w:t>综合评分法，是指投标文件满足招标文件全部实质性要求，且按照评审因素的量化指标评审得分最高的投标人为中标候选人的评标方法。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ascii="宋体" w:hAnsi="宋体" w:eastAsia="宋体" w:cs="宋体"/>
                <w:sz w:val="21"/>
                <w:szCs w:val="21"/>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价格分计算方法：</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采用低价优先法计算，即满足招标文件要求且投标价格最低的投标报价为评标基准价，其价格分为满分。其他投标人的价格分统一按照下列公式计算： </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投标报价得分=(评标基准价／投标报价)×100 </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评标总得分＝F1×A1＋F2×A2＋……＋Fn×An </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F1、F2……Fn分别为各项评审因素的得分； </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A1、A2、……An 分别为各项评审因素所占的权重(A1＋A2＋……＋An＝1)。 </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评标过程中，不得去掉报价中的最高报价和最低报价。</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因落实政策进行价格调整的，以调整后的价格计算评标基准价和投标报价。</w:t>
            </w:r>
          </w:p>
          <w:p>
            <w:pPr>
              <w:keepNext w:val="0"/>
              <w:keepLines w:val="0"/>
              <w:pageBreakBefore w:val="0"/>
              <w:widowControl/>
              <w:kinsoku/>
              <w:wordWrap/>
              <w:overflowPunct/>
              <w:topLinePunct w:val="0"/>
              <w:autoSpaceDE/>
              <w:autoSpaceDN/>
              <w:bidi w:val="0"/>
              <w:adjustRightInd/>
              <w:snapToGrid/>
              <w:spacing w:before="100" w:beforeAutospacing="0" w:after="100" w:afterAutospacing="0" w:line="240" w:lineRule="auto"/>
              <w:ind w:left="42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color w:val="FF0000"/>
                <w:kern w:val="0"/>
                <w:sz w:val="21"/>
                <w:szCs w:val="21"/>
                <w:lang w:val="en-US" w:eastAsia="zh-CN" w:bidi="ar"/>
              </w:rPr>
              <w:t>注：投标人的“投标技术响应”“技术要求偏离表中偏离情况”等必须与客观实际保持一致，响应不实且情节严重的，经查实，将依法记入供应商诚信档案或受到行政处罚。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rFonts w:hint="eastAsia" w:ascii="宋体" w:hAnsi="宋体" w:eastAsia="宋体" w:cs="宋体"/>
                <w:b/>
                <w:bCs/>
                <w:sz w:val="24"/>
                <w:szCs w:val="24"/>
              </w:rPr>
            </w:pPr>
            <w:bookmarkStart w:id="2" w:name="_Hlk72360569"/>
            <w:r>
              <w:rPr>
                <w:rFonts w:hint="eastAsia" w:ascii="宋体" w:hAnsi="宋体" w:eastAsia="宋体" w:cs="宋体"/>
                <w:b/>
                <w:bCs/>
                <w:kern w:val="0"/>
                <w:sz w:val="24"/>
                <w:szCs w:val="24"/>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hint="eastAsia"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379" w:hRule="atLeast"/>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59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hint="eastAsia"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pPr>
              <w:jc w:val="center"/>
              <w:rPr>
                <w:rFonts w:hint="eastAsia" w:ascii="宋体" w:hAnsi="宋体" w:eastAsia="宋体" w:cs="宋体"/>
                <w:b/>
                <w:bCs/>
                <w:color w:val="0000FF"/>
                <w:sz w:val="24"/>
                <w:szCs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rPr>
            </w:pPr>
            <w:r>
              <w:rPr>
                <w:rFonts w:hint="eastAsia" w:ascii="宋体" w:hAnsi="宋体" w:eastAsia="宋体" w:cs="宋体"/>
                <w:kern w:val="0"/>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b/>
                <w:kern w:val="2"/>
                <w:sz w:val="21"/>
                <w:szCs w:val="21"/>
                <w:lang w:val="en-US" w:eastAsia="zh-CN" w:bidi="ar-SA"/>
              </w:rPr>
            </w:pPr>
            <w:r>
              <w:rPr>
                <w:rFonts w:hint="eastAsia" w:ascii="宋体" w:hAnsi="宋体" w:eastAsia="宋体" w:cs="宋体"/>
                <w:bCs/>
                <w:szCs w:val="21"/>
              </w:rPr>
              <w:t>“▲”参数响应情况评价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32</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（一）评审内容：</w:t>
            </w:r>
          </w:p>
          <w:p>
            <w:pPr>
              <w:snapToGrid w:val="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考察投标人对招标文件</w:t>
            </w:r>
            <w:r>
              <w:rPr>
                <w:rFonts w:hint="eastAsia" w:ascii="宋体" w:hAnsi="宋体" w:eastAsia="宋体" w:cs="宋体"/>
                <w:b/>
                <w:bCs/>
                <w:color w:val="auto"/>
                <w:kern w:val="0"/>
                <w:szCs w:val="21"/>
                <w:highlight w:val="none"/>
              </w:rPr>
              <w:t>《第一册 专用条款 第三章 用户需求书：</w:t>
            </w:r>
            <w:r>
              <w:rPr>
                <w:rFonts w:hint="eastAsia" w:ascii="宋体" w:hAnsi="宋体" w:eastAsia="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color w:val="auto"/>
                <w:kern w:val="0"/>
                <w:szCs w:val="21"/>
                <w:highlight w:val="none"/>
              </w:rPr>
              <w:t>内容中的</w:t>
            </w:r>
            <w:r>
              <w:rPr>
                <w:rFonts w:hint="eastAsia" w:ascii="宋体" w:hAnsi="宋体" w:eastAsia="宋体" w:cs="宋体"/>
                <w:b/>
                <w:bCs/>
                <w:color w:val="auto"/>
                <w:kern w:val="0"/>
                <w:szCs w:val="21"/>
                <w:highlight w:val="none"/>
              </w:rPr>
              <w:t>“▲”参数响应</w:t>
            </w:r>
            <w:r>
              <w:rPr>
                <w:rFonts w:hint="eastAsia" w:ascii="宋体" w:hAnsi="宋体" w:eastAsia="宋体" w:cs="宋体"/>
                <w:color w:val="auto"/>
                <w:kern w:val="0"/>
                <w:szCs w:val="21"/>
                <w:highlight w:val="none"/>
              </w:rPr>
              <w:t>情况。</w:t>
            </w:r>
          </w:p>
          <w:p>
            <w:pPr>
              <w:snapToGrid w:val="0"/>
              <w:rPr>
                <w:rFonts w:hint="eastAsia" w:ascii="宋体" w:hAnsi="宋体" w:eastAsia="宋体" w:cs="宋体"/>
                <w:color w:val="0000FF"/>
                <w:kern w:val="0"/>
                <w:szCs w:val="21"/>
                <w:highlight w:val="none"/>
                <w:lang w:eastAsia="zh-CN"/>
              </w:rPr>
            </w:pPr>
            <w:r>
              <w:rPr>
                <w:rFonts w:hint="eastAsia" w:ascii="宋体" w:hAnsi="宋体" w:eastAsia="宋体" w:cs="宋体"/>
                <w:color w:val="0000FF"/>
                <w:kern w:val="0"/>
                <w:szCs w:val="21"/>
                <w:highlight w:val="none"/>
              </w:rPr>
              <w:t>（二）评审依据：</w:t>
            </w:r>
          </w:p>
          <w:p>
            <w:pPr>
              <w:snapToGrid w:val="0"/>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以投标文件《技术要求偏离表》为评审依据，完全符合招标要求的，得100分。</w:t>
            </w:r>
            <w:r>
              <w:rPr>
                <w:rFonts w:hint="eastAsia" w:ascii="宋体" w:hAnsi="宋体" w:eastAsia="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1项“▲”参数不符合招标要求（或缺漏）的扣</w:t>
            </w:r>
            <w:r>
              <w:rPr>
                <w:rFonts w:hint="eastAsia" w:ascii="宋体" w:hAnsi="宋体" w:eastAsia="宋体" w:cs="宋体"/>
                <w:color w:val="0000FF"/>
                <w:kern w:val="0"/>
                <w:szCs w:val="21"/>
                <w:highlight w:val="none"/>
                <w:lang w:val="en-US" w:eastAsia="zh-CN"/>
              </w:rPr>
              <w:t>11.12</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非“</w:t>
            </w:r>
            <w:r>
              <w:rPr>
                <w:rFonts w:hint="eastAsia" w:ascii="宋体" w:hAnsi="宋体" w:eastAsia="宋体" w:cs="宋体"/>
                <w:bCs/>
                <w:szCs w:val="21"/>
              </w:rPr>
              <w:t>▲”参数</w:t>
            </w:r>
            <w:r>
              <w:rPr>
                <w:rFonts w:hint="eastAsia" w:ascii="宋体" w:hAnsi="宋体" w:eastAsia="宋体" w:cs="宋体"/>
                <w:szCs w:val="21"/>
              </w:rPr>
              <w:t>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widowControl/>
              <w:suppressLineNumbers w:val="0"/>
              <w:spacing w:before="0" w:beforeAutospacing="0" w:after="0" w:afterAutospacing="0" w:line="300" w:lineRule="exact"/>
              <w:ind w:left="0" w:right="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考察投标人对招标文件</w:t>
            </w:r>
            <w:r>
              <w:rPr>
                <w:rFonts w:hint="eastAsia" w:ascii="宋体" w:hAnsi="宋体" w:eastAsia="宋体" w:cs="宋体"/>
                <w:b/>
                <w:bCs/>
                <w:kern w:val="0"/>
                <w:szCs w:val="21"/>
                <w:highlight w:val="none"/>
              </w:rPr>
              <w:t>《第一册 专用条款 第三章 用户需求书：</w:t>
            </w:r>
            <w:r>
              <w:rPr>
                <w:rFonts w:hint="eastAsia" w:ascii="宋体" w:hAnsi="宋体" w:eastAsia="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、技术要求</w:t>
            </w:r>
            <w:r>
              <w:rPr>
                <w:rFonts w:hint="eastAsia" w:ascii="宋体" w:hAnsi="宋体" w:eastAsia="宋体" w:cs="宋体"/>
                <w:b/>
                <w:bCs/>
                <w:kern w:val="0"/>
                <w:szCs w:val="21"/>
                <w:highlight w:val="none"/>
              </w:rPr>
              <w:t>》</w:t>
            </w:r>
            <w:r>
              <w:rPr>
                <w:rFonts w:hint="eastAsia" w:ascii="宋体" w:hAnsi="宋体" w:eastAsia="宋体" w:cs="宋体"/>
                <w:kern w:val="0"/>
                <w:szCs w:val="21"/>
                <w:highlight w:val="none"/>
              </w:rPr>
              <w:t>内容中的</w:t>
            </w:r>
            <w:r>
              <w:rPr>
                <w:rFonts w:hint="eastAsia" w:ascii="宋体" w:hAnsi="宋体" w:eastAsia="宋体" w:cs="宋体"/>
                <w:b/>
                <w:kern w:val="0"/>
                <w:szCs w:val="21"/>
                <w:highlight w:val="none"/>
              </w:rPr>
              <w:t>非“▲”参数响应</w:t>
            </w:r>
            <w:r>
              <w:rPr>
                <w:rFonts w:hint="eastAsia" w:ascii="宋体" w:hAnsi="宋体" w:eastAsia="宋体" w:cs="宋体"/>
                <w:kern w:val="0"/>
                <w:szCs w:val="21"/>
                <w:highlight w:val="none"/>
              </w:rPr>
              <w:t>情况。</w:t>
            </w:r>
          </w:p>
          <w:p>
            <w:pPr>
              <w:keepNext w:val="0"/>
              <w:keepLines w:val="0"/>
              <w:suppressLineNumbers w:val="0"/>
              <w:spacing w:before="0" w:beforeAutospacing="0" w:after="0" w:afterAutospacing="0" w:line="300" w:lineRule="exact"/>
              <w:ind w:left="0" w:right="0"/>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（二）评审依据：</w:t>
            </w:r>
          </w:p>
          <w:p>
            <w:pPr>
              <w:autoSpaceDE w:val="0"/>
              <w:autoSpaceDN w:val="0"/>
              <w:adjustRightInd w:val="0"/>
              <w:spacing w:line="300" w:lineRule="exact"/>
              <w:jc w:val="left"/>
              <w:rPr>
                <w:rFonts w:hint="eastAsia" w:ascii="宋体" w:hAnsi="宋体" w:eastAsia="宋体" w:cs="宋体"/>
                <w:kern w:val="2"/>
                <w:sz w:val="21"/>
                <w:szCs w:val="21"/>
                <w:lang w:val="en-US" w:eastAsia="zh-CN" w:bidi="ar-SA"/>
              </w:rPr>
            </w:pPr>
            <w:r>
              <w:rPr>
                <w:rFonts w:hint="eastAsia" w:ascii="宋体" w:hAnsi="宋体" w:eastAsia="宋体" w:cs="宋体"/>
                <w:color w:val="0000FF"/>
                <w:kern w:val="0"/>
                <w:szCs w:val="21"/>
                <w:highlight w:val="none"/>
              </w:rPr>
              <w:t>以投标文件《技术</w:t>
            </w:r>
            <w:r>
              <w:rPr>
                <w:rFonts w:hint="eastAsia" w:ascii="宋体" w:hAnsi="宋体" w:eastAsia="宋体" w:cs="宋体"/>
                <w:color w:val="0000FF"/>
                <w:kern w:val="0"/>
                <w:szCs w:val="21"/>
                <w:highlight w:val="none"/>
                <w:lang w:val="en-US" w:eastAsia="zh-CN"/>
              </w:rPr>
              <w:t>要求</w:t>
            </w:r>
            <w:r>
              <w:rPr>
                <w:rFonts w:hint="eastAsia" w:ascii="宋体" w:hAnsi="宋体" w:eastAsia="宋体" w:cs="宋体"/>
                <w:color w:val="0000FF"/>
                <w:kern w:val="0"/>
                <w:szCs w:val="21"/>
                <w:highlight w:val="none"/>
              </w:rPr>
              <w:t>偏离表》为评审依据，完全符合招标要求的，得100分。</w:t>
            </w:r>
            <w:r>
              <w:rPr>
                <w:rFonts w:hint="eastAsia" w:ascii="宋体" w:hAnsi="宋体" w:eastAsia="宋体" w:cs="宋体"/>
                <w:color w:val="0000FF"/>
                <w:kern w:val="0"/>
                <w:szCs w:val="21"/>
                <w:highlight w:val="none"/>
                <w:lang w:val="en-US" w:eastAsia="zh-CN"/>
              </w:rPr>
              <w:t>每</w:t>
            </w:r>
            <w:r>
              <w:rPr>
                <w:rFonts w:hint="eastAsia" w:ascii="宋体" w:hAnsi="宋体" w:eastAsia="宋体" w:cs="宋体"/>
                <w:color w:val="0000FF"/>
                <w:kern w:val="0"/>
                <w:szCs w:val="21"/>
                <w:highlight w:val="none"/>
              </w:rPr>
              <w:t>1项非“▲”参数不符合招标要求（或缺漏）的扣</w:t>
            </w:r>
            <w:r>
              <w:rPr>
                <w:rFonts w:hint="eastAsia" w:ascii="宋体" w:hAnsi="宋体" w:eastAsia="宋体" w:cs="宋体"/>
                <w:color w:val="0000FF"/>
                <w:kern w:val="0"/>
                <w:szCs w:val="21"/>
                <w:highlight w:val="none"/>
                <w:lang w:val="en-US" w:eastAsia="zh-CN"/>
              </w:rPr>
              <w:t>2.5</w:t>
            </w:r>
            <w:r>
              <w:rPr>
                <w:rFonts w:hint="eastAsia" w:ascii="宋体" w:hAnsi="宋体" w:eastAsia="宋体" w:cs="宋体"/>
                <w:color w:val="0000FF"/>
                <w:kern w:val="0"/>
                <w:szCs w:val="21"/>
                <w:highlight w:val="none"/>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rPr>
                <w:rFonts w:hint="eastAsia" w:ascii="宋体" w:hAnsi="宋体" w:eastAsia="宋体" w:cs="宋体"/>
                <w:szCs w:val="24"/>
                <w:lang w:val="en-US" w:eastAsia="zh-CN"/>
              </w:rPr>
            </w:pPr>
            <w:r>
              <w:rPr>
                <w:rFonts w:hint="eastAsia" w:ascii="宋体" w:hAnsi="宋体" w:eastAsia="宋体" w:cs="宋体"/>
                <w:szCs w:val="24"/>
                <w:lang w:val="en-US" w:eastAsia="zh-CN"/>
              </w:rPr>
              <w:t>项目组织实施方案的评价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numPr>
                <w:ilvl w:val="0"/>
                <w:numId w:val="1"/>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评审内容：</w:t>
            </w:r>
          </w:p>
          <w:p>
            <w:pPr>
              <w:numPr>
                <w:ilvl w:val="-1"/>
                <w:numId w:val="0"/>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投标人提供本项目的组织实施方案，方案中应包含：</w:t>
            </w:r>
          </w:p>
          <w:p>
            <w:pPr>
              <w:numPr>
                <w:ilvl w:val="0"/>
                <w:numId w:val="2"/>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项目进度计划安排 </w:t>
            </w:r>
          </w:p>
          <w:p>
            <w:pPr>
              <w:numPr>
                <w:ilvl w:val="0"/>
                <w:numId w:val="2"/>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施工组织计划 </w:t>
            </w:r>
          </w:p>
          <w:p>
            <w:pPr>
              <w:numPr>
                <w:ilvl w:val="0"/>
                <w:numId w:val="2"/>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验收组织计划 </w:t>
            </w:r>
          </w:p>
          <w:p>
            <w:pPr>
              <w:numPr>
                <w:ilvl w:val="0"/>
                <w:numId w:val="2"/>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产品培训方案 </w:t>
            </w:r>
          </w:p>
          <w:p>
            <w:pPr>
              <w:numPr>
                <w:ilvl w:val="0"/>
                <w:numId w:val="1"/>
              </w:numPr>
              <w:bidi w:val="0"/>
              <w:rPr>
                <w:rFonts w:hint="eastAsia" w:ascii="宋体" w:hAnsi="宋体" w:eastAsia="宋体" w:cs="宋体"/>
                <w:color w:val="17365D"/>
                <w:szCs w:val="24"/>
                <w:lang w:val="en-US" w:eastAsia="zh-CN"/>
              </w:rPr>
            </w:pPr>
            <w:r>
              <w:rPr>
                <w:rFonts w:hint="eastAsia" w:ascii="宋体" w:hAnsi="宋体" w:eastAsia="宋体" w:cs="宋体"/>
                <w:color w:val="0000FF"/>
                <w:kern w:val="0"/>
                <w:szCs w:val="21"/>
                <w:highlight w:val="none"/>
                <w:lang w:val="en-US" w:eastAsia="zh-CN"/>
              </w:rPr>
              <w:t>评审标准：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1.方案中含有上述一个内容得15分，最高得60分。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2.在此基础上，对方案的合理性、可行性进行打分：</w:t>
            </w:r>
          </w:p>
          <w:p>
            <w:pPr>
              <w:numPr>
                <w:ilvl w:val="0"/>
                <w:numId w:val="0"/>
              </w:numPr>
              <w:bidi w:val="0"/>
              <w:ind w:left="105" w:leftChars="0"/>
              <w:rPr>
                <w:rFonts w:hint="eastAsia" w:ascii="宋体" w:hAnsi="宋体" w:eastAsia="宋体" w:cs="宋体"/>
                <w:color w:val="17365D"/>
                <w:szCs w:val="24"/>
                <w:lang w:val="en-US" w:eastAsia="zh-CN"/>
              </w:rPr>
            </w:pPr>
            <w:r>
              <w:rPr>
                <w:rFonts w:hint="eastAsia" w:ascii="宋体" w:hAnsi="宋体" w:eastAsia="宋体" w:cs="宋体"/>
                <w:color w:val="0000FF"/>
                <w:kern w:val="0"/>
                <w:szCs w:val="21"/>
                <w:highlight w:val="none"/>
                <w:lang w:val="en-US" w:eastAsia="zh-CN"/>
              </w:rPr>
              <w:t>（1）方案清晰周密、合理可行、表述完整、方法得当、技术先进、符合相关规范要求得40分。</w:t>
            </w:r>
            <w:r>
              <w:rPr>
                <w:rFonts w:hint="eastAsia" w:ascii="宋体" w:hAnsi="宋体" w:eastAsia="宋体" w:cs="宋体"/>
                <w:color w:val="17365D"/>
                <w:szCs w:val="24"/>
                <w:lang w:val="en-US" w:eastAsia="zh-CN"/>
              </w:rPr>
              <w:t xml:space="preserve"> </w:t>
            </w:r>
          </w:p>
          <w:p>
            <w:pPr>
              <w:numPr>
                <w:ilvl w:val="0"/>
                <w:numId w:val="0"/>
              </w:numPr>
              <w:bidi w:val="0"/>
              <w:ind w:left="105" w:leftChars="0"/>
              <w:rPr>
                <w:rFonts w:hint="eastAsia" w:ascii="宋体" w:hAnsi="宋体" w:eastAsia="宋体" w:cs="宋体"/>
                <w:color w:val="17365D"/>
                <w:szCs w:val="24"/>
                <w:lang w:val="en-US" w:eastAsia="zh-CN"/>
              </w:rPr>
            </w:pPr>
            <w:r>
              <w:rPr>
                <w:rFonts w:hint="eastAsia" w:ascii="宋体" w:hAnsi="宋体" w:eastAsia="宋体" w:cs="宋体"/>
                <w:color w:val="0000FF"/>
                <w:kern w:val="0"/>
                <w:szCs w:val="21"/>
                <w:highlight w:val="none"/>
                <w:lang w:val="en-US" w:eastAsia="zh-CN"/>
              </w:rPr>
              <w:t>（2）方案基本可行表述基本完整得20分。</w:t>
            </w:r>
            <w:r>
              <w:rPr>
                <w:rFonts w:hint="eastAsia" w:ascii="宋体" w:hAnsi="宋体" w:eastAsia="宋体" w:cs="宋体"/>
                <w:color w:val="17365D"/>
                <w:szCs w:val="24"/>
                <w:lang w:val="en-US" w:eastAsia="zh-CN"/>
              </w:rPr>
              <w:t xml:space="preserve"> </w:t>
            </w:r>
          </w:p>
          <w:p>
            <w:pPr>
              <w:numPr>
                <w:ilvl w:val="-1"/>
                <w:numId w:val="0"/>
              </w:numPr>
              <w:bidi w:val="0"/>
              <w:ind w:left="105"/>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（3）未提供或方案计划不切合本项目的实际情况、合理完善性差、可行性差的对应项不得分。</w:t>
            </w:r>
            <w:r>
              <w:rPr>
                <w:rFonts w:hint="eastAsia" w:ascii="宋体" w:hAnsi="宋体" w:eastAsia="宋体" w:cs="宋体"/>
                <w:color w:val="17365D"/>
                <w:szCs w:val="24"/>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设计图评价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（一）评审内容： </w:t>
            </w:r>
          </w:p>
          <w:p>
            <w:pPr>
              <w:bidi w:val="0"/>
              <w:rPr>
                <w:rFonts w:hint="eastAsia" w:ascii="宋体" w:hAnsi="宋体" w:eastAsia="宋体" w:cs="宋体"/>
                <w:szCs w:val="24"/>
                <w:lang w:val="en-US" w:eastAsia="zh-CN"/>
              </w:rPr>
            </w:pPr>
            <w:r>
              <w:rPr>
                <w:rFonts w:hint="eastAsia" w:ascii="宋体" w:hAnsi="宋体" w:eastAsia="宋体" w:cs="宋体"/>
                <w:szCs w:val="24"/>
                <w:lang w:val="en-US" w:eastAsia="zh-CN"/>
              </w:rPr>
              <w:t>根据投标人提供的设计方案进行评价：</w:t>
            </w:r>
          </w:p>
          <w:p>
            <w:pPr>
              <w:bidi w:val="0"/>
              <w:rPr>
                <w:rFonts w:hint="eastAsia" w:ascii="宋体" w:hAnsi="宋体" w:eastAsia="宋体" w:cs="宋体"/>
                <w:szCs w:val="24"/>
                <w:lang w:val="en-US" w:eastAsia="zh-CN"/>
              </w:rPr>
            </w:pPr>
            <w:r>
              <w:rPr>
                <w:rFonts w:hint="eastAsia" w:ascii="宋体" w:hAnsi="宋体" w:eastAsia="宋体" w:cs="宋体"/>
                <w:szCs w:val="24"/>
                <w:lang w:val="en-US" w:eastAsia="zh-CN"/>
              </w:rPr>
              <w:t>1、场所平面布置图；</w:t>
            </w:r>
          </w:p>
          <w:p>
            <w:pPr>
              <w:bidi w:val="0"/>
              <w:rPr>
                <w:rFonts w:hint="eastAsia" w:ascii="宋体" w:hAnsi="宋体" w:eastAsia="宋体" w:cs="宋体"/>
                <w:szCs w:val="24"/>
                <w:lang w:val="en-US" w:eastAsia="zh-CN"/>
              </w:rPr>
            </w:pPr>
            <w:r>
              <w:rPr>
                <w:rFonts w:hint="eastAsia" w:ascii="宋体" w:hAnsi="宋体" w:eastAsia="宋体" w:cs="宋体"/>
                <w:szCs w:val="24"/>
                <w:lang w:val="en-US" w:eastAsia="zh-CN"/>
              </w:rPr>
              <w:t>2、场所效果图；</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（二）评审依据：</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 xml:space="preserve">1、满足上述任意一项的得30分，最高得60分。 </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2、在上述基础上，由评审委员会对具体响应内容进一步评审：</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1、内容完整，设计合理、实用性强，图片清晰、整体效果完全符合实际需求的评价为优，得40分；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2、内容完整，设计较为合理、实用性一般，图片清晰、整体效果基本符合实际需求的评价为良，得20分；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3、内容基本完整，设计合理性较差、实用性较差，图片清晰、整体效果不符合实际需求的评价为中，得10分；</w:t>
            </w:r>
          </w:p>
          <w:p>
            <w:pPr>
              <w:autoSpaceDE w:val="0"/>
              <w:autoSpaceDN w:val="0"/>
              <w:adjustRightInd w:val="0"/>
              <w:spacing w:line="300" w:lineRule="exact"/>
              <w:jc w:val="left"/>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4、未按要求提供或提供的材料不能证明相关情况的或提供不清晰导致专家无法判断的不得分。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售后服务评价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7</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numPr>
                <w:ilvl w:val="0"/>
                <w:numId w:val="3"/>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评审内容：</w:t>
            </w:r>
          </w:p>
          <w:p>
            <w:pPr>
              <w:numPr>
                <w:ilvl w:val="0"/>
                <w:numId w:val="0"/>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投标人提供本项目的售后服务方案，方案中应包含：</w:t>
            </w:r>
          </w:p>
          <w:p>
            <w:pPr>
              <w:numPr>
                <w:ilvl w:val="0"/>
                <w:numId w:val="4"/>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服务内容 </w:t>
            </w:r>
          </w:p>
          <w:p>
            <w:pPr>
              <w:numPr>
                <w:ilvl w:val="0"/>
                <w:numId w:val="4"/>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维修应急方案 </w:t>
            </w:r>
          </w:p>
          <w:p>
            <w:pPr>
              <w:numPr>
                <w:ilvl w:val="0"/>
                <w:numId w:val="4"/>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培训计划 </w:t>
            </w:r>
          </w:p>
          <w:p>
            <w:pPr>
              <w:numPr>
                <w:ilvl w:val="0"/>
                <w:numId w:val="4"/>
              </w:numPr>
              <w:bidi w:val="0"/>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其他特色服务等 </w:t>
            </w:r>
          </w:p>
          <w:p>
            <w:pPr>
              <w:numPr>
                <w:ilvl w:val="0"/>
                <w:numId w:val="3"/>
              </w:numPr>
              <w:bidi w:val="0"/>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评审标准：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1.方案中含有上述一个内容得15分，最高得60分。</w:t>
            </w:r>
          </w:p>
          <w:p>
            <w:pPr>
              <w:autoSpaceDE w:val="0"/>
              <w:autoSpaceDN w:val="0"/>
              <w:adjustRightInd w:val="0"/>
              <w:spacing w:line="300" w:lineRule="exact"/>
              <w:jc w:val="left"/>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2.在此基础上，对方案的合理性、可行性进行打分：</w:t>
            </w:r>
          </w:p>
          <w:p>
            <w:pPr>
              <w:numPr>
                <w:ilvl w:val="0"/>
                <w:numId w:val="5"/>
              </w:numPr>
              <w:bidi w:val="0"/>
              <w:ind w:left="105"/>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售后服务方案非常详细，保障措施完善可行，得40分；</w:t>
            </w:r>
            <w:r>
              <w:rPr>
                <w:rFonts w:hint="eastAsia" w:ascii="宋体" w:hAnsi="宋体" w:eastAsia="宋体" w:cs="宋体"/>
                <w:szCs w:val="24"/>
                <w:lang w:val="en-US" w:eastAsia="zh-CN"/>
              </w:rPr>
              <w:t xml:space="preserve"> </w:t>
            </w:r>
          </w:p>
          <w:p>
            <w:pPr>
              <w:numPr>
                <w:ilvl w:val="0"/>
                <w:numId w:val="5"/>
              </w:numPr>
              <w:bidi w:val="0"/>
              <w:ind w:left="105"/>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售后服务方案比较具体，保障措施比较完善可行，能够满足招标文件要求的得20分；</w:t>
            </w:r>
            <w:r>
              <w:rPr>
                <w:rFonts w:hint="eastAsia" w:ascii="宋体" w:hAnsi="宋体" w:eastAsia="宋体" w:cs="宋体"/>
                <w:szCs w:val="24"/>
                <w:lang w:val="en-US" w:eastAsia="zh-CN"/>
              </w:rPr>
              <w:t xml:space="preserve"> </w:t>
            </w:r>
          </w:p>
          <w:p>
            <w:pPr>
              <w:numPr>
                <w:ilvl w:val="-1"/>
                <w:numId w:val="0"/>
              </w:numPr>
              <w:bidi w:val="0"/>
              <w:ind w:left="105"/>
              <w:rPr>
                <w:rFonts w:hint="eastAsia" w:ascii="宋体" w:hAnsi="宋体" w:eastAsia="宋体" w:cs="宋体"/>
                <w:szCs w:val="24"/>
                <w:lang w:val="en-US" w:eastAsia="zh-CN"/>
              </w:rPr>
            </w:pPr>
            <w:r>
              <w:rPr>
                <w:rFonts w:hint="eastAsia" w:ascii="宋体" w:hAnsi="宋体" w:eastAsia="宋体" w:cs="宋体"/>
                <w:szCs w:val="24"/>
                <w:lang w:val="en-US" w:eastAsia="zh-CN"/>
              </w:rPr>
              <w:t>(3)</w:t>
            </w:r>
            <w:r>
              <w:rPr>
                <w:rFonts w:hint="eastAsia" w:ascii="宋体" w:hAnsi="宋体" w:eastAsia="宋体" w:cs="宋体"/>
                <w:color w:val="0000FF"/>
                <w:kern w:val="0"/>
                <w:szCs w:val="21"/>
                <w:highlight w:val="none"/>
                <w:lang w:val="en-US" w:eastAsia="zh-CN"/>
              </w:rPr>
              <w:t>未提供售后服务方案和措施或方案不详细、可行性较差，无法满足招标文件要求的得0分。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 w:val="21"/>
                <w:szCs w:val="21"/>
              </w:rPr>
              <w:t>政府采购节能环保产品</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（一）评审内容：</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w:t>
            </w:r>
          </w:p>
          <w:p>
            <w:pPr>
              <w:keepNext w:val="0"/>
              <w:keepLines w:val="0"/>
              <w:suppressLineNumbers w:val="0"/>
              <w:spacing w:before="0" w:beforeAutospacing="0" w:after="0" w:afterAutospacing="0" w:line="300" w:lineRule="exact"/>
              <w:ind w:left="0" w:right="0"/>
              <w:rPr>
                <w:rFonts w:hint="eastAsia" w:ascii="宋体" w:hAnsi="宋体" w:eastAsia="宋体" w:cs="宋体"/>
                <w:kern w:val="2"/>
                <w:sz w:val="21"/>
                <w:szCs w:val="21"/>
                <w:lang w:val="en-US" w:eastAsia="zh-CN" w:bidi="ar-SA"/>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eastAsia="宋体" w:cs="宋体"/>
                <w:color w:val="0000FF"/>
                <w:szCs w:val="21"/>
              </w:rPr>
            </w:pPr>
            <w:r>
              <w:rPr>
                <w:rFonts w:hint="eastAsia" w:ascii="宋体" w:hAnsi="宋体" w:eastAsia="宋体" w:cs="宋体"/>
                <w:color w:val="0000FF"/>
                <w:kern w:val="0"/>
                <w:szCs w:val="21"/>
                <w:highlight w:val="none"/>
                <w:lang w:val="en-US" w:eastAsia="zh-CN"/>
              </w:rPr>
              <w:t>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7</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 w:val="21"/>
                <w:szCs w:val="21"/>
              </w:rPr>
              <w:t>绿色采购</w:t>
            </w:r>
            <w:r>
              <w:rPr>
                <w:rFonts w:hint="eastAsia" w:ascii="宋体" w:hAnsi="宋体" w:eastAsia="宋体" w:cs="宋体"/>
                <w:sz w:val="21"/>
                <w:szCs w:val="21"/>
                <w:lang w:val="en-US" w:eastAsia="zh-CN"/>
              </w:rPr>
              <w:t>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（一）评审内容：</w:t>
            </w:r>
          </w:p>
          <w:p>
            <w:pPr>
              <w:snapToGrid w:val="0"/>
              <w:ind w:firstLine="420" w:firstLineChars="200"/>
              <w:jc w:val="both"/>
              <w:rPr>
                <w:rFonts w:hint="eastAsia" w:ascii="宋体" w:hAnsi="宋体" w:eastAsia="宋体" w:cs="宋体"/>
                <w:szCs w:val="21"/>
              </w:rPr>
            </w:pPr>
            <w:r>
              <w:rPr>
                <w:rFonts w:hint="eastAsia" w:ascii="宋体" w:hAnsi="宋体" w:eastAsia="宋体" w:cs="宋体"/>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keepNext w:val="0"/>
              <w:keepLines w:val="0"/>
              <w:suppressLineNumbers w:val="0"/>
              <w:spacing w:before="0" w:beforeAutospacing="0" w:after="0" w:afterAutospacing="0" w:line="300" w:lineRule="exact"/>
              <w:ind w:left="0" w:right="0"/>
              <w:rPr>
                <w:rFonts w:hint="eastAsia" w:ascii="宋体" w:hAnsi="宋体" w:eastAsia="宋体" w:cs="宋体"/>
                <w:kern w:val="0"/>
                <w:szCs w:val="21"/>
                <w:highlight w:val="none"/>
              </w:rPr>
            </w:pPr>
            <w:r>
              <w:rPr>
                <w:rFonts w:hint="eastAsia" w:ascii="宋体" w:hAnsi="宋体" w:eastAsia="宋体" w:cs="宋体"/>
                <w:color w:val="0000FF"/>
                <w:szCs w:val="21"/>
                <w:highlight w:val="none"/>
              </w:rPr>
              <w:t>（二）评审依据：</w:t>
            </w:r>
          </w:p>
          <w:p>
            <w:pPr>
              <w:snapToGrid w:val="0"/>
              <w:ind w:firstLine="420" w:firstLineChars="200"/>
              <w:jc w:val="both"/>
              <w:rPr>
                <w:rFonts w:hint="eastAsia" w:ascii="宋体" w:hAnsi="宋体" w:eastAsia="宋体" w:cs="宋体"/>
                <w:color w:val="0000FF"/>
                <w:szCs w:val="21"/>
              </w:rPr>
            </w:pPr>
            <w:r>
              <w:rPr>
                <w:rFonts w:hint="eastAsia" w:ascii="宋体" w:hAnsi="宋体" w:eastAsia="宋体" w:cs="宋体"/>
                <w:color w:val="0000FF"/>
                <w:szCs w:val="21"/>
                <w:highlight w:val="none"/>
              </w:rPr>
              <w:t>投标人提供符合相关要求的承诺函</w:t>
            </w:r>
            <w:r>
              <w:rPr>
                <w:rFonts w:hint="eastAsia" w:ascii="宋体" w:hAnsi="宋体" w:eastAsia="宋体" w:cs="宋体"/>
                <w:color w:val="0000FF"/>
                <w:szCs w:val="21"/>
                <w:highlight w:val="none"/>
                <w:lang w:val="en-US" w:eastAsia="zh-CN"/>
              </w:rPr>
              <w:t>得100分</w:t>
            </w:r>
            <w:r>
              <w:rPr>
                <w:rFonts w:hint="eastAsia" w:ascii="宋体" w:hAnsi="宋体" w:eastAsia="宋体" w:cs="宋体"/>
                <w:color w:val="0000FF"/>
                <w:szCs w:val="21"/>
                <w:highlight w:val="none"/>
              </w:rPr>
              <w:t>（格式自定，</w:t>
            </w:r>
            <w:r>
              <w:rPr>
                <w:rFonts w:hint="eastAsia" w:ascii="宋体" w:hAnsi="宋体" w:eastAsia="宋体" w:cs="宋体"/>
                <w:color w:val="0000FF"/>
                <w:szCs w:val="21"/>
                <w:highlight w:val="none"/>
                <w:lang w:val="en-US" w:eastAsia="zh-CN"/>
              </w:rPr>
              <w:t>应在《自行采购投标及履约承诺函》外另起承诺函）可视为符合规定，</w:t>
            </w:r>
            <w:r>
              <w:rPr>
                <w:rFonts w:hint="eastAsia" w:ascii="宋体" w:hAnsi="宋体" w:eastAsia="宋体" w:cs="宋体"/>
                <w:color w:val="0000FF"/>
                <w:szCs w:val="21"/>
                <w:highlight w:val="none"/>
              </w:rPr>
              <w:t>无需提供检测报告、认证报告。未提供或不符合的不得分。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lang w:eastAsia="zh-CN"/>
              </w:rPr>
            </w:pPr>
            <w:r>
              <w:rPr>
                <w:rFonts w:hint="eastAsia" w:ascii="宋体" w:hAnsi="宋体" w:eastAsia="宋体" w:cs="宋体"/>
                <w:b/>
                <w:bCs/>
                <w:color w:val="0000FF"/>
                <w:kern w:val="0"/>
                <w:sz w:val="24"/>
                <w:szCs w:val="24"/>
                <w:lang w:val="en-US" w:eastAsia="zh-CN"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综合实力</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jc w:val="center"/>
              <w:rPr>
                <w:rFonts w:hint="eastAsia"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pPr>
              <w:jc w:val="center"/>
              <w:rPr>
                <w:rFonts w:hint="eastAsia" w:ascii="宋体" w:hAnsi="宋体" w:eastAsia="宋体" w:cs="宋体"/>
                <w:b/>
                <w:bCs/>
                <w:color w:val="0000FF"/>
                <w:sz w:val="24"/>
                <w:szCs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经验评价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宋体" w:hAnsi="宋体" w:eastAsia="宋体" w:cs="宋体"/>
                <w:szCs w:val="24"/>
                <w:lang w:val="en-US" w:eastAsia="zh-CN"/>
              </w:rPr>
            </w:pPr>
            <w:r>
              <w:rPr>
                <w:rFonts w:hint="eastAsia" w:ascii="宋体" w:hAnsi="宋体" w:eastAsia="宋体" w:cs="宋体"/>
                <w:szCs w:val="24"/>
                <w:lang w:val="en-US" w:eastAsia="zh-CN"/>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rPr>
                <w:rFonts w:hint="eastAsia" w:ascii="宋体" w:hAnsi="宋体" w:eastAsia="宋体" w:cs="宋体"/>
                <w:szCs w:val="24"/>
              </w:rPr>
            </w:pPr>
            <w:r>
              <w:rPr>
                <w:rFonts w:hint="eastAsia" w:ascii="宋体" w:hAnsi="宋体" w:eastAsia="宋体" w:cs="宋体"/>
                <w:kern w:val="0"/>
                <w:szCs w:val="21"/>
                <w:highlight w:val="none"/>
              </w:rPr>
              <w:t>（一）评审内容：</w:t>
            </w:r>
          </w:p>
          <w:p>
            <w:pPr>
              <w:bidi w:val="0"/>
              <w:rPr>
                <w:rFonts w:hint="eastAsia" w:ascii="宋体" w:hAnsi="宋体" w:eastAsia="宋体" w:cs="宋体"/>
                <w:szCs w:val="24"/>
                <w:lang w:val="en-US" w:eastAsia="zh-CN"/>
              </w:rPr>
            </w:pPr>
            <w:r>
              <w:rPr>
                <w:rFonts w:hint="eastAsia" w:ascii="宋体" w:hAnsi="宋体" w:eastAsia="宋体" w:cs="宋体"/>
                <w:szCs w:val="24"/>
              </w:rPr>
              <w:t>202</w:t>
            </w:r>
            <w:r>
              <w:rPr>
                <w:rFonts w:hint="eastAsia" w:ascii="宋体" w:hAnsi="宋体" w:eastAsia="宋体" w:cs="宋体"/>
                <w:szCs w:val="24"/>
                <w:lang w:val="en-US" w:eastAsia="zh-CN"/>
              </w:rPr>
              <w:t>2</w:t>
            </w:r>
            <w:r>
              <w:rPr>
                <w:rFonts w:hint="eastAsia" w:ascii="宋体" w:hAnsi="宋体" w:eastAsia="宋体" w:cs="宋体"/>
                <w:szCs w:val="24"/>
              </w:rPr>
              <w:t>年1月1日（以合同签订日期为准）</w:t>
            </w:r>
            <w:r>
              <w:rPr>
                <w:rFonts w:hint="eastAsia" w:ascii="宋体" w:hAnsi="宋体" w:eastAsia="宋体" w:cs="宋体"/>
                <w:szCs w:val="24"/>
                <w:lang w:val="en-US" w:eastAsia="zh-CN"/>
              </w:rPr>
              <w:t>以后，投标人具有与本项目同类项目经验（班组设备或幼儿家具），且履约评价为优或满意（或其他同等评价），每提供一个得20分，最高得100分。</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（二）证明材料：</w:t>
            </w:r>
          </w:p>
          <w:p>
            <w:pPr>
              <w:autoSpaceDE w:val="0"/>
              <w:autoSpaceDN w:val="0"/>
              <w:adjustRightInd w:val="0"/>
              <w:spacing w:line="300" w:lineRule="exact"/>
              <w:jc w:val="left"/>
              <w:rPr>
                <w:rFonts w:hint="eastAsia" w:ascii="宋体" w:hAnsi="宋体" w:eastAsia="宋体" w:cs="宋体"/>
                <w:color w:val="0000FF"/>
                <w:kern w:val="0"/>
                <w:szCs w:val="21"/>
                <w:highlight w:val="none"/>
                <w:lang w:val="en-US" w:eastAsia="zh-CN"/>
              </w:rPr>
            </w:pPr>
            <w:r>
              <w:rPr>
                <w:rFonts w:hint="eastAsia" w:ascii="宋体" w:hAnsi="宋体" w:eastAsia="宋体" w:cs="宋体"/>
                <w:color w:val="0000FF"/>
                <w:kern w:val="0"/>
                <w:szCs w:val="21"/>
                <w:highlight w:val="none"/>
                <w:lang w:val="en-US" w:eastAsia="zh-CN"/>
              </w:rPr>
              <w:t>1、同时提供以下：（1）合同关键页（须能体现投标人信息）扫描件；（2）设备配置清单扫描件；（3）验收报告[加盖合同相对方公章（或合同相对方业务章）]；（4）履约评价证明[加盖合同相对方公章（或合同相对方业务章）]。</w:t>
            </w:r>
          </w:p>
          <w:p>
            <w:pPr>
              <w:autoSpaceDE w:val="0"/>
              <w:autoSpaceDN w:val="0"/>
              <w:adjustRightInd w:val="0"/>
              <w:spacing w:line="300" w:lineRule="exact"/>
              <w:jc w:val="left"/>
              <w:rPr>
                <w:rFonts w:hint="eastAsia" w:ascii="宋体" w:hAnsi="宋体" w:eastAsia="宋体" w:cs="宋体"/>
                <w:szCs w:val="24"/>
                <w:lang w:val="en-US" w:eastAsia="zh-CN"/>
              </w:rPr>
            </w:pPr>
            <w:r>
              <w:rPr>
                <w:rFonts w:hint="eastAsia" w:ascii="宋体" w:hAnsi="宋体" w:eastAsia="宋体" w:cs="宋体"/>
                <w:color w:val="0000FF"/>
                <w:kern w:val="0"/>
                <w:szCs w:val="21"/>
                <w:highlight w:val="none"/>
                <w:lang w:val="en-US" w:eastAsia="zh-CN"/>
              </w:rPr>
              <w:t>2、未按要求提供相关证明材料（或相关证明材料无法判断是否符合评分要求）的不计得分，原件备查。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lang w:eastAsia="zh-CN"/>
              </w:rPr>
            </w:pPr>
            <w:r>
              <w:rPr>
                <w:rFonts w:hint="eastAsia" w:ascii="宋体" w:hAnsi="宋体" w:eastAsia="宋体" w:cs="宋体"/>
                <w:b/>
                <w:bCs/>
                <w:color w:val="0000FF"/>
                <w:kern w:val="0"/>
                <w:sz w:val="24"/>
                <w:szCs w:val="24"/>
                <w:lang w:val="en-US" w:eastAsia="zh-CN" w:bidi="ar"/>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kern w:val="0"/>
                <w:sz w:val="24"/>
                <w:szCs w:val="24"/>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hint="eastAsia"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hint="eastAsia" w:ascii="宋体" w:hAnsi="宋体" w:eastAsia="宋体" w:cs="宋体"/>
                <w:b/>
                <w:bCs/>
                <w:color w:val="0000FF"/>
                <w:sz w:val="24"/>
                <w:szCs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rFonts w:hint="eastAsia" w:ascii="宋体" w:hAnsi="宋体" w:eastAsia="宋体" w:cs="宋体"/>
                <w:szCs w:val="21"/>
              </w:rPr>
            </w:pPr>
            <w:r>
              <w:rPr>
                <w:rFonts w:hint="eastAsia" w:ascii="宋体" w:hAnsi="宋体" w:eastAsia="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color w:val="0000FF"/>
                <w:sz w:val="24"/>
                <w:szCs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rPr>
            </w:pPr>
            <w:r>
              <w:rPr>
                <w:rFonts w:hint="eastAsia" w:ascii="宋体" w:hAnsi="宋体" w:eastAsia="宋体" w:cs="宋体"/>
                <w:szCs w:val="24"/>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rPr>
            </w:pPr>
            <w:r>
              <w:rPr>
                <w:rFonts w:hint="eastAsia" w:ascii="宋体" w:hAnsi="宋体" w:eastAsia="宋体" w:cs="宋体"/>
                <w:szCs w:val="24"/>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szCs w:val="21"/>
              </w:rPr>
            </w:pPr>
            <w:r>
              <w:rPr>
                <w:rFonts w:hint="eastAsia" w:ascii="宋体" w:hAnsi="宋体" w:eastAsia="宋体" w:cs="宋体"/>
                <w:szCs w:val="24"/>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pageBreakBefore w:val="0"/>
              <w:widowControl w:val="0"/>
              <w:kinsoku/>
              <w:wordWrap w:val="0"/>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keepNext w:val="0"/>
              <w:keepLines w:val="0"/>
              <w:pageBreakBefore w:val="0"/>
              <w:widowControl w:val="0"/>
              <w:kinsoku/>
              <w:wordWrap w:val="0"/>
              <w:overflowPunct/>
              <w:topLinePunct w:val="0"/>
              <w:autoSpaceDE/>
              <w:autoSpaceDN/>
              <w:bidi w:val="0"/>
              <w:adjustRightInd/>
              <w:snapToGrid/>
              <w:spacing w:after="120" w:line="240" w:lineRule="auto"/>
              <w:ind w:firstLine="420" w:firstLineChars="200"/>
              <w:jc w:val="both"/>
              <w:textAlignment w:val="auto"/>
              <w:rPr>
                <w:rFonts w:hint="eastAsia" w:ascii="宋体" w:hAnsi="宋体" w:eastAsia="宋体" w:cs="宋体"/>
                <w:kern w:val="2"/>
                <w:sz w:val="21"/>
                <w:szCs w:val="24"/>
                <w:lang w:val="en-US" w:eastAsia="zh-CN" w:bidi="ar-SA"/>
              </w:rPr>
            </w:pPr>
            <w:r>
              <w:rPr>
                <w:rFonts w:hint="eastAsia" w:ascii="宋体" w:hAnsi="宋体" w:eastAsia="宋体" w:cs="宋体"/>
                <w:b w:val="0"/>
                <w:bCs w:val="0"/>
                <w:kern w:val="2"/>
                <w:sz w:val="21"/>
                <w:szCs w:val="21"/>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pPr>
        <w:pStyle w:val="15"/>
        <w:widowControl/>
        <w:jc w:val="center"/>
        <w:outlineLvl w:val="1"/>
        <w:rPr>
          <w:rFonts w:ascii="黑体" w:hAnsi="宋体" w:eastAsia="黑体" w:cs="黑体"/>
          <w:sz w:val="40"/>
          <w:szCs w:val="40"/>
        </w:rPr>
      </w:pPr>
    </w:p>
    <w:p/>
    <w:p>
      <w:pPr>
        <w:pStyle w:val="14"/>
      </w:pPr>
    </w:p>
    <w:p>
      <w:pPr>
        <w:sectPr>
          <w:pgSz w:w="11907" w:h="16840"/>
          <w:pgMar w:top="1440" w:right="1418" w:bottom="1440" w:left="1418" w:header="851" w:footer="992" w:gutter="0"/>
          <w:cols w:space="425" w:num="1"/>
          <w:titlePg/>
          <w:docGrid w:linePitch="462" w:charSpace="0"/>
        </w:sectPr>
      </w:pPr>
    </w:p>
    <w:p>
      <w:pPr>
        <w:jc w:val="center"/>
        <w:rPr>
          <w:b/>
          <w:sz w:val="84"/>
          <w:szCs w:val="84"/>
        </w:rPr>
      </w:pPr>
    </w:p>
    <w:p>
      <w:pPr>
        <w:jc w:val="center"/>
        <w:rPr>
          <w:b/>
          <w:sz w:val="84"/>
          <w:szCs w:val="84"/>
        </w:rPr>
      </w:pPr>
    </w:p>
    <w:p>
      <w:pPr>
        <w:jc w:val="center"/>
        <w:rPr>
          <w:b/>
          <w:sz w:val="84"/>
          <w:szCs w:val="84"/>
        </w:rPr>
      </w:pPr>
    </w:p>
    <w:p>
      <w:pPr>
        <w:jc w:val="center"/>
        <w:rPr>
          <w:rFonts w:hint="eastAsia" w:eastAsiaTheme="minorEastAsia"/>
          <w:b/>
          <w:sz w:val="120"/>
          <w:szCs w:val="120"/>
          <w:lang w:eastAsia="zh-CN"/>
        </w:rPr>
      </w:pPr>
      <w:r>
        <w:rPr>
          <w:rFonts w:hint="eastAsia"/>
          <w:b/>
          <w:sz w:val="120"/>
          <w:szCs w:val="120"/>
          <w:lang w:eastAsia="zh-CN"/>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
    <w:p/>
    <w:p/>
    <w:p/>
    <w:p/>
    <w:p/>
    <w:p>
      <w:pPr>
        <w:jc w:val="center"/>
        <w:rPr>
          <w:b/>
          <w:sz w:val="44"/>
          <w:szCs w:val="44"/>
        </w:rPr>
      </w:pPr>
      <w:bookmarkStart w:id="3" w:name="_Hlk71465316"/>
      <w:r>
        <w:rPr>
          <w:rFonts w:hint="eastAsia"/>
          <w:b/>
          <w:sz w:val="44"/>
          <w:szCs w:val="44"/>
        </w:rPr>
        <w:t>深圳公共资源交易中心</w:t>
      </w:r>
    </w:p>
    <w:p>
      <w:pPr>
        <w:jc w:val="center"/>
        <w:rPr>
          <w:b/>
          <w:sz w:val="44"/>
          <w:szCs w:val="44"/>
        </w:rPr>
      </w:pPr>
      <w:r>
        <w:rPr>
          <w:rFonts w:hint="eastAsia"/>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b/>
          <w:sz w:val="44"/>
          <w:szCs w:val="44"/>
        </w:rPr>
        <w:t>）</w:t>
      </w:r>
    </w:p>
    <w:bookmarkEnd w:id="3"/>
    <w:p>
      <w:pPr>
        <w:widowControl/>
        <w:jc w:val="center"/>
      </w:pPr>
    </w:p>
    <w:p>
      <w:pPr>
        <w:widowControl/>
        <w:jc w:val="center"/>
      </w:pPr>
      <w:r>
        <w:br w:type="page"/>
      </w:r>
    </w:p>
    <w:p>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bookmarkStart w:id="4" w:name="_Hlk72218009"/>
      <w:r>
        <w:rPr>
          <w:rFonts w:hint="eastAsia" w:ascii="黑体" w:hAnsi="黑体" w:eastAsia="黑体" w:cs="黑体"/>
          <w:b/>
          <w:bCs/>
          <w:sz w:val="28"/>
          <w:szCs w:val="36"/>
        </w:rPr>
        <w:t>目   录</w:t>
      </w:r>
    </w:p>
    <w:p>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rFonts w:hint="eastAsia"/>
        </w:rPr>
      </w:pPr>
      <w:r>
        <w:rPr>
          <w:rFonts w:hint="eastAsia"/>
        </w:rPr>
        <w:t>第十一章  质疑处理</w:t>
      </w:r>
    </w:p>
    <w:p>
      <w:pPr>
        <w:pStyle w:val="2"/>
        <w:rPr>
          <w:rFonts w:hint="eastAsia"/>
        </w:rPr>
      </w:pPr>
    </w:p>
    <w:p>
      <w:pPr>
        <w:pStyle w:val="14"/>
        <w:rPr>
          <w:rFonts w:hint="eastAsia"/>
        </w:rPr>
      </w:pPr>
    </w:p>
    <w:p>
      <w:pPr>
        <w:pStyle w:val="14"/>
        <w:rPr>
          <w:rFonts w:hint="eastAsia"/>
        </w:rPr>
      </w:pPr>
    </w:p>
    <w:p>
      <w:pPr>
        <w:pStyle w:val="2"/>
        <w:rPr>
          <w:rFonts w:hint="eastAsia"/>
        </w:rPr>
        <w:sectPr>
          <w:pgSz w:w="11907" w:h="16840"/>
          <w:pgMar w:top="1440" w:right="1797" w:bottom="1440" w:left="1797" w:header="851" w:footer="992" w:gutter="0"/>
          <w:cols w:space="425" w:num="1"/>
          <w:titlePg/>
          <w:docGrid w:linePitch="462" w:charSpace="0"/>
        </w:sectPr>
      </w:pPr>
    </w:p>
    <w:bookmarkEnd w:id="4"/>
    <w:p>
      <w:pPr>
        <w:pStyle w:val="4"/>
        <w:jc w:val="center"/>
        <w:rPr>
          <w:color w:val="FF0000"/>
          <w:sz w:val="24"/>
        </w:rPr>
      </w:pPr>
      <w:bookmarkStart w:id="6" w:name="bt商务标投标文件格式"/>
      <w:bookmarkEnd w:id="6"/>
      <w:bookmarkStart w:id="7" w:name="bt合同条款"/>
      <w:bookmarkEnd w:id="7"/>
      <w:bookmarkStart w:id="8" w:name="bt投标人情况介绍"/>
      <w:bookmarkEnd w:id="8"/>
      <w:bookmarkStart w:id="9" w:name="bt项目管理班子配备情况"/>
      <w:bookmarkEnd w:id="9"/>
      <w:bookmarkStart w:id="10" w:name="bt说明"/>
      <w:bookmarkEnd w:id="10"/>
      <w:bookmarkStart w:id="11" w:name="bt合同条款及格式"/>
      <w:bookmarkEnd w:id="11"/>
      <w:bookmarkStart w:id="12" w:name="bt其他资料由投标人自定"/>
      <w:bookmarkEnd w:id="12"/>
      <w:bookmarkStart w:id="13" w:name="bt投标报价汇总表"/>
      <w:bookmarkEnd w:id="13"/>
      <w:bookmarkStart w:id="14" w:name="bt本工程承诺书"/>
      <w:bookmarkEnd w:id="14"/>
      <w:bookmarkStart w:id="15" w:name="bt投标函"/>
      <w:bookmarkEnd w:id="15"/>
      <w:bookmarkStart w:id="16" w:name="合同格式"/>
      <w:bookmarkEnd w:id="16"/>
      <w:bookmarkStart w:id="17" w:name="bt技术标投标文件格式"/>
      <w:bookmarkEnd w:id="17"/>
      <w:bookmarkStart w:id="18" w:name="bt投标人须知"/>
      <w:bookmarkEnd w:id="18"/>
      <w:bookmarkStart w:id="19" w:name="bt其他资料2"/>
      <w:bookmarkEnd w:id="19"/>
      <w:bookmarkStart w:id="20" w:name="bt投标文件签署授权委托书"/>
      <w:bookmarkEnd w:id="20"/>
      <w:bookmarkStart w:id="21" w:name="bt合同格式"/>
      <w:bookmarkEnd w:id="21"/>
      <w:bookmarkStart w:id="22" w:name="bt开标一览表"/>
      <w:bookmarkEnd w:id="22"/>
      <w:r>
        <w:rPr>
          <w:rFonts w:hint="eastAsia"/>
        </w:rPr>
        <w:t>第一册  专用条款</w:t>
      </w:r>
    </w:p>
    <w:p>
      <w:pPr>
        <w:pStyle w:val="7"/>
        <w:jc w:val="center"/>
        <w:rPr>
          <w:sz w:val="28"/>
          <w:szCs w:val="28"/>
        </w:rPr>
      </w:pPr>
      <w:r>
        <w:rPr>
          <w:rFonts w:hint="eastAsia"/>
          <w:sz w:val="28"/>
          <w:szCs w:val="28"/>
        </w:rPr>
        <w:t>第一章  招标公告</w:t>
      </w:r>
    </w:p>
    <w:p>
      <w:pPr>
        <w:spacing w:line="360" w:lineRule="auto"/>
        <w:rPr>
          <w:rFonts w:ascii="宋体" w:hAnsi="宋体" w:cs="宋体"/>
          <w:b/>
          <w:bCs/>
          <w:kern w:val="0"/>
          <w:szCs w:val="21"/>
        </w:rPr>
      </w:pPr>
      <w:r>
        <w:rPr>
          <w:rFonts w:hint="eastAsia" w:ascii="宋体" w:hAnsi="宋体" w:cs="宋体"/>
          <w:b/>
          <w:bCs/>
          <w:kern w:val="0"/>
          <w:szCs w:val="21"/>
        </w:rPr>
        <w:t>申请人的资格要求：</w:t>
      </w:r>
    </w:p>
    <w:p>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p>
    <w:p>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.单位负责人为同一人或者存在直接控股、管理关系的不同供应商，不得参加同一合同项下的</w:t>
      </w:r>
      <w:r>
        <w:rPr>
          <w:rFonts w:hint="eastAsia" w:ascii="宋体" w:hAnsi="宋体" w:cs="宋体"/>
          <w:kern w:val="0"/>
          <w:szCs w:val="21"/>
          <w:lang w:eastAsia="zh-CN"/>
        </w:rPr>
        <w:t>政府采购（自行采购）</w:t>
      </w:r>
      <w:r>
        <w:rPr>
          <w:rFonts w:hint="eastAsia" w:ascii="宋体" w:hAnsi="宋体" w:cs="宋体"/>
          <w:kern w:val="0"/>
          <w:szCs w:val="21"/>
        </w:rPr>
        <w:t>活动；为采购项目提供整体设计、规范编制或者项目管理、监理、检测等服务的供应商，不得再参加该采购项目的其他采购活动（由供应商在《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pStyle w:val="25"/>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pPr>
        <w:ind w:firstLine="420" w:firstLineChars="200"/>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专门面向中小企业采购：否</w:t>
      </w:r>
      <w:r>
        <w:rPr>
          <w:rFonts w:hint="eastAsia" w:ascii="宋体" w:hAnsi="宋体" w:cs="宋体"/>
          <w:kern w:val="0"/>
          <w:szCs w:val="21"/>
          <w:lang w:eastAsia="zh-CN"/>
        </w:rPr>
        <w:t>。</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w:t>
      </w:r>
    </w:p>
    <w:p>
      <w:pPr>
        <w:ind w:firstLine="420" w:firstLineChars="200"/>
        <w:rPr>
          <w:rFonts w:ascii="宋体" w:hAnsi="宋体"/>
        </w:rPr>
      </w:pPr>
    </w:p>
    <w:p>
      <w:pPr>
        <w:ind w:firstLine="442" w:firstLineChars="200"/>
        <w:rPr>
          <w:b/>
        </w:rPr>
      </w:pPr>
      <w:r>
        <w:rPr>
          <w:rFonts w:hint="eastAsia"/>
          <w:b/>
          <w:sz w:val="22"/>
          <w:szCs w:val="18"/>
          <w:highlight w:val="none"/>
        </w:rPr>
        <w:t>完整公告内容详见：</w:t>
      </w:r>
      <w:r>
        <w:rPr>
          <w:rFonts w:hint="eastAsia"/>
          <w:b/>
          <w:color w:val="0000FF"/>
          <w:sz w:val="22"/>
          <w:szCs w:val="18"/>
          <w:highlight w:val="none"/>
        </w:rPr>
        <w:t>深圳交易集团官网（szexgrp.com）</w:t>
      </w:r>
    </w:p>
    <w:p>
      <w:pPr>
        <w:ind w:firstLine="422" w:firstLineChars="200"/>
        <w:rPr>
          <w:b/>
        </w:rPr>
      </w:pPr>
    </w:p>
    <w:p>
      <w:pPr>
        <w:rPr>
          <w:sz w:val="24"/>
        </w:rPr>
        <w:sectPr>
          <w:pgSz w:w="11907" w:h="16840"/>
          <w:pgMar w:top="1440" w:right="1797" w:bottom="1440" w:left="1797" w:header="851" w:footer="992" w:gutter="0"/>
          <w:cols w:space="425" w:num="1"/>
          <w:titlePg/>
          <w:docGrid w:linePitch="462" w:charSpace="0"/>
        </w:sectPr>
      </w:pPr>
    </w:p>
    <w:p>
      <w:pPr>
        <w:pStyle w:val="7"/>
        <w:jc w:val="center"/>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pPr>
        <w:pStyle w:val="7"/>
        <w:spacing w:before="120" w:beforeLines="50" w:after="120" w:afterLines="50"/>
        <w:jc w:val="center"/>
        <w:rPr>
          <w:szCs w:val="24"/>
        </w:rPr>
      </w:pPr>
      <w:bookmarkStart w:id="24" w:name="_Toc101074876"/>
      <w:bookmarkStart w:id="25" w:name="_Toc60631620"/>
      <w:bookmarkStart w:id="26" w:name="_Toc60560625"/>
      <w:bookmarkStart w:id="27" w:name="_Toc73521635"/>
      <w:bookmarkStart w:id="28" w:name="_Toc73517639"/>
      <w:bookmarkStart w:id="29" w:name="_Toc73518117"/>
      <w:bookmarkStart w:id="30" w:name="_Toc100052364"/>
      <w:bookmarkStart w:id="31" w:name="_Toc73521547"/>
      <w:r>
        <w:rPr>
          <w:rFonts w:hint="eastAsia"/>
          <w:szCs w:val="24"/>
        </w:rPr>
        <w:t>一、对通用条款的补充内容</w:t>
      </w:r>
    </w:p>
    <w:bookmarkEnd w:id="24"/>
    <w:bookmarkEnd w:id="25"/>
    <w:bookmarkEnd w:id="26"/>
    <w:bookmarkEnd w:id="27"/>
    <w:bookmarkEnd w:id="28"/>
    <w:bookmarkEnd w:id="29"/>
    <w:bookmarkEnd w:id="30"/>
    <w:bookmarkEnd w:id="31"/>
    <w:tbl>
      <w:tblPr>
        <w:tblStyle w:val="17"/>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b/>
                <w:bCs/>
              </w:rPr>
            </w:pPr>
            <w:bookmarkStart w:id="32" w:name="_Hlk72218097"/>
            <w:r>
              <w:rPr>
                <w:rFonts w:hint="eastAsia" w:ascii="宋体" w:hAnsi="宋体"/>
                <w:b/>
                <w:bCs/>
              </w:rPr>
              <w:t>通用条款序号</w:t>
            </w:r>
          </w:p>
        </w:tc>
        <w:tc>
          <w:tcPr>
            <w:tcW w:w="2409" w:type="dxa"/>
            <w:noWrap w:val="0"/>
            <w:vAlign w:val="center"/>
          </w:tcPr>
          <w:p>
            <w:pPr>
              <w:jc w:val="center"/>
              <w:rPr>
                <w:rFonts w:ascii="宋体" w:hAnsi="宋体"/>
                <w:b/>
                <w:bCs/>
              </w:rPr>
            </w:pPr>
            <w:r>
              <w:rPr>
                <w:rFonts w:hint="eastAsia" w:ascii="宋体" w:hAnsi="宋体"/>
                <w:b/>
                <w:bCs/>
              </w:rPr>
              <w:t>涉及事项</w:t>
            </w:r>
          </w:p>
        </w:tc>
        <w:tc>
          <w:tcPr>
            <w:tcW w:w="4980" w:type="dxa"/>
            <w:noWrap w:val="0"/>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.1</w:t>
            </w:r>
          </w:p>
        </w:tc>
        <w:tc>
          <w:tcPr>
            <w:tcW w:w="2409" w:type="dxa"/>
            <w:noWrap w:val="0"/>
            <w:vAlign w:val="center"/>
          </w:tcPr>
          <w:p>
            <w:pPr>
              <w:jc w:val="center"/>
            </w:pPr>
            <w:r>
              <w:rPr>
                <w:rFonts w:hint="eastAsia"/>
              </w:rPr>
              <w:t>采购人</w:t>
            </w:r>
          </w:p>
        </w:tc>
        <w:tc>
          <w:tcPr>
            <w:tcW w:w="4980" w:type="dxa"/>
            <w:noWrap w:val="0"/>
            <w:vAlign w:val="center"/>
          </w:tcPr>
          <w:p>
            <w:pPr>
              <w:jc w:val="center"/>
              <w:rPr>
                <w:rFonts w:ascii="宋体" w:hAnsi="宋体"/>
              </w:rPr>
            </w:pPr>
            <w:r>
              <w:rPr>
                <w:rFonts w:hint="eastAsia" w:ascii="宋体" w:hAnsi="宋体"/>
                <w:lang w:eastAsia="zh-CN"/>
              </w:rPr>
              <w:t>深圳市宝安区机关第二幼儿园（深圳市宝安区新安未来之光幼儿园）</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.2</w:t>
            </w:r>
          </w:p>
        </w:tc>
        <w:tc>
          <w:tcPr>
            <w:tcW w:w="2409" w:type="dxa"/>
            <w:noWrap w:val="0"/>
            <w:vAlign w:val="center"/>
          </w:tcPr>
          <w:p>
            <w:pPr>
              <w:jc w:val="center"/>
              <w:rPr>
                <w:rFonts w:ascii="宋体" w:hAnsi="宋体"/>
              </w:rPr>
            </w:pPr>
            <w:r>
              <w:rPr>
                <w:rFonts w:hint="eastAsia" w:ascii="宋体" w:hAnsi="宋体"/>
              </w:rPr>
              <w:t>政府集中采购机构</w:t>
            </w:r>
          </w:p>
        </w:tc>
        <w:tc>
          <w:tcPr>
            <w:tcW w:w="4980" w:type="dxa"/>
            <w:noWrap w:val="0"/>
            <w:vAlign w:val="center"/>
          </w:tcPr>
          <w:p>
            <w:pPr>
              <w:jc w:val="center"/>
            </w:pPr>
            <w:r>
              <w:rPr>
                <w:rFonts w:hint="eastAsia"/>
              </w:rPr>
              <w:t>深圳公共资源交易中心</w:t>
            </w:r>
          </w:p>
          <w:p>
            <w:pPr>
              <w:jc w:val="center"/>
              <w:rPr>
                <w:rFonts w:ascii="宋体" w:hAnsi="宋体"/>
              </w:rPr>
            </w:pPr>
            <w:r>
              <w:rPr>
                <w:rFonts w:hint="eastAsia"/>
              </w:rPr>
              <w:t>（深圳交易集团有限公司</w:t>
            </w:r>
            <w:r>
              <w:rPr>
                <w:rFonts w:hint="eastAsia"/>
                <w:lang w:val="en-US" w:eastAsia="zh-CN"/>
              </w:rPr>
              <w:t>宝安</w:t>
            </w:r>
            <w:r>
              <w:rPr>
                <w:rFonts w:hint="eastAsia"/>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9</w:t>
            </w:r>
          </w:p>
        </w:tc>
        <w:tc>
          <w:tcPr>
            <w:tcW w:w="2409" w:type="dxa"/>
            <w:noWrap w:val="0"/>
            <w:vAlign w:val="center"/>
          </w:tcPr>
          <w:p>
            <w:pPr>
              <w:jc w:val="center"/>
              <w:rPr>
                <w:rFonts w:ascii="宋体" w:hAnsi="宋体"/>
              </w:rPr>
            </w:pPr>
            <w:r>
              <w:rPr>
                <w:rFonts w:hint="eastAsia" w:ascii="宋体" w:hAnsi="宋体"/>
              </w:rPr>
              <w:t>踏勘现场</w:t>
            </w:r>
          </w:p>
        </w:tc>
        <w:tc>
          <w:tcPr>
            <w:tcW w:w="4980" w:type="dxa"/>
            <w:noWrap w:val="0"/>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1</w:t>
            </w:r>
            <w:r>
              <w:rPr>
                <w:rFonts w:ascii="宋体" w:hAnsi="宋体"/>
              </w:rPr>
              <w:t>0</w:t>
            </w:r>
          </w:p>
        </w:tc>
        <w:tc>
          <w:tcPr>
            <w:tcW w:w="2409" w:type="dxa"/>
            <w:noWrap w:val="0"/>
            <w:vAlign w:val="center"/>
          </w:tcPr>
          <w:p>
            <w:pPr>
              <w:jc w:val="center"/>
              <w:rPr>
                <w:rFonts w:ascii="宋体" w:hAnsi="宋体"/>
              </w:rPr>
            </w:pPr>
            <w:r>
              <w:rPr>
                <w:rFonts w:hint="eastAsia" w:ascii="宋体" w:hAnsi="宋体"/>
              </w:rPr>
              <w:t>标前会议</w:t>
            </w:r>
          </w:p>
        </w:tc>
        <w:tc>
          <w:tcPr>
            <w:tcW w:w="4980" w:type="dxa"/>
            <w:noWrap w:val="0"/>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noWrap w:val="0"/>
            <w:vAlign w:val="center"/>
          </w:tcPr>
          <w:p>
            <w:pPr>
              <w:jc w:val="center"/>
              <w:rPr>
                <w:rFonts w:ascii="宋体" w:hAnsi="宋体"/>
              </w:rPr>
            </w:pPr>
            <w:r>
              <w:rPr>
                <w:rFonts w:hint="eastAsia" w:ascii="宋体" w:hAnsi="宋体"/>
              </w:rPr>
              <w:t>招标文件的澄清和修改</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0</w:t>
            </w:r>
          </w:p>
        </w:tc>
        <w:tc>
          <w:tcPr>
            <w:tcW w:w="2409" w:type="dxa"/>
            <w:noWrap w:val="0"/>
            <w:vAlign w:val="center"/>
          </w:tcPr>
          <w:p>
            <w:pPr>
              <w:jc w:val="center"/>
              <w:rPr>
                <w:rFonts w:ascii="宋体" w:hAnsi="宋体"/>
              </w:rPr>
            </w:pPr>
            <w:r>
              <w:rPr>
                <w:rFonts w:hint="eastAsia" w:ascii="宋体" w:hAnsi="宋体"/>
              </w:rPr>
              <w:t>投标有效期</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2</w:t>
            </w:r>
          </w:p>
        </w:tc>
        <w:tc>
          <w:tcPr>
            <w:tcW w:w="2409" w:type="dxa"/>
            <w:noWrap w:val="0"/>
            <w:vAlign w:val="center"/>
          </w:tcPr>
          <w:p>
            <w:pPr>
              <w:jc w:val="center"/>
              <w:rPr>
                <w:rFonts w:ascii="宋体" w:hAnsi="宋体"/>
              </w:rPr>
            </w:pPr>
            <w:r>
              <w:rPr>
                <w:rFonts w:hint="eastAsia" w:ascii="宋体" w:hAnsi="宋体"/>
              </w:rPr>
              <w:t>投标人的替代方案</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5</w:t>
            </w:r>
          </w:p>
        </w:tc>
        <w:tc>
          <w:tcPr>
            <w:tcW w:w="2409" w:type="dxa"/>
            <w:noWrap w:val="0"/>
            <w:vAlign w:val="center"/>
          </w:tcPr>
          <w:p>
            <w:pPr>
              <w:jc w:val="center"/>
              <w:rPr>
                <w:rFonts w:ascii="宋体" w:hAnsi="宋体"/>
              </w:rPr>
            </w:pPr>
            <w:r>
              <w:rPr>
                <w:rFonts w:hint="eastAsia" w:ascii="宋体" w:hAnsi="宋体"/>
              </w:rPr>
              <w:t>投标文件的大小</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6</w:t>
            </w:r>
          </w:p>
        </w:tc>
        <w:tc>
          <w:tcPr>
            <w:tcW w:w="2409" w:type="dxa"/>
            <w:noWrap w:val="0"/>
            <w:vAlign w:val="center"/>
          </w:tcPr>
          <w:p>
            <w:pPr>
              <w:jc w:val="center"/>
              <w:rPr>
                <w:rFonts w:ascii="宋体" w:hAnsi="宋体"/>
              </w:rPr>
            </w:pPr>
            <w:bookmarkStart w:id="33" w:name="_Hlk71664860"/>
            <w:r>
              <w:rPr>
                <w:rFonts w:hint="eastAsia" w:ascii="宋体" w:hAnsi="宋体"/>
              </w:rPr>
              <w:t>样品、现场演示、方案讲解</w:t>
            </w:r>
            <w:bookmarkEnd w:id="33"/>
          </w:p>
        </w:tc>
        <w:tc>
          <w:tcPr>
            <w:tcW w:w="4980" w:type="dxa"/>
            <w:noWrap w:val="0"/>
            <w:vAlign w:val="center"/>
          </w:tcPr>
          <w:p>
            <w:pPr>
              <w:jc w:val="center"/>
              <w:rPr>
                <w:rFonts w:ascii="宋体" w:hAnsi="宋体"/>
              </w:rPr>
            </w:pPr>
            <w:r>
              <w:rPr>
                <w:rFonts w:hint="eastAsia"/>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7</w:t>
            </w:r>
          </w:p>
        </w:tc>
        <w:tc>
          <w:tcPr>
            <w:tcW w:w="2409" w:type="dxa"/>
            <w:noWrap w:val="0"/>
            <w:vAlign w:val="center"/>
          </w:tcPr>
          <w:p>
            <w:pPr>
              <w:jc w:val="center"/>
              <w:rPr>
                <w:rFonts w:ascii="宋体" w:hAnsi="宋体"/>
              </w:rPr>
            </w:pPr>
            <w:r>
              <w:rPr>
                <w:rFonts w:hint="eastAsia" w:ascii="宋体" w:hAnsi="宋体"/>
              </w:rPr>
              <w:t>评审方法</w:t>
            </w:r>
          </w:p>
        </w:tc>
        <w:tc>
          <w:tcPr>
            <w:tcW w:w="4980" w:type="dxa"/>
            <w:noWrap w:val="0"/>
            <w:vAlign w:val="center"/>
          </w:tcPr>
          <w:p>
            <w:pPr>
              <w:jc w:val="center"/>
              <w:rPr>
                <w:rFonts w:ascii="宋体" w:hAnsi="宋体"/>
              </w:rPr>
            </w:pPr>
            <w:r>
              <w:rPr>
                <w:rFonts w:hint="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8</w:t>
            </w:r>
          </w:p>
        </w:tc>
        <w:tc>
          <w:tcPr>
            <w:tcW w:w="2409" w:type="dxa"/>
            <w:noWrap w:val="0"/>
            <w:vAlign w:val="center"/>
          </w:tcPr>
          <w:p>
            <w:pPr>
              <w:jc w:val="center"/>
              <w:rPr>
                <w:rFonts w:ascii="宋体" w:hAnsi="宋体"/>
              </w:rPr>
            </w:pPr>
            <w:r>
              <w:rPr>
                <w:rFonts w:hint="eastAsia" w:ascii="宋体" w:hAnsi="宋体"/>
              </w:rPr>
              <w:t>定标方法</w:t>
            </w:r>
          </w:p>
        </w:tc>
        <w:tc>
          <w:tcPr>
            <w:tcW w:w="4980" w:type="dxa"/>
            <w:noWrap w:val="0"/>
            <w:vAlign w:val="center"/>
          </w:tcPr>
          <w:p>
            <w:pPr>
              <w:jc w:val="center"/>
              <w:rPr>
                <w:rFonts w:ascii="宋体" w:hAnsi="宋体"/>
              </w:rPr>
            </w:pPr>
            <w:r>
              <w:rPr>
                <w:rFonts w:hint="eastAsia"/>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4</w:t>
            </w:r>
            <w:r>
              <w:rPr>
                <w:rFonts w:ascii="宋体" w:hAnsi="宋体"/>
              </w:rPr>
              <w:t>6</w:t>
            </w:r>
          </w:p>
        </w:tc>
        <w:tc>
          <w:tcPr>
            <w:tcW w:w="2409" w:type="dxa"/>
            <w:noWrap w:val="0"/>
            <w:vAlign w:val="center"/>
          </w:tcPr>
          <w:p>
            <w:pPr>
              <w:jc w:val="center"/>
              <w:rPr>
                <w:rFonts w:ascii="宋体" w:hAnsi="宋体"/>
              </w:rPr>
            </w:pPr>
            <w:r>
              <w:rPr>
                <w:rFonts w:hint="eastAsia" w:ascii="宋体" w:hAnsi="宋体"/>
              </w:rPr>
              <w:t>履约担保</w:t>
            </w:r>
          </w:p>
        </w:tc>
        <w:tc>
          <w:tcPr>
            <w:tcW w:w="4980" w:type="dxa"/>
            <w:noWrap w:val="0"/>
            <w:vAlign w:val="center"/>
          </w:tcPr>
          <w:p>
            <w:pPr>
              <w:jc w:val="center"/>
              <w:rPr>
                <w:rFonts w:ascii="宋体" w:hAnsi="宋体"/>
              </w:rPr>
            </w:pPr>
            <w:r>
              <w:rPr>
                <w:rFonts w:hint="eastAsia"/>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shd w:val="clear" w:color="auto" w:fill="auto"/>
            <w:noWrap w:val="0"/>
            <w:vAlign w:val="center"/>
          </w:tcPr>
          <w:p>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pPr>
        <w:rPr>
          <w:b/>
        </w:rPr>
      </w:pPr>
      <w:r>
        <w:rPr>
          <w:rFonts w:hint="eastAsia"/>
          <w:szCs w:val="21"/>
        </w:rPr>
        <w:t>备注：本表是通用条款相关条款的补充和明确，如与通用条款内容相冲突的，以本表为准。</w:t>
      </w:r>
    </w:p>
    <w:bookmarkEnd w:id="32"/>
    <w:p>
      <w:pPr>
        <w:pStyle w:val="7"/>
        <w:spacing w:before="120" w:beforeLines="50" w:after="120" w:afterLines="50"/>
        <w:jc w:val="center"/>
        <w:rPr>
          <w:szCs w:val="24"/>
        </w:rPr>
      </w:pPr>
      <w:bookmarkStart w:id="34" w:name="_Hlk72218117"/>
      <w:r>
        <w:rPr>
          <w:rFonts w:hint="eastAsia"/>
          <w:szCs w:val="24"/>
        </w:rPr>
        <w:t>二、其他关键信息</w:t>
      </w:r>
    </w:p>
    <w:p>
      <w:pPr>
        <w:ind w:firstLine="422" w:firstLineChars="200"/>
        <w:rPr>
          <w:b/>
          <w:bCs/>
        </w:rPr>
      </w:pPr>
      <w:bookmarkStart w:id="35" w:name="_Hlk72579427"/>
      <w:r>
        <w:rPr>
          <w:rFonts w:hint="eastAsia"/>
          <w:b/>
          <w:bCs/>
        </w:rPr>
        <w:t>（一）与“对通用条款的补充内容”章节相关的事项</w:t>
      </w:r>
    </w:p>
    <w:p>
      <w:pPr>
        <w:tabs>
          <w:tab w:val="left" w:pos="720"/>
        </w:tabs>
        <w:rPr>
          <w:rFonts w:hint="eastAsia" w:ascii="黑体" w:hAnsi="宋体" w:eastAsia="黑体"/>
          <w:bCs/>
          <w:sz w:val="24"/>
          <w:lang w:val="en-US" w:eastAsia="zh-CN"/>
        </w:rPr>
      </w:pPr>
      <w:r>
        <w:rPr>
          <w:rFonts w:hint="eastAsia" w:ascii="黑体" w:hAnsi="宋体" w:eastAsia="黑体"/>
          <w:bCs/>
          <w:sz w:val="24"/>
          <w:lang w:val="en-US" w:eastAsia="zh-CN"/>
        </w:rPr>
        <w:t>1、评标定标信息</w:t>
      </w:r>
    </w:p>
    <w:p>
      <w:pPr>
        <w:jc w:val="center"/>
      </w:pPr>
      <w:r>
        <w:rPr>
          <w:rFonts w:hint="eastAsia"/>
          <w:b/>
        </w:rPr>
        <w:t>非评定分离项目</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noWrap w:val="0"/>
            <w:vAlign w:val="top"/>
          </w:tcPr>
          <w:p>
            <w:pPr>
              <w:jc w:val="center"/>
            </w:pPr>
            <w:r>
              <w:rPr>
                <w:rFonts w:hint="eastAsia"/>
              </w:rPr>
              <w:t>评标方法</w:t>
            </w:r>
          </w:p>
        </w:tc>
        <w:tc>
          <w:tcPr>
            <w:tcW w:w="3235" w:type="dxa"/>
            <w:noWrap w:val="0"/>
            <w:vAlign w:val="top"/>
          </w:tcPr>
          <w:p>
            <w:pPr>
              <w:jc w:val="center"/>
              <w:rPr>
                <w:rFonts w:hint="default" w:eastAsia="宋体"/>
                <w:lang w:val="en-US" w:eastAsia="zh-CN"/>
              </w:rPr>
            </w:pPr>
            <w:r>
              <w:rPr>
                <w:rFonts w:hint="eastAsia"/>
              </w:rPr>
              <w:sym w:font="Wingdings" w:char="00FE"/>
            </w:r>
            <w:r>
              <w:rPr>
                <w:rFonts w:hint="eastAsia"/>
              </w:rPr>
              <w:t>综合评分法</w:t>
            </w:r>
          </w:p>
        </w:tc>
        <w:tc>
          <w:tcPr>
            <w:tcW w:w="2450" w:type="dxa"/>
            <w:noWrap w:val="0"/>
            <w:vAlign w:val="top"/>
          </w:tcPr>
          <w:p>
            <w:pPr>
              <w:jc w:val="center"/>
              <w:rPr>
                <w:rFonts w:hint="eastAsia"/>
              </w:rPr>
            </w:pPr>
            <w:r>
              <w:rPr>
                <w:rFonts w:hint="eastAsia" w:ascii="Times New Roman" w:eastAsia="宋体"/>
                <w:lang w:val="en-US" w:eastAsia="zh-CN"/>
              </w:rPr>
              <w:sym w:font="Wingdings" w:char="00A8"/>
            </w:r>
            <w:r>
              <w:rPr>
                <w:rFonts w:hint="eastAsia" w:ascii="Times New Roman" w:eastAsia="宋体"/>
                <w:lang w:val="en-US" w:eastAsia="zh-CN"/>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noWrap w:val="0"/>
            <w:vAlign w:val="top"/>
          </w:tcPr>
          <w:p>
            <w:pPr>
              <w:jc w:val="center"/>
            </w:pPr>
            <w:r>
              <w:rPr>
                <w:rFonts w:hint="eastAsia"/>
              </w:rPr>
              <w:t>候选中标供应商家数</w:t>
            </w:r>
          </w:p>
        </w:tc>
        <w:tc>
          <w:tcPr>
            <w:tcW w:w="3235" w:type="dxa"/>
            <w:noWrap w:val="0"/>
            <w:vAlign w:val="top"/>
          </w:tcPr>
          <w:p>
            <w:pPr>
              <w:jc w:val="center"/>
              <w:rPr>
                <w:rFonts w:hint="default" w:eastAsia="宋体"/>
                <w:lang w:val="en-US" w:eastAsia="zh-CN"/>
              </w:rPr>
            </w:pPr>
            <w:r>
              <w:rPr>
                <w:rFonts w:hint="eastAsia"/>
              </w:rPr>
              <w:t>1</w:t>
            </w:r>
          </w:p>
        </w:tc>
        <w:tc>
          <w:tcPr>
            <w:tcW w:w="2450" w:type="dxa"/>
            <w:noWrap w:val="0"/>
            <w:vAlign w:val="top"/>
          </w:tcPr>
          <w:p>
            <w:pPr>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noWrap w:val="0"/>
            <w:vAlign w:val="top"/>
          </w:tcPr>
          <w:p>
            <w:pPr>
              <w:jc w:val="center"/>
            </w:pPr>
            <w:r>
              <w:rPr>
                <w:rFonts w:hint="eastAsia"/>
              </w:rPr>
              <w:t>中标供应商家数</w:t>
            </w:r>
          </w:p>
        </w:tc>
        <w:tc>
          <w:tcPr>
            <w:tcW w:w="3235" w:type="dxa"/>
            <w:noWrap w:val="0"/>
            <w:vAlign w:val="top"/>
          </w:tcPr>
          <w:p>
            <w:pPr>
              <w:jc w:val="center"/>
            </w:pPr>
            <w:r>
              <w:rPr>
                <w:rFonts w:hint="eastAsia"/>
              </w:rPr>
              <w:t>1</w:t>
            </w:r>
          </w:p>
        </w:tc>
        <w:tc>
          <w:tcPr>
            <w:tcW w:w="2450" w:type="dxa"/>
            <w:noWrap w:val="0"/>
            <w:vAlign w:val="top"/>
          </w:tcPr>
          <w:p>
            <w:pPr>
              <w:jc w:val="center"/>
              <w:rPr>
                <w:rFonts w:hint="eastAsia"/>
              </w:rPr>
            </w:pPr>
            <w:r>
              <w:rPr>
                <w:rFonts w:hint="eastAsia"/>
              </w:rPr>
              <w:t>1</w:t>
            </w:r>
          </w:p>
        </w:tc>
      </w:tr>
    </w:tbl>
    <w:p>
      <w:pPr>
        <w:pStyle w:val="14"/>
      </w:pPr>
    </w:p>
    <w:p>
      <w:pPr>
        <w:ind w:firstLine="480" w:firstLineChars="200"/>
        <w:rPr>
          <w:rFonts w:hint="eastAsia" w:ascii="Arial" w:hAnsi="Arial" w:eastAsia="宋体" w:cs="Arial"/>
          <w:color w:val="000000"/>
          <w:sz w:val="24"/>
          <w:szCs w:val="24"/>
          <w:highlight w:val="yellow"/>
        </w:rPr>
      </w:pPr>
    </w:p>
    <w:p>
      <w:pPr>
        <w:ind w:firstLine="422" w:firstLineChars="200"/>
        <w:rPr>
          <w:rFonts w:hint="eastAsia"/>
          <w:b/>
        </w:rPr>
      </w:pPr>
    </w:p>
    <w:p>
      <w:pPr>
        <w:ind w:firstLine="422" w:firstLineChars="200"/>
        <w:rPr>
          <w:b/>
        </w:rPr>
      </w:pPr>
      <w:r>
        <w:rPr>
          <w:rFonts w:hint="eastAsia"/>
          <w:b/>
        </w:rPr>
        <w:t>（二）其他事项</w:t>
      </w:r>
      <w:bookmarkEnd w:id="35"/>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w:t>
      </w:r>
    </w:p>
    <w:p>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10 </w:t>
      </w:r>
      <w:r>
        <w:rPr>
          <w:color w:val="FF0000"/>
          <w:u w:val="single"/>
        </w:rPr>
        <w:t xml:space="preserve">  </w:t>
      </w:r>
      <w:r>
        <w:rPr>
          <w:rFonts w:hint="eastAsia"/>
          <w:color w:val="FF0000"/>
          <w:u w:val="single"/>
          <w:lang w:val="en-US" w:eastAsia="zh-CN"/>
        </w:rPr>
        <w:t xml:space="preserve"> </w:t>
      </w:r>
      <w:r>
        <w:rPr>
          <w:rFonts w:hint="eastAsia"/>
          <w:color w:val="FF0000"/>
          <w:u w:val="none"/>
          <w:lang w:val="en-US" w:eastAsia="zh-CN"/>
        </w:rPr>
        <w:t xml:space="preserve"> </w:t>
      </w:r>
      <w:r>
        <w:rPr>
          <w:color w:val="FF0000"/>
          <w:u w:val="none"/>
        </w:rPr>
        <w:t>%</w:t>
      </w:r>
      <w:r>
        <w:rPr>
          <w:rFonts w:hint="eastAsia"/>
          <w:color w:val="000000" w:themeColor="text1"/>
          <w:u w:val="none"/>
          <w:lang w:eastAsia="zh-CN"/>
        </w:rPr>
        <w:t>（</w:t>
      </w:r>
      <w:r>
        <w:rPr>
          <w:rFonts w:hint="eastAsia"/>
          <w:color w:val="000000" w:themeColor="text1"/>
          <w:u w:val="none"/>
          <w:lang w:val="en-US" w:eastAsia="zh-CN"/>
        </w:rPr>
        <w:t>10%~20%</w:t>
      </w:r>
      <w:r>
        <w:rPr>
          <w:rFonts w:hint="eastAsia"/>
          <w:color w:val="000000" w:themeColor="text1"/>
          <w:u w:val="none"/>
          <w:lang w:eastAsia="zh-CN"/>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6" w:name="_Hlk71970739"/>
      <w:r>
        <w:rPr>
          <w:rFonts w:hint="eastAsia" w:asciiTheme="minorEastAsia" w:hAnsiTheme="minorEastAsia" w:eastAsiaTheme="minorEastAsia" w:cstheme="minorEastAsia"/>
          <w:sz w:val="21"/>
          <w:szCs w:val="21"/>
        </w:rPr>
        <w:t>中小企业参加</w:t>
      </w:r>
      <w:r>
        <w:rPr>
          <w:rFonts w:hint="eastAsia" w:asciiTheme="minorEastAsia" w:hAnsiTheme="minorEastAsia" w:cstheme="minorEastAsia"/>
          <w:sz w:val="21"/>
          <w:szCs w:val="21"/>
          <w:lang w:eastAsia="zh-CN"/>
        </w:rPr>
        <w:t>政府采购（自行采购）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以招标文件第一册第三章用户需求书“货物清单明细”的“标的所属行业”一栏为准</w:t>
      </w:r>
      <w:r>
        <w:rPr>
          <w:rFonts w:hint="eastAsia" w:asciiTheme="minorEastAsia" w:hAnsiTheme="minorEastAsia" w:eastAsiaTheme="minorEastAsia" w:cstheme="minorEastAsia"/>
          <w:b/>
          <w:bCs/>
          <w:color w:val="FF0000"/>
          <w:sz w:val="21"/>
          <w:szCs w:val="21"/>
        </w:rPr>
        <w:t>。</w:t>
      </w:r>
    </w:p>
    <w:p>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ind w:firstLine="420" w:firstLineChars="200"/>
      </w:pPr>
      <w:r>
        <w:rPr>
          <w:rFonts w:hint="eastAsia"/>
        </w:rPr>
        <w:t>（</w:t>
      </w:r>
      <w:r>
        <w:rPr>
          <w:rFonts w:hint="eastAsia"/>
          <w:lang w:val="en-US" w:eastAsia="zh-CN"/>
        </w:rPr>
        <w:t>5</w:t>
      </w:r>
      <w:r>
        <w:rPr>
          <w:rFonts w:hint="eastAsia"/>
        </w:rPr>
        <w:t>）享受价格扣除获得</w:t>
      </w:r>
      <w:r>
        <w:rPr>
          <w:rFonts w:hint="eastAsia"/>
          <w:lang w:eastAsia="zh-CN"/>
        </w:rPr>
        <w:t>政府采购（自行采购）</w:t>
      </w:r>
      <w:r>
        <w:rPr>
          <w:rFonts w:hint="eastAsia"/>
        </w:rPr>
        <w:t>合同的，小微企业不得将合同分包给大中型企业。</w:t>
      </w:r>
    </w:p>
    <w:p>
      <w:pPr>
        <w:ind w:firstLine="422" w:firstLineChars="200"/>
      </w:pPr>
      <w:r>
        <w:rPr>
          <w:rFonts w:hint="eastAsia"/>
          <w:b/>
          <w:bCs/>
          <w:lang w:val="en-US" w:eastAsia="zh-CN"/>
        </w:rPr>
        <w:t>2</w:t>
      </w:r>
      <w:r>
        <w:rPr>
          <w:rFonts w:hint="eastAsia"/>
          <w:b/>
          <w:bCs/>
        </w:rPr>
        <w:t>、</w:t>
      </w:r>
      <w:r>
        <w:rPr>
          <w:rFonts w:hint="eastAsia" w:ascii="宋体" w:hAnsi="宋体" w:cs="宋体"/>
          <w:b/>
          <w:bCs/>
        </w:rPr>
        <w:t>关于</w:t>
      </w:r>
      <w:r>
        <w:rPr>
          <w:rFonts w:hint="eastAsia" w:ascii="宋体" w:hAnsi="宋体" w:cs="宋体"/>
          <w:b/>
          <w:bCs/>
          <w:lang w:eastAsia="zh-CN"/>
        </w:rPr>
        <w:t>政府采购（自行采购）</w:t>
      </w:r>
      <w:r>
        <w:rPr>
          <w:rFonts w:hint="eastAsia" w:ascii="宋体" w:hAnsi="宋体" w:cs="宋体"/>
          <w:b/>
          <w:bCs/>
        </w:rPr>
        <w:t>订单融资政策</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pPr>
      <w:r>
        <w:rPr>
          <w:rFonts w:hint="eastAsia"/>
          <w:color w:val="FF0000"/>
        </w:rPr>
        <w:t>为深入贯彻落实国家深化</w:t>
      </w:r>
      <w:r>
        <w:rPr>
          <w:rFonts w:hint="eastAsia"/>
          <w:color w:val="FF0000"/>
          <w:lang w:eastAsia="zh-CN"/>
        </w:rPr>
        <w:t>政府采购（自行采购）</w:t>
      </w:r>
      <w:r>
        <w:rPr>
          <w:rFonts w:hint="eastAsia"/>
          <w:color w:val="FF0000"/>
        </w:rPr>
        <w:t>制度改革精神，充分发挥</w:t>
      </w:r>
      <w:r>
        <w:rPr>
          <w:rFonts w:hint="eastAsia"/>
          <w:color w:val="FF0000"/>
          <w:lang w:eastAsia="zh-CN"/>
        </w:rPr>
        <w:t>政府采购（自行采购）</w:t>
      </w:r>
      <w:r>
        <w:rPr>
          <w:rFonts w:hint="eastAsia"/>
          <w:color w:val="FF0000"/>
        </w:rPr>
        <w:t>扶持中小企业发展的政策功能，缓解中小微企业融资难、融资贵的问题，根据《深圳市财政局关于加大力度运用</w:t>
      </w:r>
      <w:r>
        <w:rPr>
          <w:rFonts w:hint="eastAsia"/>
          <w:color w:val="FF0000"/>
          <w:lang w:eastAsia="zh-CN"/>
        </w:rPr>
        <w:t>政府采购（自行采购）</w:t>
      </w:r>
      <w:r>
        <w:rPr>
          <w:rFonts w:hint="eastAsia"/>
          <w:color w:val="FF0000"/>
        </w:rPr>
        <w:t>订单融资政策支持企业发展的通知》要求，参与深圳市</w:t>
      </w:r>
      <w:r>
        <w:rPr>
          <w:rFonts w:hint="eastAsia"/>
          <w:color w:val="FF0000"/>
          <w:lang w:eastAsia="zh-CN"/>
        </w:rPr>
        <w:t>政府采购（自行采购）</w:t>
      </w:r>
      <w:r>
        <w:rPr>
          <w:rFonts w:hint="eastAsia"/>
          <w:color w:val="FF0000"/>
        </w:rPr>
        <w:t>活动供应商可凭借所获取的深圳市</w:t>
      </w:r>
      <w:r>
        <w:rPr>
          <w:rFonts w:hint="eastAsia"/>
          <w:color w:val="FF0000"/>
          <w:lang w:eastAsia="zh-CN"/>
        </w:rPr>
        <w:t>政府采购（自行采购）</w:t>
      </w:r>
      <w:r>
        <w:rPr>
          <w:rFonts w:hint="eastAsia"/>
          <w:color w:val="FF0000"/>
        </w:rPr>
        <w:t>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2" w:firstLineChars="200"/>
        <w:rPr>
          <w:rFonts w:hint="eastAsia"/>
          <w:b/>
          <w:bCs/>
          <w:lang w:val="en-US" w:eastAsia="zh-CN"/>
        </w:rPr>
      </w:pPr>
      <w:r>
        <w:rPr>
          <w:rFonts w:hint="eastAsia"/>
          <w:b/>
          <w:bCs/>
          <w:lang w:val="en-US" w:eastAsia="zh-CN"/>
        </w:rPr>
        <w:t>3</w:t>
      </w:r>
      <w:r>
        <w:rPr>
          <w:rFonts w:hint="eastAsia" w:ascii="Times New Roman" w:eastAsia="宋体"/>
          <w:b/>
          <w:bCs/>
          <w:lang w:val="en-US" w:eastAsia="zh-CN"/>
        </w:rPr>
        <w:t>、本项目为代理服务项目，将向中标（成交）供应商收取代理服务费。</w:t>
      </w:r>
    </w:p>
    <w:p>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宝安分公司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货物</w:t>
      </w:r>
      <w:r>
        <w:rPr>
          <w:rFonts w:hint="eastAsia"/>
          <w:b/>
          <w:color w:val="FF0000"/>
        </w:rPr>
        <w:t>采购：</w:t>
      </w:r>
    </w:p>
    <w:p>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 xml:space="preserve">备注：1.每宗交易代理服务费不低于 </w:t>
      </w:r>
      <w:r>
        <w:rPr>
          <w:rFonts w:hint="eastAsia" w:ascii="Times New Roman" w:eastAsia="宋体"/>
          <w:lang w:val="en-US" w:eastAsia="zh-CN"/>
        </w:rPr>
        <w:t>5</w:t>
      </w:r>
      <w:r>
        <w:rPr>
          <w:rFonts w:hint="eastAsia"/>
        </w:rPr>
        <w:t>000 元；</w:t>
      </w:r>
    </w:p>
    <w:p>
      <w:pPr>
        <w:ind w:firstLine="420" w:firstLineChars="200"/>
        <w:rPr>
          <w:rFonts w:hint="eastAsia" w:eastAsia="宋体"/>
          <w:lang w:eastAsia="zh-CN"/>
        </w:rPr>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pPr>
        <w:ind w:firstLine="420" w:firstLineChars="200"/>
      </w:pPr>
    </w:p>
    <w:p>
      <w:pPr>
        <w:ind w:firstLine="420" w:firstLineChars="200"/>
      </w:pPr>
      <w:r>
        <w:rPr>
          <w:rFonts w:hint="eastAsia"/>
        </w:rPr>
        <w:t>如某货物采购项目，中标（成交）金额为600万元，总共交纳的代理服务费的具体计算过程如下：</w:t>
      </w:r>
    </w:p>
    <w:p>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pPr>
        <w:ind w:firstLine="420" w:firstLineChars="200"/>
        <w:rPr>
          <w:b/>
        </w:rPr>
      </w:pPr>
      <w:r>
        <w:rPr>
          <w:rFonts w:hint="eastAsia"/>
        </w:rPr>
        <w:t>（</w:t>
      </w:r>
      <w:r>
        <w:rPr>
          <w:rFonts w:hint="eastAsia" w:ascii="Times New Roman" w:eastAsia="宋体"/>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eastAsia="宋体"/>
          <w:lang w:eastAsia="zh-CN"/>
        </w:rPr>
        <w:t>（</w:t>
      </w:r>
      <w:r>
        <w:rPr>
          <w:rFonts w:hint="eastAsia" w:ascii="Times New Roman" w:eastAsia="宋体"/>
          <w:lang w:val="en-US" w:eastAsia="zh-CN"/>
        </w:rPr>
        <w:t>付款</w:t>
      </w:r>
      <w:r>
        <w:rPr>
          <w:rFonts w:hint="eastAsia" w:eastAsia="宋体"/>
          <w:lang w:eastAsia="zh-CN"/>
        </w:rPr>
        <w:t>）</w:t>
      </w:r>
      <w:r>
        <w:rPr>
          <w:rFonts w:hint="eastAsia"/>
        </w:rPr>
        <w:t>通知书执行。</w:t>
      </w:r>
    </w:p>
    <w:p>
      <w:pPr>
        <w:pStyle w:val="2"/>
        <w:rPr>
          <w:b/>
        </w:rPr>
      </w:pPr>
    </w:p>
    <w:p>
      <w:pPr>
        <w:pStyle w:val="14"/>
        <w:rPr>
          <w:b/>
        </w:rPr>
      </w:pPr>
    </w:p>
    <w:p>
      <w:pPr>
        <w:pStyle w:val="14"/>
        <w:rPr>
          <w:b/>
        </w:rPr>
      </w:pPr>
    </w:p>
    <w:p>
      <w:pPr>
        <w:pStyle w:val="14"/>
        <w:rPr>
          <w:b/>
        </w:rPr>
        <w:sectPr>
          <w:pgSz w:w="11907" w:h="16840"/>
          <w:pgMar w:top="1440" w:right="1797" w:bottom="1440" w:left="1797" w:header="851" w:footer="992" w:gutter="0"/>
          <w:cols w:space="425" w:num="1"/>
          <w:titlePg/>
          <w:docGrid w:linePitch="462" w:charSpace="0"/>
        </w:sectPr>
      </w:pPr>
    </w:p>
    <w:bookmarkEnd w:id="34"/>
    <w:p>
      <w:pPr>
        <w:pStyle w:val="7"/>
        <w:jc w:val="center"/>
        <w:rPr>
          <w:sz w:val="28"/>
          <w:szCs w:val="28"/>
        </w:rPr>
      </w:pPr>
      <w:r>
        <w:rPr>
          <w:rFonts w:hint="eastAsia"/>
          <w:sz w:val="28"/>
          <w:szCs w:val="28"/>
        </w:rPr>
        <w:t>第三章 用户需求书</w:t>
      </w:r>
    </w:p>
    <w:p>
      <w:pPr>
        <w:pStyle w:val="7"/>
        <w:spacing w:before="120" w:beforeLines="50" w:after="120" w:afterLines="50"/>
        <w:jc w:val="center"/>
        <w:rPr>
          <w:szCs w:val="24"/>
        </w:rPr>
      </w:pPr>
      <w:r>
        <w:rPr>
          <w:rFonts w:hint="eastAsia"/>
          <w:szCs w:val="24"/>
        </w:rPr>
        <w:t>一、项目基本信息</w:t>
      </w:r>
    </w:p>
    <w:p>
      <w:pPr>
        <w:rPr>
          <w:rFonts w:ascii="宋体" w:hAnsi="宋体"/>
          <w:b/>
          <w:color w:val="FF0000"/>
          <w:szCs w:val="21"/>
        </w:rPr>
      </w:pP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3158"/>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szCs w:val="21"/>
              </w:rPr>
            </w:pPr>
            <w:r>
              <w:rPr>
                <w:rFonts w:hint="eastAsia"/>
                <w:bCs/>
                <w:szCs w:val="21"/>
              </w:rPr>
              <w:t>序号</w:t>
            </w:r>
          </w:p>
        </w:tc>
        <w:tc>
          <w:tcPr>
            <w:tcW w:w="2603" w:type="dxa"/>
            <w:vAlign w:val="center"/>
          </w:tcPr>
          <w:p>
            <w:pPr>
              <w:jc w:val="center"/>
              <w:rPr>
                <w:bCs/>
                <w:szCs w:val="21"/>
              </w:rPr>
            </w:pPr>
            <w:r>
              <w:rPr>
                <w:rFonts w:hint="eastAsia"/>
                <w:szCs w:val="21"/>
              </w:rPr>
              <w:t>采购计划编号</w:t>
            </w:r>
          </w:p>
        </w:tc>
        <w:tc>
          <w:tcPr>
            <w:tcW w:w="3158" w:type="dxa"/>
            <w:vAlign w:val="center"/>
          </w:tcPr>
          <w:p>
            <w:pPr>
              <w:jc w:val="center"/>
              <w:rPr>
                <w:bCs/>
                <w:szCs w:val="21"/>
              </w:rPr>
            </w:pPr>
            <w:r>
              <w:rPr>
                <w:rFonts w:hint="eastAsia"/>
                <w:bCs/>
                <w:szCs w:val="21"/>
              </w:rPr>
              <w:t>采购项目名称</w:t>
            </w:r>
          </w:p>
        </w:tc>
        <w:tc>
          <w:tcPr>
            <w:tcW w:w="2355" w:type="dxa"/>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color w:val="FF0000"/>
                <w:szCs w:val="21"/>
              </w:rPr>
            </w:pPr>
            <w:r>
              <w:rPr>
                <w:rFonts w:hint="eastAsia"/>
                <w:bCs/>
                <w:color w:val="FF0000"/>
                <w:szCs w:val="21"/>
              </w:rPr>
              <w:t>1</w:t>
            </w:r>
          </w:p>
        </w:tc>
        <w:tc>
          <w:tcPr>
            <w:tcW w:w="2603" w:type="dxa"/>
            <w:vAlign w:val="center"/>
          </w:tcPr>
          <w:p>
            <w:pPr>
              <w:jc w:val="center"/>
              <w:rPr>
                <w:bCs/>
                <w:color w:val="FF0000"/>
                <w:szCs w:val="21"/>
              </w:rPr>
            </w:pPr>
            <w:r>
              <w:rPr>
                <w:rFonts w:hint="eastAsia"/>
                <w:bCs/>
                <w:color w:val="FF0000"/>
                <w:szCs w:val="21"/>
                <w:lang w:val="en-US" w:eastAsia="zh-CN"/>
              </w:rPr>
              <w:t>BAJYJ2025061207351A</w:t>
            </w:r>
          </w:p>
        </w:tc>
        <w:tc>
          <w:tcPr>
            <w:tcW w:w="3158" w:type="dxa"/>
            <w:vAlign w:val="center"/>
          </w:tcPr>
          <w:p>
            <w:pPr>
              <w:jc w:val="center"/>
              <w:rPr>
                <w:b/>
                <w:bCs/>
                <w:color w:val="FF0000"/>
                <w:szCs w:val="21"/>
              </w:rPr>
            </w:pPr>
            <w:r>
              <w:rPr>
                <w:rFonts w:hint="eastAsia"/>
                <w:b/>
                <w:bCs/>
                <w:color w:val="FF0000"/>
                <w:szCs w:val="21"/>
                <w:lang w:eastAsia="zh-CN"/>
              </w:rPr>
              <w:t>深圳市宝安区机关第二幼儿园（深圳市宝安区新安未来之光幼儿园）班组部门设备</w:t>
            </w:r>
            <w:r>
              <w:rPr>
                <w:rFonts w:hint="eastAsia"/>
                <w:b/>
                <w:bCs/>
                <w:color w:val="FF0000"/>
                <w:szCs w:val="21"/>
                <w:lang w:val="en-US" w:eastAsia="zh-CN"/>
              </w:rPr>
              <w:t>采购</w:t>
            </w:r>
          </w:p>
        </w:tc>
        <w:tc>
          <w:tcPr>
            <w:tcW w:w="2355" w:type="dxa"/>
            <w:vAlign w:val="center"/>
          </w:tcPr>
          <w:p>
            <w:pPr>
              <w:jc w:val="center"/>
              <w:rPr>
                <w:rFonts w:hint="default" w:eastAsiaTheme="minorEastAsia"/>
                <w:bCs/>
                <w:color w:val="FF0000"/>
                <w:szCs w:val="21"/>
                <w:lang w:val="en-US" w:eastAsia="zh-CN"/>
              </w:rPr>
            </w:pPr>
            <w:r>
              <w:rPr>
                <w:rFonts w:hint="eastAsia"/>
                <w:bCs/>
                <w:color w:val="FF0000"/>
                <w:szCs w:val="21"/>
              </w:rPr>
              <w:t>378000</w:t>
            </w:r>
            <w:r>
              <w:rPr>
                <w:rFonts w:hint="eastAsia"/>
                <w:bCs/>
                <w:color w:val="FF0000"/>
                <w:szCs w:val="21"/>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4" w:type="dxa"/>
            <w:gridSpan w:val="3"/>
            <w:vAlign w:val="center"/>
          </w:tcPr>
          <w:p>
            <w:pPr>
              <w:jc w:val="center"/>
              <w:rPr>
                <w:b/>
                <w:bCs/>
                <w:color w:val="FF0000"/>
                <w:szCs w:val="21"/>
              </w:rPr>
            </w:pPr>
            <w:r>
              <w:rPr>
                <w:b/>
                <w:bCs/>
                <w:color w:val="FF0000"/>
                <w:szCs w:val="21"/>
              </w:rPr>
              <w:t>合计</w:t>
            </w:r>
          </w:p>
        </w:tc>
        <w:tc>
          <w:tcPr>
            <w:tcW w:w="2355" w:type="dxa"/>
            <w:vAlign w:val="center"/>
          </w:tcPr>
          <w:p>
            <w:pPr>
              <w:jc w:val="center"/>
              <w:rPr>
                <w:bCs/>
                <w:color w:val="FF0000"/>
                <w:szCs w:val="21"/>
              </w:rPr>
            </w:pPr>
            <w:r>
              <w:rPr>
                <w:rFonts w:hint="eastAsia"/>
                <w:bCs/>
                <w:color w:val="FF0000"/>
                <w:szCs w:val="21"/>
              </w:rPr>
              <w:t>378000</w:t>
            </w:r>
            <w:r>
              <w:rPr>
                <w:rFonts w:hint="eastAsia"/>
                <w:bCs/>
                <w:color w:val="FF0000"/>
                <w:szCs w:val="21"/>
                <w:lang w:val="en-US" w:eastAsia="zh-CN"/>
              </w:rPr>
              <w:t>.00</w:t>
            </w:r>
          </w:p>
        </w:tc>
      </w:tr>
    </w:tbl>
    <w:p>
      <w:pPr>
        <w:rPr>
          <w:rFonts w:ascii="宋体" w:hAnsi="宋体"/>
          <w:b/>
          <w:color w:val="FF0000"/>
          <w:szCs w:val="21"/>
        </w:rPr>
      </w:pPr>
    </w:p>
    <w:p>
      <w:pPr>
        <w:rPr>
          <w:rFonts w:ascii="宋体" w:hAnsi="宋体"/>
          <w:b/>
          <w:color w:val="FF0000"/>
          <w:szCs w:val="21"/>
        </w:rPr>
      </w:pPr>
    </w:p>
    <w:p>
      <w:pPr>
        <w:pStyle w:val="7"/>
        <w:spacing w:before="120" w:beforeLines="50" w:after="120" w:afterLines="50"/>
        <w:jc w:val="center"/>
        <w:rPr>
          <w:szCs w:val="24"/>
        </w:rPr>
      </w:pPr>
      <w:bookmarkStart w:id="37" w:name="_Hlk72258617"/>
      <w:r>
        <w:rPr>
          <w:rFonts w:hint="eastAsia"/>
          <w:szCs w:val="24"/>
        </w:rPr>
        <w:t>二、</w:t>
      </w:r>
      <w:bookmarkStart w:id="38" w:name="_Hlk72073432"/>
      <w:r>
        <w:rPr>
          <w:rFonts w:hint="eastAsia"/>
          <w:szCs w:val="24"/>
        </w:rPr>
        <w:t>货物需求明细</w:t>
      </w:r>
      <w:bookmarkEnd w:id="38"/>
    </w:p>
    <w:tbl>
      <w:tblPr>
        <w:tblStyle w:val="17"/>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94"/>
        <w:gridCol w:w="2120"/>
        <w:gridCol w:w="939"/>
        <w:gridCol w:w="913"/>
        <w:gridCol w:w="893"/>
        <w:gridCol w:w="1042"/>
        <w:gridCol w:w="895"/>
        <w:gridCol w:w="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采购计划编号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货物名称（标的名称）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是否接受进口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是否专门面向中小企业</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FF0000"/>
                <w:sz w:val="21"/>
                <w:szCs w:val="21"/>
                <w:u w:val="none"/>
              </w:rPr>
            </w:pPr>
            <w:r>
              <w:rPr>
                <w:rFonts w:hint="eastAsia" w:ascii="宋体" w:hAnsi="宋体" w:eastAsia="宋体" w:cs="宋体"/>
                <w:b/>
                <w:i w:val="0"/>
                <w:color w:val="FF0000"/>
                <w:kern w:val="0"/>
                <w:sz w:val="21"/>
                <w:szCs w:val="21"/>
                <w:u w:val="none"/>
                <w:lang w:val="en-US" w:eastAsia="zh-CN" w:bidi="ar"/>
              </w:rPr>
              <w:t>标的所属行业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BAJYJ2025061207351A</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玩具柜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拒绝进口</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活动柜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4人幼儿桌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圆木椅</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6人长方桌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半圆桌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中空5格玩具柜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2层45度弧形柜-实木</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基本图书柜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幼儿床</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床托</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美术长桌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儿童操作台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不锈钢水杯架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毛巾挂钩</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中空两层柜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中空五格柜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九格柜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三格柜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两层90度弧形柜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柜体入口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图书柜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贩卖台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布偶台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灶台柜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微波炉/冰箱柜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幼儿洗衣机柜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洗涤台/洗碗机柜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幼教椅</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三角支架毛巾架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换尿布柜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尿布垫</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pPr>
        <w:numPr>
          <w:ilvl w:val="0"/>
          <w:numId w:val="6"/>
        </w:numPr>
        <w:ind w:firstLine="422"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numPr>
          <w:ilvl w:val="0"/>
          <w:numId w:val="6"/>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w:t>
      </w:r>
      <w:r>
        <w:rPr>
          <w:rFonts w:hint="eastAsia" w:ascii="宋体" w:hAnsi="宋体" w:eastAsia="宋体" w:cs="Times New Roman"/>
          <w:b/>
          <w:color w:val="FF0000"/>
          <w:szCs w:val="21"/>
        </w:rPr>
        <w:t>如注明有单价控制金额的产品，投标人对该产品的报价不得超过控制金额，否则将作投标无效处理。</w:t>
      </w:r>
    </w:p>
    <w:p>
      <w:pPr>
        <w:numPr>
          <w:ilvl w:val="0"/>
          <w:numId w:val="6"/>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ind w:firstLine="422" w:firstLineChars="200"/>
        <w:rPr>
          <w:rFonts w:ascii="宋体" w:hAnsi="宋体"/>
          <w:b/>
          <w:color w:val="FF0000"/>
          <w:szCs w:val="21"/>
        </w:rPr>
      </w:pPr>
      <w:r>
        <w:rPr>
          <w:rFonts w:hint="eastAsia" w:ascii="宋体" w:hAnsi="宋体"/>
          <w:b/>
          <w:color w:val="FF0000"/>
          <w:szCs w:val="21"/>
          <w:lang w:val="en-US" w:eastAsia="zh-CN"/>
        </w:rPr>
        <w:t>5</w:t>
      </w:r>
      <w:r>
        <w:rPr>
          <w:rFonts w:hint="eastAsia" w:ascii="宋体" w:hAnsi="宋体"/>
          <w:b/>
          <w:color w:val="FF0000"/>
          <w:szCs w:val="21"/>
        </w:rPr>
        <w:t>、本项目核心产品为：</w:t>
      </w:r>
      <w:r>
        <w:rPr>
          <w:rFonts w:hint="eastAsia" w:ascii="宋体" w:hAnsi="宋体"/>
          <w:b/>
          <w:color w:val="FF0000"/>
          <w:szCs w:val="21"/>
          <w:u w:val="single"/>
        </w:rPr>
        <w:t xml:space="preserve">   </w:t>
      </w:r>
      <w:r>
        <w:rPr>
          <w:rFonts w:hint="eastAsia" w:ascii="宋体" w:hAnsi="宋体"/>
          <w:b/>
          <w:color w:val="FF0000"/>
          <w:szCs w:val="21"/>
          <w:u w:val="single"/>
          <w:lang w:val="en-US" w:eastAsia="zh-CN"/>
        </w:rPr>
        <w:t>平板床</w:t>
      </w:r>
      <w:r>
        <w:rPr>
          <w:rFonts w:hint="eastAsia" w:ascii="宋体" w:hAnsi="宋体"/>
          <w:b/>
          <w:color w:val="FF0000"/>
          <w:szCs w:val="21"/>
          <w:u w:val="single"/>
        </w:rPr>
        <w:t xml:space="preserve">   </w:t>
      </w:r>
      <w:r>
        <w:rPr>
          <w:rFonts w:hint="eastAsia" w:ascii="宋体" w:hAnsi="宋体"/>
          <w:b/>
          <w:color w:val="FF0000"/>
          <w:szCs w:val="21"/>
        </w:rPr>
        <w:t>。</w:t>
      </w:r>
    </w:p>
    <w:bookmarkEnd w:id="37"/>
    <w:p>
      <w:pPr>
        <w:rPr>
          <w:rFonts w:ascii="宋体" w:hAnsi="宋体"/>
          <w:b/>
          <w:color w:val="FF0000"/>
          <w:szCs w:val="21"/>
        </w:rPr>
      </w:pPr>
    </w:p>
    <w:p>
      <w:pPr>
        <w:pStyle w:val="2"/>
      </w:pPr>
    </w:p>
    <w:p>
      <w:pPr>
        <w:pStyle w:val="7"/>
        <w:spacing w:before="120" w:beforeLines="50" w:after="120" w:afterLines="50"/>
        <w:jc w:val="center"/>
        <w:rPr>
          <w:sz w:val="28"/>
          <w:szCs w:val="28"/>
        </w:rPr>
      </w:pPr>
      <w:bookmarkStart w:id="39" w:name="_Toc128884461"/>
      <w:r>
        <w:rPr>
          <w:rFonts w:hint="eastAsia"/>
          <w:sz w:val="28"/>
          <w:szCs w:val="28"/>
        </w:rPr>
        <w:t>三、实质性条款</w:t>
      </w:r>
    </w:p>
    <w:tbl>
      <w:tblPr>
        <w:tblStyle w:val="17"/>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noWrap w:val="0"/>
            <w:vAlign w:val="center"/>
          </w:tcPr>
          <w:p>
            <w:r>
              <w:rPr>
                <w:rFonts w:hint="eastAsia"/>
              </w:rPr>
              <w:t>序号</w:t>
            </w:r>
          </w:p>
        </w:tc>
        <w:tc>
          <w:tcPr>
            <w:tcW w:w="7832" w:type="dxa"/>
            <w:noWrap w:val="0"/>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noWrap w:val="0"/>
            <w:vAlign w:val="top"/>
          </w:tcPr>
          <w:p>
            <w:pPr>
              <w:jc w:val="center"/>
            </w:pPr>
            <w:r>
              <w:rPr>
                <w:rFonts w:hint="eastAsia"/>
              </w:rPr>
              <w:t>1</w:t>
            </w:r>
          </w:p>
        </w:tc>
        <w:tc>
          <w:tcPr>
            <w:tcW w:w="7832" w:type="dxa"/>
            <w:noWrap w:val="0"/>
            <w:vAlign w:val="top"/>
          </w:tcPr>
          <w:p>
            <w:pPr>
              <w:jc w:val="center"/>
              <w:rPr>
                <w:rFonts w:hint="eastAsia" w:eastAsia="宋体"/>
                <w:lang w:eastAsia="zh-CN"/>
              </w:rPr>
            </w:pPr>
            <w:r>
              <w:rPr>
                <w:rFonts w:hint="eastAsia"/>
              </w:rPr>
              <w:t>本项目招标文件中所有带★号条款</w:t>
            </w:r>
            <w:r>
              <w:rPr>
                <w:rFonts w:hint="eastAsia"/>
                <w:lang w:val="en-US" w:eastAsia="zh-CN"/>
              </w:rPr>
              <w:t>内容</w:t>
            </w:r>
          </w:p>
        </w:tc>
      </w:tr>
    </w:tbl>
    <w:p>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bookmarkEnd w:id="39"/>
    <w:p>
      <w:pPr>
        <w:spacing w:afterLines="25" w:line="300" w:lineRule="auto"/>
        <w:rPr>
          <w:rFonts w:ascii="Arial" w:hAnsi="Arial" w:eastAsia="宋体" w:cs="Times New Roman"/>
          <w:szCs w:val="24"/>
        </w:rPr>
      </w:pPr>
    </w:p>
    <w:p>
      <w:pPr>
        <w:widowControl/>
        <w:jc w:val="left"/>
        <w:rPr>
          <w:rFonts w:ascii="Arial" w:hAnsi="Arial" w:eastAsia="宋体" w:cs="Times New Roman"/>
          <w:szCs w:val="24"/>
        </w:rPr>
      </w:pPr>
    </w:p>
    <w:p>
      <w:pPr>
        <w:pStyle w:val="2"/>
      </w:pPr>
    </w:p>
    <w:p>
      <w:pPr>
        <w:pStyle w:val="7"/>
        <w:spacing w:before="120" w:beforeLines="50" w:after="120" w:afterLines="50"/>
        <w:jc w:val="center"/>
        <w:rPr>
          <w:sz w:val="28"/>
          <w:szCs w:val="28"/>
        </w:rPr>
      </w:pPr>
      <w:r>
        <w:rPr>
          <w:rFonts w:hint="eastAsia"/>
          <w:sz w:val="28"/>
          <w:szCs w:val="28"/>
          <w:lang w:val="en-US" w:eastAsia="zh-CN"/>
        </w:rPr>
        <w:t>四</w:t>
      </w:r>
      <w:r>
        <w:rPr>
          <w:rFonts w:hint="eastAsia"/>
          <w:sz w:val="28"/>
          <w:szCs w:val="28"/>
        </w:rPr>
        <w:t>、技术要求</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ascii="宋体" w:hAnsi="宋体" w:eastAsia="宋体" w:cs="Times New Roman"/>
          <w:b/>
          <w:color w:val="FF0000"/>
          <w:szCs w:val="21"/>
          <w:highlight w:val="none"/>
        </w:rPr>
      </w:pPr>
      <w:r>
        <w:rPr>
          <w:rFonts w:hint="eastAsia" w:ascii="宋体" w:hAnsi="宋体" w:eastAsia="宋体" w:cs="Times New Roman"/>
          <w:b/>
          <w:color w:val="FF0000"/>
          <w:szCs w:val="21"/>
          <w:highlight w:val="none"/>
        </w:rPr>
        <w:t>说明：</w:t>
      </w:r>
      <w:r>
        <w:rPr>
          <w:b/>
          <w:szCs w:val="21"/>
        </w:rPr>
        <w:t xml:space="preserve"> </w:t>
      </w:r>
      <w:bookmarkStart w:id="40"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w:t>
      </w:r>
      <w:r>
        <w:rPr>
          <w:rFonts w:hint="eastAsia" w:ascii="宋体" w:hAnsi="宋体" w:eastAsia="宋体" w:cs="Times New Roman"/>
          <w:b/>
          <w:color w:val="FF0000"/>
          <w:szCs w:val="21"/>
          <w:highlight w:val="none"/>
        </w:rPr>
        <w:t>，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2、所列的技术</w:t>
      </w:r>
      <w:r>
        <w:rPr>
          <w:rFonts w:ascii="Calibri" w:hAnsi="Calibri" w:eastAsia="宋体" w:cs="Times New Roman"/>
          <w:color w:val="FF0000"/>
          <w:szCs w:val="21"/>
          <w:highlight w:val="none"/>
        </w:rPr>
        <w:t>参数</w:t>
      </w:r>
      <w:r>
        <w:rPr>
          <w:rFonts w:hint="eastAsia" w:ascii="Calibri" w:hAnsi="Calibri" w:eastAsia="宋体" w:cs="Times New Roman"/>
          <w:color w:val="FF0000"/>
          <w:szCs w:val="21"/>
          <w:highlight w:val="none"/>
        </w:rPr>
        <w:t>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3、如有</w:t>
      </w:r>
      <w:r>
        <w:rPr>
          <w:rFonts w:ascii="Calibri" w:hAnsi="Calibri" w:eastAsia="宋体" w:cs="Times New Roman"/>
          <w:color w:val="FF0000"/>
          <w:szCs w:val="21"/>
          <w:highlight w:val="none"/>
        </w:rPr>
        <w:t>方案表述中有出现类似可实现、</w:t>
      </w:r>
      <w:r>
        <w:rPr>
          <w:rFonts w:hint="eastAsia" w:ascii="Calibri" w:hAnsi="Calibri" w:eastAsia="宋体" w:cs="Times New Roman"/>
          <w:color w:val="FF0000"/>
          <w:szCs w:val="21"/>
          <w:highlight w:val="none"/>
        </w:rPr>
        <w:t>实现</w:t>
      </w:r>
      <w:r>
        <w:rPr>
          <w:rFonts w:ascii="Calibri" w:hAnsi="Calibri" w:eastAsia="宋体" w:cs="Times New Roman"/>
          <w:color w:val="FF0000"/>
          <w:szCs w:val="21"/>
          <w:highlight w:val="none"/>
        </w:rPr>
        <w:t>、</w:t>
      </w:r>
      <w:r>
        <w:rPr>
          <w:rFonts w:hint="eastAsia" w:ascii="Calibri" w:hAnsi="Calibri" w:eastAsia="宋体" w:cs="Times New Roman"/>
          <w:color w:val="FF0000"/>
          <w:szCs w:val="21"/>
          <w:highlight w:val="none"/>
        </w:rPr>
        <w:t>可</w:t>
      </w:r>
      <w:r>
        <w:rPr>
          <w:rFonts w:ascii="Calibri" w:hAnsi="Calibri" w:eastAsia="宋体" w:cs="Times New Roman"/>
          <w:color w:val="FF0000"/>
          <w:szCs w:val="21"/>
          <w:highlight w:val="none"/>
        </w:rPr>
        <w:t>支持、支持</w:t>
      </w:r>
      <w:r>
        <w:rPr>
          <w:rFonts w:hint="eastAsia" w:ascii="Calibri" w:hAnsi="Calibri" w:eastAsia="宋体" w:cs="Times New Roman"/>
          <w:color w:val="FF0000"/>
          <w:szCs w:val="21"/>
          <w:highlight w:val="none"/>
        </w:rPr>
        <w:t>等</w:t>
      </w:r>
      <w:r>
        <w:rPr>
          <w:rFonts w:ascii="Calibri" w:hAnsi="Calibri" w:eastAsia="宋体" w:cs="Times New Roman"/>
          <w:color w:val="FF0000"/>
          <w:szCs w:val="21"/>
          <w:highlight w:val="none"/>
        </w:rPr>
        <w:t>描述的，均表示方案需要实现的功能或</w:t>
      </w:r>
      <w:r>
        <w:rPr>
          <w:rFonts w:hint="eastAsia" w:ascii="Calibri" w:hAnsi="Calibri" w:eastAsia="宋体" w:cs="Times New Roman"/>
          <w:color w:val="FF0000"/>
          <w:szCs w:val="21"/>
          <w:highlight w:val="none"/>
        </w:rPr>
        <w:t>应满足的</w:t>
      </w:r>
      <w:r>
        <w:rPr>
          <w:rFonts w:ascii="Calibri" w:hAnsi="Calibri" w:eastAsia="宋体" w:cs="Times New Roman"/>
          <w:color w:val="FF0000"/>
          <w:szCs w:val="21"/>
          <w:highlight w:val="none"/>
        </w:rPr>
        <w:t>要求，即项目在验收时无须增加其他</w:t>
      </w:r>
      <w:r>
        <w:rPr>
          <w:rFonts w:hint="eastAsia" w:ascii="Calibri" w:hAnsi="Calibri" w:eastAsia="宋体" w:cs="Times New Roman"/>
          <w:color w:val="FF0000"/>
          <w:szCs w:val="21"/>
          <w:highlight w:val="none"/>
        </w:rPr>
        <w:t>额外</w:t>
      </w:r>
      <w:r>
        <w:rPr>
          <w:rFonts w:ascii="Calibri" w:hAnsi="Calibri" w:eastAsia="宋体" w:cs="Times New Roman"/>
          <w:color w:val="FF0000"/>
          <w:szCs w:val="21"/>
          <w:highlight w:val="none"/>
        </w:rPr>
        <w:t>设备</w:t>
      </w:r>
      <w:r>
        <w:rPr>
          <w:rFonts w:hint="eastAsia" w:ascii="Calibri" w:hAnsi="Calibri" w:eastAsia="宋体" w:cs="Times New Roman"/>
          <w:color w:val="FF0000"/>
          <w:szCs w:val="21"/>
          <w:highlight w:val="none"/>
        </w:rPr>
        <w:t>或</w:t>
      </w:r>
      <w:r>
        <w:rPr>
          <w:rFonts w:ascii="Calibri" w:hAnsi="Calibri" w:eastAsia="宋体" w:cs="Times New Roman"/>
          <w:color w:val="FF0000"/>
          <w:szCs w:val="21"/>
          <w:highlight w:val="none"/>
        </w:rPr>
        <w:t>系统</w:t>
      </w:r>
      <w:r>
        <w:rPr>
          <w:rFonts w:hint="eastAsia" w:ascii="Calibri" w:hAnsi="Calibri" w:eastAsia="宋体" w:cs="Times New Roman"/>
          <w:color w:val="FF0000"/>
          <w:szCs w:val="21"/>
          <w:highlight w:val="none"/>
        </w:rPr>
        <w:t>，</w:t>
      </w:r>
      <w:r>
        <w:rPr>
          <w:rFonts w:ascii="Calibri" w:hAnsi="Calibri" w:eastAsia="宋体" w:cs="Times New Roman"/>
          <w:color w:val="FF0000"/>
          <w:szCs w:val="21"/>
          <w:highlight w:val="none"/>
        </w:rPr>
        <w:t>使用本项目中的设备或</w:t>
      </w:r>
      <w:r>
        <w:rPr>
          <w:rFonts w:hint="eastAsia" w:ascii="Calibri" w:hAnsi="Calibri" w:eastAsia="宋体" w:cs="Times New Roman"/>
          <w:color w:val="FF0000"/>
          <w:szCs w:val="21"/>
          <w:highlight w:val="none"/>
        </w:rPr>
        <w:t>系统</w:t>
      </w:r>
      <w:r>
        <w:rPr>
          <w:rFonts w:ascii="Calibri" w:hAnsi="Calibri" w:eastAsia="宋体" w:cs="Times New Roman"/>
          <w:color w:val="FF0000"/>
          <w:szCs w:val="21"/>
          <w:highlight w:val="none"/>
        </w:rPr>
        <w:t>即能实现</w:t>
      </w:r>
      <w:r>
        <w:rPr>
          <w:rFonts w:hint="eastAsia" w:ascii="Calibri" w:hAnsi="Calibri" w:eastAsia="宋体" w:cs="Times New Roman"/>
          <w:color w:val="FF0000"/>
          <w:szCs w:val="21"/>
          <w:highlight w:val="none"/>
        </w:rPr>
        <w:t>相应功能</w:t>
      </w:r>
      <w:r>
        <w:rPr>
          <w:rFonts w:ascii="Calibri" w:hAnsi="Calibri" w:eastAsia="宋体" w:cs="Times New Roman"/>
          <w:color w:val="FF0000"/>
          <w:szCs w:val="21"/>
          <w:highlight w:val="none"/>
        </w:rPr>
        <w:t>或</w:t>
      </w:r>
      <w:r>
        <w:rPr>
          <w:rFonts w:hint="eastAsia" w:ascii="Calibri" w:hAnsi="Calibri" w:eastAsia="宋体" w:cs="Times New Roman"/>
          <w:color w:val="FF0000"/>
          <w:szCs w:val="21"/>
          <w:highlight w:val="none"/>
        </w:rPr>
        <w:t>满足相关</w:t>
      </w:r>
      <w:r>
        <w:rPr>
          <w:rFonts w:ascii="Calibri" w:hAnsi="Calibri" w:eastAsia="宋体" w:cs="Times New Roman"/>
          <w:color w:val="FF0000"/>
          <w:szCs w:val="21"/>
          <w:highlight w:val="none"/>
        </w:rPr>
        <w:t>要求。</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highlight w:val="none"/>
          <w:lang w:val="en-US" w:eastAsia="zh-CN"/>
        </w:rPr>
      </w:pPr>
      <w:r>
        <w:rPr>
          <w:rFonts w:hint="eastAsia" w:ascii="Calibri" w:hAnsi="Calibri" w:eastAsia="宋体" w:cs="Times New Roman"/>
          <w:color w:val="FF0000"/>
          <w:szCs w:val="21"/>
          <w:highlight w:val="none"/>
          <w:shd w:val="clear" w:color="auto" w:fill="FFFF00"/>
          <w:lang w:val="en-US" w:eastAsia="zh-CN"/>
        </w:rPr>
        <w:t>4、</w:t>
      </w:r>
      <w:r>
        <w:rPr>
          <w:rFonts w:hint="eastAsia" w:ascii="Calibri" w:hAnsi="Calibri" w:eastAsia="宋体" w:cs="Times New Roman"/>
          <w:color w:val="FF0000"/>
          <w:szCs w:val="21"/>
          <w:highlight w:val="none"/>
          <w:shd w:val="clear" w:color="auto" w:fill="FFFF00"/>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eastAsia" w:ascii="Calibri" w:hAnsi="Calibri" w:eastAsia="宋体" w:cs="Times New Roman"/>
          <w:color w:val="FF0000"/>
          <w:szCs w:val="21"/>
          <w:highlight w:val="none"/>
          <w:lang w:val="en-US" w:eastAsia="zh-CN"/>
        </w:rPr>
        <w:t>5</w:t>
      </w:r>
      <w:r>
        <w:rPr>
          <w:rFonts w:hint="default" w:ascii="Calibri" w:hAnsi="Calibri" w:eastAsia="宋体" w:cs="Times New Roman"/>
          <w:color w:val="FF0000"/>
          <w:szCs w:val="21"/>
          <w:highlight w:val="none"/>
          <w:lang w:val="en-US" w:eastAsia="zh-CN"/>
        </w:rPr>
        <w:t>、针对招标文件产品技术参数如涉及相关既定值、</w:t>
      </w:r>
      <w:r>
        <w:rPr>
          <w:rFonts w:hint="default" w:ascii="Calibri" w:hAnsi="Calibri" w:eastAsia="宋体" w:cs="Times New Roman"/>
          <w:color w:val="FF0000"/>
          <w:szCs w:val="21"/>
          <w:lang w:val="en-US" w:eastAsia="zh-CN"/>
        </w:rPr>
        <w:t>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ind w:firstLine="422" w:firstLineChars="200"/>
        <w:rPr>
          <w:rFonts w:hint="eastAsia"/>
          <w:b/>
          <w:szCs w:val="21"/>
        </w:rPr>
      </w:pPr>
    </w:p>
    <w:bookmarkEnd w:id="40"/>
    <w:tbl>
      <w:tblPr>
        <w:tblStyle w:val="17"/>
        <w:tblW w:w="93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7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设备名称</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技术参数要求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玩具柜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 尺寸：（长120*宽30*高75/80cm）±10%，高75cm16个、高80cm32个；材质：柜子框架采用14mm±1mm厚橡胶木指接板，背板采用7.5mm±0.5mm厚浸渍胶膜纸饰面胶合板，柜子层板及边角均为圆角，表面经过3底2面水性漆处理，内部分</w:t>
            </w:r>
            <w:r>
              <w:rPr>
                <w:rStyle w:val="38"/>
                <w:lang w:val="en-US" w:eastAsia="zh-CN" w:bidi="ar"/>
              </w:rPr>
              <w:t>三层，打钉紧装结构。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 ▲橡胶木依据GB/T 1927.5-2021测定标准，其气干密度≥0.7g/cm³；依据LY/T 1985-2011测定标准，五氯苯酚含量为未检出；依据GB/T 1927.19-2021测定标准，板材硬度≥40N/mm²，符合合格要求；</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活动柜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 尺寸：（长120*宽30*高75/80cm）±10%，高75cm2个、高80cm4个；材质：柜子框架采用14mm±1mm厚橡胶木指接板，背板采用7.5mm±0.5mm厚浸渍胶膜纸饰面胶合板，柜子层板及边角均为圆角，表面经过3底2面水性漆处理，内部分四层12格，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 ▲浸渍胶膜纸饰面胶合板GB/T 34722-2017标准，板材无透底、纸板错位、鼓泡、分层、崩边及表面波纹现象，含水率应在6.0%至11.0%，胶合强度≥0.9MPa，表面耐水蒸气等级不低于4级，耐光色牢度不低于4级，均符合合格要求；依据GB/T 39600-2021标准，板材甲醛释放量检测结果为未检出，符合ENF级要求；依据LY/T 1926-2020检测标准，板材经抗菌性能检测（金黄色葡萄球菌、大肠杆菌试验），抗细菌率≥99%；</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 尺寸：（长86*宽40*高77cm）±10%；材质：柜子框架采用14mm±1mm厚橡胶木指接板，背板采用7.5mm±0.5mm厚浸渍胶膜纸饰面胶合板，柜子层板及边角均为圆角，表面经过3底2面水性漆处理，打钉紧装结构。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(6) ▲水性漆依据GB/T 23992-2009测定标准，氯代烃总和含量≤0.05%；依据GB/T 1768-2006测定标准，经耐磨性试验（1000转，500g负荷），质量损失≤50mg，符合合格要求；依据GB/T 37884-2019测定标准，挥发性有机化合物（VOC）释放量≤15μg/m³；</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4人幼儿桌</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 尺寸：（长60*宽60*高52/56cm）±10%，高52cm2张、高56cm4张；材质：桌子面板采用18mm±2mm厚橡胶木指接板，桌脚采用橡木木方，外露边角均为倒圆角，表面经过3底2面水性漆处理，打钉紧装结构。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(8) ▲幼儿桌依据GB/T 1927.7-2021测定标准，吸水性4%-8%，符合合格要求；依据LY/T 1985-2011测定标准，五氯苯酚含量为未检出；依据GB/T 39600-2021标准，甲醛释放量检测结果为未检出，符合ENF级要求；</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圆木椅</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 尺寸：（座高26/28cm）±10%，高26cm70张、高28cm140张；材质：椅面面板采用14mm±1mm橡胶木，椅脚为橡胶木方，椅脚为圆脚，外露边角均为倒圆角，表面经过3底2面水性漆处理，榫卯打钉紧装结构。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(10) ▲圆木椅依据GB/T 1927.9-2021测定标准，板材抗弯强度≥115Mpa；依据LY/T 1985-2011测定标准，五氯苯酚含量检测结果为未检出；依据GB/T 10357.3-2013 标准，经座面静载荷试验、椅背静载荷试验、座面耐久性试验、椅背耐久性试验、座面冲击试验、椅背冲击试验，所有零部件无断裂或豁裂，所有零部件应无影响使用功能的磨损或变形，符合合格要求；</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6人长方桌</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 尺寸：（长120*宽60*高52/56cm）±10%，高52cm12张、高56cm24张；材质：桌子面板采用18mm±2mm厚橡胶木指接板，桌脚采用橡木木方，外露边角均为倒圆角，表面经过3底2面水性漆处理，打钉紧装结构。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半圆桌</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 尺寸：（长120*宽60*高52/56cm）±10%，高52cm4张、高56cm8张；材质：桌子面板采用18mm±2mm厚橡胶木指接板，桌脚采用橡木木方，外露边角均为倒圆角，表面经过3底2面水性漆处理，打钉紧装结构。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中空5格玩具柜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 尺寸：（长120*宽30*高70/75/80cm）±10%，高75cm6个、高80cm12个；材质：柜子框架采用14mm±1mm厚橡胶木指接板，柜子层板及边角均为圆角，表面经过3底2面水性漆处理，上层两格，下层三格，打钉紧装结构。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2层45度弧形柜-实木</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 尺寸：（长60*宽30*高75/80cm）±10%，高75cm4个、高80cm8个；材质：柜子框架采用14mm±1mm厚橡胶木指接板，柜子层板及边角均为圆角，表面经过3底2面水性漆处理，打钉紧装结构。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基本图书柜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 尺寸：（长120*宽30*高75/80cm）±10%，高75cm2个、高80cm4个；材质：柜子框架采用14mm±1mm厚橡胶木指接板，柜子层板及边角均为圆角，表面经过3底2面水性漆处理，内部分四层，打钉紧装结构。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(16) ▲基本图书柜依据GB/T 4893.2-2020测定标准，经耐湿热试验（20min，70℃），耐湿热等级不低于2级；依据LY/T 1985-2011标准，五氯苯酚含量检测结果为未检出；依据GB/T 40904-2021测定标准，24种禁用芳香胺检测结果为未检出；</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 尺寸：（长120*宽60*高15cm）±10%；材质：采用12mm±1mm浸渍胶膜纸饰面胶合板。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幼儿床</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 尺寸：（长133*宽57*高19cm）±10%；材质：木质，四脚采用塑料脚可层叠。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床托</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 尺寸：（长136*宽58*高8cm）±10%；材质：钢管烤漆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美术长桌</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 尺寸：（长200*宽100*高52/56cm）±10%，高52cm2张、高56cm4张；材质：桌子面板采用18mm±2mm厚橡胶木指接板，桌脚采用橡木木方，外露边角均为倒圆角，表面经过3底2面水性漆处理，中间设置凹槽透明作品展示区，榫卯打钉紧装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吊柜1</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 尺寸：（长230*宽40*高50cm）±10%；材质：层板侧板均采用18mm±2mm厚浸渍胶膜纸饰面胶合板，采用PVC封边条，配件为五金件铰链，边角均为圆角；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(22) ▲PVC封边条依据GB/T 16422.2-2022 试验标准，经120hUV老化试验，样品表面无裂纹化，符合合格要求；依据QB/T 4463-2013标准，封边条甲醛释放量≤0.5mg/L，氯乙烯单体含量≤1.5mg/kg；依据GB/T 3830-2024标准，封边条拉伸强度≥15.0MPa，拉伸断裂应变≥185%，加热损失率≤1.0%；</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吊柜2</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 尺寸：（长200*宽45*高50cm）±10%；材质：层板侧板均采用18mm±2mm厚浸渍胶膜纸饰面胶合板，采用PVC封边条，配件为五金件铰链，边角均为圆角；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儿童操作台</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 尺寸：（长370*宽55*高55cm）±10%；材质：柜体采用18mm±2mm厚浸渍胶膜纸饰面胶合板，台面采用大理石板；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不锈钢水杯架</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 尺寸：（长55*宽12*高127cm）±10%；材质：304不锈钢，40位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毛巾挂钩</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 尺寸：（长100cm）±10%；材质：木质，9个挂位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 尺寸：（长80*宽29*高70cm）±10%；材质：主框架采用22mm±2mm厚枫木纹三聚氰胺双贴面橡胶木，层板采用15mm±1mm厚枫木纹三聚氰胺双贴面胶合板，背板为5mm±0.5mm枫木纹三聚氰胺双贴面密度板，木蜡油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(28) ▲木蜡油依据GB/T 27811-2011标准，细度≤15μm，经贮存稳定性试验（结皮性（24h）、沉降性（50±2）℃，7d），无结皮，无异常现象，苯含量为未检出，甲苯、二甲苯、乙苯含量总和为未检出，可溶性重金属（铅、镉、铬、汞）含量均未检出，经1h耐污染性（醋、茶）、1h耐碱性（50g/L NaHCO 溶液）、8h耐醇性试验，均无异常现象；依据GB/T 23992-2009测定标准，氯代烃含量为未检出，</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 尺寸：（长80*宽30*高70cm）±10%；材质：主框架采用22mm±2mm厚枫木纹三聚氰胺双贴面橡胶木，木蜡油封边，五金件紧固，柜体采用踢脚板设计，柜底配以耐磨塑胶PP脚钉。柜体内部格局分为三列，每列两侧板内侧各设置5根塑胶PP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中空两层柜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 尺寸：（长80*宽30*高48cm）±10%；材质：主框架采用22mm±2mm厚枫木纹三聚氰胺双贴面橡胶木板，层板采用15mm厚枫木纹三聚氰胺双贴面胶合板。木蜡油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中空五格柜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 尺寸：（长80*宽29*高48cm）±10%；材质：主框架采用22mm±2mm厚枫木纹三聚氰胺双贴面橡胶木，层板采用15mm厚枫木纹三聚氰胺双贴面胶合板。木蜡油封边，五金件紧固，柜体采用踢脚板设计，柜底配以耐磨塑胶PP脚钉，上层二格，下层三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九格柜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 尺寸：（长80*宽29*高70cm）±10%；材质：主框架采用22mm±2mm厚枫木纹三聚氰胺双贴面橡胶木，层板采用15mm±1mm厚枫木纹三聚氰胺双贴面胶合板，背板为5mm±0.5mm枫木纹三聚氰胺双贴面密度板，木蜡油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三格柜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(33) 尺寸：（长80*宽30*高29cm）±10%；材质：框体采用16mm±1mm厚枫木纹双贴面刨花板，背板为5mm厚枫木纹双贴面密度板，PVC封边条封边，五金件紧固，柜体采用踢脚板设计，柜底配以耐磨塑胶PP脚钉。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两层90度弧形柜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(34) 尺寸：（长84*宽38*高48cm）±10%；材质：主框架采用22mm±2mm厚枫木纹三聚氰胺双贴面橡胶木，层板采用15mm厚枫木纹三聚氰胺双贴面胶合板。木蜡油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柜体入口</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 尺寸：（长75*宽7.5*高123cm）±10%；材质：主立柱采用松木，油漆处理，入口门及门头采用15mm±1mm厚枫木纹三聚氰胺双贴面胶合，五金件紧固，防夹手设计，门轴缝隙全包裹。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图书柜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 尺寸：（长60*宽30*高50cm）±10%；材质：框体采用16mm±1mm厚枫木纹双贴面刨花板，PVC封边条封边，五金件紧固，柜体采用踢脚板设计，柜底配以耐磨塑胶PP脚钉。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贩卖台</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(37) 尺寸：（长60*宽*40高94cm）±10%；材质：</w:t>
            </w:r>
            <w:r>
              <w:rPr>
                <w:rStyle w:val="38"/>
                <w:lang w:val="en-US" w:eastAsia="zh-CN" w:bidi="ar"/>
              </w:rPr>
              <w:t>侧板采用22mm±2mm厚枫木纹双贴面橡胶木，顶板、中竖板、背板等其他板材采用15mm±1mm厚枫木纹双贴面胶合板，木蜡油封边，五金件紧固，布帘采用棉布，背面多功能沙发座椅设计，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布偶台</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(38) </w:t>
            </w:r>
            <w:r>
              <w:rPr>
                <w:rStyle w:val="38"/>
                <w:lang w:val="en-US" w:eastAsia="zh-CN" w:bidi="ar"/>
              </w:rPr>
              <w:t>尺寸：（长60*宽40*高96cm）±10%；材质：侧板采用22mm±2mm厚枫木纹双贴面橡胶木，顶板、中竖板、背板等其他板材采用15mm±1mm厚枫木纹双贴面胶合板，木蜡油封边，五金件紧固，布帘采用棉布，背面多功能沙发座椅设计，柜体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灶台柜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(39) 尺寸：（长39*宽37*高51cm）±10%；材质：框体采用16mm±1mm厚三聚氰胺双贴面高密度刨花板，PVC封边条封边，五金件紧固，厨房主题图案UV油墨打印工艺处理，采用踢脚板设计，柜底配以耐磨塑胶PP脚钉。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微波炉/冰箱柜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 尺寸：（长39*宽37*高71cm）±10%；材质：框体采用16mm±1mm厚三聚氰胺双贴面高密度刨花板，PVC封边条封边，五金件紧固，厨房主题图案UV油墨打印工艺处理，采用踢脚板设计，柜底配以耐磨塑胶PP脚钉。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9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(41) ▲油墨依据QB/T 5603-2021标准，着色力≥99%，细度≤10μm，挥发性有机化合物（VOCs）含量≤2.0%，干燥性（最低固化能量）≤35mJ/cm²。</w:t>
            </w:r>
            <w:r>
              <w:rPr>
                <w:rStyle w:val="38"/>
                <w:lang w:val="en-US" w:eastAsia="zh-CN" w:bidi="ar"/>
              </w:rPr>
              <w:t>（</w:t>
            </w:r>
            <w:r>
              <w:rPr>
                <w:rStyle w:val="39"/>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38"/>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幼儿洗衣机柜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(42) 尺寸：（长39*宽37*高51cm）±10%；材质：框体采用16mm±1mm厚三聚氰胺双贴面高密度刨花板，PVC封边条封边，五金件紧固，厨房主题图案UV油墨打印工艺处理，采用踢脚板设计，柜底配以耐磨塑胶PP脚钉。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洗涤台/洗碗机柜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(43) 尺寸：（长39*宽37*高51cm）±10%；材质：框体采用16mm±1mm厚三聚氰胺双贴面高密度刨花板，PVC封边条封边，五金件紧固，厨房主题图案UV油墨打印工艺处理，采用踢脚板设计，柜底配以耐磨塑胶PP脚钉。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4人桌</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(44) 尺寸：（长80*宽60*高52cm）±10%；材质：桌面采用25mm±2mm厚防火板双贴面松木，木蜡油封边，桌脚采用直径48mm±4mm桦木，油漆处理，五金件紧固，桌面背面设置有4个三瓣花造型ABS连接件，桌脚使用螺旋安装方式与桌面连接，桌脚底部配置塑料脚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幼教椅</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(45) 尺寸：（座高23cm）±10%；材质：整体采用实木橡胶木，木蜡油封边，五金件紧固，座椅靠背由一块弧形板及一根横撑组成，四个椅脚用工字型杆件连接，椅脚底部配以耐磨塑胶PP脚钉。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(46) 尺寸：（长120*宽60*高15cm）±10%；材质：采用12mm±1mm浸渍胶膜纸饰面胶合板。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三角支架毛巾架</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 尺寸：（长105*宽53*高75cm）±10%；材质：毛巾架两侧主支撑架采用18mm±1mm厚枫木纹双贴面胶合板，其他部位采用15mm±1mm厚枫木纹双贴面胶合板，木蜡油封边，五金件紧固，毛巾架配备金属烤漆挂钩，毛巾架底部配以4个万向轮（其中2个带锁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换尿布柜</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 尺寸：（长49*宽71*高79cm）±10%；材质：框体采用15mm±1mm厚三聚氰胺贴面胶合板，木蜡油封边，五金件紧固，底部配以耐磨塑胶PP脚钉。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尿布垫</w:t>
            </w:r>
          </w:p>
        </w:tc>
        <w:tc>
          <w:tcPr>
            <w:tcW w:w="7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(49) 尺寸：（长69*宽46*高13cm）±10%；材质：PVC+海绵。</w:t>
            </w:r>
          </w:p>
        </w:tc>
      </w:tr>
    </w:tbl>
    <w:p>
      <w:pPr>
        <w:rPr>
          <w:b/>
          <w:szCs w:val="21"/>
        </w:rPr>
      </w:pPr>
    </w:p>
    <w:p>
      <w:pPr>
        <w:rPr>
          <w:b/>
          <w:szCs w:val="21"/>
        </w:rPr>
      </w:pPr>
    </w:p>
    <w:p>
      <w:pPr>
        <w:pStyle w:val="7"/>
        <w:spacing w:before="120" w:beforeLines="50" w:after="120" w:afterLines="50"/>
        <w:jc w:val="center"/>
        <w:rPr>
          <w:sz w:val="28"/>
          <w:szCs w:val="28"/>
        </w:rPr>
      </w:pPr>
      <w:r>
        <w:rPr>
          <w:rFonts w:hint="eastAsia" w:ascii="宋体" w:hAnsi="宋体" w:eastAsia="宋体" w:cs="Times New Roman"/>
          <w:b/>
          <w:bCs/>
          <w:color w:val="FF0000"/>
          <w:szCs w:val="21"/>
        </w:rPr>
        <w:t>★</w:t>
      </w:r>
      <w:r>
        <w:rPr>
          <w:rFonts w:hint="eastAsia"/>
          <w:sz w:val="28"/>
          <w:szCs w:val="28"/>
        </w:rPr>
        <w:t>五、商务要求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ind w:firstLine="422" w:firstLineChars="200"/>
        <w:rPr>
          <w:b/>
          <w:szCs w:val="21"/>
        </w:rPr>
      </w:pPr>
      <w:r>
        <w:rPr>
          <w:b/>
          <w:szCs w:val="21"/>
        </w:rPr>
        <w:t>2</w:t>
      </w:r>
      <w:r>
        <w:rPr>
          <w:rFonts w:hint="eastAsia"/>
          <w:b/>
          <w:szCs w:val="21"/>
        </w:rPr>
        <w:t>、带★号条款为不可偏离条款，不作为评分准则中的评分内容</w:t>
      </w:r>
      <w:r>
        <w:rPr>
          <w:rFonts w:hint="eastAsia"/>
          <w:b/>
          <w:szCs w:val="21"/>
          <w:lang w:eastAsia="zh-CN"/>
        </w:rPr>
        <w:t>，</w:t>
      </w:r>
      <w:r>
        <w:rPr>
          <w:rFonts w:hint="eastAsia"/>
          <w:b/>
          <w:szCs w:val="21"/>
        </w:rPr>
        <w:t>如未响应或出现负偏离的，将作投标无效处理；带“</w:t>
      </w:r>
      <w:r>
        <w:t>▲</w:t>
      </w:r>
      <w:r>
        <w:rPr>
          <w:rFonts w:hint="eastAsia"/>
          <w:b/>
          <w:szCs w:val="21"/>
        </w:rPr>
        <w:t>”指标项为重要参数，负偏离时依相关评分准则内容作重点扣分处理。</w:t>
      </w:r>
    </w:p>
    <w:tbl>
      <w:tblPr>
        <w:tblStyle w:val="17"/>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5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vAlign w:val="center"/>
          </w:tcPr>
          <w:p>
            <w:pPr>
              <w:jc w:val="center"/>
              <w:rPr>
                <w:rFonts w:hint="eastAsia" w:ascii="宋体" w:hAnsi="宋体" w:eastAsia="宋体" w:cs="宋体"/>
                <w:b/>
              </w:rPr>
            </w:pPr>
            <w:r>
              <w:rPr>
                <w:rFonts w:hint="eastAsia" w:ascii="宋体" w:hAnsi="宋体" w:eastAsia="宋体" w:cs="宋体"/>
                <w:b/>
              </w:rPr>
              <w:t>序号</w:t>
            </w:r>
          </w:p>
        </w:tc>
        <w:tc>
          <w:tcPr>
            <w:tcW w:w="1457" w:type="dxa"/>
            <w:vAlign w:val="center"/>
          </w:tcPr>
          <w:p>
            <w:pPr>
              <w:jc w:val="center"/>
              <w:rPr>
                <w:rFonts w:hint="eastAsia" w:ascii="宋体" w:hAnsi="宋体" w:eastAsia="宋体" w:cs="宋体"/>
                <w:b/>
              </w:rPr>
            </w:pPr>
            <w:r>
              <w:rPr>
                <w:rFonts w:hint="eastAsia" w:ascii="宋体" w:hAnsi="宋体" w:eastAsia="宋体" w:cs="宋体"/>
                <w:b/>
              </w:rPr>
              <w:t>商务需求项</w:t>
            </w:r>
          </w:p>
        </w:tc>
        <w:tc>
          <w:tcPr>
            <w:tcW w:w="6523" w:type="dxa"/>
            <w:vAlign w:val="center"/>
          </w:tcPr>
          <w:p>
            <w:pPr>
              <w:jc w:val="center"/>
              <w:rPr>
                <w:rFonts w:hint="eastAsia" w:ascii="宋体" w:hAnsi="宋体" w:eastAsia="宋体" w:cs="宋体"/>
                <w:b/>
              </w:rPr>
            </w:pPr>
            <w:r>
              <w:rPr>
                <w:rFonts w:hint="eastAsia" w:ascii="宋体" w:hAnsi="宋体" w:eastAsia="宋体" w:cs="宋体"/>
                <w:b/>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vAlign w:val="top"/>
          </w:tcPr>
          <w:p>
            <w:pPr>
              <w:rPr>
                <w:rFonts w:hint="eastAsia" w:ascii="宋体" w:hAnsi="宋体" w:eastAsia="宋体" w:cs="宋体"/>
                <w:b/>
              </w:rPr>
            </w:pPr>
            <w:r>
              <w:rPr>
                <w:rFonts w:hint="eastAsia" w:ascii="宋体" w:hAnsi="宋体" w:eastAsia="宋体" w:cs="宋体"/>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vAlign w:val="center"/>
          </w:tcPr>
          <w:p>
            <w:pPr>
              <w:jc w:val="center"/>
              <w:rPr>
                <w:rFonts w:hint="eastAsia" w:ascii="宋体" w:hAnsi="宋体" w:eastAsia="宋体" w:cs="宋体"/>
                <w:bCs/>
              </w:rPr>
            </w:pPr>
            <w:r>
              <w:rPr>
                <w:rFonts w:hint="eastAsia" w:ascii="宋体" w:hAnsi="宋体" w:eastAsia="宋体" w:cs="宋体"/>
                <w:bCs/>
              </w:rPr>
              <w:t>1</w:t>
            </w:r>
          </w:p>
        </w:tc>
        <w:tc>
          <w:tcPr>
            <w:tcW w:w="1457" w:type="dxa"/>
            <w:vAlign w:val="top"/>
          </w:tcPr>
          <w:p>
            <w:pPr>
              <w:jc w:val="center"/>
              <w:rPr>
                <w:rFonts w:hint="eastAsia" w:ascii="宋体" w:hAnsi="宋体" w:eastAsia="宋体" w:cs="宋体"/>
              </w:rPr>
            </w:pPr>
            <w:r>
              <w:rPr>
                <w:rFonts w:hint="eastAsia" w:ascii="宋体" w:hAnsi="宋体" w:eastAsia="宋体" w:cs="宋体"/>
              </w:rPr>
              <w:t>维修响应及故障解决时间</w:t>
            </w:r>
          </w:p>
        </w:tc>
        <w:tc>
          <w:tcPr>
            <w:tcW w:w="6523" w:type="dxa"/>
            <w:vAlign w:val="top"/>
          </w:tcPr>
          <w:p>
            <w:pPr>
              <w:rPr>
                <w:rFonts w:hint="eastAsia" w:ascii="宋体" w:hAnsi="宋体" w:eastAsia="宋体" w:cs="宋体"/>
                <w:b/>
              </w:rPr>
            </w:pPr>
            <w:r>
              <w:rPr>
                <w:rFonts w:hint="eastAsia" w:ascii="宋体" w:hAnsi="宋体" w:eastAsia="宋体" w:cs="宋体"/>
                <w:bCs/>
                <w:szCs w:val="21"/>
              </w:rPr>
              <w:t>在免费保修期内，一旦发生质量问题，中标人保证在接到通知</w:t>
            </w:r>
            <w:r>
              <w:rPr>
                <w:rFonts w:hint="eastAsia" w:ascii="宋体" w:hAnsi="宋体" w:eastAsia="宋体" w:cs="宋体"/>
                <w:bCs/>
                <w:szCs w:val="21"/>
                <w:lang w:val="en-US" w:eastAsia="zh-CN"/>
              </w:rPr>
              <w:t>1</w:t>
            </w:r>
            <w:r>
              <w:rPr>
                <w:rFonts w:hint="eastAsia" w:ascii="宋体" w:hAnsi="宋体" w:eastAsia="宋体" w:cs="宋体"/>
                <w:bCs/>
                <w:szCs w:val="21"/>
              </w:rPr>
              <w:t>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457"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免费保修期</w:t>
            </w:r>
          </w:p>
        </w:tc>
        <w:tc>
          <w:tcPr>
            <w:tcW w:w="6523" w:type="dxa"/>
            <w:vAlign w:val="top"/>
          </w:tcPr>
          <w:p>
            <w:pPr>
              <w:rPr>
                <w:rFonts w:hint="eastAsia" w:ascii="宋体" w:hAnsi="宋体" w:eastAsia="宋体" w:cs="宋体"/>
                <w:b/>
                <w:szCs w:val="21"/>
              </w:rPr>
            </w:pPr>
            <w:r>
              <w:rPr>
                <w:rFonts w:hint="eastAsia" w:ascii="宋体" w:hAnsi="宋体" w:eastAsia="宋体" w:cs="宋体"/>
                <w:bCs/>
                <w:szCs w:val="21"/>
              </w:rPr>
              <w:t>1.货物免费</w:t>
            </w:r>
            <w:r>
              <w:rPr>
                <w:rFonts w:hint="eastAsia" w:ascii="宋体" w:hAnsi="宋体" w:eastAsia="宋体" w:cs="宋体"/>
                <w:bCs/>
                <w:color w:val="000000" w:themeColor="text1"/>
                <w:szCs w:val="21"/>
              </w:rPr>
              <w:t>保修期</w:t>
            </w:r>
            <w:r>
              <w:rPr>
                <w:rFonts w:hint="eastAsia" w:ascii="宋体" w:hAnsi="宋体" w:eastAsia="宋体" w:cs="宋体"/>
                <w:bCs/>
                <w:color w:val="000000" w:themeColor="text1"/>
                <w:szCs w:val="21"/>
                <w:u w:val="single"/>
              </w:rPr>
              <w:t xml:space="preserve">  </w:t>
            </w:r>
            <w:r>
              <w:rPr>
                <w:rFonts w:hint="eastAsia" w:ascii="宋体" w:hAnsi="宋体" w:cs="宋体"/>
                <w:bCs/>
                <w:color w:val="000000" w:themeColor="text1"/>
                <w:szCs w:val="21"/>
                <w:u w:val="single"/>
                <w:lang w:val="en-US" w:eastAsia="zh-CN"/>
              </w:rPr>
              <w:t>5</w:t>
            </w:r>
            <w:r>
              <w:rPr>
                <w:rFonts w:hint="eastAsia" w:ascii="宋体" w:hAnsi="宋体" w:eastAsia="宋体" w:cs="宋体"/>
                <w:bCs/>
                <w:color w:val="000000" w:themeColor="text1"/>
                <w:szCs w:val="21"/>
                <w:u w:val="single"/>
              </w:rPr>
              <w:t xml:space="preserve">  </w:t>
            </w:r>
            <w:r>
              <w:rPr>
                <w:rFonts w:hint="eastAsia" w:ascii="宋体" w:hAnsi="宋体" w:eastAsia="宋体" w:cs="宋体"/>
                <w:bCs/>
                <w:color w:val="000000" w:themeColor="text1"/>
                <w:szCs w:val="21"/>
              </w:rPr>
              <w:t>年，时</w:t>
            </w:r>
            <w:r>
              <w:rPr>
                <w:rFonts w:hint="eastAsia" w:ascii="宋体" w:hAnsi="宋体" w:eastAsia="宋体" w:cs="宋体"/>
                <w:bCs/>
                <w:szCs w:val="21"/>
              </w:rPr>
              <w:t>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vMerge w:val="continue"/>
            <w:vAlign w:val="center"/>
          </w:tcPr>
          <w:p>
            <w:pPr>
              <w:jc w:val="center"/>
              <w:rPr>
                <w:rFonts w:hint="eastAsia" w:ascii="宋体" w:hAnsi="宋体" w:eastAsia="宋体" w:cs="宋体"/>
                <w:b/>
              </w:rPr>
            </w:pPr>
          </w:p>
        </w:tc>
        <w:tc>
          <w:tcPr>
            <w:tcW w:w="1457" w:type="dxa"/>
            <w:vMerge w:val="continue"/>
            <w:vAlign w:val="center"/>
          </w:tcPr>
          <w:p>
            <w:pPr>
              <w:rPr>
                <w:rFonts w:hint="eastAsia" w:ascii="宋体" w:hAnsi="宋体" w:eastAsia="宋体" w:cs="宋体"/>
              </w:rPr>
            </w:pPr>
          </w:p>
        </w:tc>
        <w:tc>
          <w:tcPr>
            <w:tcW w:w="6523" w:type="dxa"/>
            <w:vAlign w:val="center"/>
          </w:tcPr>
          <w:p>
            <w:pPr>
              <w:rPr>
                <w:rFonts w:hint="eastAsia" w:ascii="宋体" w:hAnsi="宋体" w:eastAsia="宋体" w:cs="宋体"/>
                <w:bCs/>
                <w:szCs w:val="21"/>
              </w:rPr>
            </w:pPr>
            <w:r>
              <w:rPr>
                <w:rFonts w:hint="eastAsia" w:ascii="宋体" w:hAnsi="宋体" w:eastAsia="宋体" w:cs="宋体"/>
                <w:bCs/>
                <w:szCs w:val="21"/>
              </w:rPr>
              <w:t>2.免费保修期内，</w:t>
            </w:r>
            <w:r>
              <w:rPr>
                <w:rFonts w:hint="eastAsia" w:ascii="宋体" w:hAnsi="宋体" w:eastAsia="宋体" w:cs="宋体"/>
                <w:color w:val="000000"/>
                <w:szCs w:val="21"/>
              </w:rPr>
              <w:t>所有服务及配件全部免费。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vAlign w:val="center"/>
          </w:tcPr>
          <w:p>
            <w:pPr>
              <w:jc w:val="center"/>
              <w:rPr>
                <w:rFonts w:hint="eastAsia" w:ascii="宋体" w:hAnsi="宋体" w:eastAsia="宋体" w:cs="宋体"/>
                <w:b/>
              </w:rPr>
            </w:pPr>
            <w:r>
              <w:rPr>
                <w:rFonts w:hint="eastAsia" w:ascii="宋体" w:hAnsi="宋体" w:eastAsia="宋体" w:cs="宋体"/>
                <w:szCs w:val="21"/>
              </w:rPr>
              <w:t>3</w:t>
            </w:r>
          </w:p>
        </w:tc>
        <w:tc>
          <w:tcPr>
            <w:tcW w:w="1457" w:type="dxa"/>
            <w:vAlign w:val="center"/>
          </w:tcPr>
          <w:p>
            <w:pPr>
              <w:jc w:val="center"/>
              <w:rPr>
                <w:rFonts w:hint="eastAsia" w:ascii="宋体" w:hAnsi="宋体" w:eastAsia="宋体" w:cs="宋体"/>
                <w:b/>
              </w:rPr>
            </w:pPr>
            <w:r>
              <w:rPr>
                <w:rFonts w:hint="eastAsia" w:ascii="宋体" w:hAnsi="宋体" w:eastAsia="宋体" w:cs="宋体"/>
                <w:szCs w:val="21"/>
              </w:rPr>
              <w:t>技术文件</w:t>
            </w:r>
          </w:p>
        </w:tc>
        <w:tc>
          <w:tcPr>
            <w:tcW w:w="6523" w:type="dxa"/>
            <w:vAlign w:val="center"/>
          </w:tcPr>
          <w:p>
            <w:pPr>
              <w:rPr>
                <w:rFonts w:hint="eastAsia" w:ascii="宋体" w:hAnsi="宋体" w:eastAsia="宋体" w:cs="宋体"/>
                <w:bCs/>
              </w:rPr>
            </w:pPr>
            <w:r>
              <w:rPr>
                <w:rFonts w:hint="eastAsia" w:ascii="宋体" w:hAnsi="宋体" w:eastAsia="宋体" w:cs="宋体"/>
                <w:bCs/>
              </w:rPr>
              <w:t>供应商应提供全套、完整的书面技术资料，包括仪器说明书、操作手册、简单维修说明、图纸等。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3"/>
            <w:vAlign w:val="center"/>
          </w:tcPr>
          <w:p>
            <w:pPr>
              <w:spacing w:line="360" w:lineRule="exact"/>
              <w:rPr>
                <w:rFonts w:hint="eastAsia" w:ascii="宋体" w:hAnsi="宋体" w:eastAsia="宋体" w:cs="宋体"/>
                <w:b/>
              </w:rPr>
            </w:pPr>
            <w:r>
              <w:rPr>
                <w:rFonts w:hint="eastAsia" w:ascii="宋体" w:hAnsi="宋体" w:eastAsia="宋体" w:cs="宋体"/>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Align w:val="center"/>
          </w:tcPr>
          <w:p>
            <w:pPr>
              <w:spacing w:line="360" w:lineRule="exact"/>
              <w:jc w:val="center"/>
              <w:rPr>
                <w:rFonts w:hint="eastAsia" w:ascii="宋体" w:hAnsi="宋体" w:eastAsia="宋体" w:cs="宋体"/>
                <w:b/>
                <w:sz w:val="20"/>
                <w:szCs w:val="20"/>
              </w:rPr>
            </w:pPr>
            <w:r>
              <w:rPr>
                <w:rFonts w:hint="eastAsia" w:ascii="宋体" w:hAnsi="宋体" w:eastAsia="宋体" w:cs="宋体"/>
                <w:b/>
                <w:sz w:val="20"/>
                <w:szCs w:val="20"/>
              </w:rPr>
              <w:t>1</w:t>
            </w:r>
          </w:p>
        </w:tc>
        <w:tc>
          <w:tcPr>
            <w:tcW w:w="1457" w:type="dxa"/>
            <w:vAlign w:val="center"/>
          </w:tcPr>
          <w:p>
            <w:pPr>
              <w:spacing w:line="360" w:lineRule="exact"/>
              <w:jc w:val="center"/>
              <w:rPr>
                <w:rFonts w:hint="eastAsia" w:ascii="宋体" w:hAnsi="宋体" w:eastAsia="宋体" w:cs="宋体"/>
                <w:b/>
                <w:color w:val="000000"/>
                <w:sz w:val="20"/>
                <w:szCs w:val="20"/>
              </w:rPr>
            </w:pPr>
            <w:r>
              <w:rPr>
                <w:rStyle w:val="20"/>
                <w:rFonts w:hint="eastAsia" w:ascii="宋体" w:hAnsi="宋体" w:eastAsia="宋体" w:cs="宋体"/>
                <w:color w:val="000000"/>
                <w:sz w:val="20"/>
                <w:szCs w:val="20"/>
              </w:rPr>
              <w:t>维修零配件、消耗品和延续保修合同的报价</w:t>
            </w:r>
          </w:p>
        </w:tc>
        <w:tc>
          <w:tcPr>
            <w:tcW w:w="6523" w:type="dxa"/>
            <w:vAlign w:val="center"/>
          </w:tcPr>
          <w:p>
            <w:pPr>
              <w:spacing w:line="360" w:lineRule="exact"/>
              <w:rPr>
                <w:rFonts w:hint="eastAsia" w:ascii="宋体" w:hAnsi="宋体" w:eastAsia="宋体" w:cs="宋体"/>
                <w:b/>
                <w:color w:val="000000"/>
              </w:rPr>
            </w:pPr>
            <w:r>
              <w:rPr>
                <w:rFonts w:hint="eastAsia" w:ascii="宋体" w:hAnsi="宋体" w:eastAsia="宋体" w:cs="宋体"/>
                <w:color w:val="000000"/>
                <w:sz w:val="20"/>
                <w:szCs w:val="20"/>
              </w:rPr>
              <w:t>1.1由设备制造商提供售后服务，</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u w:val="single"/>
              </w:rPr>
              <w:t xml:space="preserve">1 </w:t>
            </w:r>
            <w:r>
              <w:rPr>
                <w:rFonts w:hint="eastAsia" w:ascii="宋体" w:hAnsi="宋体" w:eastAsia="宋体" w:cs="宋体"/>
                <w:color w:val="000000"/>
                <w:sz w:val="20"/>
                <w:szCs w:val="20"/>
              </w:rPr>
              <w:t>小时内响应，</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u w:val="single"/>
              </w:rPr>
              <w:t>24</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rPr>
              <w:t>小时维修到位，并在48小时内消除故障（不可抗力情况除外）。消耗品和零配件供应及时，特殊情况下可提供备用机。在境内有相对应的零配件保税库，于中标后出具证明文件。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3"/>
            <w:vAlign w:val="center"/>
          </w:tcPr>
          <w:p>
            <w:pPr>
              <w:spacing w:line="360" w:lineRule="exact"/>
              <w:rPr>
                <w:rFonts w:hint="eastAsia" w:ascii="宋体" w:hAnsi="宋体" w:eastAsia="宋体" w:cs="宋体"/>
                <w:b/>
              </w:rPr>
            </w:pPr>
            <w:r>
              <w:rPr>
                <w:rFonts w:hint="eastAsia" w:ascii="宋体" w:hAnsi="宋体" w:eastAsia="宋体" w:cs="宋体"/>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vAlign w:val="center"/>
          </w:tcPr>
          <w:p>
            <w:pPr>
              <w:spacing w:line="360" w:lineRule="exact"/>
              <w:jc w:val="center"/>
              <w:rPr>
                <w:rFonts w:hint="eastAsia" w:ascii="宋体" w:hAnsi="宋体" w:eastAsia="宋体" w:cs="宋体"/>
                <w:b/>
                <w:sz w:val="20"/>
                <w:szCs w:val="20"/>
                <w:lang w:eastAsia="zh-CN"/>
              </w:rPr>
            </w:pPr>
            <w:r>
              <w:rPr>
                <w:rFonts w:hint="eastAsia" w:ascii="宋体" w:hAnsi="宋体" w:eastAsia="宋体" w:cs="宋体"/>
                <w:b/>
                <w:sz w:val="20"/>
                <w:szCs w:val="20"/>
                <w:lang w:eastAsia="zh-CN"/>
              </w:rPr>
              <w:t>1</w:t>
            </w:r>
          </w:p>
        </w:tc>
        <w:tc>
          <w:tcPr>
            <w:tcW w:w="1457" w:type="dxa"/>
            <w:vMerge w:val="restart"/>
            <w:vAlign w:val="center"/>
          </w:tcPr>
          <w:p>
            <w:pPr>
              <w:spacing w:line="360" w:lineRule="exact"/>
              <w:jc w:val="center"/>
              <w:rPr>
                <w:rFonts w:hint="eastAsia" w:ascii="宋体" w:hAnsi="宋体" w:eastAsia="宋体" w:cs="宋体"/>
                <w:b/>
                <w:sz w:val="20"/>
                <w:szCs w:val="20"/>
              </w:rPr>
            </w:pPr>
            <w:r>
              <w:rPr>
                <w:rFonts w:hint="eastAsia" w:ascii="宋体" w:hAnsi="宋体" w:eastAsia="宋体" w:cs="宋体"/>
                <w:b/>
                <w:sz w:val="20"/>
                <w:szCs w:val="20"/>
              </w:rPr>
              <w:t>违约责任</w:t>
            </w:r>
          </w:p>
        </w:tc>
        <w:tc>
          <w:tcPr>
            <w:tcW w:w="6523" w:type="dxa"/>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.1中标人不能交货的，需偿付不能交货部分货款的</w:t>
            </w:r>
            <w:r>
              <w:rPr>
                <w:rFonts w:hint="eastAsia" w:ascii="宋体" w:hAnsi="宋体" w:eastAsia="宋体" w:cs="宋体"/>
                <w:color w:val="000000"/>
                <w:sz w:val="20"/>
                <w:szCs w:val="20"/>
                <w:u w:val="single"/>
              </w:rPr>
              <w:t xml:space="preserve">  </w:t>
            </w:r>
            <w:r>
              <w:rPr>
                <w:rFonts w:hint="eastAsia" w:ascii="宋体" w:hAnsi="宋体" w:eastAsia="宋体" w:cs="宋体"/>
                <w:lang w:val="en-US" w:eastAsia="zh-CN"/>
              </w:rPr>
              <w:t>1</w:t>
            </w:r>
            <w:r>
              <w:rPr>
                <w:rFonts w:hint="eastAsia" w:ascii="宋体" w:hAnsi="宋体" w:eastAsia="宋体" w:cs="宋体"/>
                <w:color w:val="000000"/>
                <w:sz w:val="20"/>
                <w:szCs w:val="20"/>
                <w:u w:val="single"/>
              </w:rPr>
              <w:t xml:space="preserve">  </w:t>
            </w:r>
            <w:r>
              <w:rPr>
                <w:rFonts w:hint="eastAsia" w:ascii="宋体" w:hAnsi="宋体" w:eastAsia="宋体" w:cs="宋体"/>
                <w:color w:val="000000"/>
                <w:sz w:val="20"/>
                <w:szCs w:val="20"/>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vAlign w:val="center"/>
          </w:tcPr>
          <w:p>
            <w:pPr>
              <w:spacing w:line="360" w:lineRule="exact"/>
              <w:jc w:val="center"/>
              <w:rPr>
                <w:rFonts w:hint="eastAsia" w:ascii="宋体" w:hAnsi="宋体" w:eastAsia="宋体" w:cs="宋体"/>
                <w:b/>
                <w:sz w:val="20"/>
                <w:szCs w:val="20"/>
              </w:rPr>
            </w:pPr>
          </w:p>
        </w:tc>
        <w:tc>
          <w:tcPr>
            <w:tcW w:w="1457" w:type="dxa"/>
            <w:vMerge w:val="continue"/>
            <w:vAlign w:val="center"/>
          </w:tcPr>
          <w:p>
            <w:pPr>
              <w:spacing w:line="360" w:lineRule="exact"/>
              <w:jc w:val="center"/>
              <w:rPr>
                <w:rFonts w:hint="eastAsia" w:ascii="宋体" w:hAnsi="宋体" w:eastAsia="宋体" w:cs="宋体"/>
                <w:b/>
                <w:sz w:val="20"/>
                <w:szCs w:val="20"/>
              </w:rPr>
            </w:pPr>
          </w:p>
        </w:tc>
        <w:tc>
          <w:tcPr>
            <w:tcW w:w="6523" w:type="dxa"/>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.2中标人逾期交货的，应当承担继续履行、采取补救措施或者赔偿损失等违约责任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vAlign w:val="center"/>
          </w:tcPr>
          <w:p>
            <w:pPr>
              <w:spacing w:line="360" w:lineRule="exact"/>
              <w:jc w:val="center"/>
              <w:rPr>
                <w:rFonts w:hint="eastAsia" w:ascii="宋体" w:hAnsi="宋体" w:eastAsia="宋体" w:cs="宋体"/>
                <w:b/>
                <w:sz w:val="20"/>
                <w:szCs w:val="20"/>
              </w:rPr>
            </w:pPr>
          </w:p>
        </w:tc>
        <w:tc>
          <w:tcPr>
            <w:tcW w:w="1457" w:type="dxa"/>
            <w:vMerge w:val="continue"/>
            <w:vAlign w:val="center"/>
          </w:tcPr>
          <w:p>
            <w:pPr>
              <w:spacing w:line="360" w:lineRule="exact"/>
              <w:jc w:val="center"/>
              <w:rPr>
                <w:rFonts w:hint="eastAsia" w:ascii="宋体" w:hAnsi="宋体" w:eastAsia="宋体" w:cs="宋体"/>
                <w:b/>
                <w:sz w:val="20"/>
                <w:szCs w:val="20"/>
              </w:rPr>
            </w:pPr>
          </w:p>
        </w:tc>
        <w:tc>
          <w:tcPr>
            <w:tcW w:w="6523" w:type="dxa"/>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.3中标人所交付产品、工程或服务不符合其投标承诺的，或在投标阶段为了中标而盲目虚假承诺、低价恶性竞争，在履约阶段则通过偷工减料、以次充好而获取利润的，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color w:val="000000"/>
                <w:sz w:val="20"/>
                <w:szCs w:val="20"/>
                <w:lang w:val="en-US" w:eastAsia="zh-CN"/>
              </w:rPr>
              <w:t>采购人</w:t>
            </w:r>
            <w:r>
              <w:rPr>
                <w:rFonts w:hint="eastAsia" w:ascii="宋体" w:hAnsi="宋体" w:eastAsia="宋体" w:cs="宋体"/>
                <w:color w:val="000000"/>
                <w:sz w:val="20"/>
                <w:szCs w:val="20"/>
              </w:rPr>
              <w:t>将根据标的的性质以及损失的大小，可以合理选择要求</w:t>
            </w:r>
            <w:r>
              <w:rPr>
                <w:rFonts w:hint="eastAsia" w:ascii="宋体" w:hAnsi="宋体" w:eastAsia="宋体" w:cs="宋体"/>
                <w:color w:val="000000"/>
                <w:sz w:val="20"/>
                <w:szCs w:val="20"/>
                <w:lang w:val="en-US" w:eastAsia="zh-CN"/>
              </w:rPr>
              <w:t>中标人</w:t>
            </w:r>
            <w:r>
              <w:rPr>
                <w:rFonts w:hint="eastAsia" w:ascii="宋体" w:hAnsi="宋体" w:eastAsia="宋体" w:cs="宋体"/>
                <w:color w:val="000000"/>
                <w:sz w:val="20"/>
                <w:szCs w:val="20"/>
              </w:rPr>
              <w:t>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vAlign w:val="center"/>
          </w:tcPr>
          <w:p>
            <w:pPr>
              <w:spacing w:line="360" w:lineRule="exact"/>
              <w:jc w:val="center"/>
              <w:rPr>
                <w:rFonts w:hint="eastAsia" w:ascii="宋体" w:hAnsi="宋体" w:eastAsia="宋体" w:cs="宋体"/>
                <w:b/>
                <w:bCs w:val="0"/>
                <w:sz w:val="20"/>
                <w:szCs w:val="20"/>
                <w:lang w:eastAsia="zh-CN"/>
              </w:rPr>
            </w:pPr>
            <w:r>
              <w:rPr>
                <w:rFonts w:hint="eastAsia" w:ascii="宋体" w:hAnsi="宋体" w:eastAsia="宋体" w:cs="宋体"/>
                <w:b/>
                <w:bCs w:val="0"/>
                <w:sz w:val="20"/>
                <w:szCs w:val="20"/>
                <w:lang w:val="en-US" w:eastAsia="zh-CN"/>
              </w:rPr>
              <w:t>2</w:t>
            </w:r>
          </w:p>
        </w:tc>
        <w:tc>
          <w:tcPr>
            <w:tcW w:w="1457" w:type="dxa"/>
            <w:vMerge w:val="restart"/>
            <w:vAlign w:val="center"/>
          </w:tcPr>
          <w:p>
            <w:pPr>
              <w:spacing w:line="360" w:lineRule="exact"/>
              <w:jc w:val="center"/>
              <w:rPr>
                <w:rFonts w:hint="eastAsia" w:ascii="宋体" w:hAnsi="宋体" w:eastAsia="宋体" w:cs="宋体"/>
                <w:b/>
                <w:bCs w:val="0"/>
                <w:sz w:val="20"/>
                <w:szCs w:val="20"/>
                <w:lang w:val="en-US" w:eastAsia="zh-CN"/>
              </w:rPr>
            </w:pPr>
            <w:r>
              <w:rPr>
                <w:rFonts w:hint="eastAsia" w:ascii="宋体" w:hAnsi="宋体" w:eastAsia="宋体" w:cs="宋体"/>
                <w:b/>
                <w:bCs w:val="0"/>
                <w:sz w:val="20"/>
                <w:szCs w:val="20"/>
              </w:rPr>
              <w:t>交货</w:t>
            </w:r>
            <w:r>
              <w:rPr>
                <w:rFonts w:hint="eastAsia" w:ascii="宋体" w:hAnsi="宋体" w:eastAsia="宋体" w:cs="宋体"/>
                <w:b/>
                <w:bCs w:val="0"/>
                <w:sz w:val="20"/>
                <w:szCs w:val="20"/>
                <w:lang w:val="en-US" w:eastAsia="zh-CN"/>
              </w:rPr>
              <w:t>及付款要求</w:t>
            </w:r>
          </w:p>
        </w:tc>
        <w:tc>
          <w:tcPr>
            <w:tcW w:w="6523" w:type="dxa"/>
            <w:vAlign w:val="center"/>
          </w:tcPr>
          <w:p>
            <w:pPr>
              <w:spacing w:line="360" w:lineRule="exact"/>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.1履约时间和地点：投标供应商在签订合同之日起30天内交货，交货地点为</w:t>
            </w:r>
            <w:r>
              <w:rPr>
                <w:rFonts w:hint="eastAsia" w:ascii="宋体" w:hAnsi="宋体" w:eastAsia="宋体" w:cs="宋体"/>
                <w:lang w:eastAsia="zh-CN"/>
              </w:rPr>
              <w:t>深圳市宝安区机关第二幼儿园（深圳市宝安区新安未来之光幼儿园）</w:t>
            </w:r>
            <w:r>
              <w:rPr>
                <w:rFonts w:hint="eastAsia" w:ascii="宋体" w:hAnsi="宋体" w:eastAsia="宋体" w:cs="宋体"/>
              </w:rPr>
              <w:t>。</w:t>
            </w:r>
          </w:p>
          <w:p>
            <w:pPr>
              <w:pStyle w:val="2"/>
              <w:rPr>
                <w:rFonts w:hint="eastAsia" w:ascii="宋体" w:hAnsi="宋体" w:eastAsia="宋体" w:cs="宋体"/>
                <w:lang w:val="en-US" w:eastAsia="zh-CN"/>
              </w:rPr>
            </w:pPr>
            <w:r>
              <w:rPr>
                <w:rFonts w:hint="eastAsia" w:ascii="宋体" w:hAnsi="宋体" w:eastAsia="宋体" w:cs="宋体"/>
                <w:b w:val="0"/>
                <w:bCs w:val="0"/>
                <w:kern w:val="2"/>
                <w:sz w:val="21"/>
                <w:szCs w:val="24"/>
                <w:lang w:val="en-US" w:eastAsia="zh-CN" w:bidi="ar-SA"/>
              </w:rPr>
              <w:t>注：长期货物政府采购（自行采购）合同履行期限最长不得超过二十四个月，如甲方对履约情况不满意，甲方不再续约。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40" w:type="dxa"/>
            <w:vMerge w:val="continue"/>
            <w:vAlign w:val="center"/>
          </w:tcPr>
          <w:p>
            <w:pPr>
              <w:spacing w:line="360" w:lineRule="exact"/>
              <w:jc w:val="center"/>
              <w:rPr>
                <w:rFonts w:hint="eastAsia" w:ascii="宋体" w:hAnsi="宋体" w:eastAsia="宋体" w:cs="宋体"/>
                <w:b/>
                <w:bCs w:val="0"/>
                <w:sz w:val="20"/>
                <w:szCs w:val="20"/>
              </w:rPr>
            </w:pPr>
          </w:p>
        </w:tc>
        <w:tc>
          <w:tcPr>
            <w:tcW w:w="1457" w:type="dxa"/>
            <w:vMerge w:val="continue"/>
            <w:vAlign w:val="center"/>
          </w:tcPr>
          <w:p>
            <w:pPr>
              <w:spacing w:line="360" w:lineRule="exact"/>
              <w:jc w:val="center"/>
              <w:rPr>
                <w:rFonts w:hint="eastAsia" w:ascii="宋体" w:hAnsi="宋体" w:eastAsia="宋体" w:cs="宋体"/>
                <w:b/>
                <w:bCs w:val="0"/>
                <w:sz w:val="20"/>
                <w:szCs w:val="20"/>
              </w:rPr>
            </w:pPr>
          </w:p>
        </w:tc>
        <w:tc>
          <w:tcPr>
            <w:tcW w:w="6523" w:type="dxa"/>
            <w:vAlign w:val="center"/>
          </w:tcPr>
          <w:p>
            <w:pPr>
              <w:spacing w:line="360" w:lineRule="exact"/>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.2付款期限和方式：</w:t>
            </w:r>
          </w:p>
          <w:p>
            <w:pPr>
              <w:pStyle w:val="2"/>
              <w:rPr>
                <w:rFonts w:hint="eastAsia" w:ascii="宋体" w:hAnsi="宋体" w:eastAsia="宋体" w:cs="宋体"/>
                <w:lang w:val="en-US" w:eastAsia="zh-CN"/>
              </w:rPr>
            </w:pPr>
            <w:r>
              <w:rPr>
                <w:rFonts w:hint="eastAsia" w:ascii="宋体" w:hAnsi="宋体" w:eastAsia="宋体" w:cs="宋体"/>
                <w:b w:val="0"/>
                <w:bCs w:val="0"/>
                <w:kern w:val="2"/>
                <w:sz w:val="21"/>
                <w:szCs w:val="24"/>
                <w:lang w:val="en-US" w:eastAsia="zh-CN" w:bidi="ar-SA"/>
              </w:rPr>
              <w:t>注：根据《深圳市落实采购人主体责任实施办法》第34条规定，对于满足合同约定支付条件的，采购人应当自收到发票后 15 日内将资金支付到合同约定的供应商账户，不得以机构变动、人员更替、政策调整等为由延迟付款，不得将采购文件和合同中未规定的义务作为向供应商付款的条件。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Align w:val="center"/>
          </w:tcPr>
          <w:p>
            <w:pPr>
              <w:spacing w:line="360" w:lineRule="exact"/>
              <w:jc w:val="center"/>
              <w:rPr>
                <w:rFonts w:hint="eastAsia" w:ascii="宋体" w:hAnsi="宋体" w:eastAsia="宋体" w:cs="宋体"/>
                <w:b/>
                <w:bCs w:val="0"/>
                <w:sz w:val="20"/>
                <w:szCs w:val="20"/>
                <w:lang w:val="en-US" w:eastAsia="zh-CN"/>
              </w:rPr>
            </w:pPr>
            <w:r>
              <w:rPr>
                <w:rFonts w:hint="eastAsia" w:ascii="宋体" w:hAnsi="宋体" w:eastAsia="宋体" w:cs="宋体"/>
                <w:b/>
                <w:bCs w:val="0"/>
                <w:sz w:val="20"/>
                <w:szCs w:val="20"/>
                <w:lang w:val="en-US" w:eastAsia="zh-CN"/>
              </w:rPr>
              <w:t>3</w:t>
            </w:r>
          </w:p>
        </w:tc>
        <w:tc>
          <w:tcPr>
            <w:tcW w:w="1457" w:type="dxa"/>
            <w:vAlign w:val="center"/>
          </w:tcPr>
          <w:p>
            <w:pPr>
              <w:spacing w:line="360" w:lineRule="exact"/>
              <w:jc w:val="center"/>
              <w:rPr>
                <w:rStyle w:val="20"/>
                <w:rFonts w:hint="eastAsia" w:ascii="宋体" w:hAnsi="宋体" w:eastAsia="宋体" w:cs="宋体"/>
                <w:b/>
                <w:bCs w:val="0"/>
                <w:color w:val="000000"/>
                <w:sz w:val="20"/>
                <w:szCs w:val="20"/>
              </w:rPr>
            </w:pPr>
            <w:r>
              <w:rPr>
                <w:rFonts w:hint="eastAsia" w:ascii="宋体" w:hAnsi="宋体" w:eastAsia="宋体" w:cs="宋体"/>
                <w:b/>
                <w:bCs w:val="0"/>
                <w:color w:val="000000"/>
                <w:sz w:val="20"/>
                <w:szCs w:val="20"/>
              </w:rPr>
              <w:t>验收条件</w:t>
            </w:r>
          </w:p>
        </w:tc>
        <w:tc>
          <w:tcPr>
            <w:tcW w:w="6523" w:type="dxa"/>
            <w:shd w:val="clear" w:color="auto" w:fill="auto"/>
            <w:vAlign w:val="top"/>
          </w:tcPr>
          <w:p>
            <w:pPr>
              <w:spacing w:after="60" w:afterLines="25" w:line="300" w:lineRule="auto"/>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sz w:val="21"/>
                <w:szCs w:val="21"/>
              </w:rPr>
              <w:t>（1）</w:t>
            </w:r>
            <w:r>
              <w:rPr>
                <w:rFonts w:hint="eastAsia" w:ascii="宋体" w:hAnsi="宋体" w:eastAsia="宋体" w:cs="宋体"/>
                <w:color w:val="FF0000"/>
                <w:kern w:val="0"/>
                <w:sz w:val="21"/>
                <w:szCs w:val="21"/>
              </w:rPr>
              <w:t>投标供应商应在到货（安装、调试完成）后3日内向甲方发出验收申请。甲方应当在收到申请3日内组织验收，验收合格的，由甲方向投标供应商签署货物验收单。甲方逾期未组织验收，也未提出异议的，视为验收合格。需要安装调试的，安装调试完毕验收合格后才视为最终验收合格和满足付款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Align w:val="center"/>
          </w:tcPr>
          <w:p>
            <w:pPr>
              <w:spacing w:line="360" w:lineRule="exact"/>
              <w:jc w:val="center"/>
              <w:rPr>
                <w:rFonts w:hint="eastAsia" w:ascii="宋体" w:hAnsi="宋体" w:eastAsia="宋体" w:cs="宋体"/>
                <w:b/>
                <w:bCs w:val="0"/>
                <w:sz w:val="20"/>
                <w:szCs w:val="20"/>
                <w:lang w:val="en-US" w:eastAsia="zh-CN"/>
              </w:rPr>
            </w:pPr>
            <w:r>
              <w:rPr>
                <w:rFonts w:hint="eastAsia" w:ascii="宋体" w:hAnsi="宋体" w:eastAsia="宋体" w:cs="宋体"/>
                <w:b/>
                <w:bCs w:val="0"/>
                <w:sz w:val="20"/>
                <w:szCs w:val="20"/>
                <w:lang w:val="en-US" w:eastAsia="zh-CN"/>
              </w:rPr>
              <w:t>4</w:t>
            </w:r>
          </w:p>
        </w:tc>
        <w:tc>
          <w:tcPr>
            <w:tcW w:w="1457" w:type="dxa"/>
            <w:vAlign w:val="center"/>
          </w:tcPr>
          <w:p>
            <w:pPr>
              <w:spacing w:line="360" w:lineRule="exact"/>
              <w:jc w:val="center"/>
              <w:rPr>
                <w:rStyle w:val="20"/>
                <w:rFonts w:hint="eastAsia" w:ascii="宋体" w:hAnsi="宋体" w:eastAsia="宋体" w:cs="宋体"/>
                <w:b/>
                <w:bCs w:val="0"/>
                <w:color w:val="000000"/>
                <w:sz w:val="20"/>
                <w:szCs w:val="20"/>
              </w:rPr>
            </w:pPr>
            <w:r>
              <w:rPr>
                <w:rFonts w:hint="eastAsia" w:ascii="宋体" w:hAnsi="宋体" w:eastAsia="宋体" w:cs="宋体"/>
                <w:b/>
                <w:bCs w:val="0"/>
                <w:color w:val="000000"/>
                <w:sz w:val="20"/>
                <w:szCs w:val="20"/>
              </w:rPr>
              <w:t>争议解决方法</w:t>
            </w:r>
          </w:p>
        </w:tc>
        <w:tc>
          <w:tcPr>
            <w:tcW w:w="6523" w:type="dxa"/>
            <w:shd w:val="clear" w:color="auto" w:fill="auto"/>
            <w:vAlign w:val="center"/>
          </w:tcPr>
          <w:p>
            <w:pPr>
              <w:spacing w:line="360" w:lineRule="exact"/>
              <w:rPr>
                <w:rFonts w:hint="eastAsia" w:ascii="宋体" w:hAnsi="宋体" w:eastAsia="宋体" w:cs="宋体"/>
                <w:b w:val="0"/>
                <w:bCs w:val="0"/>
                <w:color w:val="FF0000"/>
                <w:kern w:val="2"/>
                <w:sz w:val="21"/>
                <w:szCs w:val="21"/>
                <w:lang w:val="en-US" w:eastAsia="zh-CN" w:bidi="ar-SA"/>
              </w:rPr>
            </w:pPr>
            <w:r>
              <w:rPr>
                <w:rFonts w:hint="eastAsia" w:ascii="宋体" w:hAnsi="宋体" w:eastAsia="宋体" w:cs="宋体"/>
                <w:color w:val="FF0000"/>
                <w:sz w:val="21"/>
                <w:szCs w:val="21"/>
              </w:rPr>
              <w:t>因货物的质量问题发生争议的，应当邀请国家认可的质量检测机构对货物质量进行鉴定。货物符合标准的，鉴定费由甲方承担；货物不符合质量标准的，鉴定费由乙方承担。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Align w:val="center"/>
          </w:tcPr>
          <w:p>
            <w:pPr>
              <w:spacing w:line="360" w:lineRule="exact"/>
              <w:jc w:val="center"/>
              <w:rPr>
                <w:rFonts w:hint="eastAsia" w:ascii="宋体" w:hAnsi="宋体" w:eastAsia="宋体" w:cs="宋体"/>
                <w:b/>
                <w:sz w:val="20"/>
                <w:szCs w:val="20"/>
                <w:lang w:eastAsia="zh-CN"/>
              </w:rPr>
            </w:pPr>
            <w:r>
              <w:rPr>
                <w:rFonts w:hint="eastAsia" w:ascii="宋体" w:hAnsi="宋体" w:eastAsia="宋体" w:cs="宋体"/>
                <w:b/>
                <w:sz w:val="20"/>
                <w:szCs w:val="20"/>
                <w:lang w:val="en-US" w:eastAsia="zh-CN"/>
              </w:rPr>
              <w:t>5</w:t>
            </w:r>
          </w:p>
        </w:tc>
        <w:tc>
          <w:tcPr>
            <w:tcW w:w="1457" w:type="dxa"/>
            <w:vAlign w:val="center"/>
          </w:tcPr>
          <w:p>
            <w:pPr>
              <w:spacing w:line="360" w:lineRule="exact"/>
              <w:jc w:val="center"/>
              <w:rPr>
                <w:rFonts w:hint="eastAsia" w:ascii="宋体" w:hAnsi="宋体" w:eastAsia="宋体" w:cs="宋体"/>
                <w:color w:val="000000"/>
                <w:sz w:val="20"/>
                <w:szCs w:val="20"/>
              </w:rPr>
            </w:pPr>
            <w:r>
              <w:rPr>
                <w:rStyle w:val="20"/>
                <w:rFonts w:hint="eastAsia" w:ascii="宋体" w:hAnsi="宋体" w:eastAsia="宋体" w:cs="宋体"/>
                <w:color w:val="000000"/>
                <w:sz w:val="20"/>
                <w:szCs w:val="20"/>
              </w:rPr>
              <w:t>运输、安装条件</w:t>
            </w:r>
          </w:p>
        </w:tc>
        <w:tc>
          <w:tcPr>
            <w:tcW w:w="6523" w:type="dxa"/>
            <w:vAlign w:val="center"/>
          </w:tcPr>
          <w:p>
            <w:pPr>
              <w:spacing w:line="360" w:lineRule="exact"/>
              <w:rPr>
                <w:rFonts w:hint="eastAsia" w:ascii="宋体" w:hAnsi="宋体" w:eastAsia="宋体" w:cs="宋体"/>
                <w:bCs/>
                <w:color w:val="000000"/>
                <w:szCs w:val="21"/>
              </w:rPr>
            </w:pPr>
            <w:r>
              <w:rPr>
                <w:rFonts w:hint="eastAsia" w:ascii="宋体" w:hAnsi="宋体" w:eastAsia="宋体" w:cs="宋体"/>
                <w:color w:val="000000"/>
                <w:sz w:val="20"/>
                <w:szCs w:val="20"/>
                <w:lang w:val="en-US" w:eastAsia="zh-CN"/>
              </w:rPr>
              <w:t>5</w:t>
            </w:r>
            <w:r>
              <w:rPr>
                <w:rFonts w:hint="eastAsia" w:ascii="宋体" w:hAnsi="宋体" w:eastAsia="宋体" w:cs="宋体"/>
                <w:color w:val="000000"/>
                <w:sz w:val="20"/>
                <w:szCs w:val="20"/>
              </w:rPr>
              <w:t>.1 投标供应商须在签订合同之日起 3天内向采购人提供设备的运行、安装、使用环境要求。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vAlign w:val="center"/>
          </w:tcPr>
          <w:p>
            <w:pPr>
              <w:spacing w:line="360" w:lineRule="exact"/>
              <w:jc w:val="center"/>
              <w:rPr>
                <w:rFonts w:hint="eastAsia" w:ascii="宋体" w:hAnsi="宋体" w:eastAsia="宋体" w:cs="宋体"/>
                <w:b/>
                <w:sz w:val="20"/>
                <w:szCs w:val="20"/>
                <w:lang w:eastAsia="zh-CN"/>
              </w:rPr>
            </w:pPr>
            <w:r>
              <w:rPr>
                <w:rFonts w:hint="eastAsia" w:ascii="宋体" w:hAnsi="宋体" w:eastAsia="宋体" w:cs="宋体"/>
                <w:b/>
                <w:sz w:val="20"/>
                <w:szCs w:val="20"/>
                <w:lang w:val="en-US" w:eastAsia="zh-CN"/>
              </w:rPr>
              <w:t>6</w:t>
            </w:r>
          </w:p>
        </w:tc>
        <w:tc>
          <w:tcPr>
            <w:tcW w:w="1457" w:type="dxa"/>
            <w:vMerge w:val="restart"/>
            <w:vAlign w:val="center"/>
          </w:tcPr>
          <w:p>
            <w:pPr>
              <w:spacing w:line="360" w:lineRule="exact"/>
              <w:jc w:val="center"/>
              <w:rPr>
                <w:rFonts w:hint="eastAsia" w:ascii="宋体" w:hAnsi="宋体" w:eastAsia="宋体" w:cs="宋体"/>
                <w:b/>
                <w:sz w:val="20"/>
                <w:szCs w:val="20"/>
              </w:rPr>
            </w:pPr>
            <w:r>
              <w:rPr>
                <w:rFonts w:hint="eastAsia" w:ascii="宋体" w:hAnsi="宋体" w:eastAsia="宋体" w:cs="宋体"/>
                <w:b/>
                <w:sz w:val="20"/>
                <w:szCs w:val="20"/>
              </w:rPr>
              <w:t>培训</w:t>
            </w:r>
          </w:p>
        </w:tc>
        <w:tc>
          <w:tcPr>
            <w:tcW w:w="6523" w:type="dxa"/>
            <w:vAlign w:val="top"/>
          </w:tcPr>
          <w:p>
            <w:pPr>
              <w:widowControl/>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.1投标供应商应派专业技术人员免费对采购单位指定人员进行定期培训及指导，直至其完全掌握设备的基本故障处理技术。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vAlign w:val="center"/>
          </w:tcPr>
          <w:p>
            <w:pPr>
              <w:spacing w:line="360" w:lineRule="exact"/>
              <w:jc w:val="center"/>
              <w:rPr>
                <w:rFonts w:hint="eastAsia" w:ascii="宋体" w:hAnsi="宋体" w:eastAsia="宋体" w:cs="宋体"/>
                <w:b/>
                <w:sz w:val="20"/>
                <w:szCs w:val="20"/>
              </w:rPr>
            </w:pPr>
          </w:p>
        </w:tc>
        <w:tc>
          <w:tcPr>
            <w:tcW w:w="1457" w:type="dxa"/>
            <w:vMerge w:val="continue"/>
            <w:vAlign w:val="center"/>
          </w:tcPr>
          <w:p>
            <w:pPr>
              <w:spacing w:line="360" w:lineRule="exact"/>
              <w:rPr>
                <w:rFonts w:hint="eastAsia" w:ascii="宋体" w:hAnsi="宋体" w:eastAsia="宋体" w:cs="宋体"/>
                <w:b/>
                <w:sz w:val="20"/>
                <w:szCs w:val="20"/>
              </w:rPr>
            </w:pPr>
          </w:p>
        </w:tc>
        <w:tc>
          <w:tcPr>
            <w:tcW w:w="6523" w:type="dxa"/>
            <w:vAlign w:val="top"/>
          </w:tcPr>
          <w:p>
            <w:pPr>
              <w:widowControl/>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.2 现场培训：投标供应商应提供现场技术培训，保证使用人员正常操作设备的各种功能。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vAlign w:val="center"/>
          </w:tcPr>
          <w:p>
            <w:pPr>
              <w:spacing w:line="360" w:lineRule="exact"/>
              <w:jc w:val="center"/>
              <w:rPr>
                <w:rFonts w:hint="eastAsia" w:ascii="宋体" w:hAnsi="宋体" w:eastAsia="宋体" w:cs="宋体"/>
                <w:b/>
                <w:sz w:val="20"/>
                <w:szCs w:val="20"/>
                <w:lang w:eastAsia="zh-CN"/>
              </w:rPr>
            </w:pPr>
            <w:r>
              <w:rPr>
                <w:rFonts w:hint="eastAsia" w:ascii="宋体" w:hAnsi="宋体" w:eastAsia="宋体" w:cs="宋体"/>
                <w:b/>
                <w:sz w:val="20"/>
                <w:szCs w:val="20"/>
                <w:lang w:val="en-US" w:eastAsia="zh-CN"/>
              </w:rPr>
              <w:t>7</w:t>
            </w:r>
          </w:p>
        </w:tc>
        <w:tc>
          <w:tcPr>
            <w:tcW w:w="1457" w:type="dxa"/>
            <w:vMerge w:val="restart"/>
            <w:vAlign w:val="center"/>
          </w:tcPr>
          <w:p>
            <w:pPr>
              <w:spacing w:line="360" w:lineRule="exact"/>
              <w:jc w:val="center"/>
              <w:rPr>
                <w:rFonts w:hint="eastAsia" w:ascii="宋体" w:hAnsi="宋体" w:eastAsia="宋体" w:cs="宋体"/>
                <w:b/>
                <w:sz w:val="20"/>
                <w:szCs w:val="20"/>
              </w:rPr>
            </w:pPr>
            <w:r>
              <w:rPr>
                <w:rFonts w:hint="eastAsia" w:ascii="宋体" w:hAnsi="宋体" w:eastAsia="宋体" w:cs="宋体"/>
                <w:b/>
                <w:sz w:val="20"/>
                <w:szCs w:val="20"/>
              </w:rPr>
              <w:t>知识产权</w:t>
            </w:r>
          </w:p>
        </w:tc>
        <w:tc>
          <w:tcPr>
            <w:tcW w:w="6523" w:type="dxa"/>
            <w:vAlign w:val="top"/>
          </w:tcPr>
          <w:p>
            <w:pPr>
              <w:rPr>
                <w:rFonts w:hint="eastAsia" w:ascii="宋体" w:hAnsi="宋体" w:eastAsia="宋体" w:cs="宋体"/>
              </w:rPr>
            </w:pPr>
            <w:r>
              <w:rPr>
                <w:rFonts w:hint="eastAsia" w:ascii="宋体" w:hAnsi="宋体" w:eastAsia="宋体" w:cs="宋体"/>
                <w:color w:val="000000"/>
                <w:sz w:val="20"/>
                <w:szCs w:val="20"/>
                <w:lang w:val="en-US" w:eastAsia="zh-CN"/>
              </w:rPr>
              <w:t>7</w:t>
            </w:r>
            <w:r>
              <w:rPr>
                <w:rFonts w:hint="eastAsia" w:ascii="宋体" w:hAnsi="宋体" w:eastAsia="宋体" w:cs="宋体"/>
                <w:color w:val="000000"/>
                <w:sz w:val="20"/>
                <w:szCs w:val="20"/>
              </w:rPr>
              <w:t>.1涉及采购标的的知识产权归属、处理的，</w:t>
            </w:r>
            <w:r>
              <w:rPr>
                <w:rFonts w:hint="eastAsia" w:ascii="宋体" w:hAnsi="宋体" w:eastAsia="宋体" w:cs="宋体"/>
                <w:color w:val="000000"/>
                <w:sz w:val="20"/>
                <w:szCs w:val="20"/>
                <w:lang w:val="en-US" w:eastAsia="zh-CN"/>
              </w:rPr>
              <w:t>应</w:t>
            </w:r>
            <w:r>
              <w:rPr>
                <w:rFonts w:hint="eastAsia" w:ascii="宋体" w:hAnsi="宋体" w:eastAsia="宋体" w:cs="宋体"/>
                <w:color w:val="000000"/>
                <w:sz w:val="20"/>
                <w:szCs w:val="20"/>
              </w:rPr>
              <w:t>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vAlign w:val="center"/>
          </w:tcPr>
          <w:p>
            <w:pPr>
              <w:spacing w:line="360" w:lineRule="exact"/>
              <w:jc w:val="center"/>
              <w:rPr>
                <w:rFonts w:hint="eastAsia" w:ascii="宋体" w:hAnsi="宋体" w:eastAsia="宋体" w:cs="宋体"/>
                <w:b/>
              </w:rPr>
            </w:pPr>
          </w:p>
        </w:tc>
        <w:tc>
          <w:tcPr>
            <w:tcW w:w="1457" w:type="dxa"/>
            <w:vMerge w:val="continue"/>
            <w:vAlign w:val="center"/>
          </w:tcPr>
          <w:p>
            <w:pPr>
              <w:spacing w:line="360" w:lineRule="exact"/>
              <w:rPr>
                <w:rFonts w:hint="eastAsia" w:ascii="宋体" w:hAnsi="宋体" w:eastAsia="宋体" w:cs="宋体"/>
                <w:b/>
              </w:rPr>
            </w:pPr>
          </w:p>
        </w:tc>
        <w:tc>
          <w:tcPr>
            <w:tcW w:w="6523" w:type="dxa"/>
            <w:vAlign w:val="top"/>
          </w:tcPr>
          <w:p>
            <w:pPr>
              <w:widowControl/>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7</w:t>
            </w:r>
            <w:r>
              <w:rPr>
                <w:rFonts w:hint="eastAsia" w:ascii="宋体" w:hAnsi="宋体" w:eastAsia="宋体" w:cs="宋体"/>
                <w:color w:val="000000"/>
                <w:sz w:val="20"/>
                <w:szCs w:val="20"/>
              </w:rPr>
              <w:t>.2采购人购买产品后，有权对该产品与其他设备进行配套、整合或适当改进，而免受侵犯专利权的起诉。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Align w:val="center"/>
          </w:tcPr>
          <w:p>
            <w:pPr>
              <w:spacing w:line="360" w:lineRule="exact"/>
              <w:jc w:val="center"/>
              <w:rPr>
                <w:rFonts w:hint="eastAsia" w:ascii="宋体" w:hAnsi="宋体" w:eastAsia="宋体" w:cs="宋体"/>
                <w:b/>
                <w:lang w:eastAsia="zh-CN"/>
              </w:rPr>
            </w:pPr>
            <w:r>
              <w:rPr>
                <w:rFonts w:hint="eastAsia" w:ascii="宋体" w:hAnsi="宋体" w:eastAsia="宋体" w:cs="宋体"/>
                <w:b/>
                <w:lang w:val="en-US" w:eastAsia="zh-CN"/>
              </w:rPr>
              <w:t>8</w:t>
            </w:r>
          </w:p>
        </w:tc>
        <w:tc>
          <w:tcPr>
            <w:tcW w:w="1457" w:type="dxa"/>
            <w:vAlign w:val="center"/>
          </w:tcPr>
          <w:p>
            <w:pPr>
              <w:spacing w:line="360" w:lineRule="exact"/>
              <w:jc w:val="center"/>
              <w:rPr>
                <w:rFonts w:hint="eastAsia" w:ascii="宋体" w:hAnsi="宋体" w:eastAsia="宋体" w:cs="宋体"/>
                <w:b/>
              </w:rPr>
            </w:pPr>
            <w:r>
              <w:rPr>
                <w:rFonts w:hint="eastAsia" w:ascii="宋体" w:hAnsi="宋体" w:eastAsia="宋体" w:cs="宋体"/>
                <w:b/>
                <w:color w:val="0000FF"/>
                <w:sz w:val="20"/>
                <w:szCs w:val="20"/>
              </w:rPr>
              <w:t>其他</w:t>
            </w:r>
          </w:p>
        </w:tc>
        <w:tc>
          <w:tcPr>
            <w:tcW w:w="6523" w:type="dxa"/>
            <w:vAlign w:val="top"/>
          </w:tcPr>
          <w:p>
            <w:pPr>
              <w:widowControl/>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8.1</w:t>
            </w:r>
            <w:r>
              <w:rPr>
                <w:rFonts w:hint="eastAsia" w:ascii="宋体" w:hAnsi="宋体" w:eastAsia="宋体" w:cs="宋体"/>
                <w:color w:val="000000"/>
                <w:sz w:val="20"/>
                <w:szCs w:val="20"/>
              </w:rPr>
              <w:t>投标供应商应按其投标文件中的承诺，进行其他售后服务工作。</w:t>
            </w:r>
          </w:p>
          <w:p>
            <w:pPr>
              <w:keepNext w:val="0"/>
              <w:keepLines w:val="0"/>
              <w:pageBreakBefore w:val="0"/>
              <w:widowControl/>
              <w:kinsoku/>
              <w:wordWrap/>
              <w:overflowPunct/>
              <w:topLinePunct w:val="0"/>
              <w:autoSpaceDE/>
              <w:autoSpaceDN/>
              <w:bidi w:val="0"/>
              <w:adjustRightInd/>
              <w:snapToGrid/>
              <w:spacing w:after="60" w:line="440" w:lineRule="exact"/>
              <w:jc w:val="left"/>
              <w:textAlignment w:val="auto"/>
              <w:rPr>
                <w:rFonts w:hint="eastAsia" w:ascii="宋体" w:hAnsi="宋体" w:eastAsia="宋体" w:cs="宋体"/>
                <w:kern w:val="0"/>
                <w:sz w:val="20"/>
                <w:szCs w:val="20"/>
              </w:rPr>
            </w:pPr>
            <w:r>
              <w:rPr>
                <w:rFonts w:hint="eastAsia" w:ascii="宋体" w:hAnsi="宋体" w:eastAsia="宋体" w:cs="宋体"/>
                <w:color w:val="000000"/>
                <w:sz w:val="20"/>
                <w:szCs w:val="20"/>
                <w:lang w:val="en-US" w:eastAsia="zh-CN"/>
              </w:rPr>
              <w:t>8.2其他要求</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00" w:firstLineChars="200"/>
              <w:jc w:val="left"/>
              <w:textAlignment w:val="auto"/>
              <w:rPr>
                <w:rFonts w:hint="eastAsia" w:ascii="宋体" w:hAnsi="宋体" w:eastAsia="宋体" w:cs="宋体"/>
                <w:b/>
                <w:kern w:val="0"/>
                <w:sz w:val="20"/>
                <w:szCs w:val="20"/>
              </w:rPr>
            </w:pPr>
            <w:r>
              <w:rPr>
                <w:rFonts w:hint="eastAsia" w:ascii="宋体" w:hAnsi="宋体" w:eastAsia="宋体" w:cs="宋体"/>
                <w:b w:val="0"/>
                <w:bCs/>
                <w:kern w:val="0"/>
                <w:sz w:val="20"/>
                <w:szCs w:val="20"/>
                <w:lang w:eastAsia="zh-CN"/>
              </w:rPr>
              <w:t>（</w:t>
            </w:r>
            <w:r>
              <w:rPr>
                <w:rFonts w:hint="eastAsia" w:ascii="宋体" w:hAnsi="宋体" w:eastAsia="宋体" w:cs="宋体"/>
                <w:b w:val="0"/>
                <w:bCs/>
                <w:kern w:val="0"/>
                <w:sz w:val="20"/>
                <w:szCs w:val="20"/>
                <w:lang w:val="en-US" w:eastAsia="zh-CN"/>
              </w:rPr>
              <w:t>1</w:t>
            </w:r>
            <w:r>
              <w:rPr>
                <w:rFonts w:hint="eastAsia" w:ascii="宋体" w:hAnsi="宋体" w:eastAsia="宋体" w:cs="宋体"/>
                <w:b w:val="0"/>
                <w:bCs/>
                <w:kern w:val="0"/>
                <w:sz w:val="20"/>
                <w:szCs w:val="20"/>
                <w:lang w:eastAsia="zh-CN"/>
              </w:rPr>
              <w:t>）</w:t>
            </w:r>
            <w:r>
              <w:rPr>
                <w:rFonts w:hint="eastAsia" w:ascii="宋体" w:hAnsi="宋体" w:eastAsia="宋体" w:cs="宋体"/>
                <w:b/>
                <w:kern w:val="0"/>
                <w:sz w:val="20"/>
                <w:szCs w:val="20"/>
              </w:rPr>
              <w:t>根据政府采购相关规定，本项目不涉及政府集中采购目录中的任何货物。供应商以任何形式的政府集中采购目录中的货物投标，一经核实，将导致投标无效；若在验收阶段发现的，将导致项目不能通过验收，相关后果由中标公司承担。</w:t>
            </w:r>
          </w:p>
          <w:p>
            <w:pPr>
              <w:keepNext w:val="0"/>
              <w:keepLines w:val="0"/>
              <w:pageBreakBefore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FF0000"/>
                <w:sz w:val="20"/>
                <w:szCs w:val="20"/>
              </w:rPr>
            </w:pP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2</w:t>
            </w:r>
            <w:r>
              <w:rPr>
                <w:rFonts w:hint="eastAsia" w:ascii="宋体" w:hAnsi="宋体" w:eastAsia="宋体" w:cs="宋体"/>
                <w:sz w:val="20"/>
                <w:szCs w:val="20"/>
                <w:lang w:eastAsia="zh-CN"/>
              </w:rPr>
              <w:t>）</w:t>
            </w:r>
            <w:r>
              <w:rPr>
                <w:rFonts w:hint="eastAsia" w:ascii="宋体" w:hAnsi="宋体" w:eastAsia="宋体" w:cs="宋体"/>
                <w:sz w:val="20"/>
                <w:szCs w:val="20"/>
                <w:highlight w:val="yellow"/>
              </w:rPr>
              <w:t>上报验收报告时，除了表格中写明的材料外，还需要提交验收记录表、产品三证（产品合格证、供货凭证（含生产厂家或代理商证明）、产品检测证明（含第三方有资质检测机构出具的有效检测报告）、合同及附件；有害物质限量检测报告（现场抽样）。</w:t>
            </w:r>
            <w:permStart w:id="0" w:edGrp="everyone"/>
          </w:p>
          <w:p>
            <w:pPr>
              <w:keepNext w:val="0"/>
              <w:keepLines w:val="0"/>
              <w:pageBreakBefore w:val="0"/>
              <w:kinsoku/>
              <w:wordWrap/>
              <w:overflowPunct/>
              <w:topLinePunct w:val="0"/>
              <w:autoSpaceDE/>
              <w:autoSpaceDN/>
              <w:bidi w:val="0"/>
              <w:adjustRightInd/>
              <w:snapToGrid/>
              <w:spacing w:after="60" w:line="440" w:lineRule="exact"/>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3</w:t>
            </w:r>
            <w:r>
              <w:rPr>
                <w:rFonts w:hint="eastAsia" w:ascii="宋体" w:hAnsi="宋体" w:eastAsia="宋体" w:cs="宋体"/>
                <w:sz w:val="20"/>
                <w:szCs w:val="20"/>
                <w:lang w:eastAsia="zh-CN"/>
              </w:rPr>
              <w:t>）</w:t>
            </w:r>
            <w:r>
              <w:rPr>
                <w:rFonts w:hint="eastAsia" w:ascii="宋体" w:hAnsi="宋体" w:eastAsia="宋体" w:cs="宋体"/>
                <w:sz w:val="20"/>
                <w:szCs w:val="20"/>
              </w:rPr>
              <w:t>投标商必须确保中标后提供的货物为正规渠道供货，不存在违反国家法律、法规的情况。</w:t>
            </w:r>
          </w:p>
          <w:p>
            <w:pPr>
              <w:keepNext w:val="0"/>
              <w:keepLines w:val="0"/>
              <w:pageBreakBefore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rPr>
            </w:pPr>
            <w:bookmarkStart w:id="41" w:name="OLE_LINK1"/>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4</w:t>
            </w:r>
            <w:r>
              <w:rPr>
                <w:rFonts w:hint="eastAsia" w:ascii="宋体" w:hAnsi="宋体" w:eastAsia="宋体" w:cs="宋体"/>
                <w:sz w:val="20"/>
                <w:szCs w:val="20"/>
                <w:lang w:eastAsia="zh-CN"/>
              </w:rPr>
              <w:t>）</w:t>
            </w:r>
            <w:r>
              <w:rPr>
                <w:rFonts w:hint="eastAsia" w:ascii="宋体" w:hAnsi="宋体" w:eastAsia="宋体" w:cs="宋体"/>
                <w:sz w:val="20"/>
                <w:szCs w:val="20"/>
              </w:rPr>
              <w:t>特别条款：对于单纯家具（含课桌椅）项目、含家具或装修的功能室项目及教室照明设备在验收时还需提供以下材料：</w:t>
            </w:r>
          </w:p>
          <w:p>
            <w:pPr>
              <w:keepNext w:val="0"/>
              <w:keepLines w:val="0"/>
              <w:pageBreakBefore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①</w:t>
            </w:r>
            <w:r>
              <w:rPr>
                <w:rFonts w:hint="eastAsia" w:ascii="宋体" w:hAnsi="宋体" w:eastAsia="宋体" w:cs="宋体"/>
                <w:sz w:val="20"/>
                <w:szCs w:val="20"/>
              </w:rPr>
              <w:t>家具（含课桌椅）类货物应提供有害物质检测报告。根据深圳经济特区技术规范《家具成品及原辅材料中有害物质限量》（SZJG52-2016）的规定，</w:t>
            </w:r>
            <w:bookmarkStart w:id="42" w:name="_Hlk81842105"/>
            <w:r>
              <w:rPr>
                <w:rFonts w:hint="eastAsia" w:ascii="宋体" w:hAnsi="宋体" w:eastAsia="宋体" w:cs="宋体"/>
                <w:sz w:val="20"/>
                <w:szCs w:val="20"/>
              </w:rPr>
              <w:t>需根据现场抽样并对以下项目进行检验且合格</w:t>
            </w:r>
            <w:bookmarkEnd w:id="42"/>
            <w:r>
              <w:rPr>
                <w:rFonts w:hint="eastAsia" w:ascii="宋体" w:hAnsi="宋体" w:eastAsia="宋体" w:cs="宋体"/>
                <w:sz w:val="20"/>
                <w:szCs w:val="20"/>
              </w:rPr>
              <w:t>：</w:t>
            </w:r>
          </w:p>
          <w:p>
            <w:pPr>
              <w:spacing w:line="360" w:lineRule="auto"/>
              <w:ind w:firstLine="400" w:firstLineChars="200"/>
              <w:rPr>
                <w:rFonts w:hint="eastAsia" w:ascii="宋体" w:hAnsi="宋体" w:eastAsia="宋体" w:cs="宋体"/>
                <w:sz w:val="20"/>
                <w:szCs w:val="20"/>
              </w:rPr>
            </w:pPr>
          </w:p>
          <w:tbl>
            <w:tblPr>
              <w:tblStyle w:val="17"/>
              <w:tblW w:w="4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372"/>
              <w:gridCol w:w="1067"/>
              <w:gridCol w:w="776"/>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blHeader/>
                <w:jc w:val="center"/>
              </w:trPr>
              <w:tc>
                <w:tcPr>
                  <w:tcW w:w="534" w:type="dxa"/>
                  <w:noWrap w:val="0"/>
                  <w:vAlign w:val="center"/>
                </w:tcPr>
                <w:p>
                  <w:pPr>
                    <w:snapToGrid w:val="0"/>
                    <w:jc w:val="center"/>
                    <w:rPr>
                      <w:rFonts w:hint="eastAsia" w:ascii="宋体" w:hAnsi="宋体" w:eastAsia="宋体" w:cs="宋体"/>
                      <w:sz w:val="20"/>
                      <w:szCs w:val="20"/>
                    </w:rPr>
                  </w:pPr>
                  <w:r>
                    <w:rPr>
                      <w:rFonts w:hint="eastAsia" w:ascii="宋体" w:hAnsi="宋体" w:eastAsia="宋体" w:cs="宋体"/>
                      <w:sz w:val="20"/>
                      <w:szCs w:val="20"/>
                    </w:rPr>
                    <w:t>序号</w:t>
                  </w:r>
                </w:p>
              </w:tc>
              <w:tc>
                <w:tcPr>
                  <w:tcW w:w="1372" w:type="dxa"/>
                  <w:noWrap w:val="0"/>
                  <w:vAlign w:val="center"/>
                </w:tcPr>
                <w:p>
                  <w:pPr>
                    <w:snapToGrid w:val="0"/>
                    <w:jc w:val="center"/>
                    <w:rPr>
                      <w:rFonts w:hint="eastAsia" w:ascii="宋体" w:hAnsi="宋体" w:eastAsia="宋体" w:cs="宋体"/>
                      <w:sz w:val="20"/>
                      <w:szCs w:val="20"/>
                    </w:rPr>
                  </w:pPr>
                  <w:r>
                    <w:rPr>
                      <w:rFonts w:hint="eastAsia" w:ascii="宋体" w:hAnsi="宋体" w:eastAsia="宋体" w:cs="宋体"/>
                      <w:sz w:val="20"/>
                      <w:szCs w:val="20"/>
                    </w:rPr>
                    <w:t>检验项目</w:t>
                  </w:r>
                </w:p>
              </w:tc>
              <w:tc>
                <w:tcPr>
                  <w:tcW w:w="1067" w:type="dxa"/>
                  <w:noWrap w:val="0"/>
                  <w:vAlign w:val="center"/>
                </w:tcPr>
                <w:p>
                  <w:pPr>
                    <w:snapToGrid w:val="0"/>
                    <w:jc w:val="center"/>
                    <w:rPr>
                      <w:rFonts w:hint="eastAsia" w:ascii="宋体" w:hAnsi="宋体" w:eastAsia="宋体" w:cs="宋体"/>
                      <w:sz w:val="20"/>
                      <w:szCs w:val="20"/>
                    </w:rPr>
                  </w:pPr>
                  <w:r>
                    <w:rPr>
                      <w:rFonts w:hint="eastAsia" w:ascii="宋体" w:hAnsi="宋体" w:eastAsia="宋体" w:cs="宋体"/>
                      <w:sz w:val="20"/>
                      <w:szCs w:val="20"/>
                    </w:rPr>
                    <w:t>依据法律法规或标准条款</w:t>
                  </w:r>
                </w:p>
              </w:tc>
              <w:tc>
                <w:tcPr>
                  <w:tcW w:w="776" w:type="dxa"/>
                  <w:noWrap w:val="0"/>
                  <w:vAlign w:val="center"/>
                </w:tcPr>
                <w:p>
                  <w:pPr>
                    <w:snapToGrid w:val="0"/>
                    <w:jc w:val="center"/>
                    <w:rPr>
                      <w:rFonts w:hint="eastAsia" w:ascii="宋体" w:hAnsi="宋体" w:eastAsia="宋体" w:cs="宋体"/>
                      <w:sz w:val="20"/>
                      <w:szCs w:val="20"/>
                    </w:rPr>
                  </w:pPr>
                  <w:r>
                    <w:rPr>
                      <w:rFonts w:hint="eastAsia" w:ascii="宋体" w:hAnsi="宋体" w:eastAsia="宋体" w:cs="宋体"/>
                      <w:sz w:val="20"/>
                      <w:szCs w:val="20"/>
                    </w:rPr>
                    <w:t>强制性/推荐性</w:t>
                  </w:r>
                </w:p>
              </w:tc>
              <w:tc>
                <w:tcPr>
                  <w:tcW w:w="1249" w:type="dxa"/>
                  <w:noWrap w:val="0"/>
                  <w:vAlign w:val="center"/>
                </w:tcPr>
                <w:p>
                  <w:pPr>
                    <w:snapToGrid w:val="0"/>
                    <w:jc w:val="center"/>
                    <w:rPr>
                      <w:rFonts w:hint="eastAsia" w:ascii="宋体" w:hAnsi="宋体" w:eastAsia="宋体" w:cs="宋体"/>
                      <w:sz w:val="20"/>
                      <w:szCs w:val="20"/>
                    </w:rPr>
                  </w:pPr>
                  <w:r>
                    <w:rPr>
                      <w:rFonts w:hint="eastAsia" w:ascii="宋体" w:hAnsi="宋体" w:eastAsia="宋体" w:cs="宋体"/>
                      <w:sz w:val="20"/>
                      <w:szCs w:val="20"/>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534" w:type="dxa"/>
                  <w:noWrap w:val="0"/>
                  <w:vAlign w:val="top"/>
                </w:tcPr>
                <w:p>
                  <w:pPr>
                    <w:jc w:val="center"/>
                    <w:rPr>
                      <w:rFonts w:hint="eastAsia" w:ascii="宋体" w:hAnsi="宋体" w:eastAsia="宋体" w:cs="宋体"/>
                      <w:sz w:val="20"/>
                      <w:szCs w:val="20"/>
                    </w:rPr>
                  </w:pPr>
                  <w:r>
                    <w:rPr>
                      <w:rFonts w:hint="eastAsia" w:ascii="宋体" w:hAnsi="宋体" w:eastAsia="宋体" w:cs="宋体"/>
                      <w:sz w:val="20"/>
                      <w:szCs w:val="20"/>
                    </w:rPr>
                    <w:t>1</w:t>
                  </w:r>
                </w:p>
              </w:tc>
              <w:tc>
                <w:tcPr>
                  <w:tcW w:w="137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甲醛释放量</w:t>
                  </w:r>
                </w:p>
              </w:tc>
              <w:tc>
                <w:tcPr>
                  <w:tcW w:w="1067"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w:t>
                  </w:r>
                </w:p>
              </w:tc>
              <w:tc>
                <w:tcPr>
                  <w:tcW w:w="77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强制性</w:t>
                  </w:r>
                </w:p>
              </w:tc>
              <w:tc>
                <w:tcPr>
                  <w:tcW w:w="1249"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 GB/T31106-2014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534" w:type="dxa"/>
                  <w:noWrap w:val="0"/>
                  <w:vAlign w:val="top"/>
                </w:tcPr>
                <w:p>
                  <w:pPr>
                    <w:jc w:val="center"/>
                    <w:rPr>
                      <w:rFonts w:hint="eastAsia" w:ascii="宋体" w:hAnsi="宋体" w:eastAsia="宋体" w:cs="宋体"/>
                      <w:sz w:val="20"/>
                      <w:szCs w:val="20"/>
                    </w:rPr>
                  </w:pPr>
                  <w:r>
                    <w:rPr>
                      <w:rFonts w:hint="eastAsia" w:ascii="宋体" w:hAnsi="宋体" w:eastAsia="宋体" w:cs="宋体"/>
                      <w:sz w:val="20"/>
                      <w:szCs w:val="20"/>
                    </w:rPr>
                    <w:t>2</w:t>
                  </w:r>
                </w:p>
              </w:tc>
              <w:tc>
                <w:tcPr>
                  <w:tcW w:w="137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苯释放量</w:t>
                  </w:r>
                </w:p>
              </w:tc>
              <w:tc>
                <w:tcPr>
                  <w:tcW w:w="1067"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w:t>
                  </w:r>
                </w:p>
              </w:tc>
              <w:tc>
                <w:tcPr>
                  <w:tcW w:w="77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强制性</w:t>
                  </w:r>
                </w:p>
              </w:tc>
              <w:tc>
                <w:tcPr>
                  <w:tcW w:w="1249"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 GB/T31106-2014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534" w:type="dxa"/>
                  <w:noWrap w:val="0"/>
                  <w:vAlign w:val="top"/>
                </w:tcPr>
                <w:p>
                  <w:pPr>
                    <w:jc w:val="center"/>
                    <w:rPr>
                      <w:rFonts w:hint="eastAsia" w:ascii="宋体" w:hAnsi="宋体" w:eastAsia="宋体" w:cs="宋体"/>
                      <w:sz w:val="20"/>
                      <w:szCs w:val="20"/>
                    </w:rPr>
                  </w:pPr>
                  <w:r>
                    <w:rPr>
                      <w:rFonts w:hint="eastAsia" w:ascii="宋体" w:hAnsi="宋体" w:eastAsia="宋体" w:cs="宋体"/>
                      <w:sz w:val="20"/>
                      <w:szCs w:val="20"/>
                    </w:rPr>
                    <w:t>3</w:t>
                  </w:r>
                </w:p>
              </w:tc>
              <w:tc>
                <w:tcPr>
                  <w:tcW w:w="137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甲苯释放量</w:t>
                  </w:r>
                </w:p>
              </w:tc>
              <w:tc>
                <w:tcPr>
                  <w:tcW w:w="1067"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w:t>
                  </w:r>
                </w:p>
              </w:tc>
              <w:tc>
                <w:tcPr>
                  <w:tcW w:w="77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强制性</w:t>
                  </w:r>
                </w:p>
              </w:tc>
              <w:tc>
                <w:tcPr>
                  <w:tcW w:w="1249"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 GB/T31106-2014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534" w:type="dxa"/>
                  <w:noWrap w:val="0"/>
                  <w:vAlign w:val="top"/>
                </w:tcPr>
                <w:p>
                  <w:pPr>
                    <w:jc w:val="center"/>
                    <w:rPr>
                      <w:rFonts w:hint="eastAsia" w:ascii="宋体" w:hAnsi="宋体" w:eastAsia="宋体" w:cs="宋体"/>
                      <w:sz w:val="20"/>
                      <w:szCs w:val="20"/>
                    </w:rPr>
                  </w:pPr>
                  <w:r>
                    <w:rPr>
                      <w:rFonts w:hint="eastAsia" w:ascii="宋体" w:hAnsi="宋体" w:eastAsia="宋体" w:cs="宋体"/>
                      <w:sz w:val="20"/>
                      <w:szCs w:val="20"/>
                    </w:rPr>
                    <w:t>4</w:t>
                  </w:r>
                </w:p>
              </w:tc>
              <w:tc>
                <w:tcPr>
                  <w:tcW w:w="137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二甲苯释放量</w:t>
                  </w:r>
                </w:p>
              </w:tc>
              <w:tc>
                <w:tcPr>
                  <w:tcW w:w="1067"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w:t>
                  </w:r>
                </w:p>
              </w:tc>
              <w:tc>
                <w:tcPr>
                  <w:tcW w:w="77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强制性</w:t>
                  </w:r>
                </w:p>
              </w:tc>
              <w:tc>
                <w:tcPr>
                  <w:tcW w:w="1249"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 GB/T31106-2014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jc w:val="center"/>
              </w:trPr>
              <w:tc>
                <w:tcPr>
                  <w:tcW w:w="534" w:type="dxa"/>
                  <w:noWrap w:val="0"/>
                  <w:vAlign w:val="top"/>
                </w:tcPr>
                <w:p>
                  <w:pPr>
                    <w:jc w:val="center"/>
                    <w:rPr>
                      <w:rFonts w:hint="eastAsia" w:ascii="宋体" w:hAnsi="宋体" w:eastAsia="宋体" w:cs="宋体"/>
                      <w:sz w:val="20"/>
                      <w:szCs w:val="20"/>
                    </w:rPr>
                  </w:pPr>
                  <w:r>
                    <w:rPr>
                      <w:rFonts w:hint="eastAsia" w:ascii="宋体" w:hAnsi="宋体" w:eastAsia="宋体" w:cs="宋体"/>
                      <w:sz w:val="20"/>
                      <w:szCs w:val="20"/>
                    </w:rPr>
                    <w:t>5</w:t>
                  </w:r>
                </w:p>
              </w:tc>
              <w:tc>
                <w:tcPr>
                  <w:tcW w:w="1372"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总挥发性有机化合物（TVOC）释放量</w:t>
                  </w:r>
                </w:p>
              </w:tc>
              <w:tc>
                <w:tcPr>
                  <w:tcW w:w="1067"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w:t>
                  </w:r>
                </w:p>
              </w:tc>
              <w:tc>
                <w:tcPr>
                  <w:tcW w:w="776"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强制性</w:t>
                  </w:r>
                </w:p>
              </w:tc>
              <w:tc>
                <w:tcPr>
                  <w:tcW w:w="1249" w:type="dxa"/>
                  <w:noWrap w:val="0"/>
                  <w:vAlign w:val="center"/>
                </w:tcPr>
                <w:p>
                  <w:pPr>
                    <w:rPr>
                      <w:rFonts w:hint="eastAsia" w:ascii="宋体" w:hAnsi="宋体" w:eastAsia="宋体" w:cs="宋体"/>
                      <w:sz w:val="20"/>
                      <w:szCs w:val="20"/>
                    </w:rPr>
                  </w:pPr>
                  <w:r>
                    <w:rPr>
                      <w:rFonts w:hint="eastAsia" w:ascii="宋体" w:hAnsi="宋体" w:eastAsia="宋体" w:cs="宋体"/>
                      <w:sz w:val="20"/>
                      <w:szCs w:val="20"/>
                    </w:rPr>
                    <w:t>SZJG52-2016 GB/T31106-2014</w:t>
                  </w:r>
                </w:p>
              </w:tc>
            </w:tr>
            <w:bookmarkEnd w:id="41"/>
            <w:permEnd w:id="0"/>
          </w:tbl>
          <w:p>
            <w:pPr>
              <w:pStyle w:val="7"/>
              <w:rPr>
                <w:rFonts w:hint="eastAsia" w:ascii="宋体" w:hAnsi="宋体" w:eastAsia="宋体" w:cs="宋体"/>
                <w:sz w:val="20"/>
                <w:szCs w:val="20"/>
                <w:lang w:val="en-US" w:eastAsia="zh-CN"/>
              </w:rPr>
            </w:pPr>
          </w:p>
        </w:tc>
      </w:tr>
    </w:tbl>
    <w:p>
      <w:pPr>
        <w:rPr>
          <w:b/>
        </w:rPr>
      </w:pPr>
    </w:p>
    <w:p>
      <w:pPr>
        <w:pStyle w:val="8"/>
        <w:spacing w:before="60" w:beforeLines="25" w:after="60" w:afterLines="25"/>
        <w:ind w:firstLine="0" w:firstLineChars="0"/>
        <w:rPr>
          <w:rFonts w:ascii="宋体" w:hAnsi="宋体"/>
          <w:szCs w:val="21"/>
        </w:rPr>
      </w:pPr>
    </w:p>
    <w:p>
      <w:pPr>
        <w:pStyle w:val="7"/>
        <w:spacing w:before="120" w:beforeLines="50" w:after="120" w:afterLines="50"/>
        <w:jc w:val="center"/>
        <w:rPr>
          <w:sz w:val="28"/>
          <w:szCs w:val="28"/>
        </w:rPr>
      </w:pPr>
      <w:r>
        <w:rPr>
          <w:rFonts w:hint="eastAsia"/>
          <w:sz w:val="28"/>
          <w:szCs w:val="28"/>
          <w:lang w:val="en-US" w:eastAsia="zh-CN"/>
        </w:rPr>
        <w:t>六</w:t>
      </w:r>
      <w:r>
        <w:rPr>
          <w:rFonts w:hint="eastAsia"/>
          <w:sz w:val="28"/>
          <w:szCs w:val="28"/>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政府采购（自行采购）</w:t>
      </w:r>
      <w:r>
        <w:rPr>
          <w:rFonts w:hint="eastAsia"/>
          <w:bCs/>
          <w:szCs w:val="21"/>
        </w:rPr>
        <w:t>的项目投标。各投标人在投标报价时，应充分考虑投标报价的风险。</w:t>
      </w:r>
    </w:p>
    <w:p>
      <w:pPr>
        <w:ind w:firstLine="420" w:firstLineChars="200"/>
        <w:rPr>
          <w:bCs/>
          <w:szCs w:val="21"/>
        </w:rPr>
      </w:pPr>
      <w:r>
        <w:rPr>
          <w:rFonts w:hint="eastAsia"/>
          <w:bCs/>
          <w:szCs w:val="21"/>
          <w:lang w:val="en-US" w:eastAsia="zh-CN"/>
        </w:rPr>
        <w:t>4</w:t>
      </w:r>
      <w:r>
        <w:rPr>
          <w:rFonts w:hint="eastAsia"/>
          <w:bCs/>
          <w:szCs w:val="21"/>
        </w:rPr>
        <w:t>、除</w:t>
      </w:r>
      <w:r>
        <w:rPr>
          <w:rFonts w:hint="eastAsia"/>
          <w:bCs/>
          <w:szCs w:val="21"/>
          <w:lang w:eastAsia="zh-CN"/>
        </w:rPr>
        <w:t>政府采购（自行采购）</w:t>
      </w:r>
      <w:r>
        <w:rPr>
          <w:rFonts w:hint="eastAsia"/>
          <w:bCs/>
          <w:szCs w:val="21"/>
        </w:rPr>
        <w:t>合同继续履行将损害国家利益和社会公共利益外，双方当事人不得擅自变更、中止或者终止合同。</w:t>
      </w:r>
    </w:p>
    <w:p>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pPr>
        <w:rPr>
          <w:rFonts w:ascii="宋体" w:hAnsi="宋体"/>
        </w:rPr>
      </w:pPr>
    </w:p>
    <w:p>
      <w:pPr>
        <w:pStyle w:val="2"/>
        <w:rPr>
          <w:rFonts w:ascii="宋体" w:hAnsi="宋体"/>
        </w:rPr>
      </w:pPr>
    </w:p>
    <w:p>
      <w:pPr>
        <w:pStyle w:val="14"/>
      </w:pPr>
    </w:p>
    <w:p>
      <w:pPr>
        <w:pStyle w:val="2"/>
        <w:rPr>
          <w:rFonts w:ascii="宋体" w:hAnsi="宋体"/>
        </w:rPr>
        <w:sectPr>
          <w:pgSz w:w="11907" w:h="16840"/>
          <w:pgMar w:top="1440" w:right="1797" w:bottom="1440" w:left="1797" w:header="851" w:footer="992" w:gutter="0"/>
          <w:cols w:space="425" w:num="1"/>
          <w:titlePg/>
          <w:docGrid w:linePitch="462" w:charSpace="0"/>
        </w:sectPr>
      </w:pPr>
    </w:p>
    <w:p>
      <w:pPr>
        <w:pStyle w:val="7"/>
        <w:jc w:val="center"/>
        <w:rPr>
          <w:kern w:val="2"/>
        </w:rPr>
      </w:pPr>
      <w:r>
        <w:rPr>
          <w:rFonts w:hint="eastAsia"/>
          <w:kern w:val="2"/>
        </w:rPr>
        <w:t>第四章</w:t>
      </w:r>
      <w:r>
        <w:rPr>
          <w:kern w:val="2"/>
        </w:rPr>
        <w:t xml:space="preserve"> </w:t>
      </w:r>
      <w:r>
        <w:rPr>
          <w:rFonts w:hint="eastAsia"/>
          <w:kern w:val="2"/>
        </w:rPr>
        <w:t xml:space="preserve"> 投标文件组成要求及格式</w:t>
      </w:r>
    </w:p>
    <w:p>
      <w:pPr>
        <w:rPr>
          <w:rStyle w:val="35"/>
          <w:sz w:val="24"/>
        </w:rPr>
      </w:pPr>
      <w:r>
        <w:rPr>
          <w:rStyle w:val="35"/>
          <w:rFonts w:hint="eastAsia"/>
          <w:sz w:val="24"/>
        </w:rPr>
        <w:t>特别提醒：</w:t>
      </w:r>
    </w:p>
    <w:p>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投标文件正文（信息公开部分）必须编制于“正文（公开部分）”部分，投标文件附件（非信息公开部分）必须编制于“附件（不公开部分）”部分，如下图所示。</w:t>
      </w:r>
    </w:p>
    <w:p>
      <w:pPr>
        <w:widowControl/>
        <w:jc w:val="left"/>
        <w:rPr>
          <w:rFonts w:ascii="宋体" w:hAnsi="宋体" w:cs="宋体"/>
          <w:kern w:val="0"/>
          <w:sz w:val="24"/>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5"/>
                    <a:stretch>
                      <a:fillRect/>
                    </a:stretch>
                  </pic:blipFill>
                  <pic:spPr>
                    <a:xfrm>
                      <a:off x="0" y="0"/>
                      <a:ext cx="5162550" cy="4011295"/>
                    </a:xfrm>
                    <a:prstGeom prst="rect">
                      <a:avLst/>
                    </a:prstGeom>
                  </pic:spPr>
                </pic:pic>
              </a:graphicData>
            </a:graphic>
          </wp:inline>
        </w:drawing>
      </w:r>
    </w:p>
    <w:p>
      <w:pPr>
        <w:ind w:firstLine="480" w:firstLineChars="200"/>
        <w:rPr>
          <w:rFonts w:ascii="仿宋_GB2312" w:eastAsia="仿宋_GB2312"/>
          <w:sz w:val="24"/>
        </w:rPr>
      </w:pPr>
      <w:bookmarkStart w:id="43" w:name="_Hlk72257167"/>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bookmarkEnd w:id="43"/>
    <w:p>
      <w:pPr>
        <w:ind w:firstLine="420" w:firstLineChars="200"/>
        <w:rPr>
          <w:rFonts w:ascii="宋体" w:hAnsi="宋体"/>
          <w:szCs w:val="21"/>
        </w:rPr>
      </w:pPr>
    </w:p>
    <w:p>
      <w:pPr>
        <w:ind w:firstLine="480" w:firstLineChars="200"/>
        <w:rPr>
          <w:rFonts w:ascii="仿宋_GB2312" w:eastAsia="仿宋_GB2312"/>
          <w:sz w:val="24"/>
        </w:rPr>
      </w:pPr>
    </w:p>
    <w:p>
      <w:pPr>
        <w:rPr>
          <w:rFonts w:ascii="仿宋_GB2312" w:eastAsia="仿宋_GB2312"/>
          <w:sz w:val="24"/>
        </w:rPr>
      </w:pPr>
    </w:p>
    <w:p>
      <w:pPr>
        <w:rPr>
          <w:rFonts w:ascii="宋体" w:hAnsi="宋体"/>
          <w:sz w:val="24"/>
        </w:rPr>
      </w:pPr>
      <w:bookmarkStart w:id="44" w:name="_Hlk72257771"/>
      <w:bookmarkStart w:id="45" w:name="_Hlk72263559"/>
      <w:r>
        <w:rPr>
          <w:rFonts w:hint="eastAsia" w:ascii="宋体" w:hAnsi="宋体"/>
          <w:sz w:val="24"/>
        </w:rPr>
        <w:t>投标文件组成：</w:t>
      </w:r>
    </w:p>
    <w:p>
      <w:pPr>
        <w:ind w:firstLine="1200" w:firstLineChars="500"/>
        <w:outlineLvl w:val="9"/>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rFonts w:hint="eastAsia" w:eastAsia="宋体"/>
          <w:szCs w:val="21"/>
          <w:lang w:eastAsia="zh-CN"/>
        </w:rPr>
      </w:pPr>
      <w:r>
        <w:rPr>
          <w:rFonts w:hint="eastAsia"/>
          <w:szCs w:val="21"/>
        </w:rPr>
        <w:t>（1）</w:t>
      </w:r>
      <w:bookmarkStart w:id="46" w:name="_Hlk72070784"/>
      <w:r>
        <w:rPr>
          <w:rFonts w:hint="eastAsia"/>
          <w:szCs w:val="21"/>
        </w:rPr>
        <w:t>投标函</w:t>
      </w:r>
      <w:bookmarkEnd w:id="46"/>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pPr>
        <w:ind w:left="718" w:leftChars="342" w:firstLine="1417" w:firstLineChars="675"/>
        <w:rPr>
          <w:rFonts w:hint="eastAsia" w:eastAsia="宋体"/>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4</w:t>
      </w:r>
      <w:r>
        <w:rPr>
          <w:rFonts w:hint="eastAsia"/>
          <w:szCs w:val="21"/>
        </w:rPr>
        <w:t>）项目详细报价</w:t>
      </w:r>
      <w:r>
        <w:rPr>
          <w:rFonts w:hint="eastAsia"/>
          <w:szCs w:val="21"/>
          <w:lang w:eastAsia="zh-CN"/>
        </w:rPr>
        <w:t>；</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5</w:t>
      </w:r>
      <w:r>
        <w:rPr>
          <w:rFonts w:hint="eastAsia"/>
          <w:szCs w:val="21"/>
        </w:rPr>
        <w:t>）</w:t>
      </w:r>
      <w:r>
        <w:rPr>
          <w:rFonts w:hint="eastAsia" w:ascii="宋体" w:hAnsi="宋体" w:eastAsia="宋体" w:cs="宋体"/>
          <w:lang w:val="en-US" w:eastAsia="zh-CN"/>
        </w:rPr>
        <w:t>经验评价</w:t>
      </w:r>
      <w:r>
        <w:rPr>
          <w:rFonts w:hint="eastAsia"/>
          <w:szCs w:val="21"/>
          <w:lang w:eastAsia="zh-CN"/>
        </w:rPr>
        <w:t>；</w:t>
      </w:r>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r>
        <w:rPr>
          <w:rFonts w:hint="eastAsia"/>
          <w:szCs w:val="21"/>
          <w:lang w:val="en-US" w:eastAsia="zh-CN"/>
        </w:rPr>
        <w:t>公开</w:t>
      </w:r>
      <w:r>
        <w:rPr>
          <w:rFonts w:hint="eastAsia"/>
          <w:szCs w:val="21"/>
          <w:lang w:eastAsia="zh-CN"/>
        </w:rPr>
        <w:t>）；</w:t>
      </w:r>
    </w:p>
    <w:p>
      <w:pPr>
        <w:ind w:firstLine="1200" w:firstLineChars="500"/>
        <w:outlineLvl w:val="9"/>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技术要求偏离表</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6</w:t>
      </w:r>
      <w:r>
        <w:rPr>
          <w:rFonts w:hint="eastAsia"/>
          <w:szCs w:val="21"/>
        </w:rPr>
        <w:t>）</w:t>
      </w:r>
      <w:r>
        <w:rPr>
          <w:rFonts w:hint="eastAsia"/>
          <w:szCs w:val="21"/>
          <w:lang w:eastAsia="zh-CN"/>
        </w:rPr>
        <w:t>项目组织实施方案的评价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7</w:t>
      </w:r>
      <w:r>
        <w:rPr>
          <w:rFonts w:hint="eastAsia"/>
          <w:szCs w:val="21"/>
          <w:lang w:eastAsia="zh-CN"/>
        </w:rPr>
        <w:t>）设计图评价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）售后服务评价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9</w:t>
      </w:r>
      <w:r>
        <w:rPr>
          <w:rFonts w:hint="eastAsia"/>
          <w:szCs w:val="21"/>
          <w:lang w:eastAsia="zh-CN"/>
        </w:rPr>
        <w:t>）政府采购节能环保产品情况</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10</w:t>
      </w:r>
      <w:r>
        <w:rPr>
          <w:rFonts w:hint="eastAsia"/>
          <w:szCs w:val="21"/>
          <w:lang w:eastAsia="zh-CN"/>
        </w:rPr>
        <w:t>）绿色采购情况；</w:t>
      </w:r>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11</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pPr>
        <w:pStyle w:val="2"/>
      </w:pPr>
    </w:p>
    <w:p>
      <w:pPr>
        <w:pStyle w:val="8"/>
        <w:ind w:left="210" w:leftChars="100" w:firstLine="781" w:firstLineChars="372"/>
        <w:rPr>
          <w:rFonts w:ascii="宋体" w:hAnsi="宋体"/>
          <w:szCs w:val="21"/>
        </w:rPr>
      </w:pPr>
    </w:p>
    <w:p>
      <w:pPr>
        <w:rPr>
          <w:rFonts w:ascii="仿宋_GB2312" w:eastAsia="仿宋_GB2312"/>
          <w:sz w:val="24"/>
        </w:rPr>
      </w:pPr>
    </w:p>
    <w:p>
      <w:pPr>
        <w:ind w:firstLine="426" w:firstLineChars="202"/>
        <w:rPr>
          <w:rFonts w:ascii="宋体" w:hAnsi="宋体"/>
          <w:b/>
          <w:szCs w:val="21"/>
        </w:rPr>
      </w:pPr>
      <w:r>
        <w:rPr>
          <w:rFonts w:hint="eastAsia" w:ascii="宋体" w:hAnsi="宋体"/>
          <w:b/>
          <w:szCs w:val="21"/>
        </w:rPr>
        <w:t>备注：</w:t>
      </w:r>
    </w:p>
    <w:p>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2" w:firstLineChars="200"/>
        <w:rPr>
          <w:rFonts w:ascii="宋体" w:hAnsi="宋体"/>
          <w:color w:val="FF0000"/>
          <w:sz w:val="24"/>
        </w:rPr>
      </w:pPr>
      <w:r>
        <w:rPr>
          <w:rFonts w:hint="eastAsia" w:ascii="宋体" w:hAnsi="宋体"/>
          <w:b/>
          <w:szCs w:val="21"/>
        </w:rPr>
        <w:t>2.关于填写“开标一览表”的说明：“开标一览表”中除“投标总价”外，其他信息不作评审依据</w:t>
      </w:r>
      <w:bookmarkEnd w:id="44"/>
      <w:bookmarkEnd w:id="45"/>
    </w:p>
    <w:p>
      <w:pPr>
        <w:rPr>
          <w:rFonts w:ascii="宋体" w:hAnsi="宋体"/>
          <w:color w:val="FF0000"/>
          <w:sz w:val="24"/>
        </w:rPr>
      </w:pPr>
    </w:p>
    <w:p>
      <w:pPr>
        <w:rPr>
          <w:rFonts w:ascii="宋体" w:hAnsi="宋体"/>
          <w:color w:val="FF0000"/>
          <w:sz w:val="24"/>
        </w:rPr>
      </w:pPr>
    </w:p>
    <w:p>
      <w:pPr>
        <w:rPr>
          <w:rFonts w:ascii="宋体" w:hAnsi="宋体"/>
          <w:color w:val="FF0000"/>
          <w:sz w:val="24"/>
        </w:rPr>
      </w:pPr>
    </w:p>
    <w:p>
      <w:pPr>
        <w:rPr>
          <w:rFonts w:ascii="宋体" w:hAnsi="宋体"/>
          <w:color w:val="FF0000"/>
          <w:sz w:val="24"/>
        </w:rPr>
        <w:sectPr>
          <w:pgSz w:w="11907" w:h="16840"/>
          <w:pgMar w:top="1440" w:right="1797" w:bottom="1440" w:left="1797" w:header="851" w:footer="992" w:gutter="0"/>
          <w:cols w:space="425" w:num="1"/>
          <w:titlePg/>
          <w:docGrid w:linePitch="462" w:charSpace="0"/>
        </w:sectPr>
      </w:pP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5"/>
        <w:jc w:val="center"/>
        <w:rPr>
          <w:rFonts w:ascii="黑体" w:eastAsia="黑体"/>
          <w:b w:val="0"/>
          <w:sz w:val="24"/>
        </w:rPr>
      </w:pPr>
      <w:r>
        <w:rPr>
          <w:rFonts w:hint="eastAsia" w:ascii="黑体" w:eastAsia="黑体"/>
          <w:b w:val="0"/>
          <w:sz w:val="24"/>
        </w:rPr>
        <w:t>一、投标函</w:t>
      </w:r>
    </w:p>
    <w:p>
      <w:pPr>
        <w:spacing w:line="360" w:lineRule="auto"/>
        <w:rPr>
          <w:rFonts w:ascii="宋体" w:hAnsi="宋体"/>
          <w:szCs w:val="21"/>
        </w:rPr>
      </w:pPr>
      <w:bookmarkStart w:id="47"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48" w:name="_Hlk73818812"/>
      <w:r>
        <w:rPr>
          <w:rFonts w:hint="eastAsia"/>
          <w:szCs w:val="21"/>
        </w:rPr>
        <w:t>1、根据已收到贵单位的项目编号为</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 xxx（项目编号）xxx</w:t>
      </w:r>
      <w:r>
        <w:rPr>
          <w:rFonts w:hint="eastAsia"/>
          <w:sz w:val="21"/>
          <w:szCs w:val="21"/>
          <w:u w:val="thick"/>
          <w:lang w:val="en-US" w:eastAsia="zh-CN"/>
        </w:rPr>
        <w:t xml:space="preserve"> </w:t>
      </w:r>
      <w:r>
        <w:rPr>
          <w:rFonts w:hint="eastAsia"/>
          <w:szCs w:val="21"/>
          <w:u w:val="thick"/>
          <w:lang w:val="en-US" w:eastAsia="zh-CN"/>
        </w:rPr>
        <w:t xml:space="preserve">      </w:t>
      </w:r>
      <w:r>
        <w:rPr>
          <w:rFonts w:hint="eastAsia"/>
          <w:szCs w:val="21"/>
          <w:u w:val="thick"/>
        </w:rPr>
        <w:t xml:space="preserve">  </w:t>
      </w:r>
      <w:r>
        <w:rPr>
          <w:rFonts w:hint="eastAsia"/>
          <w:szCs w:val="21"/>
        </w:rPr>
        <w:t>的</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xxx（项目名称）xxx </w:t>
      </w:r>
      <w:r>
        <w:rPr>
          <w:rFonts w:hint="eastAsia"/>
          <w:szCs w:val="21"/>
          <w:u w:val="thick"/>
        </w:rPr>
        <w:t xml:space="preserve">          </w:t>
      </w:r>
      <w:r>
        <w:rPr>
          <w:rFonts w:hint="eastAsia"/>
          <w:szCs w:val="21"/>
        </w:rPr>
        <w:t>项目的招标文件，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49" w:name="_Hlk72263588"/>
      <w:r>
        <w:rPr>
          <w:rFonts w:hint="eastAsia"/>
          <w:szCs w:val="21"/>
        </w:rPr>
        <w:t>愿意按照招标文件要求承包上述项目并修补其任何缺陷。</w:t>
      </w:r>
      <w:bookmarkEnd w:id="49"/>
    </w:p>
    <w:p>
      <w:pPr>
        <w:ind w:firstLine="420" w:firstLineChars="200"/>
        <w:rPr>
          <w:rFonts w:ascii="宋体" w:hAnsi="宋体"/>
          <w:szCs w:val="21"/>
        </w:rPr>
      </w:pPr>
      <w:r>
        <w:rPr>
          <w:rFonts w:ascii="宋体" w:hAnsi="宋体"/>
          <w:szCs w:val="21"/>
        </w:rPr>
        <w:t>2</w:t>
      </w:r>
      <w:r>
        <w:rPr>
          <w:rFonts w:hint="eastAsia" w:ascii="宋体" w:hAnsi="宋体"/>
          <w:szCs w:val="21"/>
        </w:rPr>
        <w:t>、</w:t>
      </w:r>
      <w:bookmarkStart w:id="50" w:name="_Hlk73819847"/>
      <w:r>
        <w:rPr>
          <w:rFonts w:hint="eastAsia" w:ascii="宋体" w:hAnsi="宋体"/>
          <w:szCs w:val="21"/>
        </w:rPr>
        <w:t>投标价格见</w:t>
      </w:r>
      <w:r>
        <w:rPr>
          <w:rFonts w:hint="eastAsia"/>
          <w:szCs w:val="21"/>
        </w:rPr>
        <w:t>投标书编制软件中《开标一览表》中填写的投标总价。</w:t>
      </w:r>
      <w:bookmarkEnd w:id="50"/>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firstLine="0" w:firstLineChars="0"/>
        <w:rPr>
          <w:rFonts w:ascii="宋体" w:hAnsi="宋体"/>
          <w:b/>
          <w:szCs w:val="21"/>
        </w:rPr>
      </w:pPr>
      <w:r>
        <w:rPr>
          <w:rFonts w:hint="eastAsia" w:ascii="宋体" w:hAnsi="宋体"/>
          <w:szCs w:val="21"/>
        </w:rPr>
        <w:t>6、我单位理解贵单位将不受必须接受所收到的最低报价或其它任何投标文件的约束。</w:t>
      </w:r>
      <w:bookmarkEnd w:id="48"/>
      <w:r>
        <w:rPr>
          <w:rFonts w:hint="eastAsia" w:ascii="宋体" w:hAnsi="宋体"/>
          <w:b/>
          <w:szCs w:val="21"/>
        </w:rPr>
        <w:t>7</w:t>
      </w:r>
      <w:r>
        <w:rPr>
          <w:rFonts w:ascii="宋体" w:hAnsi="宋体"/>
          <w:b/>
          <w:szCs w:val="21"/>
        </w:rPr>
        <w:t>、</w:t>
      </w:r>
      <w:r>
        <w:rPr>
          <w:rFonts w:hint="eastAsia" w:ascii="宋体" w:hAnsi="宋体"/>
          <w:b/>
          <w:szCs w:val="21"/>
          <w:lang w:val="en-US" w:eastAsia="zh-CN"/>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rFonts w:hint="eastAsia"/>
          <w:szCs w:val="21"/>
        </w:rPr>
      </w:pPr>
    </w:p>
    <w:p>
      <w:pPr>
        <w:ind w:left="420" w:leftChars="200" w:firstLine="210" w:firstLineChars="100"/>
        <w:rPr>
          <w:rFonts w:hint="eastAsia"/>
          <w:szCs w:val="21"/>
          <w:u w:val="none"/>
          <w:lang w:eastAsia="zh-CN"/>
        </w:rPr>
      </w:pPr>
      <w:r>
        <w:rPr>
          <w:rFonts w:hint="eastAsia"/>
          <w:szCs w:val="21"/>
        </w:rPr>
        <w:t>投标人：</w:t>
      </w:r>
      <w:r>
        <w:rPr>
          <w:rFonts w:hint="eastAsia"/>
          <w:szCs w:val="21"/>
          <w:u w:val="thick"/>
        </w:rPr>
        <w:t xml:space="preserve">       </w:t>
      </w:r>
      <w:r>
        <w:rPr>
          <w:rFonts w:hint="eastAsia" w:eastAsia="宋体"/>
          <w:szCs w:val="21"/>
          <w:lang w:eastAsia="zh-CN"/>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none"/>
        </w:rPr>
      </w:pPr>
      <w:r>
        <w:rPr>
          <w:rFonts w:hint="eastAsia"/>
          <w:szCs w:val="21"/>
        </w:rPr>
        <w:t>电话</w:t>
      </w:r>
      <w:r>
        <w:rPr>
          <w:rFonts w:hint="eastAsia"/>
          <w:szCs w:val="21"/>
          <w:u w:val="none"/>
        </w:rPr>
        <w:t>：</w:t>
      </w:r>
      <w:r>
        <w:rPr>
          <w:rFonts w:hint="eastAsia"/>
          <w:szCs w:val="21"/>
          <w:u w:val="thick"/>
        </w:rPr>
        <w:t xml:space="preserve">         </w:t>
      </w:r>
      <w:r>
        <w:rPr>
          <w:rFonts w:hint="eastAsia"/>
          <w:szCs w:val="21"/>
        </w:rPr>
        <w:t xml:space="preserve"> </w:t>
      </w:r>
      <w:r>
        <w:rPr>
          <w:rFonts w:hint="eastAsia" w:eastAsia="宋体"/>
          <w:szCs w:val="21"/>
          <w:u w:val="none"/>
          <w:lang w:eastAsia="zh-CN"/>
        </w:rPr>
        <w:t>；</w:t>
      </w:r>
      <w:r>
        <w:rPr>
          <w:rFonts w:hint="eastAsia"/>
          <w:szCs w:val="21"/>
          <w:u w:val="none"/>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黑体" w:hAnsi="宋体" w:eastAsia="黑体"/>
        </w:rPr>
      </w:pPr>
    </w:p>
    <w:bookmarkEnd w:id="47"/>
    <w:p>
      <w:pPr>
        <w:pStyle w:val="5"/>
        <w:jc w:val="center"/>
        <w:rPr>
          <w:rFonts w:hint="eastAsia" w:ascii="黑体" w:eastAsia="黑体"/>
          <w:b w:val="0"/>
          <w:sz w:val="24"/>
          <w:lang w:eastAsia="zh-CN"/>
        </w:rPr>
      </w:pPr>
      <w:r>
        <w:rPr>
          <w:rFonts w:hint="eastAsia" w:ascii="黑体" w:eastAsia="黑体"/>
          <w:b w:val="0"/>
          <w:sz w:val="24"/>
        </w:rPr>
        <w:t>二、</w:t>
      </w:r>
      <w:r>
        <w:rPr>
          <w:rFonts w:hint="eastAsia" w:ascii="黑体" w:eastAsia="黑体"/>
          <w:b w:val="0"/>
          <w:sz w:val="24"/>
          <w:lang w:eastAsia="zh-CN"/>
        </w:rPr>
        <w:t>自行采购投标及履约承诺函</w:t>
      </w:r>
    </w:p>
    <w:p>
      <w:pPr>
        <w:rPr>
          <w:rFonts w:ascii="宋体" w:hAnsi="宋体"/>
          <w:color w:val="FF0000"/>
          <w:szCs w:val="21"/>
        </w:rPr>
      </w:pPr>
      <w:bookmarkStart w:id="51"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52" w:name="_Hlk72587269"/>
      <w:bookmarkStart w:id="53"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52"/>
      <w:r>
        <w:rPr>
          <w:rFonts w:hint="eastAsia" w:ascii="宋体" w:hAnsi="宋体"/>
          <w:szCs w:val="21"/>
        </w:rPr>
        <w:t>。</w:t>
      </w:r>
    </w:p>
    <w:bookmarkEnd w:id="53"/>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pPr>
        <w:ind w:firstLine="422"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51"/>
    <w:p>
      <w:pPr>
        <w:spacing w:before="60" w:beforeLines="25" w:after="60" w:afterLines="25"/>
        <w:jc w:val="right"/>
        <w:rPr>
          <w:rFonts w:hint="eastAsia" w:eastAsia="宋体"/>
          <w:color w:val="FF0000"/>
          <w:u w:val="none"/>
          <w:lang w:eastAsia="zh-CN"/>
        </w:rPr>
      </w:pPr>
      <w:r>
        <w:rPr>
          <w:rFonts w:hint="eastAsia"/>
          <w:color w:val="FF0000"/>
          <w:szCs w:val="21"/>
        </w:rPr>
        <w:t>投标人</w:t>
      </w:r>
      <w:r>
        <w:rPr>
          <w:rFonts w:hint="eastAsia"/>
          <w:color w:val="FF0000"/>
          <w:szCs w:val="21"/>
          <w:u w:val="none"/>
        </w:rPr>
        <w:t>：</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color w:val="FF0000"/>
          <w:szCs w:val="21"/>
          <w:u w:val="none"/>
          <w:lang w:val="en-US" w:eastAsia="zh-CN"/>
        </w:rPr>
        <w:t>.</w:t>
      </w:r>
    </w:p>
    <w:p>
      <w:pPr>
        <w:ind w:firstLine="645"/>
        <w:jc w:val="right"/>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日</w:t>
      </w:r>
    </w:p>
    <w:p>
      <w:pPr>
        <w:ind w:firstLine="645"/>
        <w:rPr>
          <w:rFonts w:ascii="宋体" w:hAnsi="宋体"/>
          <w:szCs w:val="21"/>
        </w:rPr>
      </w:pPr>
    </w:p>
    <w:p>
      <w:pPr>
        <w:rPr>
          <w:rFonts w:ascii="宋体"/>
          <w:b/>
          <w:szCs w:val="21"/>
        </w:rPr>
      </w:pPr>
    </w:p>
    <w:p>
      <w:pPr>
        <w:ind w:firstLine="482" w:firstLineChars="200"/>
        <w:jc w:val="center"/>
        <w:rPr>
          <w:rFonts w:hAnsi="宋体"/>
          <w:b/>
          <w:bCs/>
          <w:sz w:val="24"/>
        </w:rPr>
      </w:pPr>
    </w:p>
    <w:p>
      <w:pPr>
        <w:pStyle w:val="5"/>
        <w:jc w:val="center"/>
        <w:rPr>
          <w:rFonts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ascii="黑体" w:hAnsi="宋体" w:eastAsia="黑体"/>
          <w:bCs/>
          <w:kern w:val="0"/>
          <w:sz w:val="24"/>
          <w:szCs w:val="32"/>
        </w:rPr>
      </w:pPr>
      <w:bookmarkStart w:id="54" w:name="_Hlk72257590"/>
      <w:r>
        <w:rPr>
          <w:rFonts w:hint="eastAsia" w:ascii="黑体" w:hAnsi="宋体" w:eastAsia="黑体"/>
          <w:bCs/>
          <w:kern w:val="0"/>
          <w:sz w:val="24"/>
          <w:szCs w:val="32"/>
        </w:rPr>
        <w:t>（一）投标人资格证明文件</w:t>
      </w:r>
    </w:p>
    <w:p>
      <w:pPr>
        <w:spacing w:before="120"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pPr>
        <w:rPr>
          <w:b/>
          <w:bCs/>
          <w:sz w:val="24"/>
        </w:rPr>
      </w:pPr>
    </w:p>
    <w:p>
      <w:pPr>
        <w:ind w:firstLine="480" w:firstLineChars="200"/>
        <w:outlineLvl w:val="3"/>
        <w:rPr>
          <w:rFonts w:ascii="黑体" w:hAnsi="宋体" w:eastAsia="黑体"/>
          <w:bCs/>
          <w:kern w:val="0"/>
          <w:sz w:val="24"/>
          <w:szCs w:val="32"/>
        </w:rPr>
      </w:pPr>
      <w:bookmarkStart w:id="55" w:name="_Hlk72257908"/>
      <w:r>
        <w:rPr>
          <w:rFonts w:hint="eastAsia" w:ascii="黑体" w:hAnsi="宋体" w:eastAsia="黑体"/>
          <w:bCs/>
          <w:kern w:val="0"/>
          <w:sz w:val="24"/>
          <w:szCs w:val="32"/>
        </w:rPr>
        <w:t>（二）中小企业声明函、残疾人福利性单位声明函及监狱企业声明函</w:t>
      </w:r>
    </w:p>
    <w:bookmarkEnd w:id="54"/>
    <w:p>
      <w:pPr>
        <w:jc w:val="left"/>
        <w:outlineLvl w:val="9"/>
        <w:rPr>
          <w:rFonts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w:t>
      </w:r>
      <w:r>
        <w:rPr>
          <w:rFonts w:hint="eastAsia" w:ascii="黑体" w:hAnsi="宋体" w:eastAsia="黑体"/>
          <w:bCs/>
          <w:color w:val="FF0000"/>
          <w:kern w:val="0"/>
          <w:szCs w:val="21"/>
          <w:lang w:eastAsia="zh-CN"/>
        </w:rPr>
        <w:t>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7"/>
        </w:numPr>
        <w:jc w:val="center"/>
        <w:outlineLvl w:val="9"/>
        <w:rPr>
          <w:b/>
          <w:sz w:val="24"/>
        </w:rPr>
      </w:pPr>
      <w:r>
        <w:rPr>
          <w:b/>
          <w:sz w:val="24"/>
        </w:rPr>
        <w:t>中小企业声明函（货物）</w:t>
      </w:r>
    </w:p>
    <w:p>
      <w:pPr>
        <w:pStyle w:val="2"/>
        <w:widowControl w:val="0"/>
        <w:numPr>
          <w:ilvl w:val="0"/>
          <w:numId w:val="0"/>
        </w:numPr>
        <w:spacing w:line="360" w:lineRule="auto"/>
        <w:jc w:val="both"/>
      </w:pP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w:t>
      </w:r>
      <w:r>
        <w:rPr>
          <w:rFonts w:hint="eastAsia" w:asciiTheme="minorEastAsia" w:hAnsiTheme="minorEastAsia" w:cstheme="minorEastAsia"/>
          <w:sz w:val="21"/>
          <w:szCs w:val="21"/>
          <w:lang w:val="en-US" w:eastAsia="zh-CN"/>
        </w:rPr>
        <w:t>参照</w:t>
      </w:r>
      <w:r>
        <w:rPr>
          <w:rFonts w:hint="eastAsia" w:asciiTheme="minorEastAsia" w:hAnsiTheme="minorEastAsia" w:eastAsiaTheme="minorEastAsia" w:cstheme="minorEastAsia"/>
          <w:sz w:val="21"/>
          <w:szCs w:val="21"/>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6"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 号）第二十条规定，投标人按照本办法规定提供声明函内容不实的，属于提供虚假材料谋取中标，</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56"/>
    </w:p>
    <w:p>
      <w:pPr>
        <w:ind w:firstLine="420" w:firstLineChars="200"/>
        <w:outlineLvl w:val="9"/>
        <w:rPr>
          <w:rFonts w:ascii="宋体" w:hAnsi="宋体"/>
          <w:bCs/>
          <w:color w:val="FF0000"/>
          <w:kern w:val="0"/>
          <w:szCs w:val="21"/>
        </w:rPr>
      </w:pPr>
    </w:p>
    <w:p/>
    <w:p>
      <w:pPr>
        <w:ind w:firstLine="420" w:firstLineChars="200"/>
      </w:pPr>
    </w:p>
    <w:p>
      <w:pPr>
        <w:jc w:val="center"/>
        <w:outlineLvl w:val="9"/>
        <w:rPr>
          <w:b/>
          <w:sz w:val="24"/>
        </w:rPr>
      </w:pPr>
      <w:r>
        <w:rPr>
          <w:rFonts w:hint="eastAsia"/>
          <w:b/>
          <w:sz w:val="24"/>
        </w:rPr>
        <w:t>2、残疾人福利性单位声明函（货物类）</w:t>
      </w:r>
    </w:p>
    <w:p>
      <w:pPr>
        <w:rPr>
          <w:b/>
          <w:bCs/>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57" w:name="_Hlk73562331"/>
      <w:bookmarkStart w:id="58" w:name="_Hlk73562245"/>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57"/>
    </w:p>
    <w:bookmarkEnd w:id="58"/>
    <w:p>
      <w:pPr>
        <w:ind w:firstLine="420" w:firstLineChars="200"/>
        <w:rPr>
          <w:rFonts w:ascii="宋体" w:hAnsi="宋体"/>
          <w:szCs w:val="21"/>
        </w:rPr>
      </w:pPr>
    </w:p>
    <w:p>
      <w:pPr>
        <w:ind w:firstLine="420" w:firstLineChars="200"/>
        <w:rPr>
          <w:rFonts w:ascii="宋体" w:hAnsi="宋体"/>
          <w:szCs w:val="21"/>
        </w:rPr>
      </w:pPr>
    </w:p>
    <w:p>
      <w:pPr>
        <w:jc w:val="center"/>
        <w:outlineLvl w:val="9"/>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w:t>
      </w:r>
      <w:r>
        <w:rPr>
          <w:rFonts w:hint="eastAsia" w:ascii="宋体" w:hAnsi="宋体"/>
          <w:sz w:val="21"/>
          <w:szCs w:val="21"/>
          <w:lang w:val="en-US" w:eastAsia="zh-CN"/>
        </w:rPr>
        <w:t>参照</w:t>
      </w:r>
      <w:r>
        <w:rPr>
          <w:rFonts w:hint="eastAsia" w:ascii="宋体" w:hAnsi="宋体"/>
          <w:sz w:val="21"/>
          <w:szCs w:val="21"/>
        </w:rPr>
        <w:t>《财政部司法部关于政府采购支持监狱企业发展有关问题的通知》（财库〔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ascii="宋体" w:hAnsi="宋体"/>
          <w:sz w:val="21"/>
          <w:szCs w:val="21"/>
        </w:rPr>
      </w:pPr>
      <w:r>
        <w:rPr>
          <w:rFonts w:ascii="宋体" w:hAnsi="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r>
        <w:rPr>
          <w:rFonts w:hint="eastAsia" w:ascii="宋体" w:hAnsi="宋体"/>
          <w:sz w:val="21"/>
          <w:szCs w:val="21"/>
        </w:rPr>
        <w:t>附：省级以上监狱管理局、戒毒管理局（含新疆生产建设兵团）出具的监狱企业证明文件。</w:t>
      </w:r>
      <w:bookmarkEnd w:id="5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p>
    <w:p>
      <w:pPr>
        <w:pStyle w:val="5"/>
        <w:jc w:val="center"/>
        <w:rPr>
          <w:rFonts w:ascii="黑体" w:eastAsia="黑体"/>
          <w:b w:val="0"/>
          <w:sz w:val="24"/>
          <w:szCs w:val="24"/>
        </w:rPr>
      </w:pPr>
      <w:bookmarkStart w:id="59" w:name="_Hlk72259976"/>
      <w:r>
        <w:rPr>
          <w:rFonts w:hint="eastAsia" w:ascii="黑体" w:eastAsia="黑体"/>
          <w:b w:val="0"/>
          <w:sz w:val="24"/>
          <w:szCs w:val="24"/>
        </w:rPr>
        <w:t>四、项目详细报价</w:t>
      </w:r>
    </w:p>
    <w:p>
      <w:pPr>
        <w:tabs>
          <w:tab w:val="left" w:pos="720"/>
        </w:tabs>
        <w:ind w:firstLine="3132" w:firstLineChars="1300"/>
        <w:rPr>
          <w:b/>
          <w:sz w:val="24"/>
          <w:highlight w:val="yellow"/>
        </w:rPr>
      </w:pPr>
      <w:r>
        <w:rPr>
          <w:rFonts w:hint="eastAsia"/>
          <w:b/>
          <w:sz w:val="24"/>
          <w:highlight w:val="yellow"/>
        </w:rPr>
        <w:t>（一）分项报价表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1"/>
        <w:gridCol w:w="1166"/>
        <w:gridCol w:w="1399"/>
        <w:gridCol w:w="512"/>
        <w:gridCol w:w="512"/>
        <w:gridCol w:w="512"/>
        <w:gridCol w:w="512"/>
        <w:gridCol w:w="523"/>
        <w:gridCol w:w="512"/>
        <w:gridCol w:w="537"/>
        <w:gridCol w:w="537"/>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序号</w:t>
            </w:r>
          </w:p>
        </w:tc>
        <w:tc>
          <w:tcPr>
            <w:tcW w:w="70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采购计划编号</w:t>
            </w: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货物名称</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品牌</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规格/型号</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1"/>
                <w:szCs w:val="21"/>
                <w:highlight w:val="yellow"/>
                <w:u w:val="none"/>
              </w:rPr>
            </w:pPr>
            <w:r>
              <w:rPr>
                <w:rFonts w:hint="eastAsia" w:ascii="宋体" w:hAnsi="宋体" w:eastAsia="宋体" w:cs="宋体"/>
                <w:b/>
                <w:i w:val="0"/>
                <w:color w:val="FF0000"/>
                <w:kern w:val="0"/>
                <w:sz w:val="21"/>
                <w:szCs w:val="21"/>
                <w:highlight w:val="yellow"/>
                <w:u w:val="none"/>
                <w:lang w:val="en-US" w:eastAsia="zh-CN" w:bidi="ar"/>
              </w:rPr>
              <w:t>原产地</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制造商名称</w:t>
            </w: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数量</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单位</w:t>
            </w:r>
          </w:p>
        </w:tc>
        <w:tc>
          <w:tcPr>
            <w:tcW w:w="32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单价(元)</w:t>
            </w:r>
          </w:p>
        </w:tc>
        <w:tc>
          <w:tcPr>
            <w:tcW w:w="32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合价(元)</w:t>
            </w:r>
          </w:p>
        </w:tc>
        <w:tc>
          <w:tcPr>
            <w:tcW w:w="65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预算金额（元）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w:t>
            </w:r>
          </w:p>
        </w:tc>
        <w:tc>
          <w:tcPr>
            <w:tcW w:w="7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BAJYJ2025061207351A</w:t>
            </w: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玩具柜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48</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378,000.00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12格活动柜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教具盒柜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4</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4人幼儿桌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5</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圆木椅</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210</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6</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6人长方桌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36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7</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半圆桌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12</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8</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中空5格玩具柜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18</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9</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2层45度弧形柜-实木</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12</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10</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基本图书柜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11</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平板床</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120</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12</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幼儿床</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60</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13</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床托</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12</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14</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美术长桌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15</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吊柜1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7</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16</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吊柜2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7</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17</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儿童操作台</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7</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18</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不锈钢水杯架</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19</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毛巾挂钩</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24</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20</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三层柜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21</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教具盒柜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22</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中空两层柜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2</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23</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中空五格柜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24</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九格柜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25</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三格柜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26</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两层90度弧形柜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27</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柜体入口</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28</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图书柜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2</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29</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贩卖台</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30</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布偶台</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31</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灶台柜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32</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微波炉/冰箱柜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33</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幼儿洗衣机柜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34</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洗涤台/洗碗机柜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35</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4人桌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4</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36</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幼教椅</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18</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37</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平板床</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18</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38</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三角支架毛巾架</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39</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换尿布柜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40</w:t>
            </w:r>
          </w:p>
        </w:tc>
        <w:tc>
          <w:tcPr>
            <w:tcW w:w="7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c>
          <w:tcPr>
            <w:tcW w:w="840"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yellow"/>
                <w:u w:val="none"/>
              </w:rPr>
            </w:pPr>
            <w:r>
              <w:rPr>
                <w:rFonts w:hint="eastAsia" w:ascii="宋体" w:hAnsi="宋体" w:eastAsia="宋体" w:cs="宋体"/>
                <w:i w:val="0"/>
                <w:color w:val="000000"/>
                <w:kern w:val="0"/>
                <w:sz w:val="21"/>
                <w:szCs w:val="21"/>
                <w:highlight w:val="yellow"/>
                <w:u w:val="none"/>
                <w:lang w:val="en-US" w:eastAsia="zh-CN" w:bidi="ar"/>
              </w:rPr>
              <w:t>尿布垫</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1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1</w:t>
            </w:r>
          </w:p>
        </w:tc>
        <w:tc>
          <w:tcPr>
            <w:tcW w:w="3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yellow"/>
                <w:u w:val="none"/>
              </w:rPr>
            </w:pPr>
            <w:r>
              <w:rPr>
                <w:rFonts w:hint="eastAsia" w:ascii="宋体" w:hAnsi="宋体" w:eastAsia="宋体" w:cs="宋体"/>
                <w:i w:val="0"/>
                <w:color w:val="000000"/>
                <w:kern w:val="0"/>
                <w:sz w:val="20"/>
                <w:szCs w:val="20"/>
                <w:highlight w:val="yellow"/>
                <w:u w:val="none"/>
                <w:lang w:val="en-US" w:eastAsia="zh-CN"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rPr>
                <w:rFonts w:hint="eastAsia" w:ascii="宋体" w:hAnsi="宋体" w:eastAsia="宋体" w:cs="宋体"/>
                <w:i w:val="0"/>
                <w:color w:val="000000"/>
                <w:sz w:val="22"/>
                <w:szCs w:val="22"/>
                <w:highlight w:val="yellow"/>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宋体" w:hAnsi="宋体" w:eastAsia="宋体" w:cs="宋体"/>
                <w:i w:val="0"/>
                <w:color w:val="000000"/>
                <w:sz w:val="22"/>
                <w:szCs w:val="22"/>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yellow"/>
                <w:u w:val="none"/>
              </w:rPr>
            </w:pPr>
            <w:r>
              <w:rPr>
                <w:rFonts w:hint="eastAsia" w:ascii="宋体" w:hAnsi="宋体" w:eastAsia="宋体" w:cs="宋体"/>
                <w:i w:val="0"/>
                <w:color w:val="000000"/>
                <w:kern w:val="0"/>
                <w:sz w:val="22"/>
                <w:szCs w:val="22"/>
                <w:highlight w:val="yellow"/>
                <w:u w:val="none"/>
                <w:lang w:val="en-US" w:eastAsia="zh-CN" w:bidi="ar"/>
              </w:rPr>
              <w:t>合计（即投标总价；币种：人民币；单位：元） 小写：            大写：</w:t>
            </w:r>
          </w:p>
        </w:tc>
      </w:tr>
    </w:tbl>
    <w:p>
      <w:pPr>
        <w:ind w:firstLine="482" w:firstLineChars="200"/>
        <w:rPr>
          <w:rFonts w:hint="eastAsia" w:ascii="宋体" w:hAnsi="宋体"/>
          <w:b/>
          <w:sz w:val="24"/>
        </w:rPr>
      </w:pPr>
    </w:p>
    <w:p>
      <w:pPr>
        <w:ind w:firstLine="482" w:firstLineChars="200"/>
        <w:rPr>
          <w:rFonts w:ascii="宋体" w:hAnsi="宋体"/>
          <w:b/>
          <w:sz w:val="24"/>
        </w:rPr>
      </w:pPr>
      <w:r>
        <w:rPr>
          <w:rFonts w:hint="eastAsia" w:ascii="宋体" w:hAnsi="宋体"/>
          <w:b/>
          <w:sz w:val="24"/>
        </w:rPr>
        <w:t>注：1.本表可按同样格式扩展。</w:t>
      </w:r>
    </w:p>
    <w:p>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。此类填写错误或缺漏的不利后果由供应商承担。经评审委员会认定，在使用综合评分法的项目中一项此类填写错误或缺漏将按照一项普通招标技术要求（一般参数/普通参数）负偏离扣分处理。</w:t>
      </w:r>
    </w:p>
    <w:p>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w:t>
      </w:r>
      <w:bookmarkStart w:id="60" w:name="_Hlk73646428"/>
      <w:r>
        <w:rPr>
          <w:rFonts w:hint="eastAsia" w:ascii="宋体" w:hAnsi="宋体"/>
          <w:b/>
          <w:sz w:val="24"/>
        </w:rPr>
        <w:t>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经评审委员会认定，在使用综合评分法的项目中一项此类填写错误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bookmarkEnd w:id="60"/>
    </w:p>
    <w:p>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pPr>
        <w:ind w:firstLine="482" w:firstLineChars="200"/>
        <w:rPr>
          <w:rFonts w:ascii="宋体" w:hAnsi="宋体"/>
          <w:b/>
          <w:color w:val="FF0000"/>
          <w:sz w:val="24"/>
        </w:rPr>
      </w:pPr>
    </w:p>
    <w:p>
      <w:pPr>
        <w:ind w:firstLine="482" w:firstLineChars="200"/>
        <w:rPr>
          <w:rFonts w:ascii="宋体" w:hAnsi="宋体"/>
          <w:b/>
          <w:color w:val="FF0000"/>
          <w:sz w:val="24"/>
        </w:rPr>
      </w:pPr>
    </w:p>
    <w:p>
      <w:pPr>
        <w:tabs>
          <w:tab w:val="left" w:pos="720"/>
        </w:tabs>
        <w:jc w:val="center"/>
        <w:rPr>
          <w:b/>
          <w:sz w:val="24"/>
        </w:rPr>
      </w:pPr>
      <w:r>
        <w:rPr>
          <w:rFonts w:hint="eastAsia"/>
          <w:b/>
          <w:sz w:val="24"/>
        </w:rPr>
        <w:t>（二）核心产品品牌</w:t>
      </w:r>
    </w:p>
    <w:p>
      <w:pPr>
        <w:ind w:firstLine="482" w:firstLineChars="200"/>
        <w:rPr>
          <w:rFonts w:ascii="宋体" w:hAnsi="宋体"/>
          <w:b/>
          <w:color w:val="FF0000"/>
          <w:sz w:val="24"/>
        </w:rPr>
      </w:pPr>
    </w:p>
    <w:p>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pPr>
        <w:ind w:firstLine="482" w:firstLineChars="200"/>
        <w:rPr>
          <w:rFonts w:ascii="宋体" w:hAnsi="宋体"/>
          <w:b/>
          <w:color w:val="FF0000"/>
          <w:sz w:val="24"/>
        </w:rPr>
      </w:pPr>
    </w:p>
    <w:p>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pPr>
        <w:ind w:firstLine="482" w:firstLineChars="200"/>
        <w:rPr>
          <w:rFonts w:ascii="宋体" w:hAnsi="宋体"/>
          <w:b/>
          <w:color w:val="FF0000"/>
          <w:sz w:val="24"/>
        </w:rPr>
      </w:pPr>
    </w:p>
    <w:p>
      <w:pPr>
        <w:ind w:firstLine="482" w:firstLineChars="200"/>
        <w:rPr>
          <w:rFonts w:ascii="宋体" w:hAnsi="宋体"/>
          <w:b/>
          <w:color w:val="FF0000"/>
          <w:sz w:val="24"/>
        </w:rPr>
      </w:pPr>
    </w:p>
    <w:p>
      <w:pPr>
        <w:rPr>
          <w:b/>
          <w:sz w:val="24"/>
        </w:rPr>
      </w:pPr>
    </w:p>
    <w:p>
      <w:pPr>
        <w:tabs>
          <w:tab w:val="left" w:pos="720"/>
        </w:tabs>
        <w:ind w:firstLine="1928" w:firstLineChars="800"/>
        <w:rPr>
          <w:b/>
          <w:sz w:val="24"/>
        </w:rPr>
      </w:pPr>
      <w:r>
        <w:rPr>
          <w:rFonts w:hint="eastAsia"/>
          <w:b/>
          <w:sz w:val="24"/>
        </w:rPr>
        <w:t>（三）可选配件报价清单（不包括在总报价内）</w:t>
      </w:r>
    </w:p>
    <w:p>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pPr>
        <w:ind w:firstLine="482" w:firstLineChars="200"/>
        <w:rPr>
          <w:rFonts w:hAnsi="宋体"/>
          <w:b/>
          <w:bCs/>
          <w:sz w:val="24"/>
        </w:rPr>
      </w:pPr>
    </w:p>
    <w:p>
      <w:pPr>
        <w:ind w:firstLine="482" w:firstLineChars="200"/>
        <w:rPr>
          <w:rFonts w:hAnsi="宋体"/>
          <w:b/>
          <w:bCs/>
          <w:sz w:val="24"/>
        </w:rPr>
      </w:pPr>
    </w:p>
    <w:p>
      <w:pPr>
        <w:tabs>
          <w:tab w:val="left" w:pos="720"/>
        </w:tabs>
        <w:jc w:val="center"/>
        <w:rPr>
          <w:b/>
          <w:sz w:val="24"/>
        </w:rPr>
      </w:pPr>
      <w:r>
        <w:rPr>
          <w:rFonts w:hint="eastAsia"/>
          <w:b/>
          <w:sz w:val="24"/>
        </w:rPr>
        <w:t>（四）</w:t>
      </w:r>
      <w:bookmarkStart w:id="61" w:name="_Hlk72073235"/>
      <w:r>
        <w:rPr>
          <w:rFonts w:hint="eastAsia"/>
          <w:b/>
          <w:sz w:val="24"/>
        </w:rPr>
        <w:t>投标人认为需要涉及的其他内容报价清单</w:t>
      </w:r>
      <w:bookmarkEnd w:id="61"/>
    </w:p>
    <w:p>
      <w:pPr>
        <w:rPr>
          <w:b/>
          <w:bCs/>
        </w:rPr>
      </w:pPr>
    </w:p>
    <w:p/>
    <w:p>
      <w:r>
        <w:rPr>
          <w:rFonts w:hint="eastAsia"/>
        </w:rPr>
        <w:t xml:space="preserve"> </w:t>
      </w:r>
      <w:r>
        <w:t xml:space="preserve">     </w:t>
      </w:r>
    </w:p>
    <w:p/>
    <w:p>
      <w:pPr>
        <w:ind w:firstLine="723" w:firstLineChars="300"/>
        <w:rPr>
          <w:b/>
          <w:color w:val="FF0000"/>
          <w:sz w:val="24"/>
        </w:rPr>
      </w:pPr>
      <w:r>
        <w:rPr>
          <w:rFonts w:hint="eastAsia"/>
          <w:b/>
          <w:color w:val="FF0000"/>
          <w:sz w:val="24"/>
        </w:rPr>
        <w:t>（信息公开部分的内容到此为止！以下为信息不公开部分。）</w:t>
      </w:r>
    </w:p>
    <w:bookmarkEnd w:id="59"/>
    <w:p>
      <w:r>
        <w:br w:type="page"/>
      </w:r>
    </w:p>
    <w:p>
      <w:pPr>
        <w:outlineLvl w:val="1"/>
        <w:rPr>
          <w:rFonts w:ascii="宋体" w:hAnsi="宋体"/>
          <w:b/>
          <w:color w:val="FF0000"/>
          <w:sz w:val="28"/>
          <w:szCs w:val="28"/>
        </w:rPr>
      </w:pPr>
      <w:bookmarkStart w:id="62" w:name="_Hlk72260530"/>
      <w:r>
        <w:rPr>
          <w:rFonts w:hint="eastAsia" w:ascii="宋体" w:hAnsi="宋体"/>
          <w:b/>
          <w:color w:val="FF0000"/>
          <w:sz w:val="28"/>
          <w:szCs w:val="28"/>
        </w:rPr>
        <w:t>投标文件附件（信息不公开部分）</w:t>
      </w:r>
    </w:p>
    <w:p>
      <w:pPr>
        <w:pStyle w:val="5"/>
        <w:jc w:val="center"/>
        <w:rPr>
          <w:rFonts w:ascii="黑体" w:eastAsia="黑体"/>
          <w:b w:val="0"/>
          <w:sz w:val="24"/>
        </w:rPr>
      </w:pPr>
      <w:r>
        <w:rPr>
          <w:rFonts w:hint="eastAsia" w:ascii="黑体" w:eastAsia="黑体"/>
          <w:b w:val="0"/>
          <w:sz w:val="24"/>
          <w:lang w:val="en-US" w:eastAsia="zh-CN"/>
        </w:rPr>
        <w:t>一</w:t>
      </w:r>
      <w:r>
        <w:rPr>
          <w:rFonts w:hint="eastAsia" w:ascii="黑体" w:eastAsia="黑体"/>
          <w:b w:val="0"/>
          <w:sz w:val="24"/>
        </w:rPr>
        <w:t>、供应商基本情况表</w:t>
      </w:r>
    </w:p>
    <w:p>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 xml:space="preserve">            填表日期：    年   月   日</w:t>
      </w:r>
    </w:p>
    <w:tbl>
      <w:tblPr>
        <w:tblStyle w:val="18"/>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2"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rPr>
          <w:sz w:val="24"/>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pPr>
        <w:rPr>
          <w:rFonts w:hint="eastAsia" w:ascii="黑体" w:eastAsia="黑体"/>
          <w:b w:val="0"/>
          <w:sz w:val="24"/>
        </w:rPr>
      </w:pPr>
      <w:r>
        <w:rPr>
          <w:rFonts w:hint="eastAsia" w:ascii="黑体" w:eastAsia="黑体"/>
          <w:b w:val="0"/>
          <w:sz w:val="24"/>
        </w:rPr>
        <w:br w:type="page"/>
      </w:r>
    </w:p>
    <w:p>
      <w:pPr>
        <w:pStyle w:val="5"/>
        <w:spacing w:before="120" w:after="120"/>
        <w:jc w:val="center"/>
        <w:rPr>
          <w:rFonts w:ascii="黑体" w:eastAsia="黑体"/>
          <w:b w:val="0"/>
          <w:sz w:val="24"/>
        </w:rPr>
      </w:pPr>
      <w:r>
        <w:rPr>
          <w:rFonts w:hint="eastAsia" w:ascii="黑体" w:eastAsia="黑体"/>
          <w:b w:val="0"/>
          <w:sz w:val="24"/>
        </w:rPr>
        <w:t>二、</w:t>
      </w:r>
      <w:bookmarkStart w:id="63" w:name="_Hlk72092499"/>
      <w:r>
        <w:rPr>
          <w:rFonts w:hint="eastAsia" w:ascii="黑体" w:eastAsia="黑体"/>
          <w:b w:val="0"/>
          <w:sz w:val="24"/>
        </w:rPr>
        <w:t>法定代表人（负责人）证明书</w:t>
      </w:r>
      <w:bookmarkEnd w:id="63"/>
    </w:p>
    <w:p>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val="en-US" w:eastAsia="zh-CN"/>
        </w:rPr>
        <w:t xml:space="preserve">   </w:t>
      </w:r>
      <w:r>
        <w:rPr>
          <w:rFonts w:hint="eastAsia"/>
          <w:szCs w:val="21"/>
          <w:u w:val="none"/>
          <w:lang w:eastAsia="zh-CN"/>
        </w:rPr>
        <w:t>（</w:t>
      </w:r>
      <w:r>
        <w:rPr>
          <w:rFonts w:hint="eastAsia"/>
          <w:szCs w:val="21"/>
          <w:u w:val="none"/>
          <w:lang w:val="en-US" w:eastAsia="zh-CN"/>
        </w:rPr>
        <w:t>姓名</w:t>
      </w:r>
      <w:r>
        <w:rPr>
          <w:rFonts w:hint="eastAsia"/>
          <w:szCs w:val="21"/>
          <w:u w:val="none"/>
          <w:lang w:eastAsia="zh-CN"/>
        </w:rPr>
        <w:t>）</w:t>
      </w:r>
      <w:r>
        <w:rPr>
          <w:rFonts w:hint="eastAsia"/>
          <w:szCs w:val="21"/>
        </w:rPr>
        <w:t>，现任我单位</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szCs w:val="21"/>
          <w:lang w:val="en-US" w:eastAsia="zh-CN"/>
        </w:rPr>
        <w:t>身份证件</w:t>
      </w:r>
      <w:r>
        <w:rPr>
          <w:rFonts w:hint="eastAsia"/>
          <w:szCs w:val="21"/>
        </w:rPr>
        <w:t>号</w:t>
      </w:r>
      <w:r>
        <w:rPr>
          <w:rFonts w:hint="eastAsia"/>
          <w:szCs w:val="21"/>
          <w:lang w:val="en-US" w:eastAsia="zh-CN"/>
        </w:rPr>
        <w:t>为</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联系电话：</w:t>
      </w:r>
      <w:r>
        <w:rPr>
          <w:rFonts w:hint="eastAsia"/>
          <w:szCs w:val="21"/>
          <w:u w:val="single"/>
          <w:lang w:val="en-US" w:eastAsia="zh-CN"/>
        </w:rPr>
        <w:t xml:space="preserve">                </w:t>
      </w:r>
      <w:r>
        <w:rPr>
          <w:rFonts w:hint="eastAsia"/>
          <w:szCs w:val="21"/>
          <w:lang w:val="en-US" w:eastAsia="zh-CN"/>
        </w:rPr>
        <w:t>。</w:t>
      </w:r>
    </w:p>
    <w:p>
      <w:pPr>
        <w:spacing w:line="360" w:lineRule="auto"/>
        <w:ind w:firstLine="420" w:firstLineChars="200"/>
        <w:rPr>
          <w:szCs w:val="21"/>
        </w:rPr>
      </w:pPr>
      <w:r>
        <w:rPr>
          <w:rFonts w:hint="eastAsia"/>
          <w:szCs w:val="21"/>
        </w:rPr>
        <w:t>特此证明。</w:t>
      </w:r>
    </w:p>
    <w:p>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pPr>
        <w:numPr>
          <w:ilvl w:val="0"/>
          <w:numId w:val="8"/>
        </w:numPr>
        <w:spacing w:line="360" w:lineRule="auto"/>
        <w:ind w:firstLine="420" w:firstLineChars="200"/>
        <w:rPr>
          <w:rFonts w:hint="eastAsia"/>
          <w:color w:val="auto"/>
          <w:szCs w:val="21"/>
          <w:lang w:val="en-US" w:eastAsia="zh-CN"/>
        </w:rPr>
      </w:pPr>
      <w:r>
        <w:rPr>
          <w:rFonts w:hint="eastAsia"/>
          <w:color w:val="auto"/>
          <w:szCs w:val="21"/>
          <w:lang w:eastAsia="zh-Hans"/>
        </w:rPr>
        <w:t>本证明书要供法定代表人（负责人）</w:t>
      </w:r>
      <w:r>
        <w:rPr>
          <w:rFonts w:hint="eastAsia"/>
          <w:color w:val="auto"/>
          <w:szCs w:val="21"/>
          <w:lang w:val="en-US" w:eastAsia="zh-CN"/>
        </w:rPr>
        <w:t>相关身份证明文件：身份证扫描件（正反两面）；港澳台居民可提供来往通行证扫描件；非中国国籍管辖范围人员，可提供公安部门认可的身份证明材料扫描件。</w:t>
      </w:r>
    </w:p>
    <w:p>
      <w:pPr>
        <w:numPr>
          <w:ilvl w:val="0"/>
          <w:numId w:val="8"/>
        </w:numPr>
        <w:spacing w:line="360" w:lineRule="auto"/>
        <w:ind w:firstLine="420" w:firstLineChars="200"/>
        <w:rPr>
          <w:szCs w:val="21"/>
        </w:rPr>
      </w:pPr>
      <w:r>
        <w:rPr>
          <w:rFonts w:hint="eastAsia"/>
          <w:color w:val="auto"/>
          <w:szCs w:val="21"/>
          <w:lang w:eastAsia="zh-Hans"/>
        </w:rPr>
        <w:t>本项目投标授权代表为法定代表人（负责人）的，无需提供</w:t>
      </w:r>
      <w:r>
        <w:rPr>
          <w:rFonts w:hint="eastAsia"/>
          <w:color w:val="auto"/>
          <w:szCs w:val="21"/>
        </w:rPr>
        <w:t>《投标文件签署授权委托书》</w:t>
      </w:r>
      <w:r>
        <w:rPr>
          <w:rFonts w:hint="eastAsia"/>
          <w:color w:val="auto"/>
          <w:szCs w:val="21"/>
          <w:lang w:eastAsia="zh-Hans"/>
        </w:rPr>
        <w:t>。</w:t>
      </w:r>
    </w:p>
    <w:p>
      <w:pPr>
        <w:numPr>
          <w:ilvl w:val="0"/>
          <w:numId w:val="8"/>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lang w:val="en-US" w:eastAsia="zh-CN"/>
              </w:rPr>
              <w:t>证件扫描件正面</w:t>
            </w:r>
          </w:p>
          <w:p>
            <w:pPr>
              <w:pStyle w:val="2"/>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lang w:val="en-US" w:eastAsia="zh-CN"/>
              </w:rPr>
              <w:t>证件扫描件反面</w:t>
            </w:r>
          </w:p>
          <w:p>
            <w:pPr>
              <w:pStyle w:val="2"/>
              <w:jc w:val="center"/>
              <w:rPr>
                <w:rFonts w:hint="eastAsia"/>
                <w:lang w:val="en-US" w:eastAsia="zh-CN"/>
              </w:rPr>
            </w:pPr>
          </w:p>
          <w:p>
            <w:pPr>
              <w:pStyle w:val="14"/>
              <w:jc w:val="center"/>
              <w:rPr>
                <w:rFonts w:hint="eastAsia"/>
                <w:sz w:val="24"/>
                <w:vertAlign w:val="baseline"/>
                <w:lang w:val="en-US" w:eastAsia="zh-CN"/>
              </w:rPr>
            </w:pPr>
          </w:p>
        </w:tc>
      </w:tr>
    </w:tbl>
    <w:p>
      <w:pPr>
        <w:rPr>
          <w:sz w:val="24"/>
        </w:rPr>
      </w:pPr>
    </w:p>
    <w:p>
      <w:pPr>
        <w:rPr>
          <w:rFonts w:hint="eastAsia" w:ascii="黑体" w:eastAsia="黑体"/>
          <w:b w:val="0"/>
          <w:kern w:val="0"/>
          <w:sz w:val="24"/>
          <w:szCs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rPr>
          <w:rFonts w:hint="eastAsia" w:ascii="黑体" w:eastAsia="黑体"/>
          <w:b w:val="0"/>
          <w:kern w:val="0"/>
          <w:sz w:val="24"/>
          <w:szCs w:val="24"/>
        </w:rPr>
      </w:pPr>
      <w:r>
        <w:rPr>
          <w:rFonts w:hint="eastAsia" w:ascii="黑体" w:eastAsia="黑体"/>
          <w:b w:val="0"/>
          <w:kern w:val="0"/>
          <w:sz w:val="24"/>
          <w:szCs w:val="24"/>
        </w:rPr>
        <w:br w:type="page"/>
      </w:r>
    </w:p>
    <w:p>
      <w:pPr>
        <w:pStyle w:val="5"/>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pPr>
        <w:ind w:firstLine="482" w:firstLineChars="200"/>
        <w:rPr>
          <w:b/>
          <w:sz w:val="24"/>
          <w:szCs w:val="22"/>
        </w:rPr>
      </w:pPr>
    </w:p>
    <w:bookmarkEnd w:id="62"/>
    <w:p>
      <w:pPr>
        <w:spacing w:line="360" w:lineRule="auto"/>
        <w:ind w:firstLine="420" w:firstLineChars="200"/>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rFonts w:hint="eastAsia"/>
          <w:szCs w:val="21"/>
        </w:rPr>
      </w:pPr>
      <w:r>
        <w:rPr>
          <w:rFonts w:hint="eastAsia"/>
          <w:szCs w:val="21"/>
        </w:rPr>
        <w:t>代理人无转委托权，特此委托。</w:t>
      </w:r>
    </w:p>
    <w:p>
      <w:pPr>
        <w:spacing w:line="360" w:lineRule="auto"/>
        <w:ind w:firstLine="420" w:firstLineChars="200"/>
        <w:rPr>
          <w:rFonts w:hint="eastAsia"/>
          <w:szCs w:val="21"/>
        </w:rPr>
      </w:pPr>
    </w:p>
    <w:p>
      <w:pPr>
        <w:spacing w:line="360" w:lineRule="auto"/>
        <w:ind w:firstLine="420" w:firstLineChars="200"/>
        <w:rPr>
          <w:rFonts w:hint="eastAsia"/>
          <w:szCs w:val="21"/>
          <w:u w:val="none"/>
          <w:lang w:eastAsia="zh-CN"/>
        </w:rPr>
      </w:pPr>
      <w:r>
        <w:rPr>
          <w:rFonts w:hint="eastAsia"/>
          <w:szCs w:val="21"/>
        </w:rPr>
        <w:t>代理人</w:t>
      </w:r>
      <w:r>
        <w:rPr>
          <w:rFonts w:hint="eastAsia"/>
          <w:szCs w:val="21"/>
          <w:lang w:eastAsia="zh-CN"/>
        </w:rPr>
        <w:t>：</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eastAsia"/>
          <w:szCs w:val="21"/>
          <w:u w:val="none"/>
          <w:lang w:eastAsia="zh-CN"/>
        </w:rPr>
      </w:pPr>
      <w:r>
        <w:rPr>
          <w:rFonts w:hint="eastAsia"/>
          <w:szCs w:val="21"/>
        </w:rPr>
        <w:t>身份</w:t>
      </w:r>
      <w:r>
        <w:rPr>
          <w:rFonts w:hint="eastAsia"/>
          <w:szCs w:val="21"/>
          <w:lang w:val="en-US" w:eastAsia="zh-CN"/>
        </w:rPr>
        <w:t>证件号</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default"/>
          <w:szCs w:val="21"/>
          <w:u w:val="none"/>
          <w:lang w:val="en-US" w:eastAsia="zh-CN"/>
        </w:rPr>
      </w:pPr>
      <w:r>
        <w:rPr>
          <w:rFonts w:hint="eastAsia"/>
          <w:szCs w:val="21"/>
        </w:rPr>
        <w:t>联系电话：</w:t>
      </w:r>
      <w:r>
        <w:rPr>
          <w:rFonts w:hint="eastAsia"/>
          <w:szCs w:val="21"/>
          <w:u w:val="single"/>
        </w:rPr>
        <w:t xml:space="preserve">            </w:t>
      </w:r>
      <w:r>
        <w:rPr>
          <w:rFonts w:hint="eastAsia"/>
          <w:szCs w:val="21"/>
          <w:lang w:eastAsia="zh-CN"/>
        </w:rPr>
        <w:t>，</w:t>
      </w:r>
      <w:r>
        <w:rPr>
          <w:rFonts w:hint="eastAsia"/>
          <w:szCs w:val="21"/>
        </w:rPr>
        <w:t>手机：</w:t>
      </w:r>
      <w:r>
        <w:rPr>
          <w:rFonts w:hint="eastAsia"/>
          <w:szCs w:val="21"/>
          <w:u w:val="single"/>
        </w:rPr>
        <w:t xml:space="preserve">                   </w:t>
      </w:r>
      <w:r>
        <w:rPr>
          <w:rFonts w:hint="eastAsia"/>
          <w:szCs w:val="21"/>
          <w:u w:val="none"/>
          <w:lang w:eastAsia="zh-CN"/>
        </w:rPr>
        <w:t>，</w:t>
      </w:r>
      <w:r>
        <w:rPr>
          <w:rFonts w:hint="eastAsia"/>
          <w:szCs w:val="21"/>
          <w:u w:val="none"/>
          <w:lang w:val="en-US" w:eastAsia="zh-CN"/>
        </w:rPr>
        <w:t>电子邮箱：</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spacing w:line="360" w:lineRule="auto"/>
        <w:ind w:firstLine="420" w:firstLineChars="200"/>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szCs w:val="21"/>
          <w:lang w:eastAsia="zh-CN"/>
        </w:rPr>
        <w:t>。</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ascii="Times New Roman" w:eastAsia="宋体"/>
                <w:lang w:val="en-US" w:eastAsia="zh-CN"/>
              </w:rPr>
              <w:t>证件扫描件正面</w:t>
            </w:r>
          </w:p>
          <w:p>
            <w:pPr>
              <w:pStyle w:val="2"/>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ascii="Times New Roman" w:eastAsia="宋体"/>
                <w:lang w:val="en-US" w:eastAsia="zh-CN"/>
              </w:rPr>
              <w:t>证件扫描件反面</w:t>
            </w:r>
          </w:p>
          <w:p>
            <w:pPr>
              <w:pStyle w:val="2"/>
              <w:jc w:val="center"/>
              <w:rPr>
                <w:rFonts w:hint="eastAsia"/>
                <w:lang w:val="en-US" w:eastAsia="zh-CN"/>
              </w:rPr>
            </w:pPr>
          </w:p>
          <w:p>
            <w:pPr>
              <w:pStyle w:val="14"/>
              <w:jc w:val="center"/>
              <w:rPr>
                <w:rFonts w:hint="eastAsia"/>
                <w:sz w:val="24"/>
                <w:vertAlign w:val="baseline"/>
                <w:lang w:val="en-US" w:eastAsia="zh-CN"/>
              </w:rPr>
            </w:pPr>
          </w:p>
        </w:tc>
      </w:tr>
    </w:tbl>
    <w:p>
      <w:pPr>
        <w:widowControl w:val="0"/>
        <w:jc w:val="both"/>
        <w:rPr>
          <w:rFonts w:hint="eastAsia" w:ascii="黑体" w:hAnsi="黑体" w:eastAsia="黑体" w:cs="黑体"/>
          <w:b/>
          <w:bCs/>
          <w:color w:val="auto"/>
          <w:kern w:val="2"/>
          <w:sz w:val="24"/>
          <w:szCs w:val="24"/>
          <w:u w:val="none"/>
          <w:lang w:val="en-US" w:eastAsia="zh-CN" w:bidi="ar-SA"/>
        </w:rPr>
      </w:pPr>
    </w:p>
    <w:p>
      <w:pPr>
        <w:ind w:firstLine="482" w:firstLineChars="200"/>
        <w:rPr>
          <w:b/>
          <w:sz w:val="24"/>
          <w:szCs w:val="22"/>
        </w:rPr>
      </w:pPr>
      <w:r>
        <w:rPr>
          <w:rFonts w:hint="eastAsia" w:ascii="黑体" w:hAnsi="黑体" w:eastAsia="黑体" w:cs="黑体"/>
          <w:b/>
          <w:bCs/>
          <w:color w:val="auto"/>
          <w:kern w:val="2"/>
          <w:sz w:val="24"/>
          <w:szCs w:val="24"/>
          <w:u w:val="none"/>
          <w:lang w:val="en-US" w:eastAsia="zh-CN" w:bidi="ar-SA"/>
        </w:rPr>
        <w:t>温馨提示</w:t>
      </w:r>
      <w:r>
        <w:rPr>
          <w:rFonts w:hint="eastAsia" w:ascii="黑体" w:hAnsi="黑体" w:eastAsia="黑体" w:cs="黑体"/>
          <w:color w:val="auto"/>
          <w:kern w:val="2"/>
          <w:sz w:val="24"/>
          <w:szCs w:val="24"/>
          <w:u w:val="none"/>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
      <w:pPr>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br w:type="page"/>
      </w:r>
    </w:p>
    <w:p>
      <w:pPr>
        <w:pStyle w:val="3"/>
        <w:snapToGrid w:val="0"/>
        <w:spacing w:before="0" w:after="0" w:line="240" w:lineRule="auto"/>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四、实质性条款响应情况表</w:t>
      </w:r>
    </w:p>
    <w:tbl>
      <w:tblPr>
        <w:tblStyle w:val="1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64"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6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2664" w:type="dxa"/>
            <w:vAlign w:val="center"/>
          </w:tcPr>
          <w:p>
            <w:pPr>
              <w:adjustRightInd w:val="0"/>
              <w:snapToGrid w:val="0"/>
              <w:spacing w:line="360" w:lineRule="auto"/>
              <w:jc w:val="left"/>
              <w:rPr>
                <w:rFonts w:hAnsi="宋体"/>
                <w:kern w:val="0"/>
                <w:szCs w:val="21"/>
              </w:rPr>
            </w:pPr>
            <w:r>
              <w:rPr>
                <w:rFonts w:hint="eastAsia" w:hAnsi="宋体"/>
                <w:color w:val="FF0000"/>
                <w:kern w:val="0"/>
                <w:szCs w:val="21"/>
              </w:rPr>
              <w:t>本项目招标文件中所有带★号条款内容</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2" w:firstLineChars="200"/>
        <w:rPr>
          <w:b/>
          <w:sz w:val="24"/>
          <w:szCs w:val="22"/>
        </w:rPr>
      </w:pPr>
    </w:p>
    <w:p>
      <w:pPr>
        <w:ind w:firstLine="482" w:firstLineChars="200"/>
        <w:rPr>
          <w:b/>
          <w:sz w:val="24"/>
          <w:szCs w:val="22"/>
        </w:rPr>
      </w:pPr>
      <w:r>
        <w:rPr>
          <w:rFonts w:hint="eastAsia"/>
          <w:b/>
          <w:sz w:val="24"/>
          <w:szCs w:val="22"/>
        </w:rPr>
        <w:t>注：1.上表所列各项均为不可负偏离条款。</w:t>
      </w:r>
    </w:p>
    <w:p>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2" w:firstLineChars="200"/>
        <w:rPr>
          <w:b/>
          <w:sz w:val="24"/>
        </w:rPr>
      </w:pPr>
      <w:r>
        <w:rPr>
          <w:b/>
          <w:sz w:val="24"/>
        </w:rPr>
        <w:t>4.</w:t>
      </w:r>
      <w:r>
        <w:rPr>
          <w:rFonts w:hint="eastAsia"/>
          <w:b/>
          <w:sz w:val="24"/>
        </w:rPr>
        <w:t>评审委员会有权对投标响应情况作出判断（作出评审结论）。</w:t>
      </w:r>
    </w:p>
    <w:p>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pPr>
        <w:ind w:firstLine="482" w:firstLineChars="200"/>
        <w:rPr>
          <w:rFonts w:hint="eastAsia" w:eastAsia="宋体"/>
          <w:lang w:eastAsia="zh-CN"/>
        </w:rPr>
      </w:pPr>
      <w:r>
        <w:rPr>
          <w:rFonts w:hint="eastAsia"/>
          <w:b/>
          <w:sz w:val="24"/>
          <w:szCs w:val="22"/>
        </w:rPr>
        <w:t>6.要求提供证明资料，在“说明”一栏中列明证明资料的位置,以便评审；未要求提供证明材料的，投标人可以不提供</w:t>
      </w:r>
      <w:r>
        <w:rPr>
          <w:rFonts w:hint="eastAsia"/>
          <w:b/>
          <w:sz w:val="24"/>
          <w:szCs w:val="22"/>
          <w:lang w:eastAsia="zh-CN"/>
        </w:rPr>
        <w:t>。</w:t>
      </w:r>
    </w:p>
    <w:p>
      <w:pPr>
        <w:rPr>
          <w:rFonts w:hint="eastAsia" w:ascii="黑体" w:eastAsia="黑体"/>
          <w:b w:val="0"/>
          <w:sz w:val="24"/>
          <w:szCs w:val="24"/>
          <w:lang w:val="en-US" w:eastAsia="zh-CN"/>
        </w:rPr>
      </w:pPr>
      <w:r>
        <w:rPr>
          <w:rFonts w:hint="eastAsia" w:ascii="黑体" w:eastAsia="黑体"/>
          <w:b w:val="0"/>
          <w:sz w:val="24"/>
          <w:szCs w:val="24"/>
          <w:lang w:val="en-US" w:eastAsia="zh-CN"/>
        </w:rPr>
        <w:br w:type="page"/>
      </w:r>
    </w:p>
    <w:p>
      <w:pPr>
        <w:pStyle w:val="5"/>
        <w:jc w:val="center"/>
        <w:rPr>
          <w:sz w:val="24"/>
        </w:rPr>
      </w:pPr>
      <w:r>
        <w:rPr>
          <w:rFonts w:hint="eastAsia" w:ascii="黑体" w:eastAsia="黑体"/>
          <w:b w:val="0"/>
          <w:sz w:val="24"/>
          <w:szCs w:val="24"/>
          <w:lang w:val="en-US" w:eastAsia="zh-CN"/>
        </w:rPr>
        <w:t>五</w:t>
      </w:r>
      <w:r>
        <w:rPr>
          <w:rFonts w:hint="eastAsia" w:ascii="黑体" w:eastAsia="黑体"/>
          <w:b w:val="0"/>
          <w:sz w:val="24"/>
          <w:szCs w:val="24"/>
        </w:rPr>
        <w:t>、技术要求偏离表</w:t>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12"/>
        <w:gridCol w:w="712"/>
        <w:gridCol w:w="4777"/>
        <w:gridCol w:w="713"/>
        <w:gridCol w:w="713"/>
        <w:gridCol w:w="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设备名称</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技术参数要求</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投标技术响应</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偏离情况</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玩具柜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 尺寸：（长120*宽30*高75/80cm）±10%，高75cm16个、高80cm32个；材质：柜子框架采用14mm±1mm厚橡胶木指接板，背板采用7.5mm±0.5mm厚浸渍胶膜纸饰面胶合板，柜子层板及边角均为圆角，表面经过3底2面水性漆处理，内部分</w:t>
            </w:r>
            <w:r>
              <w:rPr>
                <w:rStyle w:val="40"/>
                <w:lang w:val="en-US" w:eastAsia="zh-CN" w:bidi="ar"/>
              </w:rPr>
              <w:t>三层，打钉紧装结构。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 ▲橡胶木依据GB/T 1927.5-2021测定标准，其气干密度≥0.7g/cm³；依据LY/T 1985-2011测定标准，五氯苯酚含量为未检出；依据GB/T 1927.19-2021测定标准，板材硬度≥40N/mm²，符合合格要求；</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12格活动柜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 尺寸：（长120*宽30*高75/80cm）±10%，高75cm2个、高80cm4个；材质：柜子框架采用14mm±1mm厚橡胶木指接板，背板采用7.5mm±0.5mm厚浸渍胶膜纸饰面胶合板，柜子层板及边角均为圆角，表面经过3底2面水性漆处理，内部分四层12格，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15"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 ▲浸渍胶膜纸饰面胶合板GB/T 34722-2017标准，板材无透底、纸板错位、鼓泡、分层、崩边及表面波纹现象，含水率应在6.0%至11.0%，胶合强度≥0.9MPa，表面耐水蒸气等级不低于4级，耐光色牢度不低于4级，均符合合格要求；依据GB/T 39600-2021标准，板材甲醛释放量检测结果为未检出，符合ENF级要求；依据LY/T 1926-2020检测标准，板材经抗菌性能检测（金黄色葡萄球菌、大肠杆菌试验），抗细菌率≥99%；</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 尺寸：（长86*宽40*高77cm）±10%；材质：柜子框架采用14mm±1mm厚橡胶木指接板，背板采用7.5mm±0.5mm厚浸渍胶膜纸饰面胶合板，柜子层板及边角均为圆角，表面经过3底2面水性漆处理，打钉紧装结构。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(6) ▲水性漆依据GB/T 23992-2009测定标准，氯代烃总和含量≤0.05%；依据GB/T 1768-2006测定标准，经耐磨性试验（1000转，500g负荷），质量损失≤50mg，符合合格要求；依据GB/T 37884-2019测定标准，挥发性有机化合物（VOC）释放量≤15μg/m³；</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4人幼儿桌</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 尺寸：（长60*宽60*高52/56cm）±10%，高52cm2张、高56cm4张；材质：桌子面板采用18mm±2mm厚橡胶木指接板，桌脚采用橡木木方，外露边角均为倒圆角，表面经过3底2面水性漆处理，打钉紧装结构。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(8) ▲幼儿桌依据GB/T 1927.7-2021测定标准，吸水性4%-8%，符合合格要求；依据LY/T 1985-2011测定标准，五氯苯酚含量为未检出；依据GB/T 39600-2021标准，甲醛释放量检测结果为未检出，符合ENF级要求；</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圆木椅</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 尺寸：（座高26/28cm）±10%，高26cm70张、高28cm140张；材质：椅面面板采用14mm±1mm橡胶木，椅脚为橡胶木方，椅脚为圆脚，外露边角均为倒圆角，表面经过3底2面水性漆处理，榫卯打钉紧装结构。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6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(10) ▲圆木椅依据GB/T 1927.9-2021测定标准，板材抗弯强度≥115Mpa；依据LY/T 1985-2011测定标准，五氯苯酚含量检测结果为未检出；依据GB/T 10357.3-2013 标准，经座面静载荷试验、椅背静载荷试验、座面耐久性试验、椅背耐久性试验、座面冲击试验、椅背冲击试验，所有零部件无断裂或豁裂，所有零部件应无影响使用功能的磨损或变形，符合合格要求；</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6人长方桌</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 尺寸：（长120*宽60*高52/56cm）±10%，高52cm12张、高56cm24张；材质：桌子面板采用18mm±2mm厚橡胶木指接板，桌脚采用橡木木方，外露边角均为倒圆角，表面经过3底2面水性漆处理，打钉紧装结构。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半圆桌</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 尺寸：（长120*宽60*高52/56cm）±10%，高52cm4张、高56cm8张；材质：桌子面板采用18mm±2mm厚橡胶木指接板，桌脚采用橡木木方，外露边角均为倒圆角，表面经过3底2面水性漆处理，打钉紧装结构。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中空5格玩具柜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 尺寸：（长120*宽30*高70/75/80cm）±10%，高75cm6个、高80cm12个；材质：柜子框架采用14mm±1mm厚橡胶木指接板，柜子层板及边角均为圆角，表面经过3底2面水性漆处理，上层两格，下层三格，打钉紧装结构。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2层45度弧形柜-实木</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 尺寸：（长60*宽30*高75/80cm）±10%，高75cm4个、高80cm8个；材质：柜子框架采用14mm±1mm厚橡胶木指接板，柜子层板及边角均为圆角，表面经过3底2面水性漆处理，打钉紧装结构。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基本图书柜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 尺寸：（长120*宽30*高75/80cm）±10%，高75cm2个、高80cm4个；材质：柜子框架采用14mm±1mm厚橡胶木指接板，柜子层板及边角均为圆角，表面经过3底2面水性漆处理，内部分四层，打钉紧装结构。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(16) ▲基本图书柜依据GB/T 4893.2-2020测定标准，经耐湿热试验（20min，70℃），耐湿热等级不低于2级；依据LY/T 1985-2011标准，五氯苯酚含量检测结果为未检出；依据GB/T 40904-2021测定标准，24种禁用芳香胺检测结果为未检出；</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 尺寸：（长120*宽60*高15cm）±10%；材质：采用12mm±1mm浸渍胶膜纸饰面胶合板。</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幼儿床</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 尺寸：（长133*宽57*高19cm）±10%；材质：木质，四脚采用塑料脚可层叠。</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床托</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 尺寸：（长136*宽58*高8cm）±10%；材质：钢管烤漆</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美术长桌</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 尺寸：（长200*宽100*高52/56cm）±10%，高52cm2张、高56cm4张；材质：桌子面板采用18mm±2mm厚橡胶木指接板，桌脚采用橡木木方，外露边角均为倒圆角，表面经过3底2面水性漆处理，中间设置凹槽透明作品展示区，榫卯打钉紧装结构。</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吊柜1</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 尺寸：（长230*宽40*高50cm）±10%；材质：层板侧板均采用18mm±2mm厚浸渍胶膜纸饰面胶合板，采用PVC封边条，配件为五金件铰链，边角均为圆角；</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5"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(22) ▲PVC封边条依据GB/T 16422.2-2022 试验标准，经120hUV老化试验，样品表面无裂纹化，符合合格要求；依据QB/T 4463-2013标准，封边条甲醛释放量≤0.5mg/L，氯乙烯单体含量≤1.5mg/kg；依据GB/T 3830-2024标准，封边条拉伸强度≥15.0MPa，拉伸断裂应变≥185%，加热损失率≤1.0%；</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吊柜2</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 尺寸：（长200*宽45*高50cm）±10%；材质：层板侧板均采用18mm±2mm厚浸渍胶膜纸饰面胶合板，采用PVC封边条，配件为五金件铰链，边角均为圆角；</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儿童操作台</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 尺寸：（长370*宽55*高55cm）±10%；材质：柜体采用18mm±2mm厚浸渍胶膜纸饰面胶合板，台面采用大理石板；</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不锈钢水杯架</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 尺寸：（长55*宽12*高127cm）±10%；材质：304不锈钢，40位</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毛巾挂钩</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 尺寸：（长100cm）±10%；材质：木质，9个挂位</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 尺寸：（长80*宽29*高70cm）±10%；材质：主框架采用22mm±2mm厚枫木纹三聚氰胺双贴面橡胶木，层板采用15mm±1mm厚枫木纹三聚氰胺双贴面胶合板，背板为5mm±0.5mm枫木纹三聚氰胺双贴面密度板，木蜡油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60"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(28) ▲木蜡油依据GB/T 27811-2011标准，细度≤15μm，经贮存稳定性试验（结皮性（24h）、沉降性（50±2）℃，7d），无结皮，无异常现象，苯含量为未检出，甲苯、二甲苯、乙苯含量总和为未检出，可溶性重金属（铅、镉、铬、汞）含量均未检出，经1h耐污染性（醋、茶）、1h耐碱性（50g/L NaHCO 溶液）、8h耐醇性试验，均无异常现象；依据GB/T 23992-2009测定标准，氯代烃含量为未检出，</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教具盒柜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 尺寸：（长80*宽30*高70cm）±10%；材质：主框架采用22mm±2mm厚枫木纹三聚氰胺双贴面橡胶木，木蜡油封边，五金件紧固，柜体采用踢脚板设计，柜底配以耐磨塑胶PP脚钉。柜体内部格局分为三列，每列两侧板内侧各设置5根塑胶PP条。</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中空两层柜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 尺寸：（长80*宽30*高48cm）±10%；材质：主框架采用22mm±2mm厚枫木纹三聚氰胺双贴面橡胶木板，层板采用15mm厚枫木纹三聚氰胺双贴面胶合板。木蜡油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中空五格柜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 尺寸：（长80*宽29*高48cm）±10%；材质：主框架采用22mm±2mm厚枫木纹三聚氰胺双贴面橡胶木，层板采用15mm厚枫木纹三聚氰胺双贴面胶合板。木蜡油封边，五金件紧固，柜体采用踢脚板设计，柜底配以耐磨塑胶PP脚钉，上层二格，下层三格。</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九格柜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 尺寸：（长80*宽29*高70cm）±10%；材质：主框架采用22mm±2mm厚枫木纹三聚氰胺双贴面橡胶木，层板采用15mm±1mm厚枫木纹三聚氰胺双贴面胶合板，背板为5mm±0.5mm枫木纹三聚氰胺双贴面密度板，木蜡油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三格柜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(33) 尺寸：（长80*宽30*高29cm）±10%；材质：框体采用16mm±1mm厚枫木纹双贴面刨花板，背板为5mm厚枫木纹双贴面密度板，PVC封边条封边，五金件紧固，柜体采用踢脚板设计，柜底配以耐磨塑胶PP脚钉。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两层90度弧形柜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(34) 尺寸：（长84*宽38*高48cm）±10%；材质：主框架采用22mm±2mm厚枫木纹三聚氰胺双贴面橡胶木，层板采用15mm厚枫木纹三聚氰胺双贴面胶合板。木蜡油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柜体入口</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 尺寸：（长75*宽7.5*高123cm）±10%；材质：主立柱采用松木，油漆处理，入口门及门头采用15mm±1mm厚枫木纹三聚氰胺双贴面胶合，五金件紧固，防夹手设计，门轴缝隙全包裹。</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图书柜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 尺寸：（长60*宽30*高50cm）±10%；材质：框体采用16mm±1mm厚枫木纹双贴面刨花板，PVC封边条封边，五金件紧固，柜体采用踢脚板设计，柜底配以耐磨塑胶PP脚钉。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贩卖台</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(37) 尺寸：（长60*宽*40高94cm）±10%；材质：</w:t>
            </w:r>
            <w:r>
              <w:rPr>
                <w:rStyle w:val="40"/>
                <w:lang w:val="en-US" w:eastAsia="zh-CN" w:bidi="ar"/>
              </w:rPr>
              <w:t>侧板采用22mm±2mm厚枫木纹双贴面橡胶木，顶板、中竖板、背板等其他板材采用15mm±1mm厚枫木纹双贴面胶合板，木蜡油封边，五金件紧固，布帘采用棉布，背面多功能沙发座椅设计，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布偶台</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(38) </w:t>
            </w:r>
            <w:r>
              <w:rPr>
                <w:rStyle w:val="40"/>
                <w:lang w:val="en-US" w:eastAsia="zh-CN" w:bidi="ar"/>
              </w:rPr>
              <w:t>尺寸：（长60*宽40*高96cm）±10%；材质：侧板采用22mm±2mm厚枫木纹双贴面橡胶木，顶板、中竖板、背板等其他板材采用15mm±1mm厚枫木纹双贴面胶合板，木蜡油封边，五金件紧固，布帘采用棉布，背面多功能沙发座椅设计，柜体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灶台柜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(39) 尺寸：（长39*宽37*高51cm）±10%；材质：框体采用16mm±1mm厚三聚氰胺双贴面高密度刨花板，PVC封边条封边，五金件紧固，厨房主题图案UV油墨打印工艺处理，采用踢脚板设计，柜底配以耐磨塑胶PP脚钉。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微波炉/冰箱柜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 尺寸：（长39*宽37*高71cm）±10%；材质：框体采用16mm±1mm厚三聚氰胺双贴面高密度刨花板，PVC封边条封边，五金件紧固，厨房主题图案UV油墨打印工艺处理，采用踢脚板设计，柜底配以耐磨塑胶PP脚钉。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95" w:hRule="atLeast"/>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(41) ▲油墨依据QB/T 5603-2021标准，着色力≥99%，细度≤10μm，挥发性有机化合物（VOCs）含量≤2.0%，干燥性（最低固化能量）≤35mJ/cm²。</w:t>
            </w:r>
            <w:r>
              <w:rPr>
                <w:rStyle w:val="40"/>
                <w:lang w:val="en-US" w:eastAsia="zh-CN" w:bidi="ar"/>
              </w:rPr>
              <w:t>（</w:t>
            </w:r>
            <w:r>
              <w:rPr>
                <w:rFonts w:hint="eastAsia" w:ascii="宋体" w:hAnsi="宋体" w:eastAsia="宋体" w:cs="宋体"/>
                <w:i w:val="0"/>
                <w:color w:val="0000FF"/>
                <w:kern w:val="0"/>
                <w:sz w:val="21"/>
                <w:szCs w:val="21"/>
                <w:u w:val="none"/>
                <w:lang w:val="en-US" w:eastAsia="zh-CN" w:bidi="ar"/>
              </w:rPr>
              <w:t>投标时同时提供：①由第三方检验检测机构出具并加盖（或带有）CMA标志的检验检测报告扫描件，原件备查；②上述检验检测报告在全国认证认可信息公共服务平台（认e云）（http://cx.cnca.cn/）的信息查询记录截图。注：对应参数（检验检测项）在检验检测报告中进行标注；检验检测报告出具的时间应在本项目投标截止日前1年内；如检验检测报告中明确备注说明相关检验检测项不在检验检测机构CMA资质许可（认定）范围内的，不符合招标文件要求。</w:t>
            </w:r>
            <w:r>
              <w:rPr>
                <w:rStyle w:val="40"/>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幼儿洗衣机柜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(42) 尺寸：（长39*宽37*高51cm）±10%；材质：框体采用16mm±1mm厚三聚氰胺双贴面高密度刨花板，PVC封边条封边，五金件紧固，厨房主题图案UV油墨打印工艺处理，采用踢脚板设计，柜底配以耐磨塑胶PP脚钉。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洗涤台/洗碗机柜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(43) 尺寸：（长39*宽37*高51cm）±10%；材质：框体采用16mm±1mm厚三聚氰胺双贴面高密度刨花板，PVC封边条封边，五金件紧固，厨房主题图案UV油墨打印工艺处理，采用踢脚板设计，柜底配以耐磨塑胶PP脚钉。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4人桌</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(44) 尺寸：（长80*宽60*高52cm）±10%；材质：桌面采用25mm±2mm厚防火板双贴面松木，木蜡油封边，桌脚采用直径48mm±4mm桦木，油漆处理，五金件紧固，桌面背面设置有4个三瓣花造型ABS连接件，桌脚使用螺旋安装方式与桌面连接，桌脚底部配置塑料脚套。</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幼教椅</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(45) 尺寸：（座高23cm）±10%；材质：整体采用实木橡胶木，木蜡油封边，五金件紧固，座椅靠背由一块弧形板及一根横撑组成，四个椅脚用工字型杆件连接，椅脚底部配以耐磨塑胶PP脚钉。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平板床</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(46) 尺寸：（长120*宽60*高15cm）±10%；材质：采用12mm±1mm浸渍胶膜纸饰面胶合板。</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三角支架毛巾架</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 尺寸：（长105*宽53*高75cm）±10%；材质：毛巾架两侧主支撑架采用18mm±1mm厚枫木纹双贴面胶合板，其他部位采用15mm±1mm厚枫木纹双贴面胶合板，木蜡油封边，五金件紧固，毛巾架配备金属烤漆挂钩，毛巾架底部配以4个万向轮（其中2个带锁定）。</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换尿布柜</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 尺寸：（长49*宽71*高79cm）±10%；材质：框体采用15mm±1mm厚三聚氰胺贴面胶合板，木蜡油封边，五金件紧固，底部配以耐磨塑胶PP脚钉。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尿布垫</w:t>
            </w:r>
          </w:p>
        </w:tc>
        <w:tc>
          <w:tcPr>
            <w:tcW w:w="28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(49) 尺寸：（长69*宽46*高13cm）±10%；材质：PVC+海绵。</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2"/>
                <w:szCs w:val="22"/>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rPr>
          <w:sz w:val="24"/>
        </w:rPr>
      </w:pPr>
    </w:p>
    <w:p>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bookmarkStart w:id="65" w:name="_Hlk72095977"/>
      <w:r>
        <w:rPr>
          <w:rFonts w:hint="eastAsia"/>
          <w:sz w:val="21"/>
          <w:szCs w:val="21"/>
        </w:rPr>
        <w:t>证明资料【如有的话，提供的证明资料应统一编号（排序），格式自定】</w:t>
      </w:r>
      <w:bookmarkEnd w:id="65"/>
      <w:r>
        <w:rPr>
          <w:rFonts w:hint="eastAsia"/>
          <w:sz w:val="21"/>
          <w:szCs w:val="21"/>
        </w:rPr>
        <w:t>：</w:t>
      </w: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w:t>
      </w:r>
      <w:bookmarkStart w:id="66" w:name="_Hlk72094407"/>
      <w:r>
        <w:rPr>
          <w:rFonts w:hint="eastAsia"/>
          <w:b w:val="0"/>
          <w:bCs/>
          <w:sz w:val="21"/>
          <w:szCs w:val="21"/>
        </w:rPr>
        <w:t>对应“用户需求书”中的“技术要求”章节</w:t>
      </w:r>
      <w:bookmarkEnd w:id="66"/>
      <w:r>
        <w:rPr>
          <w:rFonts w:hint="eastAsia"/>
          <w:b w:val="0"/>
          <w:bCs/>
          <w:sz w:val="21"/>
          <w:szCs w:val="21"/>
        </w:rPr>
        <w:t>相关内容。</w:t>
      </w:r>
    </w:p>
    <w:p>
      <w:pPr>
        <w:pStyle w:val="15"/>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9"/>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67" w:name="_Hlk72158270"/>
      <w:r>
        <w:rPr>
          <w:rFonts w:hint="eastAsia"/>
          <w:b w:val="0"/>
          <w:bCs/>
          <w:sz w:val="21"/>
          <w:szCs w:val="21"/>
        </w:rPr>
        <w:t>“偏离情况”</w:t>
      </w:r>
      <w:bookmarkEnd w:id="67"/>
      <w:r>
        <w:rPr>
          <w:rFonts w:hint="eastAsia"/>
          <w:b w:val="0"/>
          <w:bCs/>
          <w:sz w:val="21"/>
          <w:szCs w:val="21"/>
        </w:rPr>
        <w:t>一栏填写如实填写“正偏离”、“负偏离”或“无偏离”，其中：</w:t>
      </w:r>
      <w:bookmarkStart w:id="68" w:name="_Hlk72093866"/>
      <w:r>
        <w:rPr>
          <w:rFonts w:hint="eastAsia"/>
          <w:b w:val="0"/>
          <w:bCs/>
          <w:sz w:val="21"/>
          <w:szCs w:val="21"/>
        </w:rPr>
        <w:t>“正偏离”表示“投标响应优于招标技术要求”，“负偏离”表示“投标响应不满足招标技术要求”，“无偏离”表示“投标响应与招标技术要求一致”</w:t>
      </w:r>
      <w:bookmarkEnd w:id="68"/>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pPr>
        <w:ind w:firstLine="420" w:firstLineChars="200"/>
        <w:rPr>
          <w:b w:val="0"/>
          <w:bCs/>
          <w:sz w:val="21"/>
          <w:szCs w:val="21"/>
        </w:rPr>
      </w:pPr>
      <w:r>
        <w:rPr>
          <w:rFonts w:hint="eastAsia"/>
          <w:b w:val="0"/>
          <w:bCs/>
          <w:sz w:val="21"/>
          <w:szCs w:val="21"/>
        </w:rPr>
        <w:t>5、</w:t>
      </w:r>
      <w:bookmarkStart w:id="69" w:name="_Hlk72096106"/>
      <w:r>
        <w:rPr>
          <w:rFonts w:hint="eastAsia"/>
          <w:b w:val="0"/>
          <w:bCs/>
          <w:sz w:val="21"/>
          <w:szCs w:val="21"/>
        </w:rPr>
        <w:t>证明资料条款响应要求</w:t>
      </w:r>
      <w:bookmarkEnd w:id="69"/>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70"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1" w:name="_Hlk73558164"/>
      <w:r>
        <w:rPr>
          <w:rFonts w:hint="eastAsia"/>
          <w:b w:val="0"/>
          <w:bCs/>
          <w:sz w:val="21"/>
          <w:szCs w:val="21"/>
        </w:rPr>
        <w:t>且投标人在“偏离情况”一栏响应为“正偏离”或“无偏离”的，经评审委员会认定，将判定为负偏离。</w:t>
      </w:r>
      <w:bookmarkEnd w:id="70"/>
      <w:bookmarkEnd w:id="71"/>
    </w:p>
    <w:p>
      <w:pPr>
        <w:ind w:firstLine="420" w:firstLineChars="200"/>
        <w:rPr>
          <w:b w:val="0"/>
          <w:bCs/>
          <w:sz w:val="21"/>
          <w:szCs w:val="21"/>
        </w:rPr>
      </w:pPr>
      <w:r>
        <w:rPr>
          <w:rFonts w:hint="eastAsia"/>
          <w:b w:val="0"/>
          <w:bCs/>
          <w:sz w:val="21"/>
          <w:szCs w:val="21"/>
        </w:rPr>
        <w:t>6、</w:t>
      </w:r>
      <w:bookmarkStart w:id="72" w:name="_Hlk72096137"/>
      <w:r>
        <w:rPr>
          <w:rFonts w:hint="eastAsia"/>
          <w:b w:val="0"/>
          <w:bCs/>
          <w:sz w:val="21"/>
          <w:szCs w:val="21"/>
        </w:rPr>
        <w:t>表后“证明资料”部分内容的编制</w:t>
      </w:r>
      <w:bookmarkEnd w:id="72"/>
      <w:r>
        <w:rPr>
          <w:rFonts w:hint="eastAsia"/>
          <w:b w:val="0"/>
          <w:bCs/>
          <w:sz w:val="21"/>
          <w:szCs w:val="21"/>
        </w:rPr>
        <w:t>：提供的所有证明资料应当统一编号（排序），且证明资料的编号（顺序）、数量和名称（形式）均应与“说明”一栏所填内容保持一致（一一对应），以便评审委员会查看。</w:t>
      </w:r>
      <w:bookmarkStart w:id="73" w:name="_Hlk73558180"/>
      <w:r>
        <w:rPr>
          <w:rFonts w:hint="eastAsia"/>
          <w:b w:val="0"/>
          <w:bCs/>
          <w:sz w:val="21"/>
          <w:szCs w:val="21"/>
        </w:rPr>
        <w:t>未按照招标文件要求在表后放置证明材料的供应商将承担不利后果，经评审委员会认定，相关技术要求将判定为负偏离。</w:t>
      </w:r>
      <w:bookmarkEnd w:id="73"/>
    </w:p>
    <w:p>
      <w:pPr>
        <w:ind w:firstLine="420" w:firstLineChars="200"/>
        <w:rPr>
          <w:b w:val="0"/>
          <w:bCs/>
          <w:sz w:val="21"/>
          <w:szCs w:val="21"/>
        </w:rPr>
      </w:pPr>
      <w:r>
        <w:rPr>
          <w:rFonts w:hint="eastAsia"/>
          <w:b w:val="0"/>
          <w:bCs/>
          <w:sz w:val="21"/>
          <w:szCs w:val="21"/>
        </w:rPr>
        <w:t>7、</w:t>
      </w:r>
      <w:bookmarkStart w:id="74" w:name="_Hlk72096176"/>
      <w:r>
        <w:rPr>
          <w:rFonts w:hint="eastAsia"/>
          <w:b w:val="0"/>
          <w:bCs/>
          <w:sz w:val="21"/>
          <w:szCs w:val="21"/>
        </w:rPr>
        <w:t>证明资料的形式及其它具体要求</w:t>
      </w:r>
      <w:bookmarkEnd w:id="74"/>
      <w:r>
        <w:rPr>
          <w:rFonts w:hint="eastAsia"/>
          <w:b w:val="0"/>
          <w:bCs/>
          <w:sz w:val="21"/>
          <w:szCs w:val="21"/>
        </w:rPr>
        <w:t>：</w:t>
      </w:r>
    </w:p>
    <w:p>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 w:val="0"/>
          <w:bCs/>
          <w:sz w:val="21"/>
          <w:szCs w:val="21"/>
        </w:rPr>
      </w:pPr>
      <w:r>
        <w:rPr>
          <w:rFonts w:hint="eastAsia"/>
          <w:b w:val="0"/>
          <w:bCs/>
          <w:sz w:val="21"/>
          <w:szCs w:val="21"/>
        </w:rPr>
        <w:t>其它证明资料的形式要求参照以上要求执行；</w:t>
      </w:r>
    </w:p>
    <w:p>
      <w:pPr>
        <w:ind w:firstLine="420" w:firstLineChars="200"/>
        <w:rPr>
          <w:b w:val="0"/>
          <w:bCs/>
          <w:sz w:val="21"/>
          <w:szCs w:val="21"/>
        </w:rPr>
      </w:pPr>
      <w:r>
        <w:rPr>
          <w:rFonts w:hint="eastAsia"/>
          <w:b w:val="0"/>
          <w:bCs/>
          <w:sz w:val="21"/>
          <w:szCs w:val="21"/>
        </w:rPr>
        <w:t>（4）证明资料均要求原件备查。</w:t>
      </w:r>
    </w:p>
    <w:p>
      <w:pPr>
        <w:ind w:firstLine="420" w:firstLineChars="200"/>
        <w:rPr>
          <w:b w:val="0"/>
          <w:bCs/>
          <w:sz w:val="21"/>
          <w:szCs w:val="21"/>
        </w:rPr>
      </w:pPr>
      <w:r>
        <w:rPr>
          <w:rFonts w:hint="eastAsia"/>
          <w:b w:val="0"/>
          <w:bCs/>
          <w:sz w:val="21"/>
          <w:szCs w:val="21"/>
        </w:rPr>
        <w:t>8、其它注意事项：</w:t>
      </w:r>
    </w:p>
    <w:p>
      <w:pPr>
        <w:ind w:firstLine="420" w:firstLineChars="200"/>
        <w:rPr>
          <w:b w:val="0"/>
          <w:bCs/>
          <w:sz w:val="21"/>
          <w:szCs w:val="21"/>
        </w:rPr>
      </w:pPr>
      <w:r>
        <w:rPr>
          <w:rFonts w:hint="eastAsia"/>
          <w:b w:val="0"/>
          <w:bCs/>
          <w:sz w:val="21"/>
          <w:szCs w:val="21"/>
        </w:rPr>
        <w:t>（1）评审委员会有权对投标人的响应情况作出判断（评审结论）；</w:t>
      </w:r>
    </w:p>
    <w:p>
      <w:pPr>
        <w:ind w:firstLine="420" w:firstLineChars="200"/>
        <w:rPr>
          <w:b w:val="0"/>
          <w:bCs/>
          <w:sz w:val="21"/>
          <w:szCs w:val="21"/>
        </w:rPr>
      </w:pPr>
      <w:r>
        <w:rPr>
          <w:rFonts w:hint="eastAsia"/>
          <w:b w:val="0"/>
          <w:bCs/>
          <w:sz w:val="21"/>
          <w:szCs w:val="21"/>
        </w:rPr>
        <w:t>（2）</w:t>
      </w:r>
      <w:bookmarkStart w:id="75" w:name="_Hlk72158213"/>
      <w:r>
        <w:rPr>
          <w:rFonts w:hint="eastAsia"/>
          <w:b w:val="0"/>
          <w:bCs/>
          <w:sz w:val="21"/>
          <w:szCs w:val="21"/>
        </w:rPr>
        <w:t>评审委员会有权对以谋取中标为目的的技术规格模糊响应（如有意不合理照搬照抄招标文件的技术要求）或虚假响应予以认定，并视情况经政府集中采购机构报主管部门进行处理。</w:t>
      </w:r>
      <w:bookmarkEnd w:id="75"/>
    </w:p>
    <w:p>
      <w:pPr>
        <w:ind w:firstLine="482" w:firstLineChars="200"/>
        <w:rPr>
          <w:b/>
          <w:sz w:val="24"/>
        </w:rPr>
      </w:pPr>
    </w:p>
    <w:p>
      <w:pPr>
        <w:rPr>
          <w:sz w:val="24"/>
        </w:rPr>
      </w:pPr>
    </w:p>
    <w:p>
      <w:pPr>
        <w:widowControl/>
        <w:jc w:val="center"/>
        <w:rPr>
          <w:rFonts w:hint="eastAsia" w:ascii="黑体" w:hAnsi="宋体" w:eastAsia="黑体"/>
          <w:kern w:val="0"/>
          <w:sz w:val="24"/>
          <w:szCs w:val="20"/>
          <w:lang w:eastAsia="zh-CN"/>
        </w:rPr>
      </w:pPr>
      <w:r>
        <w:rPr>
          <w:rFonts w:hint="eastAsia" w:ascii="黑体" w:hAnsi="宋体" w:eastAsia="黑体"/>
          <w:kern w:val="0"/>
          <w:sz w:val="24"/>
          <w:szCs w:val="20"/>
        </w:rPr>
        <w:t>（一）</w:t>
      </w:r>
      <w:r>
        <w:rPr>
          <w:rFonts w:hint="eastAsia" w:ascii="黑体" w:hAnsi="宋体" w:eastAsia="黑体"/>
          <w:kern w:val="0"/>
          <w:sz w:val="24"/>
          <w:szCs w:val="20"/>
          <w:highlight w:val="yellow"/>
          <w:lang w:eastAsia="zh-CN"/>
        </w:rPr>
        <w:t>政府采购（自行采购）违法行为风险知悉确认书</w:t>
      </w:r>
    </w:p>
    <w:p>
      <w:pPr>
        <w:widowControl/>
        <w:jc w:val="center"/>
        <w:rPr>
          <w:rFonts w:ascii="黑体" w:hAnsi="宋体" w:eastAsia="黑体"/>
          <w:kern w:val="0"/>
          <w:sz w:val="24"/>
          <w:szCs w:val="20"/>
        </w:rPr>
      </w:pPr>
    </w:p>
    <w:p>
      <w:pPr>
        <w:ind w:firstLine="482"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37"/>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400" w:lineRule="exact"/>
              <w:ind w:firstLine="1866"/>
              <w:rPr>
                <w:rFonts w:ascii="宋体" w:hAnsi="宋体" w:eastAsiaTheme="minorEastAsia"/>
                <w:spacing w:val="-4"/>
                <w:kern w:val="0"/>
                <w:szCs w:val="21"/>
              </w:rPr>
            </w:pPr>
          </w:p>
        </w:tc>
      </w:tr>
    </w:tbl>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w:t>
      </w:r>
      <w:r>
        <w:rPr>
          <w:rFonts w:hint="eastAsia" w:ascii="Times New Roman" w:hAnsi="Times New Roman" w:eastAsia="宋体" w:cs="Times New Roman"/>
          <w:b/>
          <w:bCs w:val="0"/>
          <w:kern w:val="2"/>
          <w:sz w:val="21"/>
          <w:szCs w:val="21"/>
          <w:lang w:val="en-US" w:eastAsia="zh-CN" w:bidi="ar-SA"/>
        </w:rPr>
        <w:t>（自行采购）</w:t>
      </w:r>
      <w:r>
        <w:rPr>
          <w:rFonts w:hint="eastAsia" w:ascii="宋体" w:hAnsi="宋体" w:cs="宋体"/>
          <w:b/>
          <w:bCs w:val="0"/>
        </w:rPr>
        <w:t>订单融资</w:t>
      </w:r>
      <w:r>
        <w:rPr>
          <w:rFonts w:hint="eastAsia" w:ascii="宋体" w:hAnsi="宋体" w:cs="宋体"/>
          <w:b/>
          <w:bCs/>
        </w:rPr>
        <w:t>政策</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ind w:left="420" w:leftChars="200" w:firstLine="210" w:firstLineChars="100"/>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lang w:eastAsia="zh-CN"/>
        </w:rPr>
      </w:pP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jc w:val="center"/>
        <w:rPr>
          <w:b/>
          <w:sz w:val="32"/>
          <w:szCs w:val="32"/>
        </w:rPr>
      </w:pPr>
    </w:p>
    <w:p>
      <w:pPr>
        <w:ind w:firstLine="424" w:firstLineChars="202"/>
        <w:rPr>
          <w:rFonts w:ascii="宋体" w:hAnsi="宋体"/>
          <w:szCs w:val="21"/>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sectPr>
          <w:pgSz w:w="11907" w:h="16840"/>
          <w:pgMar w:top="1440" w:right="1797" w:bottom="1440" w:left="1797" w:header="851" w:footer="992" w:gutter="0"/>
          <w:cols w:space="425" w:num="1"/>
          <w:titlePg/>
          <w:docGrid w:linePitch="462" w:charSpace="0"/>
        </w:sectPr>
      </w:pPr>
    </w:p>
    <w:p>
      <w:pPr>
        <w:pStyle w:val="7"/>
        <w:jc w:val="center"/>
      </w:pPr>
      <w:r>
        <w:rPr>
          <w:rFonts w:hint="eastAsia"/>
        </w:rPr>
        <w:t>第五章  合同条款及格式</w:t>
      </w:r>
    </w:p>
    <w:p/>
    <w:p>
      <w:pPr>
        <w:jc w:val="center"/>
        <w:outlineLvl w:val="9"/>
      </w:pPr>
      <w:bookmarkStart w:id="76" w:name="_Toc3995"/>
      <w:r>
        <w:rPr>
          <w:rFonts w:hint="eastAsia"/>
          <w:b/>
          <w:sz w:val="24"/>
        </w:rPr>
        <w:t>（仅供参考，具体以项目需求及采购结果为准）</w:t>
      </w:r>
    </w:p>
    <w:p>
      <w:pPr>
        <w:widowControl w:val="0"/>
        <w:spacing w:after="0"/>
        <w:jc w:val="center"/>
        <w:rPr>
          <w:rFonts w:ascii="宋体" w:hAnsi="宋体" w:eastAsia="宋体" w:cs="宋体"/>
          <w:b/>
          <w:bCs/>
          <w:spacing w:val="-20"/>
          <w:kern w:val="44"/>
          <w:sz w:val="48"/>
          <w:szCs w:val="48"/>
          <w:lang w:val="en-US" w:eastAsia="zh-CN" w:bidi="ar-SA"/>
        </w:rPr>
      </w:pPr>
    </w:p>
    <w:p>
      <w:pPr>
        <w:widowControl w:val="0"/>
        <w:spacing w:after="0"/>
        <w:jc w:val="center"/>
        <w:rPr>
          <w:rFonts w:ascii="宋体" w:hAnsi="宋体" w:eastAsia="宋体" w:cs="宋体"/>
          <w:b/>
          <w:bCs/>
          <w:spacing w:val="-20"/>
          <w:kern w:val="44"/>
          <w:sz w:val="48"/>
          <w:szCs w:val="48"/>
          <w:lang w:val="en-US" w:eastAsia="zh-CN" w:bidi="ar-SA"/>
        </w:rPr>
      </w:pPr>
    </w:p>
    <w:p>
      <w:pPr>
        <w:pStyle w:val="2"/>
        <w:rPr>
          <w:lang w:val="en-US" w:eastAsia="zh-CN"/>
        </w:rPr>
      </w:pP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pPr>
        <w:ind w:firstLine="640" w:firstLineChars="200"/>
        <w:rPr>
          <w:rFonts w:hint="eastAsia" w:ascii="仿宋_GB2312" w:hAnsi="仿宋_GB2312" w:eastAsia="仿宋_GB2312" w:cs="仿宋_GB2312"/>
          <w:sz w:val="32"/>
          <w:szCs w:val="32"/>
          <w:lang w:val="en-US" w:eastAsia="zh-CN"/>
        </w:rPr>
      </w:pP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pPr>
        <w:ind w:firstLine="880" w:firstLineChars="200"/>
        <w:jc w:val="both"/>
        <w:rPr>
          <w:rFonts w:eastAsia="黑体"/>
          <w:sz w:val="44"/>
          <w:szCs w:val="4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6"/>
    <w:p>
      <w:pPr>
        <w:keepNext/>
        <w:keepLines/>
        <w:widowControl w:val="0"/>
        <w:adjustRightInd w:val="0"/>
        <w:snapToGrid w:val="0"/>
        <w:spacing w:beforeLines="0" w:line="400" w:lineRule="exact"/>
        <w:jc w:val="center"/>
        <w:outlineLvl w:val="9"/>
        <w:rPr>
          <w:rFonts w:hint="eastAsia" w:ascii="黑体" w:hAnsi="黑体" w:eastAsia="黑体" w:cs="Times New Roman"/>
          <w:b/>
          <w:bCs/>
          <w:kern w:val="2"/>
          <w:sz w:val="28"/>
          <w:szCs w:val="28"/>
          <w:lang w:val="en-US" w:eastAsia="zh-CN" w:bidi="ar-SA"/>
        </w:rPr>
      </w:pPr>
      <w:bookmarkStart w:id="77" w:name="_Toc22209"/>
    </w:p>
    <w:p>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77"/>
    </w:p>
    <w:p>
      <w:pPr>
        <w:keepNext/>
        <w:keepLines/>
        <w:widowControl w:val="0"/>
        <w:adjustRightInd w:val="0"/>
        <w:snapToGrid w:val="0"/>
        <w:spacing w:beforeLines="0" w:line="400" w:lineRule="exact"/>
        <w:jc w:val="center"/>
        <w:outlineLvl w:val="9"/>
        <w:rPr>
          <w:rFonts w:hint="eastAsia" w:ascii="黑体" w:hAnsi="华文中宋" w:eastAsia="黑体" w:cs="Times New Roman"/>
          <w:b w:val="0"/>
          <w:bCs w:val="0"/>
          <w:kern w:val="2"/>
          <w:sz w:val="28"/>
          <w:szCs w:val="28"/>
          <w:lang w:val="en-US" w:eastAsia="zh-CN" w:bidi="ar-SA"/>
        </w:rPr>
      </w:pPr>
    </w:p>
    <w:p>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beforeLines="0" w:line="400" w:lineRule="exact"/>
        <w:rPr>
          <w:rFonts w:hint="default" w:eastAsia="宋体"/>
          <w:lang w:val="en-US" w:eastAsia="zh-CN"/>
        </w:rPr>
      </w:pP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的招标文件等采购文件、乙方的《投标文件》及《中标（成交）通知书》，甲乙双方同意签订本合同。具体情况及要求如下：     </w:t>
      </w:r>
    </w:p>
    <w:p>
      <w:pPr>
        <w:numPr>
          <w:ilvl w:val="0"/>
          <w:numId w:val="9"/>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项目信息</w:t>
      </w:r>
    </w:p>
    <w:p>
      <w:pPr>
        <w:widowControl w:val="0"/>
        <w:numPr>
          <w:ilvl w:val="0"/>
          <w:numId w:val="10"/>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pPr>
        <w:numPr>
          <w:ilvl w:val="0"/>
          <w:numId w:val="9"/>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9"/>
        </w:numPr>
        <w:adjustRightInd w:val="0"/>
        <w:snapToGrid w:val="0"/>
        <w:spacing w:before="0" w:beforeLines="0" w:line="400" w:lineRule="exact"/>
        <w:ind w:firstLine="422" w:firstLineChars="200"/>
        <w:rPr>
          <w:rFonts w:ascii="宋体" w:hAnsi="宋体" w:eastAsia="宋体"/>
          <w:b/>
          <w:bCs w:val="0"/>
          <w:szCs w:val="21"/>
          <w:u w:val="single"/>
        </w:rPr>
      </w:pPr>
      <w:r>
        <w:rPr>
          <w:rFonts w:hint="eastAsia" w:ascii="宋体" w:hAnsi="宋体" w:eastAsia="宋体"/>
          <w:b/>
          <w:bCs w:val="0"/>
          <w:szCs w:val="21"/>
        </w:rPr>
        <w:t>合同履行</w:t>
      </w:r>
    </w:p>
    <w:p>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9"/>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合同验收</w:t>
      </w:r>
    </w:p>
    <w:p>
      <w:pPr>
        <w:numPr>
          <w:ilvl w:val="0"/>
          <w:numId w:val="11"/>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pPr>
        <w:numPr>
          <w:ilvl w:val="0"/>
          <w:numId w:val="9"/>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）政府采购合同专用条款</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）政府采购合同通用条款</w:t>
      </w:r>
    </w:p>
    <w:p>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eastAsia="zh-CN"/>
        </w:rPr>
        <w:t>投标</w:t>
      </w:r>
      <w:r>
        <w:rPr>
          <w:rFonts w:hint="eastAsia" w:ascii="宋体" w:hAnsi="宋体" w:eastAsia="宋体"/>
          <w:szCs w:val="21"/>
        </w:rPr>
        <w:t>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pPr>
        <w:numPr>
          <w:ilvl w:val="0"/>
          <w:numId w:val="9"/>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9"/>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pPr>
        <w:rPr>
          <w:rFonts w:hint="eastAsia" w:eastAsia="宋体"/>
        </w:rPr>
      </w:pPr>
      <w:r>
        <w:rPr>
          <w:rFonts w:hint="eastAsia" w:eastAsia="宋体"/>
        </w:rPr>
        <w:br w:type="page"/>
      </w:r>
    </w:p>
    <w:p>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78" w:name="_Toc27624"/>
      <w:r>
        <w:rPr>
          <w:rFonts w:hint="eastAsia" w:ascii="黑体" w:hAnsi="黑体" w:eastAsia="黑体" w:cs="Times New Roman"/>
          <w:b w:val="0"/>
          <w:bCs w:val="0"/>
          <w:kern w:val="2"/>
          <w:sz w:val="28"/>
          <w:szCs w:val="28"/>
          <w:lang w:val="en-US" w:eastAsia="zh-CN" w:bidi="ar-SA"/>
        </w:rPr>
        <w:t>第二节 政府采购合同通用条款</w:t>
      </w:r>
      <w:bookmarkEnd w:id="78"/>
    </w:p>
    <w:p>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方）是指参加政府采购活动并且中标（成交），向采购人提供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政府采购合同专用条款</w:t>
      </w:r>
      <w:r>
        <w:rPr>
          <w:rFonts w:hint="eastAsia" w:ascii="宋体" w:hAnsi="宋体" w:eastAsia="宋体"/>
          <w:szCs w:val="21"/>
          <w:lang w:eastAsia="zh-CN"/>
        </w:rPr>
        <w:t>，</w:t>
      </w:r>
      <w:r>
        <w:rPr>
          <w:rFonts w:hint="eastAsia" w:ascii="宋体" w:hAnsi="宋体" w:eastAsia="宋体"/>
          <w:szCs w:val="21"/>
        </w:rPr>
        <w:t>政府采购合同通用条款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lang w:eastAsia="zh-CN"/>
        </w:rPr>
        <w:t>投标</w:t>
      </w:r>
      <w:r>
        <w:rPr>
          <w:rFonts w:hint="eastAsia" w:ascii="宋体" w:hAnsi="宋体" w:eastAsia="宋体"/>
          <w:szCs w:val="21"/>
        </w:rPr>
        <w:t>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w:t>
      </w:r>
      <w:r>
        <w:rPr>
          <w:rFonts w:hint="eastAsia" w:ascii="宋体" w:hAnsi="宋体" w:eastAsia="宋体"/>
          <w:color w:val="000000"/>
          <w:szCs w:val="21"/>
          <w:highlight w:val="none"/>
          <w:lang w:eastAsia="zh-CN"/>
        </w:rPr>
        <w:t>投标</w:t>
      </w:r>
      <w:r>
        <w:rPr>
          <w:rFonts w:hint="eastAsia" w:ascii="宋体" w:hAnsi="宋体" w:eastAsia="宋体"/>
          <w:color w:val="000000"/>
          <w:szCs w:val="21"/>
          <w:highlight w:val="none"/>
        </w:rPr>
        <w:t>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以一个供应商的身份共同参加政府采购的主体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numPr>
          <w:ilvl w:val="0"/>
          <w:numId w:val="12"/>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pPr>
        <w:numPr>
          <w:ilvl w:val="0"/>
          <w:numId w:val="13"/>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rPr>
        <w:t>约定顺序履行合同义务；如果没有先后顺序的，应当同时履行。</w:t>
      </w:r>
    </w:p>
    <w:p>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【政府采购合同专用条款】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79"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79"/>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pPr>
        <w:keepNext/>
        <w:keepLines/>
        <w:widowControl w:val="0"/>
        <w:spacing w:line="400" w:lineRule="exact"/>
        <w:ind w:firstLine="420" w:firstLineChars="200"/>
        <w:jc w:val="both"/>
        <w:outlineLvl w:val="9"/>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规定支付。</w:t>
      </w:r>
    </w:p>
    <w:p>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【政府采购合同专用条款】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规定的逾期付款利息。</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规定执行。</w:t>
      </w:r>
    </w:p>
    <w:p>
      <w:pPr>
        <w:numPr>
          <w:ilvl w:val="0"/>
          <w:numId w:val="14"/>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政府采购合同履行中，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根据采购文件和投标文件规定进行</w:t>
      </w:r>
      <w:r>
        <w:rPr>
          <w:rFonts w:hint="eastAsia" w:ascii="宋体" w:hAnsi="宋体" w:eastAsia="宋体"/>
          <w:color w:val="auto"/>
          <w:szCs w:val="21"/>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乙方执行政府采购政策向中小企业依法分包的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和投标</w:t>
      </w:r>
      <w:r>
        <w:rPr>
          <w:rFonts w:hint="eastAsia" w:ascii="宋体" w:hAnsi="宋体" w:eastAsia="宋体"/>
          <w:color w:val="auto"/>
          <w:szCs w:val="21"/>
          <w:highlight w:val="none"/>
        </w:rPr>
        <w:t>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政府采购政策</w:t>
      </w:r>
    </w:p>
    <w:p>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pPr>
        <w:numPr>
          <w:ilvl w:val="0"/>
          <w:numId w:val="15"/>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【政府采购合同专用条款】</w:t>
      </w:r>
      <w:r>
        <w:rPr>
          <w:rFonts w:hint="eastAsia" w:ascii="宋体" w:hAnsi="宋体" w:eastAsia="宋体"/>
          <w:bCs/>
          <w:color w:val="auto"/>
          <w:szCs w:val="21"/>
          <w:highlight w:val="none"/>
        </w:rPr>
        <w:t>。</w:t>
      </w:r>
    </w:p>
    <w:p>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80" w:name="_Toc20313"/>
    </w:p>
    <w:p>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80"/>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pPr>
              <w:adjustRightInd w:val="0"/>
              <w:snapToGrid w:val="0"/>
              <w:jc w:val="left"/>
              <w:rPr>
                <w:rFonts w:hint="default" w:ascii="宋体" w:hAnsi="宋体" w:eastAsia="宋体"/>
                <w:szCs w:val="21"/>
                <w:lang w:val="en-US" w:eastAsia="zh-CN"/>
              </w:rPr>
            </w:pPr>
          </w:p>
        </w:tc>
      </w:tr>
    </w:tbl>
    <w:p>
      <w:pPr>
        <w:rPr>
          <w:rFonts w:eastAsia="宋体"/>
        </w:rPr>
      </w:pPr>
    </w:p>
    <w:p>
      <w:pPr>
        <w:rPr>
          <w:rFonts w:eastAsia="宋体"/>
        </w:rPr>
      </w:pPr>
    </w:p>
    <w:p>
      <w:pPr>
        <w:widowControl/>
        <w:jc w:val="left"/>
        <w:rPr>
          <w:rFonts w:ascii="宋体" w:hAnsi="宋体"/>
          <w:szCs w:val="21"/>
        </w:rPr>
      </w:pPr>
      <w:r>
        <w:rPr>
          <w:rFonts w:ascii="宋体" w:hAnsi="宋体"/>
          <w:szCs w:val="21"/>
        </w:rPr>
        <w:br w:type="page"/>
      </w:r>
    </w:p>
    <w:p>
      <w:pPr>
        <w:widowControl/>
        <w:jc w:val="left"/>
        <w:rPr>
          <w:rFonts w:ascii="宋体" w:hAnsi="宋体"/>
          <w:szCs w:val="21"/>
        </w:rPr>
      </w:pPr>
    </w:p>
    <w:p>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81" w:name="_Hlk72399513"/>
      <w:bookmarkStart w:id="82" w:name="_Hlk72439706"/>
      <w:r>
        <w:rPr>
          <w:rFonts w:hint="eastAsia" w:asciiTheme="majorHAnsi" w:hAnsiTheme="majorHAnsi" w:eastAsiaTheme="majorEastAsia" w:cstheme="majorBidi"/>
          <w:b/>
          <w:bCs/>
          <w:sz w:val="28"/>
          <w:szCs w:val="28"/>
        </w:rPr>
        <w:t>总则</w:t>
      </w:r>
    </w:p>
    <w:bookmarkEnd w:id="81"/>
    <w:p>
      <w:pPr>
        <w:ind w:firstLine="420" w:firstLineChars="200"/>
        <w:rPr>
          <w:rFonts w:ascii="黑体" w:hAnsi="宋体" w:eastAsia="黑体"/>
          <w:szCs w:val="21"/>
        </w:rPr>
      </w:pPr>
      <w:r>
        <w:rPr>
          <w:rFonts w:hint="eastAsia" w:ascii="黑体" w:hAnsi="宋体" w:eastAsia="黑体"/>
          <w:szCs w:val="21"/>
        </w:rPr>
        <w:t>1. 通用条款说明</w:t>
      </w:r>
    </w:p>
    <w:p>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83" w:name="_Hlk72399729"/>
      <w:r>
        <w:rPr>
          <w:rFonts w:hint="eastAsia" w:ascii="宋体" w:hAnsi="宋体"/>
          <w:szCs w:val="21"/>
        </w:rPr>
        <w:t>如有需要，政府集中采购机构可以对通用条款的内容进行补充。</w:t>
      </w:r>
      <w:bookmarkEnd w:id="83"/>
    </w:p>
    <w:p>
      <w:pPr>
        <w:ind w:firstLine="420" w:firstLineChars="200"/>
        <w:rPr>
          <w:rFonts w:ascii="宋体" w:hAnsi="宋体"/>
          <w:szCs w:val="21"/>
        </w:rPr>
      </w:pPr>
      <w:r>
        <w:rPr>
          <w:rFonts w:hint="eastAsia" w:ascii="宋体" w:hAnsi="宋体"/>
          <w:szCs w:val="21"/>
        </w:rPr>
        <w:t>1.2招标文件分为第一册“专用条款”和第二册“通用条款”。</w:t>
      </w:r>
    </w:p>
    <w:p>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pPr>
        <w:ind w:firstLine="420" w:firstLineChars="200"/>
        <w:rPr>
          <w:rFonts w:ascii="宋体" w:hAnsi="宋体"/>
          <w:szCs w:val="21"/>
        </w:rPr>
      </w:pPr>
      <w:r>
        <w:rPr>
          <w:rFonts w:hint="eastAsia" w:ascii="宋体" w:hAnsi="宋体"/>
          <w:szCs w:val="21"/>
        </w:rPr>
        <w:t>1.5 “专用条款”和“通用条款”表述不一致或有冲突时，以“专用条款”为准。</w:t>
      </w:r>
    </w:p>
    <w:p>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pPr>
        <w:ind w:firstLine="420" w:firstLineChars="200"/>
        <w:rPr>
          <w:rFonts w:ascii="黑体" w:hAnsi="宋体" w:eastAsia="黑体"/>
          <w:szCs w:val="21"/>
        </w:rPr>
      </w:pPr>
      <w:r>
        <w:rPr>
          <w:rFonts w:hint="eastAsia" w:ascii="黑体" w:hAnsi="宋体" w:eastAsia="黑体"/>
          <w:szCs w:val="21"/>
        </w:rPr>
        <w:t>3．定义</w:t>
      </w:r>
    </w:p>
    <w:p>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ascii="宋体" w:hAnsi="宋体"/>
          <w:szCs w:val="21"/>
        </w:rPr>
      </w:pPr>
      <w:r>
        <w:rPr>
          <w:rFonts w:hint="eastAsia" w:ascii="宋体" w:hAnsi="宋体"/>
          <w:szCs w:val="21"/>
        </w:rPr>
        <w:t>3.6“合同”指由本次招标所产生的合同或合约文件；</w:t>
      </w:r>
    </w:p>
    <w:p>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pPr>
        <w:ind w:firstLine="420" w:firstLineChars="200"/>
        <w:rPr>
          <w:rFonts w:ascii="黑体" w:hAnsi="宋体" w:eastAsia="黑体"/>
          <w:szCs w:val="21"/>
        </w:rPr>
      </w:pPr>
      <w:r>
        <w:rPr>
          <w:rFonts w:hint="eastAsia" w:ascii="黑体" w:hAnsi="宋体" w:eastAsia="黑体"/>
          <w:szCs w:val="21"/>
        </w:rPr>
        <w:t xml:space="preserve">4. </w:t>
      </w:r>
      <w:bookmarkStart w:id="84" w:name="_Hlk72398643"/>
      <w:r>
        <w:rPr>
          <w:rFonts w:hint="eastAsia" w:ascii="黑体" w:hAnsi="宋体" w:eastAsia="黑体"/>
          <w:szCs w:val="21"/>
        </w:rPr>
        <w:t>自行采购供应商责任</w:t>
      </w:r>
    </w:p>
    <w:p>
      <w:pPr>
        <w:ind w:firstLine="420" w:firstLineChars="200"/>
        <w:rPr>
          <w:rFonts w:ascii="宋体" w:hAnsi="宋体"/>
          <w:szCs w:val="21"/>
        </w:rPr>
      </w:pPr>
      <w:r>
        <w:rPr>
          <w:rFonts w:hint="eastAsia" w:ascii="宋体" w:hAnsi="宋体"/>
          <w:szCs w:val="21"/>
        </w:rPr>
        <w:t>4.1欢迎诚信、有实力和有社会责任心的供应商参与自行采购事业。</w:t>
      </w:r>
    </w:p>
    <w:p>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ascii="黑体" w:hAnsi="宋体" w:eastAsia="黑体"/>
          <w:szCs w:val="21"/>
        </w:rPr>
      </w:pPr>
      <w:r>
        <w:rPr>
          <w:rFonts w:hint="eastAsia" w:ascii="黑体" w:hAnsi="宋体" w:eastAsia="黑体"/>
          <w:szCs w:val="21"/>
        </w:rPr>
        <w:t>5．投标人参加自行采购的条件</w:t>
      </w:r>
    </w:p>
    <w:p>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pPr>
        <w:ind w:firstLine="420" w:firstLineChars="200"/>
        <w:rPr>
          <w:rFonts w:ascii="宋体" w:hAnsi="宋体"/>
          <w:szCs w:val="21"/>
        </w:rPr>
      </w:pPr>
      <w:r>
        <w:rPr>
          <w:rFonts w:hint="eastAsia" w:ascii="宋体" w:hAnsi="宋体"/>
          <w:szCs w:val="21"/>
        </w:rPr>
        <w:t>5.2投标人资格要求</w:t>
      </w:r>
    </w:p>
    <w:p>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20" w:firstLineChars="200"/>
        <w:rPr>
          <w:rFonts w:ascii="宋体" w:hAnsi="宋体"/>
          <w:szCs w:val="21"/>
        </w:rPr>
      </w:pPr>
      <w:r>
        <w:rPr>
          <w:rFonts w:hint="eastAsia" w:ascii="宋体" w:hAnsi="宋体"/>
          <w:szCs w:val="21"/>
        </w:rPr>
        <w:t>5.3联合体投标</w:t>
      </w:r>
    </w:p>
    <w:p>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ascii="黑体" w:hAnsi="宋体" w:eastAsia="黑体"/>
          <w:szCs w:val="21"/>
        </w:rPr>
      </w:pPr>
      <w:r>
        <w:rPr>
          <w:rFonts w:hint="eastAsia" w:ascii="黑体" w:hAnsi="宋体" w:eastAsia="黑体"/>
          <w:szCs w:val="21"/>
        </w:rPr>
        <w:t>6．政策导向</w:t>
      </w:r>
    </w:p>
    <w:p>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85"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5"/>
    </w:p>
    <w:p>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ascii="黑体" w:hAnsi="宋体" w:eastAsia="黑体"/>
          <w:szCs w:val="21"/>
        </w:rPr>
      </w:pPr>
      <w:r>
        <w:rPr>
          <w:rFonts w:hint="eastAsia" w:ascii="黑体" w:hAnsi="宋体" w:eastAsia="黑体"/>
          <w:szCs w:val="21"/>
        </w:rPr>
        <w:t>8．投标费用</w:t>
      </w:r>
    </w:p>
    <w:p>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ascii="黑体" w:hAnsi="宋体" w:eastAsia="黑体"/>
          <w:szCs w:val="21"/>
        </w:rPr>
      </w:pPr>
      <w:r>
        <w:rPr>
          <w:rFonts w:hint="eastAsia" w:ascii="黑体" w:hAnsi="宋体" w:eastAsia="黑体"/>
          <w:szCs w:val="21"/>
        </w:rPr>
        <w:t>9．踏勘现场</w:t>
      </w:r>
    </w:p>
    <w:p>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84"/>
    <w:p>
      <w:pPr>
        <w:ind w:firstLine="411" w:firstLineChars="196"/>
        <w:rPr>
          <w:rFonts w:ascii="宋体" w:hAnsi="宋体"/>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86" w:name="_Hlk72399819"/>
      <w:r>
        <w:rPr>
          <w:rFonts w:hint="eastAsia" w:ascii="黑体" w:hAnsi="宋体" w:eastAsia="黑体"/>
          <w:szCs w:val="21"/>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20" w:firstLineChars="200"/>
        <w:rPr>
          <w:rFonts w:ascii="宋体" w:hAnsi="宋体"/>
          <w:szCs w:val="21"/>
        </w:rPr>
      </w:pPr>
      <w:r>
        <w:rPr>
          <w:rFonts w:hint="eastAsia" w:ascii="宋体" w:hAnsi="宋体"/>
          <w:szCs w:val="21"/>
        </w:rPr>
        <w:t>招标文件包括下列内容：</w:t>
      </w:r>
    </w:p>
    <w:p>
      <w:pPr>
        <w:ind w:firstLine="422" w:firstLineChars="200"/>
        <w:rPr>
          <w:rFonts w:ascii="宋体" w:hAnsi="宋体"/>
          <w:b/>
          <w:szCs w:val="21"/>
        </w:rPr>
      </w:pPr>
      <w:r>
        <w:rPr>
          <w:rFonts w:hint="eastAsia" w:ascii="宋体" w:hAnsi="宋体"/>
          <w:b/>
          <w:szCs w:val="21"/>
        </w:rPr>
        <w:t>第一册  专用条款</w:t>
      </w:r>
    </w:p>
    <w:p>
      <w:pPr>
        <w:ind w:firstLine="422" w:firstLineChars="200"/>
        <w:rPr>
          <w:rFonts w:ascii="宋体" w:hAnsi="宋体"/>
          <w:b/>
          <w:szCs w:val="21"/>
        </w:rPr>
      </w:pPr>
      <w:r>
        <w:rPr>
          <w:rFonts w:hint="eastAsia" w:ascii="宋体" w:hAnsi="宋体"/>
          <w:b/>
          <w:szCs w:val="21"/>
        </w:rPr>
        <w:t>关键信息</w:t>
      </w:r>
    </w:p>
    <w:p>
      <w:pPr>
        <w:ind w:firstLine="420" w:firstLineChars="200"/>
        <w:rPr>
          <w:rFonts w:ascii="宋体" w:hAnsi="宋体"/>
          <w:szCs w:val="21"/>
        </w:rPr>
      </w:pPr>
      <w:r>
        <w:rPr>
          <w:rFonts w:hint="eastAsia" w:ascii="宋体" w:hAnsi="宋体"/>
          <w:szCs w:val="21"/>
        </w:rPr>
        <w:t>第一章  招标公告</w:t>
      </w:r>
    </w:p>
    <w:p>
      <w:pPr>
        <w:ind w:firstLine="420" w:firstLineChars="200"/>
        <w:rPr>
          <w:rFonts w:ascii="宋体" w:hAnsi="宋体"/>
          <w:szCs w:val="21"/>
        </w:rPr>
      </w:pPr>
      <w:r>
        <w:rPr>
          <w:rFonts w:hint="eastAsia" w:ascii="宋体" w:hAnsi="宋体"/>
          <w:szCs w:val="21"/>
        </w:rPr>
        <w:t>第二章  对通用条款的补充内容及其他关键信息</w:t>
      </w:r>
    </w:p>
    <w:p>
      <w:pPr>
        <w:ind w:firstLine="420" w:firstLineChars="200"/>
        <w:rPr>
          <w:rFonts w:ascii="宋体" w:hAnsi="宋体"/>
          <w:szCs w:val="21"/>
        </w:rPr>
      </w:pPr>
      <w:r>
        <w:rPr>
          <w:rFonts w:hint="eastAsia" w:ascii="宋体" w:hAnsi="宋体"/>
          <w:szCs w:val="21"/>
        </w:rPr>
        <w:t>第三章  用户需求书</w:t>
      </w:r>
    </w:p>
    <w:p>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ascii="宋体" w:hAnsi="宋体"/>
          <w:szCs w:val="21"/>
        </w:rPr>
      </w:pPr>
      <w:r>
        <w:rPr>
          <w:rFonts w:hint="eastAsia" w:ascii="宋体" w:hAnsi="宋体"/>
          <w:szCs w:val="21"/>
        </w:rPr>
        <w:t>第五章  合同条款及格式</w:t>
      </w:r>
    </w:p>
    <w:p>
      <w:pPr>
        <w:ind w:firstLine="422" w:firstLineChars="200"/>
        <w:rPr>
          <w:rFonts w:ascii="宋体" w:hAnsi="宋体"/>
          <w:b/>
          <w:szCs w:val="21"/>
        </w:rPr>
      </w:pPr>
      <w:r>
        <w:rPr>
          <w:rFonts w:hint="eastAsia" w:ascii="宋体" w:hAnsi="宋体"/>
          <w:b/>
          <w:szCs w:val="21"/>
        </w:rPr>
        <w:t>第二册  通用条款</w:t>
      </w:r>
    </w:p>
    <w:p>
      <w:pPr>
        <w:ind w:firstLine="420" w:firstLineChars="200"/>
        <w:rPr>
          <w:rFonts w:ascii="宋体" w:hAnsi="宋体"/>
          <w:szCs w:val="21"/>
        </w:rPr>
      </w:pPr>
      <w:r>
        <w:rPr>
          <w:rFonts w:hint="eastAsia" w:ascii="宋体" w:hAnsi="宋体"/>
          <w:szCs w:val="21"/>
        </w:rPr>
        <w:t>第一章  总则</w:t>
      </w:r>
    </w:p>
    <w:p>
      <w:pPr>
        <w:ind w:firstLine="420" w:firstLineChars="200"/>
        <w:rPr>
          <w:rFonts w:ascii="宋体" w:hAnsi="宋体"/>
          <w:szCs w:val="21"/>
        </w:rPr>
      </w:pPr>
      <w:r>
        <w:rPr>
          <w:rFonts w:hint="eastAsia" w:ascii="宋体" w:hAnsi="宋体"/>
          <w:szCs w:val="21"/>
        </w:rPr>
        <w:t>第二章  招标文件</w:t>
      </w:r>
    </w:p>
    <w:p>
      <w:pPr>
        <w:ind w:firstLine="420" w:firstLineChars="200"/>
        <w:rPr>
          <w:rFonts w:ascii="宋体" w:hAnsi="宋体"/>
          <w:szCs w:val="21"/>
        </w:rPr>
      </w:pPr>
      <w:r>
        <w:rPr>
          <w:rFonts w:hint="eastAsia" w:ascii="宋体" w:hAnsi="宋体"/>
          <w:szCs w:val="21"/>
        </w:rPr>
        <w:t>第三章  投标文件的编制</w:t>
      </w:r>
    </w:p>
    <w:p>
      <w:pPr>
        <w:ind w:firstLine="420" w:firstLineChars="200"/>
        <w:rPr>
          <w:rFonts w:ascii="宋体" w:hAnsi="宋体"/>
          <w:szCs w:val="21"/>
        </w:rPr>
      </w:pPr>
      <w:r>
        <w:rPr>
          <w:rFonts w:hint="eastAsia" w:ascii="宋体" w:hAnsi="宋体"/>
          <w:szCs w:val="21"/>
        </w:rPr>
        <w:t>第四章  投标文件的递交</w:t>
      </w:r>
    </w:p>
    <w:p>
      <w:pPr>
        <w:ind w:firstLine="420" w:firstLineChars="200"/>
        <w:rPr>
          <w:rFonts w:ascii="宋体" w:hAnsi="宋体"/>
          <w:szCs w:val="21"/>
        </w:rPr>
      </w:pPr>
      <w:r>
        <w:rPr>
          <w:rFonts w:hint="eastAsia" w:ascii="宋体" w:hAnsi="宋体"/>
          <w:szCs w:val="21"/>
        </w:rPr>
        <w:t>第五章  开标</w:t>
      </w:r>
    </w:p>
    <w:p>
      <w:pPr>
        <w:ind w:firstLine="420" w:firstLineChars="200"/>
        <w:rPr>
          <w:rFonts w:ascii="宋体" w:hAnsi="宋体"/>
          <w:szCs w:val="21"/>
        </w:rPr>
      </w:pPr>
      <w:r>
        <w:rPr>
          <w:rFonts w:hint="eastAsia" w:ascii="宋体" w:hAnsi="宋体"/>
          <w:szCs w:val="21"/>
        </w:rPr>
        <w:t>第六章  评审要求</w:t>
      </w:r>
    </w:p>
    <w:p>
      <w:pPr>
        <w:ind w:firstLine="420" w:firstLineChars="200"/>
        <w:rPr>
          <w:rFonts w:ascii="宋体" w:hAnsi="宋体"/>
          <w:szCs w:val="21"/>
        </w:rPr>
      </w:pPr>
      <w:r>
        <w:rPr>
          <w:rFonts w:hint="eastAsia" w:ascii="宋体" w:hAnsi="宋体"/>
          <w:szCs w:val="21"/>
        </w:rPr>
        <w:t>第七章  评审程序及评审方法</w:t>
      </w:r>
    </w:p>
    <w:p>
      <w:pPr>
        <w:ind w:firstLine="420" w:firstLineChars="200"/>
        <w:rPr>
          <w:rFonts w:ascii="宋体" w:hAnsi="宋体"/>
          <w:szCs w:val="21"/>
        </w:rPr>
      </w:pPr>
      <w:r>
        <w:rPr>
          <w:rFonts w:hint="eastAsia" w:ascii="宋体" w:hAnsi="宋体"/>
          <w:szCs w:val="21"/>
        </w:rPr>
        <w:t>第八章  定标及公示</w:t>
      </w:r>
    </w:p>
    <w:p>
      <w:pPr>
        <w:ind w:firstLine="420" w:firstLineChars="200"/>
        <w:rPr>
          <w:rFonts w:ascii="宋体" w:hAnsi="宋体"/>
          <w:szCs w:val="21"/>
        </w:rPr>
      </w:pPr>
      <w:r>
        <w:rPr>
          <w:rFonts w:hint="eastAsia" w:ascii="宋体" w:hAnsi="宋体"/>
          <w:szCs w:val="21"/>
        </w:rPr>
        <w:t>第九章  公开招标失败的后续处理</w:t>
      </w:r>
    </w:p>
    <w:p>
      <w:pPr>
        <w:ind w:firstLine="420" w:firstLineChars="200"/>
        <w:rPr>
          <w:rFonts w:ascii="宋体" w:hAnsi="宋体"/>
          <w:szCs w:val="21"/>
        </w:rPr>
      </w:pPr>
      <w:r>
        <w:rPr>
          <w:rFonts w:hint="eastAsia" w:ascii="宋体" w:hAnsi="宋体"/>
          <w:szCs w:val="21"/>
        </w:rPr>
        <w:t>第十章  合同的授予与备案</w:t>
      </w:r>
    </w:p>
    <w:p>
      <w:pPr>
        <w:ind w:firstLine="420" w:firstLineChars="200"/>
        <w:rPr>
          <w:rFonts w:ascii="宋体" w:hAnsi="宋体"/>
          <w:szCs w:val="21"/>
        </w:rPr>
      </w:pPr>
      <w:r>
        <w:rPr>
          <w:rFonts w:hint="eastAsia" w:ascii="宋体" w:hAnsi="宋体"/>
          <w:szCs w:val="21"/>
        </w:rPr>
        <w:t>第十一章  质疑处理</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6"/>
    </w:p>
    <w:p>
      <w:pPr>
        <w:rPr>
          <w:rFonts w:ascii="宋体" w:hAnsi="宋体"/>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ascii="黑体" w:hAnsi="宋体" w:eastAsia="黑体"/>
          <w:szCs w:val="21"/>
        </w:rPr>
      </w:pPr>
      <w:r>
        <w:rPr>
          <w:rFonts w:hint="eastAsia" w:ascii="黑体" w:hAnsi="宋体" w:eastAsia="黑体"/>
          <w:szCs w:val="21"/>
        </w:rPr>
        <w:t>14．</w:t>
      </w:r>
      <w:bookmarkStart w:id="87" w:name="_Hlk72400236"/>
      <w:r>
        <w:rPr>
          <w:rFonts w:hint="eastAsia" w:ascii="黑体" w:hAnsi="宋体" w:eastAsia="黑体"/>
          <w:szCs w:val="21"/>
        </w:rPr>
        <w:t>投标文件的语言及度量单位</w:t>
      </w:r>
    </w:p>
    <w:p>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87"/>
    <w:p>
      <w:pPr>
        <w:ind w:firstLine="420" w:firstLineChars="200"/>
        <w:rPr>
          <w:rFonts w:ascii="黑体" w:hAnsi="宋体" w:eastAsia="黑体"/>
          <w:szCs w:val="21"/>
        </w:rPr>
      </w:pPr>
      <w:r>
        <w:rPr>
          <w:rFonts w:hint="eastAsia" w:ascii="黑体" w:hAnsi="宋体" w:eastAsia="黑体"/>
          <w:szCs w:val="21"/>
        </w:rPr>
        <w:t>15．</w:t>
      </w:r>
      <w:bookmarkStart w:id="88" w:name="_Hlk72401567"/>
      <w:r>
        <w:rPr>
          <w:rFonts w:hint="eastAsia" w:ascii="黑体" w:hAnsi="宋体" w:eastAsia="黑体"/>
          <w:szCs w:val="21"/>
        </w:rPr>
        <w:t>投标文件的组成</w:t>
      </w:r>
    </w:p>
    <w:p>
      <w:pPr>
        <w:ind w:firstLine="420" w:firstLineChars="200"/>
        <w:rPr>
          <w:rFonts w:ascii="宋体" w:hAnsi="宋体"/>
          <w:szCs w:val="21"/>
        </w:rPr>
      </w:pPr>
      <w:r>
        <w:rPr>
          <w:rFonts w:hint="eastAsia" w:ascii="宋体" w:hAnsi="宋体"/>
          <w:szCs w:val="21"/>
        </w:rPr>
        <w:t>具体内容在招标文件专用条款中进行规定。</w:t>
      </w:r>
    </w:p>
    <w:p>
      <w:pPr>
        <w:ind w:firstLine="420" w:firstLineChars="200"/>
        <w:rPr>
          <w:rFonts w:ascii="黑体" w:hAnsi="宋体" w:eastAsia="黑体"/>
          <w:szCs w:val="21"/>
        </w:rPr>
      </w:pPr>
      <w:r>
        <w:rPr>
          <w:rFonts w:ascii="黑体" w:hAnsi="宋体" w:eastAsia="黑体"/>
          <w:szCs w:val="21"/>
        </w:rPr>
        <w:t>16．投标文件格式</w:t>
      </w:r>
    </w:p>
    <w:p>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ind w:firstLine="420" w:firstLineChars="200"/>
        <w:rPr>
          <w:rFonts w:ascii="黑体" w:hAnsi="宋体" w:eastAsia="黑体"/>
          <w:szCs w:val="21"/>
        </w:rPr>
      </w:pPr>
      <w:r>
        <w:rPr>
          <w:rFonts w:hint="eastAsia" w:ascii="黑体" w:hAnsi="宋体" w:eastAsia="黑体"/>
          <w:szCs w:val="21"/>
        </w:rPr>
        <w:t>17．投标货币</w:t>
      </w:r>
    </w:p>
    <w:p>
      <w:pPr>
        <w:ind w:firstLine="420" w:firstLineChars="200"/>
        <w:rPr>
          <w:rFonts w:ascii="宋体" w:hAnsi="宋体"/>
          <w:szCs w:val="21"/>
        </w:rPr>
      </w:pPr>
      <w:r>
        <w:rPr>
          <w:rFonts w:hint="eastAsia" w:ascii="宋体" w:hAnsi="宋体"/>
          <w:szCs w:val="21"/>
        </w:rPr>
        <w:t>本项目的投标报价应以人民币计。</w:t>
      </w:r>
    </w:p>
    <w:bookmarkEnd w:id="88"/>
    <w:p>
      <w:pPr>
        <w:ind w:firstLine="420" w:firstLineChars="200"/>
        <w:rPr>
          <w:rFonts w:ascii="黑体" w:hAnsi="宋体" w:eastAsia="黑体"/>
          <w:szCs w:val="21"/>
        </w:rPr>
      </w:pPr>
      <w:r>
        <w:rPr>
          <w:rFonts w:hint="eastAsia" w:ascii="黑体" w:hAnsi="宋体" w:eastAsia="黑体"/>
          <w:szCs w:val="21"/>
        </w:rPr>
        <w:t>18．</w:t>
      </w:r>
      <w:bookmarkStart w:id="89" w:name="_Hlk72401735"/>
      <w:r>
        <w:rPr>
          <w:rFonts w:hint="eastAsia" w:ascii="黑体" w:hAnsi="宋体" w:eastAsia="黑体"/>
          <w:szCs w:val="21"/>
        </w:rPr>
        <w:t>证明投标文件投标技术方案的合格性和符合招标文件规定的文件要求</w:t>
      </w:r>
    </w:p>
    <w:p>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ascii="宋体" w:hAnsi="宋体"/>
          <w:szCs w:val="21"/>
        </w:rPr>
      </w:pPr>
      <w:r>
        <w:rPr>
          <w:rFonts w:hint="eastAsia" w:ascii="宋体" w:hAnsi="宋体"/>
          <w:szCs w:val="21"/>
        </w:rPr>
        <w:t>18.2.1主要技术指标和性能的详细说明。</w:t>
      </w:r>
    </w:p>
    <w:p>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89"/>
    <w:p>
      <w:pPr>
        <w:ind w:firstLine="420" w:firstLineChars="200"/>
        <w:rPr>
          <w:rFonts w:ascii="黑体" w:hAnsi="宋体" w:eastAsia="黑体"/>
          <w:szCs w:val="21"/>
        </w:rPr>
      </w:pPr>
      <w:r>
        <w:rPr>
          <w:rFonts w:hint="eastAsia" w:ascii="黑体" w:hAnsi="宋体" w:eastAsia="黑体"/>
          <w:szCs w:val="21"/>
        </w:rPr>
        <w:t>19．</w:t>
      </w:r>
      <w:bookmarkStart w:id="90" w:name="_Hlk72402034"/>
      <w:r>
        <w:rPr>
          <w:rFonts w:hint="eastAsia" w:ascii="黑体" w:hAnsi="宋体" w:eastAsia="黑体"/>
          <w:szCs w:val="21"/>
        </w:rPr>
        <w:t>投标文件其他证明文件的要求</w:t>
      </w:r>
    </w:p>
    <w:p>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1" w:name="_Hlk71407299"/>
    </w:p>
    <w:bookmarkEnd w:id="91"/>
    <w:p>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ascii="黑体" w:hAnsi="宋体" w:eastAsia="黑体"/>
          <w:szCs w:val="21"/>
        </w:rPr>
      </w:pPr>
      <w:r>
        <w:rPr>
          <w:rFonts w:hint="eastAsia" w:ascii="黑体" w:hAnsi="宋体" w:eastAsia="黑体"/>
          <w:szCs w:val="21"/>
        </w:rPr>
        <w:t>20．投标有效期</w:t>
      </w:r>
    </w:p>
    <w:bookmarkEnd w:id="90"/>
    <w:p>
      <w:pPr>
        <w:ind w:firstLine="420" w:firstLineChars="200"/>
        <w:rPr>
          <w:rFonts w:ascii="宋体" w:hAnsi="宋体"/>
          <w:szCs w:val="21"/>
        </w:rPr>
      </w:pPr>
      <w:bookmarkStart w:id="92"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2"/>
    <w:p>
      <w:pPr>
        <w:ind w:firstLine="420" w:firstLineChars="200"/>
        <w:rPr>
          <w:rFonts w:ascii="黑体" w:hAnsi="宋体" w:eastAsia="黑体"/>
          <w:szCs w:val="21"/>
        </w:rPr>
      </w:pPr>
      <w:r>
        <w:rPr>
          <w:rFonts w:hint="eastAsia" w:ascii="黑体" w:hAnsi="宋体" w:eastAsia="黑体"/>
          <w:szCs w:val="21"/>
        </w:rPr>
        <w:t>21．</w:t>
      </w:r>
      <w:bookmarkStart w:id="93" w:name="_Hlk72402325"/>
      <w:r>
        <w:rPr>
          <w:rFonts w:hint="eastAsia" w:ascii="黑体" w:hAnsi="宋体" w:eastAsia="黑体"/>
          <w:szCs w:val="21"/>
        </w:rPr>
        <w:t xml:space="preserve">关于投标保证金 </w:t>
      </w:r>
    </w:p>
    <w:p>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ascii="黑体" w:hAnsi="宋体" w:eastAsia="黑体"/>
          <w:szCs w:val="21"/>
        </w:rPr>
      </w:pPr>
      <w:r>
        <w:rPr>
          <w:rFonts w:hint="eastAsia" w:ascii="黑体" w:hAnsi="宋体" w:eastAsia="黑体"/>
          <w:szCs w:val="21"/>
        </w:rPr>
        <w:t>22．投标人的替代方案</w:t>
      </w:r>
    </w:p>
    <w:p>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3"/>
    <w:p>
      <w:pPr>
        <w:ind w:firstLine="420" w:firstLineChars="200"/>
        <w:rPr>
          <w:rFonts w:ascii="黑体" w:hAnsi="宋体" w:eastAsia="黑体"/>
          <w:szCs w:val="21"/>
        </w:rPr>
      </w:pPr>
      <w:r>
        <w:rPr>
          <w:rFonts w:hint="eastAsia" w:ascii="黑体" w:hAnsi="宋体" w:eastAsia="黑体"/>
          <w:szCs w:val="21"/>
        </w:rPr>
        <w:t>23．</w:t>
      </w:r>
      <w:bookmarkStart w:id="94"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ascii="宋体" w:hAnsi="宋体"/>
          <w:szCs w:val="21"/>
        </w:rPr>
      </w:pPr>
      <w:r>
        <w:rPr>
          <w:rFonts w:hint="eastAsia" w:ascii="宋体" w:hAnsi="宋体"/>
          <w:szCs w:val="21"/>
        </w:rPr>
        <w:t>23.1投标人应准备所投项目的电子投标文件一份。</w:t>
      </w:r>
    </w:p>
    <w:p>
      <w:pPr>
        <w:ind w:firstLine="420" w:firstLineChars="200"/>
        <w:rPr>
          <w:rFonts w:ascii="宋体" w:hAnsi="宋体"/>
          <w:szCs w:val="21"/>
        </w:rPr>
      </w:pPr>
      <w:r>
        <w:rPr>
          <w:rFonts w:hint="eastAsia" w:ascii="宋体" w:hAnsi="宋体"/>
          <w:szCs w:val="21"/>
        </w:rPr>
        <w:t>23.2投标人在使用《投标书编制软件》编制投标书时须注意：</w:t>
      </w:r>
    </w:p>
    <w:p>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pPr>
        <w:ind w:firstLine="420" w:firstLineChars="200"/>
        <w:rPr>
          <w:rFonts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pPr>
        <w:ind w:firstLine="420" w:firstLineChars="200"/>
        <w:rPr>
          <w:rFonts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20" w:firstLineChars="200"/>
        <w:rPr>
          <w:rFonts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pPr>
        <w:ind w:firstLine="420" w:firstLineChars="200"/>
        <w:rPr>
          <w:rFonts w:ascii="宋体" w:hAnsi="宋体"/>
          <w:szCs w:val="21"/>
        </w:rPr>
      </w:pPr>
      <w:r>
        <w:rPr>
          <w:rFonts w:hint="eastAsia" w:ascii="宋体" w:hAnsi="宋体"/>
          <w:szCs w:val="21"/>
        </w:rPr>
        <w:t>23.3电报、电话、传真形式的投标概不接受。</w:t>
      </w:r>
    </w:p>
    <w:p>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94"/>
    </w:p>
    <w:p>
      <w:pPr>
        <w:ind w:firstLine="411" w:firstLineChars="196"/>
        <w:rPr>
          <w:rFonts w:ascii="宋体" w:hAnsi="宋体"/>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ascii="黑体" w:hAnsi="宋体" w:eastAsia="黑体"/>
          <w:szCs w:val="21"/>
        </w:rPr>
      </w:pPr>
      <w:bookmarkStart w:id="95" w:name="_Hlk72405459"/>
      <w:r>
        <w:rPr>
          <w:rFonts w:hint="eastAsia" w:ascii="黑体" w:hAnsi="宋体" w:eastAsia="黑体"/>
          <w:szCs w:val="21"/>
        </w:rPr>
        <w:t>24．投标文件的保密</w:t>
      </w:r>
    </w:p>
    <w:p>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ind w:firstLine="422" w:firstLineChars="200"/>
        <w:rPr>
          <w:rFonts w:ascii="宋体" w:hAnsi="宋体"/>
          <w:b/>
          <w:szCs w:val="21"/>
        </w:rPr>
      </w:pPr>
      <w:r>
        <w:rPr>
          <w:rFonts w:hint="eastAsia" w:ascii="宋体" w:hAnsi="宋体"/>
          <w:b/>
          <w:szCs w:val="21"/>
        </w:rPr>
        <w:t>24.2若采购项目出现延期情况：</w:t>
      </w:r>
    </w:p>
    <w:p>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pPr>
        <w:ind w:firstLine="420" w:firstLineChars="200"/>
        <w:rPr>
          <w:rFonts w:ascii="黑体" w:hAnsi="宋体" w:eastAsia="黑体"/>
          <w:szCs w:val="21"/>
        </w:rPr>
      </w:pPr>
      <w:r>
        <w:rPr>
          <w:rFonts w:hint="eastAsia" w:ascii="黑体" w:hAnsi="宋体" w:eastAsia="黑体"/>
          <w:szCs w:val="21"/>
        </w:rPr>
        <w:t>25．上传投标文件及投标截止日期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w:t>
      </w:r>
      <w:r>
        <w:rPr>
          <w:rFonts w:hint="eastAsia" w:ascii="宋体" w:hAnsi="宋体"/>
          <w:lang w:eastAsia="zh-CN"/>
        </w:rPr>
        <w:t>深圳自行采购系统</w:t>
      </w:r>
      <w:r>
        <w:rPr>
          <w:rFonts w:hint="eastAsia" w:ascii="宋体" w:hAnsi="宋体"/>
        </w:rPr>
        <w:t>（https://trade.szggzy.com/）”上传投标文件。如上传过程中遇到问题，</w:t>
      </w:r>
      <w:r>
        <w:rPr>
          <w:rFonts w:hint="eastAsia" w:ascii="宋体" w:hAnsi="宋体"/>
          <w:b/>
          <w:bCs/>
        </w:rPr>
        <w:t>可拨打</w:t>
      </w:r>
      <w:r>
        <w:rPr>
          <w:rFonts w:hint="eastAsia" w:ascii="宋体" w:hAnsi="宋体"/>
          <w:b/>
          <w:bCs/>
          <w:lang w:val="en-US" w:eastAsia="zh-CN"/>
        </w:rPr>
        <w:t>采购公告中的技术支持电话（0755-36568999 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lang w:val="en-US" w:eastAsia="zh-CN"/>
        </w:rPr>
        <w:t>一</w:t>
      </w:r>
      <w:r>
        <w:rPr>
          <w:rFonts w:hint="eastAsia" w:ascii="宋体" w:hAnsi="宋体"/>
          <w:b/>
          <w:bCs/>
        </w:rPr>
        <w:t>楼</w:t>
      </w:r>
      <w:r>
        <w:rPr>
          <w:rFonts w:hint="eastAsia" w:ascii="宋体" w:hAnsi="宋体"/>
          <w:b/>
          <w:bCs/>
          <w:lang w:val="en-US" w:eastAsia="zh-CN"/>
        </w:rPr>
        <w:t>服务大厅</w:t>
      </w:r>
      <w:r>
        <w:rPr>
          <w:rFonts w:hint="eastAsia" w:ascii="宋体" w:hAnsi="宋体"/>
          <w:b/>
          <w:bCs/>
        </w:rPr>
        <w:t>（地址：</w:t>
      </w:r>
      <w:r>
        <w:rPr>
          <w:rFonts w:hint="eastAsia" w:ascii="宋体" w:hAnsi="宋体"/>
          <w:b/>
          <w:bCs/>
          <w:lang w:val="en-US" w:eastAsia="zh-CN"/>
        </w:rPr>
        <w:t>深圳市宝安区湖滨东路40号</w:t>
      </w:r>
      <w:r>
        <w:rPr>
          <w:rFonts w:hint="eastAsia" w:ascii="宋体" w:hAnsi="宋体"/>
          <w:b/>
          <w:bCs/>
        </w:rPr>
        <w:t>）</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95"/>
    <w:p>
      <w:pPr>
        <w:ind w:firstLine="420" w:firstLineChars="200"/>
        <w:rPr>
          <w:rFonts w:ascii="黑体" w:hAnsi="宋体" w:eastAsia="黑体"/>
          <w:szCs w:val="21"/>
        </w:rPr>
      </w:pPr>
      <w:r>
        <w:rPr>
          <w:rFonts w:hint="eastAsia" w:ascii="黑体" w:hAnsi="宋体" w:eastAsia="黑体"/>
          <w:szCs w:val="21"/>
        </w:rPr>
        <w:t>26. 样品、现场演示、方案讲解</w:t>
      </w:r>
    </w:p>
    <w:p>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pPr>
        <w:ind w:firstLine="420" w:firstLineChars="200"/>
        <w:rPr>
          <w:rFonts w:ascii="黑体" w:hAnsi="宋体" w:eastAsia="黑体"/>
          <w:szCs w:val="21"/>
        </w:rPr>
      </w:pPr>
      <w:bookmarkStart w:id="96"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96"/>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ascii="黑体" w:hAnsi="宋体" w:eastAsia="黑体"/>
          <w:szCs w:val="21"/>
        </w:rPr>
      </w:pPr>
      <w:r>
        <w:rPr>
          <w:rFonts w:hint="eastAsia" w:ascii="黑体" w:hAnsi="宋体" w:eastAsia="黑体"/>
          <w:szCs w:val="21"/>
        </w:rPr>
        <w:t>28．开标</w:t>
      </w:r>
    </w:p>
    <w:p>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ascii="黑体" w:hAnsi="宋体" w:eastAsia="黑体"/>
          <w:szCs w:val="21"/>
        </w:rPr>
      </w:pPr>
      <w:r>
        <w:rPr>
          <w:rFonts w:hint="eastAsia" w:ascii="黑体" w:hAnsi="宋体" w:eastAsia="黑体"/>
          <w:szCs w:val="21"/>
        </w:rPr>
        <w:t>29．评审委员会组成</w:t>
      </w:r>
    </w:p>
    <w:p>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pPr>
        <w:ind w:firstLine="420" w:firstLineChars="200"/>
        <w:rPr>
          <w:rFonts w:ascii="宋体" w:hAnsi="宋体"/>
          <w:szCs w:val="21"/>
        </w:rPr>
      </w:pPr>
      <w:bookmarkStart w:id="97"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97"/>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pPr>
        <w:ind w:firstLine="420" w:firstLineChars="200"/>
        <w:rPr>
          <w:rFonts w:ascii="宋体" w:hAnsi="宋体"/>
          <w:szCs w:val="21"/>
        </w:rPr>
      </w:pPr>
      <w:r>
        <w:rPr>
          <w:rFonts w:hint="eastAsia" w:ascii="宋体" w:hAnsi="宋体"/>
          <w:szCs w:val="21"/>
        </w:rPr>
        <w:t>29.2评审定标应当遵循公平、公正、科学、择优的原则。</w:t>
      </w:r>
    </w:p>
    <w:p>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ascii="黑体" w:hAnsi="宋体" w:eastAsia="黑体"/>
          <w:szCs w:val="21"/>
        </w:rPr>
      </w:pPr>
      <w:r>
        <w:rPr>
          <w:rFonts w:hint="eastAsia" w:ascii="黑体" w:hAnsi="宋体" w:eastAsia="黑体"/>
          <w:szCs w:val="21"/>
        </w:rPr>
        <w:t>30．向评审委员会提供的资料</w:t>
      </w:r>
    </w:p>
    <w:p>
      <w:pPr>
        <w:ind w:firstLine="420" w:firstLineChars="200"/>
        <w:rPr>
          <w:rFonts w:ascii="宋体" w:hAnsi="宋体"/>
          <w:szCs w:val="21"/>
        </w:rPr>
      </w:pPr>
      <w:r>
        <w:rPr>
          <w:rFonts w:hint="eastAsia" w:ascii="宋体" w:hAnsi="宋体"/>
          <w:szCs w:val="21"/>
        </w:rPr>
        <w:t>30.1公开发布的招标文件，包括图纸、服务清单、答疑文件等；</w:t>
      </w:r>
    </w:p>
    <w:p>
      <w:pPr>
        <w:ind w:firstLine="420" w:firstLineChars="200"/>
        <w:rPr>
          <w:rFonts w:ascii="宋体" w:hAnsi="宋体"/>
          <w:szCs w:val="21"/>
        </w:rPr>
      </w:pPr>
      <w:r>
        <w:rPr>
          <w:rFonts w:hint="eastAsia" w:ascii="宋体" w:hAnsi="宋体"/>
          <w:szCs w:val="21"/>
        </w:rPr>
        <w:t>30.2其他评标必须的资料。</w:t>
      </w:r>
    </w:p>
    <w:p>
      <w:pPr>
        <w:ind w:firstLine="420" w:firstLineChars="200"/>
        <w:rPr>
          <w:rFonts w:ascii="宋体" w:hAnsi="宋体"/>
          <w:szCs w:val="21"/>
        </w:rPr>
      </w:pPr>
      <w:r>
        <w:rPr>
          <w:rFonts w:hint="eastAsia" w:ascii="宋体" w:hAnsi="宋体"/>
          <w:szCs w:val="21"/>
        </w:rPr>
        <w:t>30.3评审委员会应当认真研究招标文件，至少应了解熟悉以下内容：</w:t>
      </w:r>
    </w:p>
    <w:p>
      <w:pPr>
        <w:ind w:firstLine="420" w:firstLineChars="200"/>
        <w:rPr>
          <w:rFonts w:ascii="宋体" w:hAnsi="宋体"/>
          <w:szCs w:val="21"/>
        </w:rPr>
      </w:pPr>
      <w:r>
        <w:rPr>
          <w:rFonts w:hint="eastAsia" w:ascii="宋体" w:hAnsi="宋体"/>
          <w:szCs w:val="21"/>
        </w:rPr>
        <w:t>（1）招标的目的；</w:t>
      </w:r>
    </w:p>
    <w:p>
      <w:pPr>
        <w:ind w:firstLine="420" w:firstLineChars="200"/>
        <w:rPr>
          <w:rFonts w:ascii="宋体" w:hAnsi="宋体"/>
          <w:szCs w:val="21"/>
        </w:rPr>
      </w:pPr>
      <w:r>
        <w:rPr>
          <w:rFonts w:hint="eastAsia" w:ascii="宋体" w:hAnsi="宋体"/>
          <w:szCs w:val="21"/>
        </w:rPr>
        <w:t>（2）招标项目需求的范围和性质；</w:t>
      </w:r>
    </w:p>
    <w:p>
      <w:pPr>
        <w:ind w:firstLine="420" w:firstLineChars="200"/>
        <w:rPr>
          <w:rFonts w:ascii="宋体" w:hAnsi="宋体"/>
          <w:szCs w:val="21"/>
        </w:rPr>
      </w:pPr>
      <w:r>
        <w:rPr>
          <w:rFonts w:hint="eastAsia" w:ascii="宋体" w:hAnsi="宋体"/>
          <w:szCs w:val="21"/>
        </w:rPr>
        <w:t>（3）招标文件规定的投标人的资格、财政预算限额、商务条款；</w:t>
      </w:r>
    </w:p>
    <w:p>
      <w:pPr>
        <w:ind w:firstLine="420" w:firstLineChars="200"/>
        <w:rPr>
          <w:rFonts w:ascii="宋体" w:hAnsi="宋体"/>
          <w:szCs w:val="21"/>
        </w:rPr>
      </w:pPr>
      <w:r>
        <w:rPr>
          <w:rFonts w:hint="eastAsia" w:ascii="宋体" w:hAnsi="宋体"/>
          <w:szCs w:val="21"/>
        </w:rPr>
        <w:t>（4）招标文件规定的评标程序、评标方法和评标因素；</w:t>
      </w:r>
    </w:p>
    <w:p>
      <w:pPr>
        <w:ind w:firstLine="420" w:firstLineChars="200"/>
        <w:rPr>
          <w:rFonts w:ascii="宋体" w:hAnsi="宋体"/>
          <w:szCs w:val="21"/>
        </w:rPr>
      </w:pPr>
      <w:r>
        <w:rPr>
          <w:rFonts w:hint="eastAsia" w:ascii="宋体" w:hAnsi="宋体"/>
          <w:szCs w:val="21"/>
        </w:rPr>
        <w:t>（5）招标文件所列示的资格性审查表及符合性审查表。</w:t>
      </w:r>
    </w:p>
    <w:p>
      <w:pPr>
        <w:ind w:firstLine="420" w:firstLineChars="200"/>
        <w:rPr>
          <w:rFonts w:ascii="黑体" w:hAnsi="宋体" w:eastAsia="黑体"/>
          <w:szCs w:val="21"/>
        </w:rPr>
      </w:pPr>
      <w:r>
        <w:rPr>
          <w:rFonts w:hint="eastAsia" w:ascii="黑体" w:hAnsi="宋体" w:eastAsia="黑体"/>
          <w:szCs w:val="21"/>
        </w:rPr>
        <w:t>31．独立评审</w:t>
      </w:r>
    </w:p>
    <w:p>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ascii="黑体" w:hAnsi="宋体" w:eastAsia="黑体"/>
          <w:szCs w:val="21"/>
        </w:rPr>
      </w:pPr>
      <w:r>
        <w:rPr>
          <w:rFonts w:hint="eastAsia" w:ascii="黑体" w:hAnsi="宋体" w:eastAsia="黑体"/>
          <w:szCs w:val="21"/>
        </w:rPr>
        <w:t>32．投标文件初审</w:t>
      </w:r>
    </w:p>
    <w:p>
      <w:pPr>
        <w:ind w:firstLine="420" w:firstLineChars="200"/>
        <w:rPr>
          <w:rFonts w:ascii="宋体" w:hAnsi="宋体"/>
          <w:szCs w:val="21"/>
        </w:rPr>
      </w:pPr>
      <w:r>
        <w:rPr>
          <w:rFonts w:hint="eastAsia" w:ascii="宋体" w:hAnsi="宋体"/>
          <w:szCs w:val="21"/>
        </w:rPr>
        <w:t>32.1投标文件初审包括资格性审查和符合性审查。</w:t>
      </w:r>
    </w:p>
    <w:p>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ascii="宋体" w:hAnsi="宋体"/>
          <w:bCs/>
          <w:szCs w:val="21"/>
        </w:rPr>
      </w:pPr>
      <w:r>
        <w:rPr>
          <w:rFonts w:hint="eastAsia" w:ascii="宋体" w:hAnsi="宋体"/>
          <w:bCs/>
          <w:szCs w:val="21"/>
        </w:rPr>
        <w:t>32.3 投标文件初审中关于供应商家数的计算:</w:t>
      </w:r>
    </w:p>
    <w:p>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pPr>
        <w:ind w:firstLine="420" w:firstLineChars="200"/>
        <w:rPr>
          <w:rFonts w:ascii="宋体" w:hAnsi="宋体"/>
          <w:szCs w:val="21"/>
        </w:rPr>
      </w:pPr>
      <w:r>
        <w:rPr>
          <w:rFonts w:hint="eastAsia" w:ascii="宋体" w:hAnsi="宋体"/>
          <w:szCs w:val="21"/>
        </w:rPr>
        <w:t>32.4投标人投标文件作无效处理的情形，具体包括但不限于以下：</w:t>
      </w:r>
    </w:p>
    <w:p>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pPr>
        <w:ind w:firstLine="420" w:firstLineChars="200"/>
        <w:rPr>
          <w:rFonts w:ascii="宋体" w:hAnsi="宋体"/>
          <w:szCs w:val="21"/>
        </w:rPr>
      </w:pPr>
      <w:r>
        <w:rPr>
          <w:rFonts w:hint="eastAsia" w:ascii="宋体" w:hAnsi="宋体"/>
          <w:szCs w:val="21"/>
        </w:rPr>
        <w:t>32.4.4不同投标人的投标文件异常一致或者投标报价呈规律性差异；</w:t>
      </w:r>
    </w:p>
    <w:p>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ascii="宋体" w:hAnsi="宋体"/>
          <w:szCs w:val="21"/>
        </w:rPr>
      </w:pPr>
      <w:r>
        <w:rPr>
          <w:rFonts w:hint="eastAsia" w:ascii="宋体" w:hAnsi="宋体"/>
          <w:szCs w:val="21"/>
        </w:rPr>
        <w:t>32.4.6投标供应商之间相互约定给予未中标的供应商利益补偿；</w:t>
      </w:r>
    </w:p>
    <w:p>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pPr>
        <w:ind w:firstLine="420" w:firstLineChars="200"/>
        <w:rPr>
          <w:rFonts w:ascii="宋体" w:hAnsi="宋体"/>
          <w:szCs w:val="21"/>
        </w:rPr>
      </w:pPr>
      <w:r>
        <w:rPr>
          <w:rFonts w:hint="eastAsia" w:ascii="宋体" w:hAnsi="宋体"/>
          <w:szCs w:val="21"/>
        </w:rPr>
        <w:t>32.4.8不同投标供应商的投标文件内容存在非正常一致；</w:t>
      </w:r>
    </w:p>
    <w:p>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pPr>
        <w:ind w:firstLine="420" w:firstLineChars="200"/>
        <w:rPr>
          <w:rFonts w:ascii="宋体" w:hAnsi="宋体"/>
          <w:szCs w:val="21"/>
        </w:rPr>
      </w:pPr>
      <w:r>
        <w:rPr>
          <w:rFonts w:hint="eastAsia" w:ascii="宋体" w:hAnsi="宋体"/>
          <w:szCs w:val="21"/>
        </w:rPr>
        <w:t>32.4.10主管部门依照法律、法规认定的其他情形。</w:t>
      </w:r>
    </w:p>
    <w:p>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pPr>
        <w:ind w:firstLine="420" w:firstLineChars="200"/>
        <w:rPr>
          <w:rFonts w:ascii="黑体" w:hAnsi="宋体" w:eastAsia="黑体"/>
          <w:szCs w:val="21"/>
        </w:rPr>
      </w:pPr>
      <w:r>
        <w:rPr>
          <w:rFonts w:hint="eastAsia" w:ascii="黑体" w:hAnsi="宋体" w:eastAsia="黑体"/>
          <w:szCs w:val="21"/>
        </w:rPr>
        <w:t>33．澄清有关问题</w:t>
      </w:r>
    </w:p>
    <w:p>
      <w:pPr>
        <w:ind w:firstLine="420" w:firstLineChars="200"/>
        <w:rPr>
          <w:rFonts w:ascii="宋体" w:hAnsi="宋体"/>
          <w:szCs w:val="21"/>
        </w:rPr>
      </w:pPr>
      <w:bookmarkStart w:id="98"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98"/>
    </w:p>
    <w:p>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pPr>
        <w:ind w:firstLine="420" w:firstLineChars="200"/>
        <w:rPr>
          <w:rFonts w:ascii="黑体" w:hAnsi="宋体" w:eastAsia="黑体"/>
          <w:szCs w:val="21"/>
        </w:rPr>
      </w:pPr>
      <w:bookmarkStart w:id="99" w:name="_Toc73518151"/>
      <w:bookmarkStart w:id="100" w:name="_Toc73521581"/>
      <w:bookmarkStart w:id="101" w:name="_Toc73521669"/>
      <w:bookmarkStart w:id="102" w:name="_Toc73517673"/>
      <w:bookmarkStart w:id="103" w:name="_Toc100052400"/>
      <w:r>
        <w:rPr>
          <w:rFonts w:hint="eastAsia" w:ascii="黑体" w:hAnsi="宋体" w:eastAsia="黑体"/>
          <w:szCs w:val="21"/>
        </w:rPr>
        <w:t>34．错误的修正</w:t>
      </w:r>
      <w:bookmarkEnd w:id="99"/>
      <w:bookmarkEnd w:id="100"/>
      <w:bookmarkEnd w:id="101"/>
      <w:bookmarkEnd w:id="102"/>
      <w:bookmarkEnd w:id="103"/>
    </w:p>
    <w:p>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ascii="宋体" w:hAnsi="宋体"/>
          <w:szCs w:val="21"/>
        </w:rPr>
      </w:pPr>
      <w:r>
        <w:rPr>
          <w:rFonts w:hint="eastAsia" w:ascii="宋体" w:hAnsi="宋体"/>
          <w:szCs w:val="21"/>
        </w:rPr>
        <w:t>34.2大写金额和小写金额不一致的，以大写金额为准；</w:t>
      </w:r>
    </w:p>
    <w:p>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ascii="宋体" w:hAnsi="宋体"/>
          <w:szCs w:val="21"/>
        </w:rPr>
      </w:pPr>
      <w:r>
        <w:rPr>
          <w:rFonts w:hint="eastAsia" w:ascii="宋体" w:hAnsi="宋体"/>
          <w:szCs w:val="21"/>
        </w:rPr>
        <w:t>34.4总价金额与按单价汇总金额不一致的，以单价金额计算结果为准。</w:t>
      </w:r>
    </w:p>
    <w:p>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ascii="黑体" w:hAnsi="宋体" w:eastAsia="黑体"/>
          <w:szCs w:val="21"/>
        </w:rPr>
      </w:pPr>
      <w:r>
        <w:rPr>
          <w:rFonts w:hint="eastAsia" w:ascii="黑体" w:hAnsi="宋体" w:eastAsia="黑体"/>
          <w:szCs w:val="21"/>
        </w:rPr>
        <w:t>35．投标文件的比较与评价</w:t>
      </w:r>
    </w:p>
    <w:p>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ind w:firstLine="420" w:firstLineChars="200"/>
        <w:rPr>
          <w:rFonts w:ascii="黑体" w:hAnsi="宋体" w:eastAsia="黑体"/>
          <w:szCs w:val="21"/>
        </w:rPr>
      </w:pPr>
      <w:r>
        <w:rPr>
          <w:rFonts w:hint="eastAsia" w:ascii="黑体" w:hAnsi="宋体" w:eastAsia="黑体"/>
          <w:szCs w:val="21"/>
        </w:rPr>
        <w:t>36. 实地考察或资料查验</w:t>
      </w:r>
    </w:p>
    <w:p>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ind w:firstLine="420" w:firstLineChars="200"/>
        <w:rPr>
          <w:rFonts w:ascii="黑体" w:hAnsi="宋体" w:eastAsia="黑体"/>
          <w:szCs w:val="21"/>
        </w:rPr>
      </w:pPr>
      <w:r>
        <w:rPr>
          <w:rFonts w:hint="eastAsia" w:ascii="黑体" w:hAnsi="宋体" w:eastAsia="黑体"/>
          <w:szCs w:val="21"/>
        </w:rPr>
        <w:t>37．评审方法</w:t>
      </w:r>
    </w:p>
    <w:p>
      <w:pPr>
        <w:ind w:firstLine="422" w:firstLineChars="200"/>
        <w:rPr>
          <w:rFonts w:ascii="宋体" w:hAnsi="宋体"/>
          <w:b/>
          <w:bCs/>
          <w:szCs w:val="21"/>
        </w:rPr>
      </w:pPr>
      <w:r>
        <w:rPr>
          <w:rFonts w:hint="eastAsia" w:ascii="宋体" w:hAnsi="宋体"/>
          <w:b/>
          <w:bCs/>
          <w:szCs w:val="21"/>
        </w:rPr>
        <w:t>37.1.1最低价法</w:t>
      </w:r>
    </w:p>
    <w:p>
      <w:pPr>
        <w:ind w:firstLine="420" w:firstLineChars="200"/>
        <w:rPr>
          <w:rFonts w:ascii="ˎ̥" w:hAnsi="ˎ̥"/>
          <w:szCs w:val="21"/>
        </w:rPr>
      </w:pPr>
      <w:bookmarkStart w:id="104"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pPr>
        <w:ind w:firstLine="422" w:firstLineChars="200"/>
        <w:rPr>
          <w:rFonts w:ascii="宋体" w:hAnsi="宋体"/>
          <w:b/>
          <w:bCs/>
          <w:szCs w:val="21"/>
        </w:rPr>
      </w:pPr>
      <w:r>
        <w:rPr>
          <w:rFonts w:hint="eastAsia" w:ascii="宋体" w:hAnsi="宋体"/>
          <w:b/>
          <w:bCs/>
          <w:szCs w:val="21"/>
        </w:rPr>
        <w:t>37.1.2综合评分法</w:t>
      </w:r>
    </w:p>
    <w:p>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104"/>
      <w:r>
        <w:rPr>
          <w:rFonts w:hint="eastAsia" w:ascii="宋体" w:hAnsi="宋体"/>
          <w:bCs/>
          <w:color w:val="FF0000"/>
          <w:szCs w:val="21"/>
        </w:rPr>
        <w:t xml:space="preserve">  </w:t>
      </w:r>
      <w:r>
        <w:rPr>
          <w:rFonts w:hint="eastAsia" w:ascii="宋体" w:hAnsi="宋体"/>
          <w:bCs/>
          <w:szCs w:val="21"/>
        </w:rPr>
        <w:t xml:space="preserve">                                                                                                                                                                                                                                                                                                                                                                                                                                                                                                                                                                                                                                                                                                                                                                                                                                                                                                                                                                                                                                                                                                                                                                                                                                                                                                                                                                                                                                                                                                                                                                                                                                                                                                                                                                                                                                                                                                                                                                                                                                                                                                                                                                                                                                                                                                                                                                                                                                                                                                                                                                                                                                                                                                                                                                                                                                                                                                                                                                                                                           </w:t>
      </w:r>
    </w:p>
    <w:p>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pPr>
        <w:ind w:firstLine="422" w:firstLineChars="200"/>
        <w:rPr>
          <w:rFonts w:ascii="宋体" w:hAnsi="宋体"/>
          <w:b/>
          <w:bCs/>
          <w:szCs w:val="21"/>
        </w:rPr>
      </w:pPr>
      <w:r>
        <w:rPr>
          <w:rFonts w:hint="eastAsia" w:ascii="宋体" w:hAnsi="宋体"/>
          <w:b/>
          <w:bCs/>
          <w:szCs w:val="21"/>
        </w:rPr>
        <w:t>37.3重新评审的情形</w:t>
      </w:r>
    </w:p>
    <w:p>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ascii="宋体" w:hAnsi="宋体" w:cs="宋体"/>
          <w:kern w:val="0"/>
          <w:szCs w:val="21"/>
        </w:rPr>
      </w:pPr>
      <w:r>
        <w:rPr>
          <w:rFonts w:hint="eastAsia" w:ascii="宋体" w:hAnsi="宋体" w:cs="宋体"/>
          <w:kern w:val="0"/>
          <w:szCs w:val="21"/>
        </w:rPr>
        <w:t>37.3.1分值汇总计算错误的；</w:t>
      </w:r>
    </w:p>
    <w:p>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22" w:firstLineChars="200"/>
        <w:rPr>
          <w:rFonts w:ascii="宋体" w:hAnsi="宋体"/>
          <w:b/>
          <w:bCs/>
          <w:szCs w:val="21"/>
        </w:rPr>
      </w:pPr>
      <w:r>
        <w:rPr>
          <w:rFonts w:hint="eastAsia" w:ascii="宋体" w:hAnsi="宋体"/>
          <w:b/>
          <w:bCs/>
          <w:szCs w:val="21"/>
        </w:rPr>
        <w:t xml:space="preserve"> 37.4重新组建评审委员会的情形</w:t>
      </w:r>
    </w:p>
    <w:p>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ascii="黑体" w:hAnsi="宋体" w:eastAsia="黑体"/>
          <w:szCs w:val="21"/>
        </w:rPr>
      </w:pPr>
      <w:r>
        <w:rPr>
          <w:rFonts w:hint="eastAsia" w:ascii="黑体" w:hAnsi="宋体" w:eastAsia="黑体"/>
          <w:szCs w:val="21"/>
        </w:rPr>
        <w:t>38．定标方法</w:t>
      </w:r>
    </w:p>
    <w:p>
      <w:pPr>
        <w:ind w:firstLine="420" w:firstLineChars="200"/>
        <w:rPr>
          <w:rFonts w:ascii="宋体" w:hAnsi="宋体"/>
          <w:szCs w:val="21"/>
        </w:rPr>
      </w:pPr>
      <w:bookmarkStart w:id="105" w:name="_Hlk73782795"/>
      <w:r>
        <w:rPr>
          <w:rFonts w:hint="eastAsia" w:ascii="宋体" w:hAnsi="宋体"/>
          <w:szCs w:val="21"/>
        </w:rPr>
        <w:t>38.1非评定分离项目定标方法</w:t>
      </w:r>
    </w:p>
    <w:p>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106" w:name="_Hlk73821177"/>
      <w:r>
        <w:rPr>
          <w:rFonts w:hint="eastAsia" w:ascii="ˎ̥" w:hAnsi="ˎ̥"/>
          <w:szCs w:val="21"/>
        </w:rPr>
        <w:t>唯一候选中标供应商</w:t>
      </w:r>
      <w:bookmarkEnd w:id="106"/>
      <w:r>
        <w:rPr>
          <w:rFonts w:ascii="ˎ̥" w:hAnsi="ˎ̥"/>
          <w:szCs w:val="21"/>
        </w:rPr>
        <w:t>。</w:t>
      </w:r>
    </w:p>
    <w:p>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ind w:firstLine="420" w:firstLineChars="200"/>
        <w:rPr>
          <w:rFonts w:ascii="宋体" w:hAnsi="宋体"/>
          <w:szCs w:val="21"/>
        </w:rPr>
      </w:pPr>
      <w:r>
        <w:rPr>
          <w:rFonts w:hint="eastAsia" w:ascii="宋体" w:hAnsi="宋体"/>
          <w:szCs w:val="21"/>
        </w:rPr>
        <w:t>38.2评定分离项目定标方法</w:t>
      </w:r>
    </w:p>
    <w:p>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20" w:firstLineChars="200"/>
        <w:rPr>
          <w:szCs w:val="21"/>
        </w:rPr>
      </w:pPr>
      <w:r>
        <w:rPr>
          <w:rFonts w:ascii="宋体" w:hAnsi="宋体"/>
          <w:szCs w:val="21"/>
        </w:rPr>
        <w:t xml:space="preserve">38.2.2 </w:t>
      </w:r>
      <w:bookmarkStart w:id="107"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pPr>
        <w:ind w:firstLine="420" w:firstLineChars="200"/>
        <w:rPr>
          <w:rFonts w:ascii="宋体" w:hAnsi="宋体"/>
          <w:szCs w:val="21"/>
        </w:rPr>
      </w:pPr>
      <w:r>
        <w:rPr>
          <w:rFonts w:hint="eastAsia" w:ascii="宋体" w:hAnsi="宋体"/>
          <w:szCs w:val="21"/>
        </w:rPr>
        <w:t>38.2.3</w:t>
      </w:r>
      <w:bookmarkStart w:id="108"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107"/>
      <w:bookmarkEnd w:id="108"/>
    </w:p>
    <w:p>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pPr>
        <w:ind w:firstLine="420" w:firstLineChars="200"/>
        <w:rPr>
          <w:rFonts w:ascii="宋体" w:hAnsi="宋体"/>
          <w:szCs w:val="21"/>
        </w:rPr>
      </w:pPr>
      <w:r>
        <w:rPr>
          <w:rFonts w:hint="eastAsia" w:ascii="宋体" w:hAnsi="宋体"/>
          <w:szCs w:val="21"/>
        </w:rPr>
        <w:t>说明：采购人及投标供应商应按照上述方法提前做好相关准备。</w:t>
      </w:r>
    </w:p>
    <w:p>
      <w:pPr>
        <w:ind w:firstLine="420" w:firstLineChars="200"/>
        <w:rPr>
          <w:rFonts w:ascii="宋体" w:hAnsi="宋体"/>
          <w:szCs w:val="21"/>
        </w:rPr>
      </w:pPr>
      <w:r>
        <w:rPr>
          <w:rFonts w:hint="eastAsia" w:ascii="宋体" w:hAnsi="宋体"/>
          <w:szCs w:val="21"/>
        </w:rPr>
        <w:t>38.3专用条款另有规定的，按专用条款相关要求定标。</w:t>
      </w:r>
      <w:bookmarkEnd w:id="105"/>
    </w:p>
    <w:p>
      <w:pPr>
        <w:ind w:firstLine="420" w:firstLineChars="200"/>
        <w:rPr>
          <w:rFonts w:ascii="黑体" w:hAnsi="宋体" w:eastAsia="黑体"/>
          <w:szCs w:val="21"/>
        </w:rPr>
      </w:pPr>
      <w:r>
        <w:rPr>
          <w:rFonts w:hint="eastAsia" w:ascii="黑体" w:hAnsi="宋体" w:eastAsia="黑体"/>
          <w:szCs w:val="21"/>
        </w:rPr>
        <w:t>39．编写评审报告</w:t>
      </w:r>
    </w:p>
    <w:p>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ind w:firstLine="420" w:firstLineChars="200"/>
        <w:rPr>
          <w:rFonts w:ascii="黑体" w:hAnsi="宋体" w:eastAsia="黑体"/>
          <w:szCs w:val="21"/>
        </w:rPr>
      </w:pPr>
      <w:r>
        <w:rPr>
          <w:rFonts w:hint="eastAsia" w:ascii="黑体" w:hAnsi="宋体" w:eastAsia="黑体"/>
          <w:szCs w:val="21"/>
        </w:rPr>
        <w:t>40．中标（成交）公告</w:t>
      </w:r>
    </w:p>
    <w:p>
      <w:pPr>
        <w:ind w:firstLine="420" w:firstLineChars="200"/>
        <w:rPr>
          <w:rFonts w:ascii="宋体" w:hAnsi="宋体"/>
          <w:szCs w:val="21"/>
        </w:rPr>
      </w:pPr>
      <w:r>
        <w:rPr>
          <w:rFonts w:hint="eastAsia" w:ascii="宋体" w:hAnsi="宋体"/>
          <w:szCs w:val="21"/>
        </w:rPr>
        <w:t>40.1</w:t>
      </w:r>
      <w:bookmarkStart w:id="109"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09"/>
      <w:bookmarkStart w:id="110"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110"/>
    <w:p>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ascii="黑体" w:hAnsi="宋体" w:eastAsia="黑体"/>
          <w:szCs w:val="21"/>
        </w:rPr>
      </w:pPr>
      <w:r>
        <w:rPr>
          <w:rFonts w:hint="eastAsia" w:ascii="黑体" w:hAnsi="宋体" w:eastAsia="黑体"/>
          <w:szCs w:val="21"/>
        </w:rPr>
        <w:t>41．中标通知书</w:t>
      </w:r>
    </w:p>
    <w:p>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11"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11"/>
    </w:p>
    <w:p>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ascii="宋体" w:hAnsi="宋体"/>
          <w:szCs w:val="21"/>
        </w:rPr>
      </w:pPr>
      <w:bookmarkStart w:id="112" w:name="_Hlk71407340"/>
      <w:r>
        <w:rPr>
          <w:rFonts w:hint="eastAsia" w:ascii="宋体" w:hAnsi="宋体"/>
          <w:szCs w:val="21"/>
        </w:rPr>
        <w:t>41.3因质疑投诉或其他原因导致项目结果变更或采购终止的，政府集中采购机构有权吊销中标通知书。</w:t>
      </w:r>
    </w:p>
    <w:bookmarkEnd w:id="112"/>
    <w:p>
      <w:pPr>
        <w:ind w:firstLine="411" w:firstLineChars="196"/>
        <w:rPr>
          <w:rFonts w:ascii="宋体" w:hAnsi="宋体"/>
          <w:szCs w:val="21"/>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pPr>
        <w:ind w:firstLine="420" w:firstLineChars="200"/>
        <w:rPr>
          <w:rFonts w:ascii="黑体" w:hAnsi="宋体" w:eastAsia="黑体"/>
          <w:szCs w:val="21"/>
        </w:rPr>
      </w:pPr>
      <w:r>
        <w:rPr>
          <w:rFonts w:hint="eastAsia" w:ascii="黑体" w:hAnsi="宋体" w:eastAsia="黑体"/>
          <w:szCs w:val="21"/>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pPr>
        <w:ind w:firstLine="420" w:firstLineChars="200"/>
        <w:rPr>
          <w:rFonts w:ascii="宋体" w:hAnsi="宋体"/>
          <w:szCs w:val="21"/>
        </w:rPr>
      </w:pPr>
    </w:p>
    <w:p>
      <w:pPr>
        <w:rPr>
          <w:rFonts w:ascii="黑体" w:hAnsi="宋体" w:eastAsia="黑体"/>
          <w:sz w:val="24"/>
        </w:rPr>
      </w:pPr>
    </w:p>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13" w:name="_Hlk72439043"/>
      <w:r>
        <w:rPr>
          <w:rFonts w:hint="eastAsia" w:asciiTheme="majorHAnsi" w:hAnsiTheme="majorHAnsi" w:eastAsiaTheme="majorEastAsia" w:cstheme="majorBidi"/>
          <w:b/>
          <w:bCs/>
          <w:sz w:val="28"/>
          <w:szCs w:val="28"/>
        </w:rPr>
        <w:t>合同的授予与备案</w:t>
      </w:r>
      <w:bookmarkEnd w:id="113"/>
    </w:p>
    <w:p>
      <w:pPr>
        <w:ind w:firstLine="420" w:firstLineChars="200"/>
        <w:rPr>
          <w:rFonts w:ascii="黑体" w:hAnsi="宋体" w:eastAsia="黑体"/>
          <w:szCs w:val="21"/>
        </w:rPr>
      </w:pPr>
      <w:bookmarkStart w:id="114" w:name="_Toc73517679"/>
      <w:bookmarkStart w:id="115" w:name="_Toc73518157"/>
      <w:bookmarkStart w:id="116" w:name="_Toc100052408"/>
      <w:bookmarkStart w:id="117" w:name="_Toc73521586"/>
      <w:bookmarkStart w:id="118" w:name="_Toc73521674"/>
      <w:bookmarkStart w:id="119" w:name="_Hlk72439088"/>
      <w:r>
        <w:rPr>
          <w:rFonts w:hint="eastAsia" w:ascii="黑体" w:hAnsi="宋体" w:eastAsia="黑体"/>
          <w:szCs w:val="21"/>
        </w:rPr>
        <w:t>43．合同授予标准</w:t>
      </w:r>
      <w:bookmarkEnd w:id="114"/>
      <w:bookmarkEnd w:id="115"/>
      <w:bookmarkEnd w:id="116"/>
      <w:bookmarkEnd w:id="117"/>
      <w:bookmarkEnd w:id="118"/>
    </w:p>
    <w:p>
      <w:pPr>
        <w:ind w:firstLine="420" w:firstLineChars="200"/>
        <w:rPr>
          <w:rFonts w:ascii="宋体" w:hAnsi="宋体"/>
          <w:szCs w:val="21"/>
        </w:rPr>
      </w:pPr>
      <w:r>
        <w:rPr>
          <w:rFonts w:hint="eastAsia" w:ascii="宋体" w:hAnsi="宋体"/>
          <w:szCs w:val="21"/>
        </w:rPr>
        <w:t>本项目的合同将授予经本招标文件规定评审确定的中标供应商。</w:t>
      </w:r>
    </w:p>
    <w:p>
      <w:pPr>
        <w:ind w:firstLine="420" w:firstLineChars="200"/>
        <w:rPr>
          <w:rFonts w:ascii="黑体" w:hAnsi="宋体" w:eastAsia="黑体"/>
          <w:szCs w:val="21"/>
        </w:rPr>
      </w:pPr>
      <w:bookmarkStart w:id="120" w:name="_Toc73521675"/>
      <w:bookmarkStart w:id="121" w:name="_Toc73517680"/>
      <w:bookmarkStart w:id="122" w:name="_Toc73518158"/>
      <w:bookmarkStart w:id="123" w:name="_Toc73521587"/>
      <w:bookmarkStart w:id="124" w:name="_Toc100052409"/>
      <w:r>
        <w:rPr>
          <w:rFonts w:hint="eastAsia" w:ascii="黑体" w:hAnsi="宋体" w:eastAsia="黑体"/>
          <w:szCs w:val="21"/>
        </w:rPr>
        <w:t>44．</w:t>
      </w:r>
      <w:bookmarkEnd w:id="120"/>
      <w:bookmarkEnd w:id="121"/>
      <w:bookmarkEnd w:id="122"/>
      <w:bookmarkEnd w:id="123"/>
      <w:bookmarkEnd w:id="124"/>
      <w:r>
        <w:rPr>
          <w:rFonts w:hint="eastAsia" w:ascii="黑体" w:hAnsi="宋体" w:eastAsia="黑体"/>
          <w:szCs w:val="21"/>
        </w:rPr>
        <w:t>接受和拒绝任何或所有投标的权力</w:t>
      </w:r>
    </w:p>
    <w:p>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ind w:firstLine="420" w:firstLineChars="200"/>
        <w:rPr>
          <w:rFonts w:ascii="黑体" w:hAnsi="宋体" w:eastAsia="黑体"/>
          <w:szCs w:val="21"/>
        </w:rPr>
      </w:pPr>
      <w:bookmarkStart w:id="125" w:name="_Toc73518160"/>
      <w:bookmarkStart w:id="126" w:name="_Toc73521677"/>
      <w:bookmarkStart w:id="127" w:name="_Toc73521589"/>
      <w:bookmarkStart w:id="128" w:name="_Toc73517682"/>
      <w:bookmarkStart w:id="129" w:name="_Toc100052410"/>
      <w:r>
        <w:rPr>
          <w:rFonts w:hint="eastAsia" w:ascii="黑体" w:hAnsi="宋体" w:eastAsia="黑体"/>
          <w:szCs w:val="21"/>
        </w:rPr>
        <w:t>45．合同的签订</w:t>
      </w:r>
      <w:bookmarkEnd w:id="125"/>
      <w:bookmarkEnd w:id="126"/>
      <w:bookmarkEnd w:id="127"/>
      <w:bookmarkEnd w:id="128"/>
      <w:bookmarkEnd w:id="129"/>
    </w:p>
    <w:p>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pPr>
        <w:ind w:firstLine="420" w:firstLineChars="200"/>
        <w:rPr>
          <w:rFonts w:ascii="黑体" w:hAnsi="宋体" w:eastAsia="黑体"/>
          <w:szCs w:val="21"/>
        </w:rPr>
      </w:pPr>
      <w:bookmarkStart w:id="130" w:name="_Toc73517683"/>
      <w:bookmarkStart w:id="131" w:name="_Toc73518161"/>
      <w:bookmarkStart w:id="132" w:name="_Toc100052411"/>
      <w:bookmarkStart w:id="133" w:name="_Toc73521678"/>
      <w:bookmarkStart w:id="134" w:name="_Toc73521590"/>
      <w:r>
        <w:rPr>
          <w:rFonts w:hint="eastAsia" w:ascii="黑体" w:hAnsi="宋体" w:eastAsia="黑体"/>
          <w:szCs w:val="21"/>
        </w:rPr>
        <w:t>46．履约担保</w:t>
      </w:r>
      <w:bookmarkEnd w:id="130"/>
      <w:bookmarkEnd w:id="131"/>
      <w:bookmarkEnd w:id="132"/>
      <w:bookmarkEnd w:id="133"/>
      <w:bookmarkEnd w:id="134"/>
    </w:p>
    <w:p>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ascii="黑体" w:hAnsi="宋体" w:eastAsia="黑体"/>
          <w:szCs w:val="21"/>
        </w:rPr>
      </w:pPr>
      <w:r>
        <w:rPr>
          <w:rFonts w:hint="eastAsia" w:ascii="黑体" w:hAnsi="宋体" w:eastAsia="黑体"/>
          <w:szCs w:val="21"/>
        </w:rPr>
        <w:t>47. 合同备案</w:t>
      </w:r>
    </w:p>
    <w:p>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ascii="黑体" w:hAnsi="宋体" w:eastAsia="黑体"/>
          <w:szCs w:val="21"/>
        </w:rPr>
      </w:pPr>
      <w:r>
        <w:rPr>
          <w:rFonts w:hint="eastAsia" w:ascii="黑体" w:hAnsi="宋体" w:eastAsia="黑体"/>
          <w:szCs w:val="21"/>
        </w:rPr>
        <w:t>48. 合同变更</w:t>
      </w:r>
    </w:p>
    <w:p>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ascii="黑体" w:hAnsi="宋体" w:eastAsia="黑体"/>
          <w:szCs w:val="21"/>
        </w:rPr>
      </w:pPr>
      <w:r>
        <w:rPr>
          <w:rFonts w:hint="eastAsia" w:ascii="黑体" w:hAnsi="宋体" w:eastAsia="黑体"/>
          <w:szCs w:val="21"/>
        </w:rPr>
        <w:t>49. 项目验收</w:t>
      </w:r>
    </w:p>
    <w:p>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pPr>
        <w:ind w:firstLine="420" w:firstLineChars="200"/>
        <w:rPr>
          <w:rFonts w:ascii="黑体" w:hAnsi="宋体" w:eastAsia="黑体"/>
          <w:szCs w:val="21"/>
        </w:rPr>
      </w:pPr>
      <w:r>
        <w:rPr>
          <w:rFonts w:hint="eastAsia" w:ascii="黑体" w:hAnsi="宋体" w:eastAsia="黑体"/>
          <w:szCs w:val="21"/>
        </w:rPr>
        <w:t>50. 宣传</w:t>
      </w:r>
    </w:p>
    <w:p>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ascii="宋体" w:hAnsi="宋体"/>
          <w:szCs w:val="21"/>
        </w:rPr>
      </w:pPr>
      <w:r>
        <w:rPr>
          <w:rFonts w:hint="eastAsia" w:ascii="宋体" w:hAnsi="宋体"/>
          <w:szCs w:val="21"/>
        </w:rPr>
        <w:t>a.名片、宣传册、广告标语等；</w:t>
      </w:r>
    </w:p>
    <w:p>
      <w:pPr>
        <w:ind w:firstLine="420" w:firstLineChars="200"/>
        <w:rPr>
          <w:rFonts w:ascii="宋体" w:hAnsi="宋体"/>
          <w:szCs w:val="21"/>
        </w:rPr>
      </w:pPr>
      <w:r>
        <w:rPr>
          <w:rFonts w:hint="eastAsia" w:ascii="宋体" w:hAnsi="宋体"/>
          <w:szCs w:val="21"/>
        </w:rPr>
        <w:t>b.案例介绍、推广等；</w:t>
      </w:r>
    </w:p>
    <w:p>
      <w:pPr>
        <w:ind w:firstLine="420" w:firstLineChars="200"/>
        <w:rPr>
          <w:rFonts w:ascii="宋体" w:hAnsi="宋体"/>
          <w:szCs w:val="21"/>
        </w:rPr>
      </w:pPr>
      <w:r>
        <w:rPr>
          <w:rFonts w:hint="eastAsia" w:ascii="宋体" w:hAnsi="宋体"/>
          <w:szCs w:val="21"/>
        </w:rPr>
        <w:t>c.工作人员向其他消费群体宣传。</w:t>
      </w:r>
    </w:p>
    <w:p>
      <w:pPr>
        <w:ind w:firstLine="420" w:firstLineChars="200"/>
        <w:rPr>
          <w:rFonts w:ascii="黑体" w:hAnsi="宋体" w:eastAsia="黑体"/>
          <w:szCs w:val="21"/>
        </w:rPr>
      </w:pPr>
      <w:r>
        <w:rPr>
          <w:rFonts w:hint="eastAsia" w:ascii="黑体" w:hAnsi="宋体" w:eastAsia="黑体"/>
          <w:szCs w:val="21"/>
        </w:rPr>
        <w:t>51. 供应商违法责任</w:t>
      </w:r>
    </w:p>
    <w:p>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ascii="宋体" w:hAnsi="宋体"/>
          <w:szCs w:val="21"/>
        </w:rPr>
      </w:pPr>
      <w:r>
        <w:rPr>
          <w:rFonts w:hint="eastAsia" w:ascii="宋体" w:hAnsi="宋体"/>
          <w:szCs w:val="21"/>
        </w:rPr>
        <w:t>（1）在采购活动中应当回避而未回避的；</w:t>
      </w:r>
    </w:p>
    <w:p>
      <w:pPr>
        <w:ind w:firstLine="420" w:firstLineChars="200"/>
        <w:rPr>
          <w:rFonts w:ascii="宋体" w:hAnsi="宋体"/>
          <w:szCs w:val="21"/>
        </w:rPr>
      </w:pPr>
      <w:r>
        <w:rPr>
          <w:rFonts w:hint="eastAsia" w:ascii="宋体" w:hAnsi="宋体"/>
          <w:szCs w:val="21"/>
        </w:rPr>
        <w:t>（2）未按本条例规定签订、履行采购合同，造成严重后果的；</w:t>
      </w:r>
    </w:p>
    <w:p>
      <w:pPr>
        <w:ind w:firstLine="420" w:firstLineChars="200"/>
        <w:rPr>
          <w:rFonts w:ascii="宋体" w:hAnsi="宋体"/>
          <w:szCs w:val="21"/>
        </w:rPr>
      </w:pPr>
      <w:r>
        <w:rPr>
          <w:rFonts w:hint="eastAsia" w:ascii="宋体" w:hAnsi="宋体"/>
          <w:szCs w:val="21"/>
        </w:rPr>
        <w:t>（3）隐瞒真实情况，提供虚假资料的；</w:t>
      </w:r>
    </w:p>
    <w:p>
      <w:pPr>
        <w:ind w:firstLine="420" w:firstLineChars="200"/>
        <w:rPr>
          <w:rFonts w:ascii="宋体" w:hAnsi="宋体"/>
          <w:szCs w:val="21"/>
        </w:rPr>
      </w:pPr>
      <w:r>
        <w:rPr>
          <w:rFonts w:hint="eastAsia" w:ascii="宋体" w:hAnsi="宋体"/>
          <w:szCs w:val="21"/>
        </w:rPr>
        <w:t>（4）以非法手段排斥其他供应商参与竞争的；</w:t>
      </w:r>
    </w:p>
    <w:p>
      <w:pPr>
        <w:ind w:firstLine="420" w:firstLineChars="200"/>
        <w:rPr>
          <w:rFonts w:ascii="宋体" w:hAnsi="宋体"/>
          <w:szCs w:val="21"/>
        </w:rPr>
      </w:pPr>
      <w:r>
        <w:rPr>
          <w:rFonts w:hint="eastAsia" w:ascii="宋体" w:hAnsi="宋体"/>
          <w:szCs w:val="21"/>
        </w:rPr>
        <w:t>（5）与其他采购参加人串通投标的；</w:t>
      </w:r>
    </w:p>
    <w:p>
      <w:pPr>
        <w:ind w:firstLine="420" w:firstLineChars="200"/>
        <w:rPr>
          <w:rFonts w:ascii="宋体" w:hAnsi="宋体"/>
          <w:szCs w:val="21"/>
        </w:rPr>
      </w:pPr>
      <w:r>
        <w:rPr>
          <w:rFonts w:hint="eastAsia" w:ascii="宋体" w:hAnsi="宋体"/>
          <w:szCs w:val="21"/>
        </w:rPr>
        <w:t>（6）恶意投诉的；</w:t>
      </w:r>
    </w:p>
    <w:p>
      <w:pPr>
        <w:ind w:firstLine="420" w:firstLineChars="200"/>
        <w:rPr>
          <w:rFonts w:ascii="宋体" w:hAnsi="宋体"/>
          <w:szCs w:val="21"/>
        </w:rPr>
      </w:pPr>
      <w:r>
        <w:rPr>
          <w:rFonts w:hint="eastAsia" w:ascii="宋体" w:hAnsi="宋体"/>
          <w:szCs w:val="21"/>
        </w:rPr>
        <w:t>（7）向采购项目相关人行贿或者提供其他不当利益的；</w:t>
      </w:r>
    </w:p>
    <w:p>
      <w:pPr>
        <w:ind w:firstLine="420" w:firstLineChars="200"/>
        <w:rPr>
          <w:rFonts w:ascii="宋体" w:hAnsi="宋体"/>
          <w:szCs w:val="21"/>
        </w:rPr>
      </w:pPr>
      <w:r>
        <w:rPr>
          <w:rFonts w:hint="eastAsia" w:ascii="宋体" w:hAnsi="宋体"/>
          <w:szCs w:val="21"/>
        </w:rPr>
        <w:t>（8）阻碍、抗拒主管部门监督检查的；</w:t>
      </w:r>
    </w:p>
    <w:p>
      <w:pPr>
        <w:ind w:firstLine="420" w:firstLineChars="200"/>
        <w:rPr>
          <w:rFonts w:ascii="宋体" w:hAnsi="宋体"/>
          <w:szCs w:val="21"/>
        </w:rPr>
      </w:pPr>
      <w:r>
        <w:rPr>
          <w:rFonts w:hint="eastAsia" w:ascii="宋体" w:hAnsi="宋体"/>
          <w:szCs w:val="21"/>
        </w:rPr>
        <w:t>（9）其他违反本条例规定的行为。</w:t>
      </w:r>
    </w:p>
    <w:p>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35" w:name="_Hlk72440769"/>
      <w:r>
        <w:rPr>
          <w:rFonts w:hint="eastAsia" w:ascii="宋体" w:hAnsi="宋体"/>
          <w:szCs w:val="21"/>
        </w:rPr>
        <w:t>政府集中采购机构或采购人不予退还其交纳的谈判保证金，情节严重的，并由主管部门</w:t>
      </w:r>
      <w:bookmarkEnd w:id="135"/>
      <w:r>
        <w:rPr>
          <w:rFonts w:hint="eastAsia" w:ascii="宋体" w:hAnsi="宋体"/>
          <w:szCs w:val="21"/>
        </w:rPr>
        <w:t>记入供应商诚信档案，予以通报：</w:t>
      </w:r>
    </w:p>
    <w:p>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2"/>
      </w:pPr>
    </w:p>
    <w:bookmarkEnd w:id="119"/>
    <w:p>
      <w:pPr>
        <w:pStyle w:val="31"/>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ascii="黑体" w:hAnsi="宋体" w:eastAsia="黑体"/>
          <w:szCs w:val="21"/>
        </w:rPr>
      </w:pPr>
      <w:r>
        <w:rPr>
          <w:rFonts w:hint="eastAsia" w:ascii="黑体" w:hAnsi="宋体" w:eastAsia="黑体"/>
          <w:szCs w:val="21"/>
        </w:rPr>
        <w:t>52.质疑提出与答复</w:t>
      </w:r>
    </w:p>
    <w:p>
      <w:pPr>
        <w:ind w:firstLine="420" w:firstLineChars="200"/>
        <w:rPr>
          <w:rFonts w:ascii="宋体" w:hAnsi="宋体"/>
          <w:szCs w:val="21"/>
        </w:rPr>
      </w:pPr>
      <w:r>
        <w:rPr>
          <w:rFonts w:hint="eastAsia" w:ascii="宋体" w:hAnsi="宋体"/>
          <w:szCs w:val="21"/>
        </w:rPr>
        <w:t>52.1提出质疑</w:t>
      </w:r>
    </w:p>
    <w:p>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52.2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52.3质疑条件</w:t>
      </w:r>
    </w:p>
    <w:p>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36" w:name="_Hlk75374941"/>
      <w:r>
        <w:rPr>
          <w:rFonts w:hint="eastAsia" w:ascii="宋体" w:hAnsi="宋体"/>
          <w:szCs w:val="21"/>
        </w:rPr>
        <w:t>以联合体形式参与的，质疑应当由组成联合体的所有成员共同提出</w:t>
      </w:r>
      <w:bookmarkEnd w:id="136"/>
      <w:r>
        <w:rPr>
          <w:rFonts w:hint="eastAsia" w:ascii="宋体" w:hAnsi="宋体"/>
          <w:szCs w:val="21"/>
        </w:rPr>
        <w:t>；</w:t>
      </w:r>
    </w:p>
    <w:p>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52.4提交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52.5收文地点</w:t>
      </w:r>
    </w:p>
    <w:p>
      <w:pPr>
        <w:ind w:firstLine="422" w:firstLineChars="200"/>
        <w:rPr>
          <w:rFonts w:ascii="宋体" w:hAnsi="宋体"/>
          <w:b/>
          <w:bCs/>
          <w:szCs w:val="21"/>
        </w:rPr>
      </w:pPr>
      <w:r>
        <w:rPr>
          <w:rFonts w:hint="eastAsia" w:ascii="宋体" w:hAnsi="宋体"/>
          <w:b/>
          <w:bCs/>
          <w:szCs w:val="21"/>
        </w:rPr>
        <w:t>地址：深圳公共资源交易中心（深圳交易集团有限公司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szCs w:val="21"/>
          <w:lang w:val="en-US" w:eastAsia="zh-CN"/>
        </w:rPr>
        <w:t>一</w:t>
      </w:r>
      <w:r>
        <w:rPr>
          <w:rFonts w:hint="eastAsia" w:ascii="宋体" w:hAnsi="宋体"/>
          <w:b/>
          <w:bCs/>
          <w:szCs w:val="21"/>
        </w:rPr>
        <w:t>楼</w:t>
      </w:r>
      <w:r>
        <w:rPr>
          <w:rFonts w:hint="eastAsia" w:ascii="宋体" w:hAnsi="宋体"/>
          <w:b/>
          <w:bCs/>
          <w:szCs w:val="21"/>
          <w:lang w:val="en-US" w:eastAsia="zh-CN"/>
        </w:rPr>
        <w:t>服务大厅</w:t>
      </w:r>
      <w:r>
        <w:rPr>
          <w:rFonts w:hint="eastAsia" w:ascii="宋体" w:hAnsi="宋体"/>
          <w:b/>
          <w:bCs/>
          <w:szCs w:val="21"/>
        </w:rPr>
        <w:t>，质疑咨询电话：0755-</w:t>
      </w:r>
      <w:r>
        <w:rPr>
          <w:rFonts w:hint="eastAsia" w:ascii="宋体" w:hAnsi="宋体"/>
          <w:b/>
          <w:bCs/>
          <w:szCs w:val="21"/>
          <w:lang w:val="en-US" w:eastAsia="zh-CN"/>
        </w:rPr>
        <w:t>27758331</w:t>
      </w:r>
      <w:r>
        <w:rPr>
          <w:rFonts w:hint="eastAsia" w:ascii="宋体" w:hAnsi="宋体"/>
          <w:b/>
          <w:bCs/>
          <w:szCs w:val="21"/>
        </w:rPr>
        <w:t>。</w:t>
      </w:r>
    </w:p>
    <w:p>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ascii="宋体" w:hAnsi="宋体"/>
          <w:szCs w:val="21"/>
        </w:rPr>
      </w:pPr>
      <w:r>
        <w:rPr>
          <w:rFonts w:hint="eastAsia" w:ascii="宋体" w:hAnsi="宋体"/>
          <w:szCs w:val="21"/>
        </w:rPr>
        <w:t>52.7质疑答复时限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52.8争议（投诉）</w:t>
      </w:r>
    </w:p>
    <w:p>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ascii="黑体" w:hAnsi="宋体" w:eastAsia="黑体"/>
          <w:szCs w:val="21"/>
        </w:rPr>
      </w:pPr>
      <w:r>
        <w:rPr>
          <w:rFonts w:hint="eastAsia" w:ascii="黑体" w:hAnsi="宋体" w:eastAsia="黑体"/>
          <w:szCs w:val="21"/>
        </w:rPr>
        <w:t>53. 质疑后续处理</w:t>
      </w:r>
    </w:p>
    <w:p>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82"/>
    </w:p>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DCDCCE5-2064-4B7D-929B-6AC1B99FA66F}"/>
  </w:font>
  <w:font w:name="Arial">
    <w:panose1 w:val="020B0604020202020204"/>
    <w:charset w:val="01"/>
    <w:family w:val="swiss"/>
    <w:pitch w:val="default"/>
    <w:sig w:usb0="E0002EFF" w:usb1="C000785B" w:usb2="00000009" w:usb3="00000000" w:csb0="400001FF" w:csb1="FFFF0000"/>
    <w:embedRegular r:id="rId2" w:fontKey="{70C1066B-69CA-4E87-81B7-315D267EFE1C}"/>
  </w:font>
  <w:font w:name="黑体">
    <w:panose1 w:val="02010609060101010101"/>
    <w:charset w:val="86"/>
    <w:family w:val="auto"/>
    <w:pitch w:val="default"/>
    <w:sig w:usb0="800002BF" w:usb1="38CF7CFA" w:usb2="00000016" w:usb3="00000000" w:csb0="00040001" w:csb1="00000000"/>
    <w:embedRegular r:id="rId3" w:fontKey="{5AB5AFD8-09E3-4438-86B4-C39C85A9E2C4}"/>
  </w:font>
  <w:font w:name="Courier New">
    <w:panose1 w:val="02070309020205020404"/>
    <w:charset w:val="01"/>
    <w:family w:val="modern"/>
    <w:pitch w:val="default"/>
    <w:sig w:usb0="E0002EFF" w:usb1="C0007843" w:usb2="00000009" w:usb3="00000000" w:csb0="400001FF" w:csb1="FFFF0000"/>
    <w:embedRegular r:id="rId4" w:fontKey="{7C465D68-7C0C-4E44-B710-758EC9EFD30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143CB348-F69F-4FE3-BE81-A12A143675AE}"/>
  </w:font>
  <w:font w:name="Cambria">
    <w:panose1 w:val="02040503050406030204"/>
    <w:charset w:val="00"/>
    <w:family w:val="roman"/>
    <w:pitch w:val="default"/>
    <w:sig w:usb0="E00006FF" w:usb1="420024FF" w:usb2="02000000" w:usb3="00000000" w:csb0="2000019F" w:csb1="00000000"/>
    <w:embedRegular r:id="rId6" w:fontKey="{32085BA1-8052-4CEA-94C2-471A783830D9}"/>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7" w:fontKey="{B39BC4E6-28D6-4397-84F2-FE65AA62E4F2}"/>
  </w:font>
  <w:font w:name="方正仿宋_GBK">
    <w:panose1 w:val="02000000000000000000"/>
    <w:charset w:val="86"/>
    <w:family w:val="auto"/>
    <w:pitch w:val="default"/>
    <w:sig w:usb0="00000000" w:usb1="00000000" w:usb2="00000000" w:usb3="00000000" w:csb0="00000000" w:csb1="00000000"/>
    <w:embedRegular r:id="rId8" w:fontKey="{AF7D3F8A-6BC2-4D4D-B890-D19A90704D51}"/>
  </w:font>
  <w:font w:name="华文中宋">
    <w:panose1 w:val="02010600040101010101"/>
    <w:charset w:val="86"/>
    <w:family w:val="auto"/>
    <w:pitch w:val="default"/>
    <w:sig w:usb0="00000287" w:usb1="080F0000" w:usb2="00000000" w:usb3="00000000" w:csb0="0004009F" w:csb1="DFD70000"/>
    <w:embedRegular r:id="rId9" w:fontKey="{77D9AF07-172B-4364-BF9F-A107B4D0831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embedRegular r:id="rId10" w:fontKey="{53B5C548-B97F-4644-8306-419382A17C01}"/>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11" w:fontKey="{DF949AC7-EA6F-49A6-9759-4073D84C41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t xml:space="preserve">- </w:t>
    </w:r>
    <w:r>
      <w:fldChar w:fldCharType="begin"/>
    </w:r>
    <w:r>
      <w:instrText xml:space="preserve"> PAGE </w:instrText>
    </w:r>
    <w:r>
      <w:fldChar w:fldCharType="separate"/>
    </w:r>
    <w:r>
      <w:t>32</w:t>
    </w:r>
    <w:r>
      <w:fldChar w:fldCharType="end"/>
    </w:r>
    <w:r>
      <w:t xml:space="preserve"> -</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pPr>
          <w:pStyle w:val="1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12"/>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2698B2E"/>
    <w:multiLevelType w:val="singleLevel"/>
    <w:tmpl w:val="D2698B2E"/>
    <w:lvl w:ilvl="0" w:tentative="0">
      <w:start w:val="1"/>
      <w:numFmt w:val="chineseCounting"/>
      <w:suff w:val="nothing"/>
      <w:lvlText w:val="（%1）"/>
      <w:lvlJc w:val="left"/>
      <w:rPr>
        <w:rFonts w:hint="eastAsia"/>
        <w:color w:val="auto"/>
      </w:rPr>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94AAA60"/>
    <w:multiLevelType w:val="singleLevel"/>
    <w:tmpl w:val="E94AAA60"/>
    <w:lvl w:ilvl="0" w:tentative="0">
      <w:start w:val="2"/>
      <w:numFmt w:val="decimal"/>
      <w:suff w:val="nothing"/>
      <w:lvlText w:val="%1、"/>
      <w:lvlJc w:val="left"/>
    </w:lvl>
  </w:abstractNum>
  <w:abstractNum w:abstractNumId="9">
    <w:nsid w:val="FFA42EAC"/>
    <w:multiLevelType w:val="singleLevel"/>
    <w:tmpl w:val="FFA42EAC"/>
    <w:lvl w:ilvl="0" w:tentative="0">
      <w:start w:val="1"/>
      <w:numFmt w:val="decimal"/>
      <w:lvlText w:val="(%1)"/>
      <w:lvlJc w:val="left"/>
      <w:pPr>
        <w:tabs>
          <w:tab w:val="left" w:pos="312"/>
        </w:tabs>
        <w:ind w:left="105" w:leftChars="0" w:firstLine="0" w:firstLineChars="0"/>
      </w:pPr>
    </w:lvl>
  </w:abstractNum>
  <w:abstractNum w:abstractNumId="10">
    <w:nsid w:val="FFEFC674"/>
    <w:multiLevelType w:val="singleLevel"/>
    <w:tmpl w:val="FFEFC674"/>
    <w:lvl w:ilvl="0" w:tentative="0">
      <w:start w:val="1"/>
      <w:numFmt w:val="decimal"/>
      <w:suff w:val="nothing"/>
      <w:lvlText w:val="（%1）"/>
      <w:lvlJc w:val="left"/>
    </w:lvl>
  </w:abstractNum>
  <w:abstractNum w:abstractNumId="11">
    <w:nsid w:val="1B5F6910"/>
    <w:multiLevelType w:val="singleLevel"/>
    <w:tmpl w:val="1B5F6910"/>
    <w:lvl w:ilvl="0" w:tentative="0">
      <w:start w:val="1"/>
      <w:numFmt w:val="decimal"/>
      <w:suff w:val="nothing"/>
      <w:lvlText w:val="%1、"/>
      <w:lvlJc w:val="left"/>
    </w:lvl>
  </w:abstractNum>
  <w:abstractNum w:abstractNumId="12">
    <w:nsid w:val="2C72F99C"/>
    <w:multiLevelType w:val="singleLevel"/>
    <w:tmpl w:val="2C72F99C"/>
    <w:lvl w:ilvl="0" w:tentative="0">
      <w:start w:val="1"/>
      <w:numFmt w:val="decimal"/>
      <w:suff w:val="nothing"/>
      <w:lvlText w:val="%1、"/>
      <w:lvlJc w:val="left"/>
    </w:lvl>
  </w:abstractNum>
  <w:abstractNum w:abstractNumId="13">
    <w:nsid w:val="30D3D2F3"/>
    <w:multiLevelType w:val="singleLevel"/>
    <w:tmpl w:val="30D3D2F3"/>
    <w:lvl w:ilvl="0" w:tentative="0">
      <w:start w:val="1"/>
      <w:numFmt w:val="chineseCounting"/>
      <w:suff w:val="nothing"/>
      <w:lvlText w:val="（%1）"/>
      <w:lvlJc w:val="left"/>
      <w:rPr>
        <w:rFonts w:hint="eastAsia"/>
      </w:rPr>
    </w:lvl>
  </w:abstractNum>
  <w:abstractNum w:abstractNumId="14">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A0F6431"/>
    <w:multiLevelType w:val="singleLevel"/>
    <w:tmpl w:val="7A0F6431"/>
    <w:lvl w:ilvl="0" w:tentative="0">
      <w:start w:val="1"/>
      <w:numFmt w:val="decimal"/>
      <w:suff w:val="space"/>
      <w:lvlText w:val="%1."/>
      <w:lvlJc w:val="left"/>
    </w:lvl>
  </w:abstractNum>
  <w:num w:numId="1">
    <w:abstractNumId w:val="4"/>
  </w:num>
  <w:num w:numId="2">
    <w:abstractNumId w:val="11"/>
  </w:num>
  <w:num w:numId="3">
    <w:abstractNumId w:val="13"/>
  </w:num>
  <w:num w:numId="4">
    <w:abstractNumId w:val="12"/>
  </w:num>
  <w:num w:numId="5">
    <w:abstractNumId w:val="9"/>
  </w:num>
  <w:num w:numId="6">
    <w:abstractNumId w:val="8"/>
  </w:num>
  <w:num w:numId="7">
    <w:abstractNumId w:val="0"/>
  </w:num>
  <w:num w:numId="8">
    <w:abstractNumId w:val="1"/>
  </w:num>
  <w:num w:numId="9">
    <w:abstractNumId w:val="15"/>
  </w:num>
  <w:num w:numId="10">
    <w:abstractNumId w:val="3"/>
  </w:num>
  <w:num w:numId="11">
    <w:abstractNumId w:val="10"/>
  </w:num>
  <w:num w:numId="12">
    <w:abstractNumId w:val="6"/>
  </w:num>
  <w:num w:numId="13">
    <w:abstractNumId w:val="5"/>
  </w:num>
  <w:num w:numId="14">
    <w:abstractNumId w:val="2"/>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E25F12"/>
    <w:rsid w:val="02FC0E89"/>
    <w:rsid w:val="030516AD"/>
    <w:rsid w:val="038A3F97"/>
    <w:rsid w:val="03993BA4"/>
    <w:rsid w:val="03A66B69"/>
    <w:rsid w:val="03E017D2"/>
    <w:rsid w:val="042C4F6C"/>
    <w:rsid w:val="04446205"/>
    <w:rsid w:val="047255F5"/>
    <w:rsid w:val="048C54B6"/>
    <w:rsid w:val="049A4077"/>
    <w:rsid w:val="05130EC4"/>
    <w:rsid w:val="05452235"/>
    <w:rsid w:val="05A21435"/>
    <w:rsid w:val="06127C3D"/>
    <w:rsid w:val="06215480"/>
    <w:rsid w:val="062E1176"/>
    <w:rsid w:val="063E255E"/>
    <w:rsid w:val="065D710A"/>
    <w:rsid w:val="069468A4"/>
    <w:rsid w:val="06C75DE6"/>
    <w:rsid w:val="06D86E6E"/>
    <w:rsid w:val="06E710CA"/>
    <w:rsid w:val="06E94E42"/>
    <w:rsid w:val="07101435"/>
    <w:rsid w:val="072B0FB7"/>
    <w:rsid w:val="07724E37"/>
    <w:rsid w:val="07B37245"/>
    <w:rsid w:val="07EC1177"/>
    <w:rsid w:val="08A54D99"/>
    <w:rsid w:val="08E33B14"/>
    <w:rsid w:val="097A64AA"/>
    <w:rsid w:val="09B4074E"/>
    <w:rsid w:val="09B47989"/>
    <w:rsid w:val="09CB6A81"/>
    <w:rsid w:val="0A0106F5"/>
    <w:rsid w:val="0A4426BD"/>
    <w:rsid w:val="0A522CFE"/>
    <w:rsid w:val="0A537E82"/>
    <w:rsid w:val="0A670558"/>
    <w:rsid w:val="0A87085A"/>
    <w:rsid w:val="0B5C3158"/>
    <w:rsid w:val="0B845139"/>
    <w:rsid w:val="0B913B41"/>
    <w:rsid w:val="0BB023D2"/>
    <w:rsid w:val="0BC027C4"/>
    <w:rsid w:val="0BC750CE"/>
    <w:rsid w:val="0BE16F32"/>
    <w:rsid w:val="0C0C0F57"/>
    <w:rsid w:val="0C204376"/>
    <w:rsid w:val="0C254A1B"/>
    <w:rsid w:val="0C526FE5"/>
    <w:rsid w:val="0C6875C2"/>
    <w:rsid w:val="0CA77331"/>
    <w:rsid w:val="0CB16402"/>
    <w:rsid w:val="0CEC0DE7"/>
    <w:rsid w:val="0D0227BA"/>
    <w:rsid w:val="0D605732"/>
    <w:rsid w:val="0D844388"/>
    <w:rsid w:val="0DEE34CD"/>
    <w:rsid w:val="0E0B7D94"/>
    <w:rsid w:val="0E230C39"/>
    <w:rsid w:val="0E607F86"/>
    <w:rsid w:val="0E8A0CB9"/>
    <w:rsid w:val="0E9C279A"/>
    <w:rsid w:val="0EB421D9"/>
    <w:rsid w:val="0F142273"/>
    <w:rsid w:val="0F5B4403"/>
    <w:rsid w:val="0F5D008C"/>
    <w:rsid w:val="0FD3114F"/>
    <w:rsid w:val="0FEE5EBF"/>
    <w:rsid w:val="108300B5"/>
    <w:rsid w:val="108654B0"/>
    <w:rsid w:val="108C64EF"/>
    <w:rsid w:val="10BE733F"/>
    <w:rsid w:val="10CA1840"/>
    <w:rsid w:val="10D97CD5"/>
    <w:rsid w:val="10FC5772"/>
    <w:rsid w:val="11093651"/>
    <w:rsid w:val="11662604"/>
    <w:rsid w:val="11796EDC"/>
    <w:rsid w:val="119D5A3B"/>
    <w:rsid w:val="12635AA8"/>
    <w:rsid w:val="127840D2"/>
    <w:rsid w:val="12900790"/>
    <w:rsid w:val="12900868"/>
    <w:rsid w:val="134F24D1"/>
    <w:rsid w:val="13AA7707"/>
    <w:rsid w:val="13FF3EF7"/>
    <w:rsid w:val="144E2788"/>
    <w:rsid w:val="14806439"/>
    <w:rsid w:val="149C1746"/>
    <w:rsid w:val="14E4477F"/>
    <w:rsid w:val="15BD1BCA"/>
    <w:rsid w:val="16105DC5"/>
    <w:rsid w:val="16730284"/>
    <w:rsid w:val="16753FFC"/>
    <w:rsid w:val="169A5359"/>
    <w:rsid w:val="16B965DF"/>
    <w:rsid w:val="1741793A"/>
    <w:rsid w:val="1743234C"/>
    <w:rsid w:val="17933E49"/>
    <w:rsid w:val="17966F3F"/>
    <w:rsid w:val="179901BE"/>
    <w:rsid w:val="17C24EE1"/>
    <w:rsid w:val="17C27715"/>
    <w:rsid w:val="17C57205"/>
    <w:rsid w:val="17E4768B"/>
    <w:rsid w:val="17FC3BA5"/>
    <w:rsid w:val="182513C0"/>
    <w:rsid w:val="18397E11"/>
    <w:rsid w:val="184B6C59"/>
    <w:rsid w:val="194505FE"/>
    <w:rsid w:val="19635BBC"/>
    <w:rsid w:val="19687E48"/>
    <w:rsid w:val="196B1CEA"/>
    <w:rsid w:val="198E1EAE"/>
    <w:rsid w:val="1A24288D"/>
    <w:rsid w:val="1A620D3B"/>
    <w:rsid w:val="1B1B5294"/>
    <w:rsid w:val="1B356450"/>
    <w:rsid w:val="1B434F04"/>
    <w:rsid w:val="1B9C14FB"/>
    <w:rsid w:val="1BEB4F4B"/>
    <w:rsid w:val="1BEF4851"/>
    <w:rsid w:val="1BFE3C79"/>
    <w:rsid w:val="1C2C01A7"/>
    <w:rsid w:val="1C4F3541"/>
    <w:rsid w:val="1C584649"/>
    <w:rsid w:val="1C792E22"/>
    <w:rsid w:val="1CB57848"/>
    <w:rsid w:val="1CBF2475"/>
    <w:rsid w:val="1D2D5631"/>
    <w:rsid w:val="1D345E0F"/>
    <w:rsid w:val="1D880AB9"/>
    <w:rsid w:val="1DB9452C"/>
    <w:rsid w:val="1DE33F41"/>
    <w:rsid w:val="1DE71C83"/>
    <w:rsid w:val="1E206809"/>
    <w:rsid w:val="1E5A29B0"/>
    <w:rsid w:val="1E71779F"/>
    <w:rsid w:val="1E8A6AB3"/>
    <w:rsid w:val="1EFB3211"/>
    <w:rsid w:val="1F103EA9"/>
    <w:rsid w:val="1F1D7927"/>
    <w:rsid w:val="1F784B5D"/>
    <w:rsid w:val="1FB14636"/>
    <w:rsid w:val="1FCA3C17"/>
    <w:rsid w:val="1FDB296A"/>
    <w:rsid w:val="1FE909DC"/>
    <w:rsid w:val="1FF42436"/>
    <w:rsid w:val="204333BD"/>
    <w:rsid w:val="20457135"/>
    <w:rsid w:val="20631369"/>
    <w:rsid w:val="20755F4B"/>
    <w:rsid w:val="20AF152F"/>
    <w:rsid w:val="21431371"/>
    <w:rsid w:val="2149055F"/>
    <w:rsid w:val="21513626"/>
    <w:rsid w:val="215C64E4"/>
    <w:rsid w:val="215D225D"/>
    <w:rsid w:val="219537A4"/>
    <w:rsid w:val="21C36564"/>
    <w:rsid w:val="21DF0EC4"/>
    <w:rsid w:val="225A4837"/>
    <w:rsid w:val="228D0920"/>
    <w:rsid w:val="23290736"/>
    <w:rsid w:val="23362D65"/>
    <w:rsid w:val="236E5E5F"/>
    <w:rsid w:val="2378337E"/>
    <w:rsid w:val="239A32F4"/>
    <w:rsid w:val="23A61C99"/>
    <w:rsid w:val="23C5440E"/>
    <w:rsid w:val="23F30C56"/>
    <w:rsid w:val="24266C7C"/>
    <w:rsid w:val="244A2F6C"/>
    <w:rsid w:val="246A64EC"/>
    <w:rsid w:val="248E0882"/>
    <w:rsid w:val="24AB04CD"/>
    <w:rsid w:val="24B85FE4"/>
    <w:rsid w:val="24D67678"/>
    <w:rsid w:val="252E63EA"/>
    <w:rsid w:val="25493224"/>
    <w:rsid w:val="256533FF"/>
    <w:rsid w:val="25E847EB"/>
    <w:rsid w:val="267047E0"/>
    <w:rsid w:val="270F7B55"/>
    <w:rsid w:val="273B6B9C"/>
    <w:rsid w:val="27427F2B"/>
    <w:rsid w:val="27857F9B"/>
    <w:rsid w:val="2795721C"/>
    <w:rsid w:val="27A641C3"/>
    <w:rsid w:val="27A6670B"/>
    <w:rsid w:val="27C546B8"/>
    <w:rsid w:val="282633A8"/>
    <w:rsid w:val="284461F5"/>
    <w:rsid w:val="286F1880"/>
    <w:rsid w:val="28A10C81"/>
    <w:rsid w:val="28EC2844"/>
    <w:rsid w:val="29114058"/>
    <w:rsid w:val="29745A9F"/>
    <w:rsid w:val="29791BFE"/>
    <w:rsid w:val="29895F6F"/>
    <w:rsid w:val="29995DFC"/>
    <w:rsid w:val="29AC6F9B"/>
    <w:rsid w:val="29B91807"/>
    <w:rsid w:val="29E821D3"/>
    <w:rsid w:val="29F75268"/>
    <w:rsid w:val="2A930A9D"/>
    <w:rsid w:val="2A967EB2"/>
    <w:rsid w:val="2AD417E1"/>
    <w:rsid w:val="2B065713"/>
    <w:rsid w:val="2B2871E7"/>
    <w:rsid w:val="2BA9299F"/>
    <w:rsid w:val="2BF832AE"/>
    <w:rsid w:val="2BFE65C2"/>
    <w:rsid w:val="2C02412C"/>
    <w:rsid w:val="2C1665B8"/>
    <w:rsid w:val="2C295297"/>
    <w:rsid w:val="2C6E17C2"/>
    <w:rsid w:val="2D7F69DE"/>
    <w:rsid w:val="2DB16F26"/>
    <w:rsid w:val="2DB3388B"/>
    <w:rsid w:val="2DCA6ECC"/>
    <w:rsid w:val="2E815E80"/>
    <w:rsid w:val="2E954277"/>
    <w:rsid w:val="2EDF69A7"/>
    <w:rsid w:val="2F1A79DF"/>
    <w:rsid w:val="2F2A413F"/>
    <w:rsid w:val="2F363171"/>
    <w:rsid w:val="30311375"/>
    <w:rsid w:val="30473F91"/>
    <w:rsid w:val="306058C5"/>
    <w:rsid w:val="30610607"/>
    <w:rsid w:val="30B023A9"/>
    <w:rsid w:val="30C714A1"/>
    <w:rsid w:val="311772A4"/>
    <w:rsid w:val="31B92B8B"/>
    <w:rsid w:val="324D032D"/>
    <w:rsid w:val="3257574A"/>
    <w:rsid w:val="32FB3683"/>
    <w:rsid w:val="32FD564D"/>
    <w:rsid w:val="3328091C"/>
    <w:rsid w:val="338F3097"/>
    <w:rsid w:val="33A51F6D"/>
    <w:rsid w:val="33C06DA7"/>
    <w:rsid w:val="342509B8"/>
    <w:rsid w:val="34297F29"/>
    <w:rsid w:val="34AE6BFF"/>
    <w:rsid w:val="34CA3E45"/>
    <w:rsid w:val="34D34153"/>
    <w:rsid w:val="359758E5"/>
    <w:rsid w:val="359D5EEA"/>
    <w:rsid w:val="35BA1D81"/>
    <w:rsid w:val="35D02BA5"/>
    <w:rsid w:val="35E8637E"/>
    <w:rsid w:val="35FC7E3E"/>
    <w:rsid w:val="363C3B17"/>
    <w:rsid w:val="36474247"/>
    <w:rsid w:val="365612FD"/>
    <w:rsid w:val="3677309A"/>
    <w:rsid w:val="36F40B16"/>
    <w:rsid w:val="370C52DF"/>
    <w:rsid w:val="370C5E5F"/>
    <w:rsid w:val="37142805"/>
    <w:rsid w:val="374B6987"/>
    <w:rsid w:val="374D6BA3"/>
    <w:rsid w:val="375A306E"/>
    <w:rsid w:val="37CE1367"/>
    <w:rsid w:val="37D746BF"/>
    <w:rsid w:val="38C84008"/>
    <w:rsid w:val="38CA5FD2"/>
    <w:rsid w:val="38EB0F04"/>
    <w:rsid w:val="39411452"/>
    <w:rsid w:val="397B72CC"/>
    <w:rsid w:val="397C49C3"/>
    <w:rsid w:val="39B22FFA"/>
    <w:rsid w:val="39C15930"/>
    <w:rsid w:val="3A173499"/>
    <w:rsid w:val="3A30022F"/>
    <w:rsid w:val="3A371445"/>
    <w:rsid w:val="3A886145"/>
    <w:rsid w:val="3A8D72B7"/>
    <w:rsid w:val="3AB900AC"/>
    <w:rsid w:val="3AC52EF5"/>
    <w:rsid w:val="3B007A89"/>
    <w:rsid w:val="3B027CA5"/>
    <w:rsid w:val="3B2E2848"/>
    <w:rsid w:val="3B5D4EDB"/>
    <w:rsid w:val="3B7170FB"/>
    <w:rsid w:val="3B81506E"/>
    <w:rsid w:val="3BA6272A"/>
    <w:rsid w:val="3BB22833"/>
    <w:rsid w:val="3BE27C97"/>
    <w:rsid w:val="3BE473AB"/>
    <w:rsid w:val="3C9A513B"/>
    <w:rsid w:val="3CCD2793"/>
    <w:rsid w:val="3CFA57E4"/>
    <w:rsid w:val="3D0221DE"/>
    <w:rsid w:val="3D1E60DF"/>
    <w:rsid w:val="3D374B03"/>
    <w:rsid w:val="3DE2791A"/>
    <w:rsid w:val="3E151A9D"/>
    <w:rsid w:val="3E375EB7"/>
    <w:rsid w:val="3E38205E"/>
    <w:rsid w:val="3EA47C68"/>
    <w:rsid w:val="3ED03C16"/>
    <w:rsid w:val="3EEB27FE"/>
    <w:rsid w:val="3F3423F7"/>
    <w:rsid w:val="3F8E1B07"/>
    <w:rsid w:val="40161AFD"/>
    <w:rsid w:val="403326AF"/>
    <w:rsid w:val="40712158"/>
    <w:rsid w:val="408B6047"/>
    <w:rsid w:val="40AF442B"/>
    <w:rsid w:val="40E165AE"/>
    <w:rsid w:val="411C75E7"/>
    <w:rsid w:val="41540B2E"/>
    <w:rsid w:val="415E333C"/>
    <w:rsid w:val="418F600A"/>
    <w:rsid w:val="419B5FD1"/>
    <w:rsid w:val="419E1DAA"/>
    <w:rsid w:val="420D5851"/>
    <w:rsid w:val="424B3CDF"/>
    <w:rsid w:val="426D19F0"/>
    <w:rsid w:val="42D31F27"/>
    <w:rsid w:val="42D33CD5"/>
    <w:rsid w:val="42FC5208"/>
    <w:rsid w:val="4320516C"/>
    <w:rsid w:val="43341596"/>
    <w:rsid w:val="436F7EA2"/>
    <w:rsid w:val="43860D47"/>
    <w:rsid w:val="43ED0DC6"/>
    <w:rsid w:val="43FB4652"/>
    <w:rsid w:val="43FF1225"/>
    <w:rsid w:val="445F4788"/>
    <w:rsid w:val="44B32884"/>
    <w:rsid w:val="44E73A68"/>
    <w:rsid w:val="45223845"/>
    <w:rsid w:val="45290298"/>
    <w:rsid w:val="45B51211"/>
    <w:rsid w:val="45BD6D52"/>
    <w:rsid w:val="45D75726"/>
    <w:rsid w:val="45EF52CA"/>
    <w:rsid w:val="46276812"/>
    <w:rsid w:val="462A4554"/>
    <w:rsid w:val="46517D32"/>
    <w:rsid w:val="46753001"/>
    <w:rsid w:val="46821C9A"/>
    <w:rsid w:val="46E51A75"/>
    <w:rsid w:val="47762C36"/>
    <w:rsid w:val="477C0DDF"/>
    <w:rsid w:val="47D17F22"/>
    <w:rsid w:val="480212E4"/>
    <w:rsid w:val="482B73A4"/>
    <w:rsid w:val="48C04CFB"/>
    <w:rsid w:val="48FF5824"/>
    <w:rsid w:val="49266FC3"/>
    <w:rsid w:val="492B03C7"/>
    <w:rsid w:val="493C6A78"/>
    <w:rsid w:val="49425710"/>
    <w:rsid w:val="494E2C0F"/>
    <w:rsid w:val="498E5824"/>
    <w:rsid w:val="49DE053E"/>
    <w:rsid w:val="4A625D30"/>
    <w:rsid w:val="4A767D68"/>
    <w:rsid w:val="4B475260"/>
    <w:rsid w:val="4B4C2876"/>
    <w:rsid w:val="4B9E1324"/>
    <w:rsid w:val="4BBF201F"/>
    <w:rsid w:val="4BE17463"/>
    <w:rsid w:val="4CA26BF2"/>
    <w:rsid w:val="4CEE1E37"/>
    <w:rsid w:val="4CF64AB0"/>
    <w:rsid w:val="4D145F92"/>
    <w:rsid w:val="4D330192"/>
    <w:rsid w:val="4D461C73"/>
    <w:rsid w:val="4E092CA1"/>
    <w:rsid w:val="4E4156DB"/>
    <w:rsid w:val="4E93713A"/>
    <w:rsid w:val="4F1456D4"/>
    <w:rsid w:val="4F9905AE"/>
    <w:rsid w:val="4FC33F25"/>
    <w:rsid w:val="4FD001C7"/>
    <w:rsid w:val="4FFF6109"/>
    <w:rsid w:val="500B71A4"/>
    <w:rsid w:val="502E60F8"/>
    <w:rsid w:val="50334005"/>
    <w:rsid w:val="505E4B9C"/>
    <w:rsid w:val="50A30487"/>
    <w:rsid w:val="50DD1804"/>
    <w:rsid w:val="50FB1449"/>
    <w:rsid w:val="51A52CE0"/>
    <w:rsid w:val="52195EFA"/>
    <w:rsid w:val="529674E9"/>
    <w:rsid w:val="535D3873"/>
    <w:rsid w:val="53876B42"/>
    <w:rsid w:val="53B7529E"/>
    <w:rsid w:val="54153BAB"/>
    <w:rsid w:val="543E18F6"/>
    <w:rsid w:val="546B1FBF"/>
    <w:rsid w:val="54996B2C"/>
    <w:rsid w:val="54F5352B"/>
    <w:rsid w:val="550A7A2A"/>
    <w:rsid w:val="554A7E27"/>
    <w:rsid w:val="555E1B24"/>
    <w:rsid w:val="556A04C9"/>
    <w:rsid w:val="559E5653"/>
    <w:rsid w:val="55AB3C2F"/>
    <w:rsid w:val="55EC35D4"/>
    <w:rsid w:val="56383CF3"/>
    <w:rsid w:val="56455CD4"/>
    <w:rsid w:val="565C42B5"/>
    <w:rsid w:val="56AE76A6"/>
    <w:rsid w:val="56AF2613"/>
    <w:rsid w:val="56D4209E"/>
    <w:rsid w:val="56DB2C2D"/>
    <w:rsid w:val="56E4418B"/>
    <w:rsid w:val="57064221"/>
    <w:rsid w:val="57470BA7"/>
    <w:rsid w:val="5773022F"/>
    <w:rsid w:val="57770C7B"/>
    <w:rsid w:val="580A1AEF"/>
    <w:rsid w:val="58776655"/>
    <w:rsid w:val="58B74216"/>
    <w:rsid w:val="58C16652"/>
    <w:rsid w:val="590752B6"/>
    <w:rsid w:val="591F15CA"/>
    <w:rsid w:val="596D67DA"/>
    <w:rsid w:val="59760D08"/>
    <w:rsid w:val="599E6993"/>
    <w:rsid w:val="59AC5554"/>
    <w:rsid w:val="5A564466"/>
    <w:rsid w:val="5A902780"/>
    <w:rsid w:val="5A9F4737"/>
    <w:rsid w:val="5AAE2C06"/>
    <w:rsid w:val="5AE8436A"/>
    <w:rsid w:val="5AF80325"/>
    <w:rsid w:val="5B6339F0"/>
    <w:rsid w:val="5BF6561B"/>
    <w:rsid w:val="5BFA4C14"/>
    <w:rsid w:val="5C2A6C04"/>
    <w:rsid w:val="5C3543D2"/>
    <w:rsid w:val="5CE36031"/>
    <w:rsid w:val="5D9C1AF9"/>
    <w:rsid w:val="5DB26EB1"/>
    <w:rsid w:val="5DBA559D"/>
    <w:rsid w:val="5DFE3EA4"/>
    <w:rsid w:val="5E465887"/>
    <w:rsid w:val="5E473A9D"/>
    <w:rsid w:val="5E5E5C0A"/>
    <w:rsid w:val="5E8425FB"/>
    <w:rsid w:val="5EB653E1"/>
    <w:rsid w:val="5EE50BC0"/>
    <w:rsid w:val="5F0372C8"/>
    <w:rsid w:val="5F181B76"/>
    <w:rsid w:val="5F463D55"/>
    <w:rsid w:val="5FA337CB"/>
    <w:rsid w:val="5FD4389C"/>
    <w:rsid w:val="5FEC48FC"/>
    <w:rsid w:val="6013374F"/>
    <w:rsid w:val="60545FFD"/>
    <w:rsid w:val="60B116A2"/>
    <w:rsid w:val="60B42F40"/>
    <w:rsid w:val="60B7767B"/>
    <w:rsid w:val="61696F59"/>
    <w:rsid w:val="61D672CA"/>
    <w:rsid w:val="61E63AF5"/>
    <w:rsid w:val="626A2DAC"/>
    <w:rsid w:val="62784498"/>
    <w:rsid w:val="63293771"/>
    <w:rsid w:val="637C7D45"/>
    <w:rsid w:val="639808F7"/>
    <w:rsid w:val="645F2960"/>
    <w:rsid w:val="64654C7D"/>
    <w:rsid w:val="64BD496D"/>
    <w:rsid w:val="64BE25DF"/>
    <w:rsid w:val="64DB5DF9"/>
    <w:rsid w:val="64F93617"/>
    <w:rsid w:val="655D3BA6"/>
    <w:rsid w:val="65655387"/>
    <w:rsid w:val="659A6BA8"/>
    <w:rsid w:val="65FE7BFD"/>
    <w:rsid w:val="66EC6F90"/>
    <w:rsid w:val="66F2031E"/>
    <w:rsid w:val="67AA7E58"/>
    <w:rsid w:val="67AB0BF9"/>
    <w:rsid w:val="67EA0511"/>
    <w:rsid w:val="68077DF9"/>
    <w:rsid w:val="68382663"/>
    <w:rsid w:val="686314D3"/>
    <w:rsid w:val="6888718C"/>
    <w:rsid w:val="68A629A9"/>
    <w:rsid w:val="68E5527F"/>
    <w:rsid w:val="69A578CA"/>
    <w:rsid w:val="69EA0620"/>
    <w:rsid w:val="6A204BF3"/>
    <w:rsid w:val="6A691ED2"/>
    <w:rsid w:val="6A7343B6"/>
    <w:rsid w:val="6AB029CA"/>
    <w:rsid w:val="6AB40090"/>
    <w:rsid w:val="6ADE7537"/>
    <w:rsid w:val="6AE34B4E"/>
    <w:rsid w:val="6AF208ED"/>
    <w:rsid w:val="6B1F6200"/>
    <w:rsid w:val="6B4A3375"/>
    <w:rsid w:val="6B825FC3"/>
    <w:rsid w:val="6B8359E9"/>
    <w:rsid w:val="6C174E18"/>
    <w:rsid w:val="6C613F7C"/>
    <w:rsid w:val="6C806253"/>
    <w:rsid w:val="6CCB5899"/>
    <w:rsid w:val="6CF748E0"/>
    <w:rsid w:val="6D15191A"/>
    <w:rsid w:val="6D7D3037"/>
    <w:rsid w:val="6D934609"/>
    <w:rsid w:val="6DAE50AD"/>
    <w:rsid w:val="6DDA2238"/>
    <w:rsid w:val="6E0E1EE1"/>
    <w:rsid w:val="6E5A21EA"/>
    <w:rsid w:val="6EB8009F"/>
    <w:rsid w:val="6EC72090"/>
    <w:rsid w:val="6F834B73"/>
    <w:rsid w:val="6F857F81"/>
    <w:rsid w:val="6FC62348"/>
    <w:rsid w:val="6FE10E18"/>
    <w:rsid w:val="6FEC14A9"/>
    <w:rsid w:val="6FEC6252"/>
    <w:rsid w:val="702E23C7"/>
    <w:rsid w:val="706B487A"/>
    <w:rsid w:val="70A15EF2"/>
    <w:rsid w:val="70CB230C"/>
    <w:rsid w:val="721E46BD"/>
    <w:rsid w:val="72271FEC"/>
    <w:rsid w:val="72655E48"/>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A24103"/>
    <w:rsid w:val="75CC2E8E"/>
    <w:rsid w:val="75DC4AB5"/>
    <w:rsid w:val="75EF406B"/>
    <w:rsid w:val="76391AC6"/>
    <w:rsid w:val="765B7C8E"/>
    <w:rsid w:val="76707B96"/>
    <w:rsid w:val="76726D86"/>
    <w:rsid w:val="768D36C7"/>
    <w:rsid w:val="76C3504D"/>
    <w:rsid w:val="770422FE"/>
    <w:rsid w:val="7746449A"/>
    <w:rsid w:val="775546DD"/>
    <w:rsid w:val="778C3E77"/>
    <w:rsid w:val="77E31CE9"/>
    <w:rsid w:val="78376C25"/>
    <w:rsid w:val="78746DE5"/>
    <w:rsid w:val="78A72AF0"/>
    <w:rsid w:val="790F6B0E"/>
    <w:rsid w:val="79134850"/>
    <w:rsid w:val="79200163"/>
    <w:rsid w:val="79261AEA"/>
    <w:rsid w:val="7956473D"/>
    <w:rsid w:val="798661F3"/>
    <w:rsid w:val="799314ED"/>
    <w:rsid w:val="79EE2C15"/>
    <w:rsid w:val="7AA46F38"/>
    <w:rsid w:val="7B467F1D"/>
    <w:rsid w:val="7BA7772C"/>
    <w:rsid w:val="7BB710C6"/>
    <w:rsid w:val="7C0924C9"/>
    <w:rsid w:val="7C507B69"/>
    <w:rsid w:val="7C711A95"/>
    <w:rsid w:val="7C8D4919"/>
    <w:rsid w:val="7CBA4FE2"/>
    <w:rsid w:val="7CD24A22"/>
    <w:rsid w:val="7D2F777E"/>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5"/>
    <w:next w:val="1"/>
    <w:link w:val="30"/>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7">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Title"/>
    <w:basedOn w:val="1"/>
    <w:qFormat/>
    <w:uiPriority w:val="0"/>
    <w:pPr>
      <w:spacing w:before="240" w:after="60"/>
      <w:jc w:val="center"/>
      <w:outlineLvl w:val="0"/>
    </w:pPr>
    <w:rPr>
      <w:rFonts w:ascii="Arial" w:hAnsi="Arial" w:eastAsia="隶书" w:cs="Arial"/>
      <w:b/>
      <w:bCs/>
      <w:sz w:val="32"/>
      <w:szCs w:val="32"/>
    </w:rPr>
  </w:style>
  <w:style w:type="paragraph" w:styleId="8">
    <w:name w:val="Normal Indent"/>
    <w:basedOn w:val="1"/>
    <w:next w:val="2"/>
    <w:qFormat/>
    <w:uiPriority w:val="0"/>
    <w:pPr>
      <w:ind w:firstLine="420"/>
    </w:pPr>
    <w:rPr>
      <w:szCs w:val="20"/>
    </w:rPr>
  </w:style>
  <w:style w:type="paragraph" w:styleId="9">
    <w:name w:val="Document Map"/>
    <w:basedOn w:val="1"/>
    <w:link w:val="32"/>
    <w:semiHidden/>
    <w:unhideWhenUsed/>
    <w:qFormat/>
    <w:uiPriority w:val="99"/>
    <w:rPr>
      <w:rFonts w:ascii="宋体" w:eastAsia="宋体"/>
      <w:sz w:val="18"/>
      <w:szCs w:val="18"/>
    </w:rPr>
  </w:style>
  <w:style w:type="paragraph" w:styleId="10">
    <w:name w:val="annotation text"/>
    <w:basedOn w:val="1"/>
    <w:link w:val="34"/>
    <w:unhideWhenUsed/>
    <w:qFormat/>
    <w:uiPriority w:val="99"/>
    <w:pPr>
      <w:jc w:val="left"/>
    </w:pPr>
  </w:style>
  <w:style w:type="paragraph" w:styleId="11">
    <w:name w:val="Balloon Text"/>
    <w:basedOn w:val="1"/>
    <w:link w:val="28"/>
    <w:semiHidden/>
    <w:unhideWhenUsed/>
    <w:qFormat/>
    <w:uiPriority w:val="99"/>
    <w:rPr>
      <w:sz w:val="18"/>
      <w:szCs w:val="18"/>
    </w:r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spacing w:line="360" w:lineRule="auto"/>
    </w:pPr>
    <w:rPr>
      <w:sz w:val="24"/>
    </w:rPr>
  </w:style>
  <w:style w:type="paragraph" w:styleId="15">
    <w:name w:val="Normal (Web)"/>
    <w:basedOn w:val="1"/>
    <w:link w:val="29"/>
    <w:qFormat/>
    <w:uiPriority w:val="99"/>
    <w:pPr>
      <w:widowControl/>
      <w:spacing w:before="100" w:beforeAutospacing="1" w:afterAutospacing="1"/>
      <w:jc w:val="left"/>
    </w:pPr>
    <w:rPr>
      <w:rFonts w:ascii="宋体" w:hAnsi="宋体"/>
      <w:sz w:val="24"/>
      <w:szCs w:val="24"/>
    </w:rPr>
  </w:style>
  <w:style w:type="paragraph" w:styleId="16">
    <w:name w:val="annotation subject"/>
    <w:basedOn w:val="10"/>
    <w:next w:val="10"/>
    <w:link w:val="36"/>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rPr>
  </w:style>
  <w:style w:type="character" w:styleId="23">
    <w:name w:val="Hyperlink"/>
    <w:basedOn w:val="19"/>
    <w:unhideWhenUsed/>
    <w:qFormat/>
    <w:uiPriority w:val="99"/>
    <w:rPr>
      <w:color w:val="0000FF" w:themeColor="hyperlink"/>
      <w:u w:val="single"/>
    </w:rPr>
  </w:style>
  <w:style w:type="character" w:styleId="24">
    <w:name w:val="annotation reference"/>
    <w:basedOn w:val="19"/>
    <w:semiHidden/>
    <w:unhideWhenUsed/>
    <w:qFormat/>
    <w:uiPriority w:val="99"/>
    <w:rPr>
      <w:sz w:val="21"/>
      <w:szCs w:val="21"/>
    </w:rPr>
  </w:style>
  <w:style w:type="paragraph" w:styleId="25">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6">
    <w:name w:val="页眉 Char"/>
    <w:basedOn w:val="19"/>
    <w:link w:val="13"/>
    <w:semiHidden/>
    <w:qFormat/>
    <w:uiPriority w:val="99"/>
    <w:rPr>
      <w:sz w:val="18"/>
      <w:szCs w:val="18"/>
    </w:rPr>
  </w:style>
  <w:style w:type="character" w:customStyle="1" w:styleId="27">
    <w:name w:val="页脚 Char"/>
    <w:basedOn w:val="19"/>
    <w:link w:val="12"/>
    <w:qFormat/>
    <w:uiPriority w:val="99"/>
    <w:rPr>
      <w:sz w:val="18"/>
      <w:szCs w:val="18"/>
    </w:rPr>
  </w:style>
  <w:style w:type="character" w:customStyle="1" w:styleId="28">
    <w:name w:val="批注框文本 Char"/>
    <w:basedOn w:val="19"/>
    <w:link w:val="11"/>
    <w:semiHidden/>
    <w:qFormat/>
    <w:uiPriority w:val="99"/>
    <w:rPr>
      <w:sz w:val="18"/>
      <w:szCs w:val="18"/>
    </w:rPr>
  </w:style>
  <w:style w:type="character" w:customStyle="1" w:styleId="29">
    <w:name w:val="普通(网站) Char"/>
    <w:link w:val="15"/>
    <w:qFormat/>
    <w:uiPriority w:val="99"/>
    <w:rPr>
      <w:rFonts w:ascii="宋体" w:hAnsi="宋体"/>
      <w:sz w:val="24"/>
      <w:szCs w:val="24"/>
    </w:rPr>
  </w:style>
  <w:style w:type="character" w:customStyle="1" w:styleId="30">
    <w:name w:val="标题 1 Char"/>
    <w:basedOn w:val="19"/>
    <w:link w:val="4"/>
    <w:qFormat/>
    <w:uiPriority w:val="0"/>
    <w:rPr>
      <w:rFonts w:ascii="Arial" w:hAnsi="Arial" w:eastAsia="宋体" w:cs="Times New Roman"/>
      <w:b/>
      <w:bCs/>
      <w:kern w:val="44"/>
      <w:sz w:val="44"/>
      <w:szCs w:val="44"/>
    </w:rPr>
  </w:style>
  <w:style w:type="paragraph" w:styleId="31">
    <w:name w:val="List Paragraph"/>
    <w:basedOn w:val="1"/>
    <w:qFormat/>
    <w:uiPriority w:val="34"/>
    <w:pPr>
      <w:ind w:firstLine="420" w:firstLineChars="200"/>
    </w:pPr>
  </w:style>
  <w:style w:type="character" w:customStyle="1" w:styleId="32">
    <w:name w:val="文档结构图 Char"/>
    <w:basedOn w:val="19"/>
    <w:link w:val="9"/>
    <w:semiHidden/>
    <w:qFormat/>
    <w:uiPriority w:val="99"/>
    <w:rPr>
      <w:rFonts w:ascii="宋体" w:eastAsia="宋体"/>
      <w:sz w:val="18"/>
      <w:szCs w:val="18"/>
    </w:rPr>
  </w:style>
  <w:style w:type="character" w:customStyle="1" w:styleId="33">
    <w:name w:val="标题 2 Char"/>
    <w:basedOn w:val="19"/>
    <w:link w:val="7"/>
    <w:semiHidden/>
    <w:qFormat/>
    <w:uiPriority w:val="9"/>
    <w:rPr>
      <w:rFonts w:asciiTheme="majorHAnsi" w:hAnsiTheme="majorHAnsi" w:eastAsiaTheme="majorEastAsia" w:cstheme="majorBidi"/>
      <w:b/>
      <w:bCs/>
      <w:sz w:val="32"/>
      <w:szCs w:val="32"/>
    </w:rPr>
  </w:style>
  <w:style w:type="character" w:customStyle="1" w:styleId="34">
    <w:name w:val="批注文字 Char"/>
    <w:basedOn w:val="19"/>
    <w:link w:val="10"/>
    <w:qFormat/>
    <w:uiPriority w:val="99"/>
  </w:style>
  <w:style w:type="character" w:customStyle="1" w:styleId="35">
    <w:name w:val="标题 3 Char"/>
    <w:qFormat/>
    <w:uiPriority w:val="0"/>
    <w:rPr>
      <w:rFonts w:ascii="黑体" w:eastAsia="黑体"/>
      <w:bCs/>
      <w:sz w:val="30"/>
    </w:rPr>
  </w:style>
  <w:style w:type="character" w:customStyle="1" w:styleId="36">
    <w:name w:val="批注主题 Char"/>
    <w:basedOn w:val="34"/>
    <w:link w:val="16"/>
    <w:semiHidden/>
    <w:qFormat/>
    <w:uiPriority w:val="99"/>
    <w:rPr>
      <w:b/>
      <w:bCs/>
    </w:rPr>
  </w:style>
  <w:style w:type="table" w:customStyle="1" w:styleId="37">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11"/>
    <w:basedOn w:val="19"/>
    <w:qFormat/>
    <w:uiPriority w:val="0"/>
    <w:rPr>
      <w:rFonts w:hint="eastAsia" w:ascii="宋体" w:hAnsi="宋体" w:eastAsia="宋体" w:cs="宋体"/>
      <w:color w:val="000000"/>
      <w:sz w:val="21"/>
      <w:szCs w:val="21"/>
      <w:u w:val="none"/>
    </w:rPr>
  </w:style>
  <w:style w:type="character" w:customStyle="1" w:styleId="39">
    <w:name w:val="font01"/>
    <w:basedOn w:val="19"/>
    <w:qFormat/>
    <w:uiPriority w:val="0"/>
    <w:rPr>
      <w:rFonts w:hint="eastAsia" w:ascii="宋体" w:hAnsi="宋体" w:eastAsia="宋体" w:cs="宋体"/>
      <w:color w:val="0000FF"/>
      <w:sz w:val="21"/>
      <w:szCs w:val="21"/>
      <w:u w:val="none"/>
    </w:rPr>
  </w:style>
  <w:style w:type="character" w:customStyle="1" w:styleId="40">
    <w:name w:val="font21"/>
    <w:basedOn w:val="1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9526</Words>
  <Characters>10184</Characters>
  <Lines>316</Lines>
  <Paragraphs>88</Paragraphs>
  <TotalTime>9</TotalTime>
  <ScaleCrop>false</ScaleCrop>
  <LinksUpToDate>false</LinksUpToDate>
  <CharactersWithSpaces>10286</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覃普</cp:lastModifiedBy>
  <cp:lastPrinted>2021-01-15T01:17:00Z</cp:lastPrinted>
  <dcterms:modified xsi:type="dcterms:W3CDTF">2025-07-18T08:00:28Z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1D35441E0ED44CDAA276D758760C3890_12</vt:lpwstr>
  </property>
  <property fmtid="{D5CDD505-2E9C-101B-9397-08002B2CF9AE}" pid="4" name="KSOTemplateDocerSaveRecord">
    <vt:lpwstr>eyJoZGlkIjoiNGE3ZjU2M2NjZmFlYmQwYTc0ZDZkMjFmM2ExNmI5ZTQiLCJ1c2VySWQiOiIyMjQxNTg5MDcifQ==</vt:lpwstr>
  </property>
</Properties>
</file>