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pPr>
        <w:pStyle w:val="2"/>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8"/>
        <w:tblW w:w="7943" w:type="dxa"/>
        <w:jc w:val="center"/>
        <w:tblCellSpacing w:w="0" w:type="dxa"/>
        <w:tblLayout w:type="fixed"/>
        <w:tblCellMar>
          <w:top w:w="45" w:type="dxa"/>
          <w:left w:w="45" w:type="dxa"/>
          <w:bottom w:w="45" w:type="dxa"/>
          <w:right w:w="45" w:type="dxa"/>
        </w:tblCellMar>
      </w:tblPr>
      <w:tblGrid>
        <w:gridCol w:w="2723"/>
        <w:gridCol w:w="5220"/>
      </w:tblGrid>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pPr>
              <w:rPr>
                <w:sz w:val="30"/>
                <w:szCs w:val="30"/>
              </w:rPr>
            </w:pPr>
            <w:r>
              <w:rPr>
                <w:rFonts w:hint="eastAsia"/>
                <w:sz w:val="30"/>
                <w:szCs w:val="30"/>
              </w:rPr>
              <w:t>BAZXCG-2025-00291</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pPr>
              <w:rPr>
                <w:sz w:val="30"/>
                <w:szCs w:val="30"/>
              </w:rPr>
            </w:pPr>
            <w:r>
              <w:rPr>
                <w:rFonts w:hint="eastAsia"/>
                <w:sz w:val="30"/>
                <w:szCs w:val="30"/>
              </w:rPr>
              <w:t>深圳市宝安区会展城实验学校宿舍设备采购项目</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A</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货物类</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公开招标</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综合评分法</w:t>
            </w:r>
          </w:p>
        </w:tc>
      </w:tr>
      <w:bookmarkEnd w:id="0"/>
    </w:tbl>
    <w:p>
      <w:pPr>
        <w:pStyle w:val="16"/>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16"/>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lang w:val="en-US" w:eastAsia="zh-CN"/>
              </w:rPr>
              <w:t>不得</w:t>
            </w:r>
            <w:r>
              <w:rPr>
                <w:rFonts w:hint="eastAsia"/>
              </w:rPr>
              <w:t>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法律、法规、规章、规范性文件规定的其他情形。</w:t>
            </w:r>
          </w:p>
        </w:tc>
      </w:tr>
    </w:tbl>
    <w:p>
      <w:pPr>
        <w:pStyle w:val="16"/>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8"/>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jc w:val="left"/>
              <w:rPr>
                <w:rFonts w:ascii="宋体" w:hAnsi="Times New Roman" w:eastAsia="宋体" w:cs="Times New Roman"/>
                <w:b/>
                <w:bCs/>
                <w:sz w:val="24"/>
                <w:szCs w:val="24"/>
              </w:rPr>
            </w:pPr>
            <w:r>
              <w:rPr>
                <w:rFonts w:ascii="Times New Roman" w:hAnsi="Times New Roman" w:eastAsia="宋体" w:cs="Times New Roman"/>
                <w:b/>
                <w:bCs/>
                <w:szCs w:val="24"/>
              </w:rPr>
              <w:t>评标方法：综合评分法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spacing w:after="120"/>
              <w:rPr>
                <w:rFonts w:ascii="Times New Roman" w:hAnsi="Times New Roman" w:eastAsia="宋体" w:cs="Times New Roman"/>
                <w:szCs w:val="21"/>
              </w:rPr>
            </w:pPr>
          </w:p>
          <w:p>
            <w:pPr>
              <w:ind w:firstLine="420"/>
              <w:rPr>
                <w:rFonts w:ascii="Times New Roman" w:hAnsi="Times New Roman" w:eastAsia="宋体" w:cs="Times New Roman"/>
                <w:szCs w:val="21"/>
              </w:rPr>
            </w:pPr>
            <w:r>
              <w:rPr>
                <w:rFonts w:ascii="Times New Roman" w:hAnsi="Times New Roman" w:eastAsia="宋体" w:cs="Times New Roman"/>
                <w:szCs w:val="21"/>
              </w:rPr>
              <w:t>综合评分法，是指投标文件满足招标文件全部实质性要求，且按照评审因素的量化指标评审得分最高的投标人为中标候选人的评标方法。</w:t>
            </w:r>
          </w:p>
          <w:p>
            <w:pPr>
              <w:ind w:firstLine="420"/>
              <w:rPr>
                <w:rFonts w:ascii="Times New Roman" w:hAnsi="Times New Roman" w:eastAsia="宋体" w:cs="Times New Roman"/>
                <w:szCs w:val="21"/>
              </w:rPr>
            </w:pPr>
          </w:p>
          <w:p>
            <w:pPr>
              <w:ind w:firstLine="420"/>
              <w:rPr>
                <w:rFonts w:ascii="Times New Roman" w:hAnsi="Times New Roman" w:eastAsia="宋体" w:cs="Times New Roman"/>
                <w:szCs w:val="21"/>
              </w:rPr>
            </w:pPr>
            <w:r>
              <w:rPr>
                <w:rFonts w:ascii="Times New Roman" w:hAnsi="Times New Roman" w:eastAsia="宋体" w:cs="Times New Roman"/>
                <w:szCs w:val="21"/>
              </w:rPr>
              <w:t>价格分计算方法：</w:t>
            </w:r>
          </w:p>
          <w:p>
            <w:pPr>
              <w:widowControl/>
              <w:ind w:left="420"/>
              <w:jc w:val="left"/>
              <w:rPr>
                <w:rFonts w:ascii="Times New Roman" w:hAnsi="Times New Roman" w:eastAsia="宋体" w:cs="Times New Roman"/>
                <w:szCs w:val="21"/>
              </w:rPr>
            </w:pPr>
            <w:r>
              <w:rPr>
                <w:rFonts w:ascii="Times New Roman" w:hAnsi="Times New Roman" w:eastAsia="宋体" w:cs="Times New Roman"/>
                <w:szCs w:val="21"/>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szCs w:val="21"/>
              </w:rPr>
              <w:br w:type="textWrapping"/>
            </w:r>
            <w:r>
              <w:rPr>
                <w:rFonts w:ascii="Times New Roman" w:hAnsi="Times New Roman" w:eastAsia="宋体" w:cs="Times New Roman"/>
                <w:szCs w:val="21"/>
              </w:rPr>
              <w:t xml:space="preserve">投标报价得分=(评标基准价／投标报价)×100 </w:t>
            </w:r>
            <w:r>
              <w:rPr>
                <w:rFonts w:ascii="Times New Roman" w:hAnsi="Times New Roman" w:eastAsia="宋体" w:cs="Times New Roman"/>
                <w:szCs w:val="21"/>
              </w:rPr>
              <w:br w:type="textWrapping"/>
            </w:r>
            <w:r>
              <w:rPr>
                <w:rFonts w:ascii="Times New Roman" w:hAnsi="Times New Roman" w:eastAsia="宋体" w:cs="Times New Roman"/>
                <w:szCs w:val="21"/>
              </w:rPr>
              <w:t xml:space="preserve">评标总得分＝F1×A1＋F2×A2＋……＋Fn×An </w:t>
            </w:r>
            <w:r>
              <w:rPr>
                <w:rFonts w:ascii="Times New Roman" w:hAnsi="Times New Roman" w:eastAsia="宋体" w:cs="Times New Roman"/>
                <w:szCs w:val="21"/>
              </w:rPr>
              <w:br w:type="textWrapping"/>
            </w:r>
            <w:r>
              <w:rPr>
                <w:rFonts w:ascii="Times New Roman" w:hAnsi="Times New Roman" w:eastAsia="宋体" w:cs="Times New Roman"/>
                <w:szCs w:val="21"/>
              </w:rPr>
              <w:t xml:space="preserve">F1、F2……Fn分别为各项评审因素的得分； </w:t>
            </w:r>
            <w:r>
              <w:rPr>
                <w:rFonts w:ascii="Times New Roman" w:hAnsi="Times New Roman" w:eastAsia="宋体" w:cs="Times New Roman"/>
                <w:szCs w:val="21"/>
              </w:rPr>
              <w:br w:type="textWrapping"/>
            </w:r>
            <w:r>
              <w:rPr>
                <w:rFonts w:ascii="Times New Roman" w:hAnsi="Times New Roman" w:eastAsia="宋体" w:cs="Times New Roman"/>
                <w:szCs w:val="21"/>
              </w:rPr>
              <w:t xml:space="preserve">A1、A2、……An 分别为各项评审因素所占的权重(A1＋A2＋……＋An＝1)。 </w:t>
            </w:r>
            <w:r>
              <w:rPr>
                <w:rFonts w:ascii="Times New Roman" w:hAnsi="Times New Roman" w:eastAsia="宋体" w:cs="Times New Roman"/>
                <w:szCs w:val="21"/>
              </w:rPr>
              <w:br w:type="textWrapping"/>
            </w:r>
            <w:r>
              <w:rPr>
                <w:rFonts w:ascii="Times New Roman" w:hAnsi="Times New Roman" w:eastAsia="宋体" w:cs="Times New Roman"/>
                <w:szCs w:val="21"/>
              </w:rPr>
              <w:t>评标过程中，不得去掉报价中的最高报价和最低报价。</w:t>
            </w:r>
          </w:p>
          <w:p>
            <w:pPr>
              <w:widowControl/>
              <w:ind w:left="420"/>
              <w:jc w:val="left"/>
              <w:rPr>
                <w:rFonts w:ascii="Times New Roman" w:hAnsi="Times New Roman" w:eastAsia="宋体" w:cs="Times New Roman"/>
                <w:szCs w:val="21"/>
              </w:rPr>
            </w:pPr>
            <w:r>
              <w:rPr>
                <w:rFonts w:hint="eastAsia" w:ascii="Times New Roman" w:hAnsi="Times New Roman" w:eastAsia="宋体" w:cs="Times New Roman"/>
                <w:szCs w:val="21"/>
              </w:rPr>
              <w:t>因落实政策进行价格调整的，以调整后的价格计算评标基准价和投标报价。</w:t>
            </w:r>
          </w:p>
          <w:p>
            <w:pPr>
              <w:widowControl/>
              <w:spacing w:before="100" w:after="100"/>
              <w:ind w:left="420"/>
              <w:jc w:val="left"/>
              <w:rPr>
                <w:rFonts w:ascii="Times New Roman" w:hAnsi="Times New Roman" w:eastAsia="宋体" w:cs="Times New Roman"/>
                <w:kern w:val="0"/>
                <w:sz w:val="24"/>
                <w:szCs w:val="24"/>
                <w:lang w:bidi="ar"/>
              </w:rPr>
            </w:pPr>
            <w:r>
              <w:rPr>
                <w:rFonts w:hint="eastAsia" w:ascii="Times New Roman" w:hAnsi="Times New Roman" w:eastAsia="宋体" w:cs="Times New Roman"/>
                <w:b/>
                <w:bCs/>
                <w:color w:val="FF0000"/>
                <w:kern w:val="0"/>
                <w:szCs w:val="21"/>
                <w:lang w:bidi="ar"/>
              </w:rPr>
              <w:t>注：投标人的“投标技术响应”“技术要求偏离表中偏离情况”等必须与客观实际保持一致，响应不实且情节严重的，经查实，将依法记入供应商诚信档案或受到行政处罚。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rFonts w:ascii="Times New Roman" w:hAnsi="Times New Roman" w:eastAsia="宋体" w:cs="Times New Roman"/>
                <w:b/>
                <w:bCs/>
                <w:sz w:val="24"/>
                <w:szCs w:val="24"/>
              </w:rPr>
            </w:pPr>
            <w:bookmarkStart w:id="2" w:name="_Hlk72360569"/>
            <w:r>
              <w:rPr>
                <w:rFonts w:ascii="宋体" w:hAnsi="宋体" w:eastAsia="宋体" w:cs="宋体"/>
                <w:b/>
                <w:bCs/>
                <w:kern w:val="0"/>
                <w:sz w:val="24"/>
                <w:szCs w:val="24"/>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rFonts w:ascii="Times New Roman" w:hAnsi="Times New Roman" w:eastAsia="宋体" w:cs="Times New Roman"/>
                <w:b/>
                <w:bCs/>
                <w:sz w:val="24"/>
                <w:szCs w:val="24"/>
              </w:rPr>
            </w:pPr>
            <w:r>
              <w:rPr>
                <w:rFonts w:ascii="宋体" w:hAnsi="宋体" w:eastAsia="宋体" w:cs="宋体"/>
                <w:b/>
                <w:bCs/>
                <w:kern w:val="0"/>
                <w:sz w:val="24"/>
                <w:szCs w:val="24"/>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rFonts w:ascii="Times New Roman" w:hAnsi="Times New Roman" w:eastAsia="宋体" w:cs="Times New Roman"/>
                <w:b/>
                <w:bCs/>
                <w:sz w:val="24"/>
                <w:szCs w:val="24"/>
              </w:rPr>
            </w:pPr>
            <w:r>
              <w:rPr>
                <w:rFonts w:ascii="宋体" w:hAnsi="宋体" w:eastAsia="宋体" w:cs="宋体"/>
                <w:b/>
                <w:bCs/>
                <w:kern w:val="0"/>
                <w:sz w:val="24"/>
                <w:szCs w:val="24"/>
                <w:lang w:bidi="ar"/>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ascii="Times New Roman" w:hAnsi="Times New Roman" w:eastAsia="宋体" w:cs="Times New Roman"/>
                <w:b/>
                <w:bCs/>
                <w:color w:val="0000FF"/>
                <w:sz w:val="24"/>
                <w:szCs w:val="24"/>
              </w:rPr>
            </w:pPr>
            <w:r>
              <w:rPr>
                <w:rFonts w:ascii="宋体" w:hAnsi="宋体" w:eastAsia="宋体" w:cs="宋体"/>
                <w:b/>
                <w:bCs/>
                <w:color w:val="0000FF"/>
                <w:kern w:val="0"/>
                <w:sz w:val="24"/>
                <w:szCs w:val="24"/>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ascii="Times New Roman" w:hAnsi="Times New Roman" w:eastAsia="宋体" w:cs="Times New Roman"/>
                <w:b/>
                <w:bCs/>
                <w:color w:val="0000FF"/>
                <w:sz w:val="24"/>
                <w:szCs w:val="24"/>
              </w:rPr>
            </w:pPr>
            <w:r>
              <w:rPr>
                <w:rFonts w:ascii="宋体" w:hAnsi="宋体" w:eastAsia="宋体" w:cs="宋体"/>
                <w:b/>
                <w:bCs/>
                <w:color w:val="0000FF"/>
                <w:kern w:val="0"/>
                <w:sz w:val="24"/>
                <w:szCs w:val="24"/>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ascii="Times New Roman" w:hAnsi="Times New Roman" w:eastAsia="宋体" w:cs="Times New Roman"/>
                <w:b/>
                <w:bCs/>
                <w:color w:val="0000FF"/>
                <w:sz w:val="24"/>
                <w:szCs w:val="24"/>
              </w:rPr>
            </w:pPr>
            <w:r>
              <w:rPr>
                <w:rFonts w:ascii="宋体" w:hAnsi="宋体" w:eastAsia="宋体" w:cs="宋体"/>
                <w:b/>
                <w:bCs/>
                <w:color w:val="0000FF"/>
                <w:kern w:val="0"/>
                <w:sz w:val="24"/>
                <w:szCs w:val="24"/>
                <w:lang w:bidi="ar"/>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Times New Roman" w:eastAsia="宋体" w:cs="Times New Roman"/>
                <w:b/>
                <w:bCs/>
                <w:color w:val="0000FF"/>
                <w:sz w:val="24"/>
                <w:szCs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hAnsi="Times New Roman" w:eastAsia="宋体" w:cs="Times New Roman"/>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379" w:hRule="atLeast"/>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rFonts w:ascii="Times New Roman" w:hAnsi="Times New Roman" w:eastAsia="宋体" w:cs="Times New Roman"/>
                <w:b/>
                <w:bCs/>
                <w:color w:val="0000FF"/>
                <w:sz w:val="24"/>
                <w:szCs w:val="24"/>
              </w:rPr>
            </w:pPr>
            <w:r>
              <w:rPr>
                <w:rFonts w:ascii="宋体" w:hAnsi="宋体" w:eastAsia="宋体" w:cs="宋体"/>
                <w:b/>
                <w:bCs/>
                <w:color w:val="0000FF"/>
                <w:kern w:val="0"/>
                <w:sz w:val="24"/>
                <w:szCs w:val="24"/>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ascii="Times New Roman" w:hAnsi="Times New Roman" w:eastAsia="宋体" w:cs="Times New Roman"/>
                <w:b/>
                <w:bCs/>
                <w:color w:val="0000FF"/>
                <w:sz w:val="24"/>
                <w:szCs w:val="24"/>
              </w:rPr>
            </w:pPr>
            <w:r>
              <w:rPr>
                <w:rFonts w:ascii="宋体" w:hAnsi="宋体" w:eastAsia="宋体" w:cs="宋体"/>
                <w:b/>
                <w:bCs/>
                <w:color w:val="0000FF"/>
                <w:kern w:val="0"/>
                <w:sz w:val="24"/>
                <w:szCs w:val="24"/>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ascii="Times New Roman" w:hAnsi="Times New Roman" w:eastAsia="宋体" w:cs="Times New Roman"/>
                <w:b/>
                <w:bCs/>
                <w:color w:val="0000FF"/>
                <w:sz w:val="24"/>
                <w:szCs w:val="24"/>
              </w:rPr>
            </w:pPr>
            <w:r>
              <w:rPr>
                <w:rFonts w:hint="eastAsia" w:ascii="Times New Roman" w:hAnsi="Times New Roman" w:eastAsia="宋体" w:cs="Times New Roman"/>
                <w:b/>
                <w:bCs/>
                <w:color w:val="0000FF"/>
                <w:sz w:val="24"/>
                <w:szCs w:val="24"/>
              </w:rPr>
              <w:t>52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hAnsi="Times New Roman" w:eastAsia="宋体" w:cs="Times New Roman"/>
                <w:b/>
                <w:bCs/>
                <w:color w:val="0000FF"/>
                <w:sz w:val="24"/>
                <w:szCs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hAnsi="Times New Roman" w:eastAsia="宋体" w:cs="Times New Roman"/>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ascii="宋体" w:hAnsi="Times New Roman" w:eastAsia="宋体" w:cs="Times New Roman"/>
                <w:b/>
                <w:bCs/>
                <w:color w:val="0000FF"/>
                <w:sz w:val="24"/>
                <w:szCs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ascii="Times New Roman" w:hAnsi="Times New Roman" w:eastAsia="宋体" w:cs="Times New Roman"/>
                <w:szCs w:val="21"/>
              </w:rPr>
            </w:pPr>
            <w:r>
              <w:rPr>
                <w:rFonts w:ascii="宋体" w:hAnsi="宋体" w:eastAsia="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ascii="Times New Roman" w:hAnsi="Times New Roman" w:eastAsia="宋体" w:cs="Times New Roman"/>
                <w:szCs w:val="21"/>
              </w:rPr>
            </w:pPr>
            <w:r>
              <w:rPr>
                <w:rFonts w:ascii="宋体" w:hAnsi="宋体" w:eastAsia="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ascii="Times New Roman" w:hAnsi="Times New Roman" w:eastAsia="宋体" w:cs="Times New Roman"/>
                <w:szCs w:val="21"/>
              </w:rPr>
            </w:pPr>
            <w:r>
              <w:rPr>
                <w:rFonts w:ascii="宋体" w:hAnsi="宋体" w:eastAsia="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ascii="Times New Roman" w:hAnsi="Times New Roman" w:eastAsia="宋体" w:cs="Times New Roman"/>
                <w:szCs w:val="21"/>
              </w:rPr>
            </w:pPr>
            <w:r>
              <w:rPr>
                <w:rFonts w:ascii="宋体" w:hAnsi="宋体" w:eastAsia="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hAnsi="Times New Roman" w:eastAsia="宋体" w:cs="Times New Roman"/>
                <w:b/>
                <w:bCs/>
                <w:color w:val="0000FF"/>
                <w:sz w:val="24"/>
                <w:szCs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ascii="Times New Roman" w:hAnsi="Times New Roman" w:eastAsia="宋体" w:cs="Times New Roman"/>
                <w:szCs w:val="21"/>
              </w:rPr>
            </w:pPr>
            <w:r>
              <w:rPr>
                <w:rFonts w:ascii="宋体" w:hAnsi="宋体" w:eastAsia="宋体" w:cs="宋体"/>
                <w:kern w:val="0"/>
                <w:szCs w:val="21"/>
                <w:lang w:bidi="ar"/>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宋体" w:hAnsi="宋体" w:eastAsia="宋体" w:cs="宋体"/>
                <w:b/>
                <w:szCs w:val="21"/>
              </w:rPr>
            </w:pPr>
            <w:r>
              <w:rPr>
                <w:rFonts w:hint="eastAsia" w:ascii="宋体" w:hAnsi="宋体" w:eastAsia="宋体" w:cs="Times New Roman"/>
                <w:bCs/>
                <w:szCs w:val="21"/>
              </w:rPr>
              <w:t>“▲”参数响应</w:t>
            </w:r>
            <w:r>
              <w:rPr>
                <w:rFonts w:ascii="宋体" w:hAnsi="宋体" w:eastAsia="宋体" w:cs="Times New Roman"/>
                <w:bCs/>
                <w:szCs w:val="21"/>
              </w:rPr>
              <w:t>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ascii="Times New Roman" w:hAnsi="Times New Roman" w:eastAsia="宋体" w:cs="Times New Roman"/>
                <w:szCs w:val="21"/>
              </w:rPr>
            </w:pPr>
            <w:r>
              <w:rPr>
                <w:rFonts w:hint="eastAsia" w:ascii="Times New Roman" w:hAnsi="Times New Roman" w:eastAsia="宋体" w:cs="Times New Roman"/>
                <w:szCs w:val="21"/>
              </w:rPr>
              <w:t>30</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snapToGrid w:val="0"/>
              <w:rPr>
                <w:rFonts w:ascii="宋体" w:hAnsi="宋体" w:eastAsia="宋体" w:cs="宋体"/>
                <w:kern w:val="0"/>
                <w:szCs w:val="21"/>
              </w:rPr>
            </w:pPr>
            <w:r>
              <w:rPr>
                <w:rFonts w:hint="eastAsia" w:ascii="宋体" w:hAnsi="宋体" w:eastAsia="宋体" w:cs="宋体"/>
                <w:kern w:val="0"/>
                <w:szCs w:val="21"/>
              </w:rPr>
              <w:t>（一）评审内容：</w:t>
            </w:r>
          </w:p>
          <w:p>
            <w:pPr>
              <w:snapToGrid w:val="0"/>
              <w:rPr>
                <w:rFonts w:ascii="宋体" w:hAnsi="宋体" w:eastAsia="宋体" w:cs="宋体"/>
                <w:kern w:val="0"/>
                <w:szCs w:val="21"/>
              </w:rPr>
            </w:pPr>
            <w:r>
              <w:rPr>
                <w:rFonts w:hint="eastAsia" w:ascii="宋体" w:hAnsi="宋体" w:eastAsia="宋体" w:cs="宋体"/>
                <w:kern w:val="0"/>
                <w:szCs w:val="21"/>
              </w:rPr>
              <w:t>考察投标人对招标文件</w:t>
            </w:r>
            <w:r>
              <w:rPr>
                <w:rFonts w:hint="eastAsia" w:ascii="宋体" w:hAnsi="宋体" w:eastAsia="宋体" w:cs="宋体"/>
                <w:b/>
                <w:bCs/>
                <w:kern w:val="0"/>
                <w:szCs w:val="21"/>
              </w:rPr>
              <w:t>《第一册 专用条款 第三章 用户需求书：四、技术要求》</w:t>
            </w:r>
            <w:r>
              <w:rPr>
                <w:rFonts w:hint="eastAsia" w:ascii="宋体" w:hAnsi="宋体" w:eastAsia="宋体" w:cs="宋体"/>
                <w:kern w:val="0"/>
                <w:szCs w:val="21"/>
              </w:rPr>
              <w:t>内容中的</w:t>
            </w:r>
            <w:r>
              <w:rPr>
                <w:rFonts w:hint="eastAsia" w:ascii="宋体" w:hAnsi="宋体" w:eastAsia="宋体" w:cs="宋体"/>
                <w:b/>
                <w:bCs/>
                <w:kern w:val="0"/>
                <w:szCs w:val="21"/>
              </w:rPr>
              <w:t>“▲”参数响应</w:t>
            </w:r>
            <w:r>
              <w:rPr>
                <w:rFonts w:hint="eastAsia" w:ascii="宋体" w:hAnsi="宋体" w:eastAsia="宋体" w:cs="宋体"/>
                <w:kern w:val="0"/>
                <w:szCs w:val="21"/>
              </w:rPr>
              <w:t>情况。</w:t>
            </w:r>
          </w:p>
          <w:p>
            <w:pPr>
              <w:snapToGrid w:val="0"/>
              <w:rPr>
                <w:rFonts w:ascii="宋体" w:hAnsi="宋体" w:eastAsia="宋体" w:cs="宋体"/>
                <w:color w:val="0000FF"/>
                <w:kern w:val="0"/>
                <w:szCs w:val="21"/>
              </w:rPr>
            </w:pPr>
            <w:r>
              <w:rPr>
                <w:rFonts w:hint="eastAsia" w:ascii="宋体" w:hAnsi="宋体" w:eastAsia="宋体" w:cs="宋体"/>
                <w:color w:val="0000FF"/>
                <w:kern w:val="0"/>
                <w:szCs w:val="21"/>
              </w:rPr>
              <w:t>（二）评审依据：</w:t>
            </w:r>
          </w:p>
          <w:p>
            <w:pPr>
              <w:snapToGrid w:val="0"/>
              <w:rPr>
                <w:rFonts w:ascii="宋体" w:hAnsi="宋体" w:eastAsia="宋体" w:cs="宋体"/>
                <w:szCs w:val="21"/>
              </w:rPr>
            </w:pPr>
            <w:r>
              <w:rPr>
                <w:rFonts w:hint="eastAsia" w:ascii="宋体" w:hAnsi="宋体" w:eastAsia="宋体" w:cs="宋体"/>
                <w:color w:val="0000FF"/>
                <w:kern w:val="0"/>
                <w:szCs w:val="21"/>
              </w:rPr>
              <w:t>以投标文件《技术要求偏离表》为评审依据，完全符合招标要求的，得100分。每1项“▲”参数不符合招标要求（或缺漏）的扣</w:t>
            </w:r>
            <w:r>
              <w:rPr>
                <w:rFonts w:hint="eastAsia" w:ascii="宋体" w:hAnsi="宋体" w:eastAsia="宋体" w:cs="宋体"/>
                <w:color w:val="0000FF"/>
                <w:kern w:val="0"/>
                <w:szCs w:val="21"/>
                <w:lang w:val="en-US" w:eastAsia="zh-CN"/>
              </w:rPr>
              <w:t>12.5</w:t>
            </w:r>
            <w:r>
              <w:rPr>
                <w:rFonts w:hint="eastAsia" w:ascii="宋体" w:hAnsi="宋体" w:eastAsia="宋体" w:cs="宋体"/>
                <w:color w:val="0000FF"/>
                <w:kern w:val="0"/>
                <w:szCs w:val="21"/>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hAnsi="Times New Roman" w:eastAsia="宋体" w:cs="Times New Roman"/>
                <w:b/>
                <w:bCs/>
                <w:color w:val="0000FF"/>
                <w:sz w:val="24"/>
                <w:szCs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ascii="宋体" w:hAnsi="宋体" w:eastAsia="宋体" w:cs="宋体"/>
                <w:kern w:val="0"/>
                <w:szCs w:val="21"/>
                <w:lang w:bidi="ar"/>
              </w:rPr>
            </w:pPr>
            <w:r>
              <w:rPr>
                <w:rFonts w:hint="eastAsia" w:ascii="宋体" w:hAnsi="宋体" w:eastAsia="宋体" w:cs="宋体"/>
                <w:kern w:val="0"/>
                <w:szCs w:val="21"/>
                <w:lang w:bidi="ar"/>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宋体" w:hAnsi="宋体" w:eastAsia="宋体" w:cs="宋体"/>
                <w:szCs w:val="21"/>
              </w:rPr>
            </w:pPr>
            <w:r>
              <w:rPr>
                <w:rFonts w:hint="eastAsia" w:ascii="宋体" w:hAnsi="宋体" w:eastAsia="宋体" w:cs="Times New Roman"/>
                <w:szCs w:val="21"/>
              </w:rPr>
              <w:t>非“</w:t>
            </w:r>
            <w:r>
              <w:rPr>
                <w:rFonts w:hint="eastAsia" w:ascii="宋体" w:hAnsi="宋体" w:eastAsia="宋体" w:cs="Times New Roman"/>
                <w:bCs/>
                <w:szCs w:val="21"/>
              </w:rPr>
              <w:t>▲”参数</w:t>
            </w:r>
            <w:r>
              <w:rPr>
                <w:rFonts w:hint="eastAsia" w:ascii="宋体" w:hAnsi="宋体" w:eastAsia="宋体" w:cs="Times New Roman"/>
                <w:szCs w:val="21"/>
              </w:rPr>
              <w:t>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ascii="Times New Roman" w:hAnsi="Times New Roman" w:eastAsia="宋体" w:cs="Times New Roman"/>
                <w:szCs w:val="21"/>
              </w:rPr>
            </w:pPr>
            <w:r>
              <w:rPr>
                <w:rFonts w:hint="eastAsia" w:ascii="Times New Roman" w:hAnsi="Times New Roman" w:eastAsia="宋体" w:cs="Times New Roman"/>
                <w:szCs w:val="21"/>
              </w:rPr>
              <w:t>11</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widowControl/>
              <w:spacing w:line="300" w:lineRule="exact"/>
              <w:jc w:val="left"/>
              <w:rPr>
                <w:rFonts w:ascii="宋体" w:hAnsi="宋体" w:eastAsia="宋体" w:cs="宋体"/>
                <w:kern w:val="0"/>
                <w:szCs w:val="21"/>
              </w:rPr>
            </w:pPr>
            <w:r>
              <w:rPr>
                <w:rFonts w:hint="eastAsia" w:ascii="宋体" w:hAnsi="宋体" w:eastAsia="宋体" w:cs="宋体"/>
                <w:kern w:val="0"/>
                <w:szCs w:val="21"/>
              </w:rPr>
              <w:t>（一）评审内容：</w:t>
            </w:r>
          </w:p>
          <w:p>
            <w:pPr>
              <w:widowControl/>
              <w:spacing w:line="300" w:lineRule="exact"/>
              <w:jc w:val="left"/>
              <w:rPr>
                <w:rFonts w:ascii="宋体" w:hAnsi="宋体" w:eastAsia="宋体" w:cs="宋体"/>
                <w:kern w:val="0"/>
                <w:szCs w:val="21"/>
              </w:rPr>
            </w:pPr>
            <w:r>
              <w:rPr>
                <w:rFonts w:hint="eastAsia" w:ascii="宋体" w:hAnsi="宋体" w:eastAsia="宋体" w:cs="宋体"/>
                <w:kern w:val="0"/>
                <w:szCs w:val="21"/>
              </w:rPr>
              <w:t>考察投标人对招标文件</w:t>
            </w:r>
            <w:r>
              <w:rPr>
                <w:rFonts w:hint="eastAsia" w:ascii="宋体" w:hAnsi="宋体" w:eastAsia="宋体" w:cs="宋体"/>
                <w:b/>
                <w:bCs/>
                <w:kern w:val="0"/>
                <w:szCs w:val="21"/>
              </w:rPr>
              <w:t>《第一册 专用条款 第三章 用户需求书：四、技术要求》</w:t>
            </w:r>
            <w:r>
              <w:rPr>
                <w:rFonts w:hint="eastAsia" w:ascii="宋体" w:hAnsi="宋体" w:eastAsia="宋体" w:cs="宋体"/>
                <w:kern w:val="0"/>
                <w:szCs w:val="21"/>
              </w:rPr>
              <w:t>内容中的</w:t>
            </w:r>
            <w:r>
              <w:rPr>
                <w:rFonts w:hint="eastAsia" w:ascii="宋体" w:hAnsi="宋体" w:eastAsia="宋体" w:cs="宋体"/>
                <w:b/>
                <w:kern w:val="0"/>
                <w:szCs w:val="21"/>
              </w:rPr>
              <w:t>非“▲”参数响应</w:t>
            </w:r>
            <w:r>
              <w:rPr>
                <w:rFonts w:hint="eastAsia" w:ascii="宋体" w:hAnsi="宋体" w:eastAsia="宋体" w:cs="宋体"/>
                <w:kern w:val="0"/>
                <w:szCs w:val="21"/>
              </w:rPr>
              <w:t>情况。</w:t>
            </w:r>
          </w:p>
          <w:p>
            <w:pPr>
              <w:spacing w:line="300" w:lineRule="exact"/>
              <w:rPr>
                <w:rFonts w:ascii="宋体" w:hAnsi="宋体" w:eastAsia="宋体" w:cs="宋体"/>
                <w:color w:val="0000FF"/>
                <w:szCs w:val="21"/>
              </w:rPr>
            </w:pPr>
            <w:r>
              <w:rPr>
                <w:rFonts w:hint="eastAsia" w:ascii="宋体" w:hAnsi="宋体" w:eastAsia="宋体" w:cs="宋体"/>
                <w:color w:val="0000FF"/>
                <w:szCs w:val="21"/>
              </w:rPr>
              <w:t>（二）评审依据：</w:t>
            </w:r>
          </w:p>
          <w:p>
            <w:pPr>
              <w:autoSpaceDE w:val="0"/>
              <w:autoSpaceDN w:val="0"/>
              <w:adjustRightInd w:val="0"/>
              <w:spacing w:line="300" w:lineRule="exact"/>
              <w:jc w:val="left"/>
              <w:rPr>
                <w:rFonts w:ascii="宋体" w:hAnsi="宋体" w:eastAsia="宋体" w:cs="宋体"/>
                <w:szCs w:val="21"/>
              </w:rPr>
            </w:pPr>
            <w:r>
              <w:rPr>
                <w:rFonts w:hint="eastAsia" w:ascii="宋体" w:hAnsi="宋体" w:eastAsia="宋体" w:cs="宋体"/>
                <w:color w:val="0000FF"/>
                <w:kern w:val="0"/>
                <w:szCs w:val="21"/>
              </w:rPr>
              <w:t>以投标文件《技术要求偏离表》为评审依据，完全符合招标要求的，得100分。每1项非“▲”参数不符合招标要求（或缺漏）的扣</w:t>
            </w:r>
            <w:r>
              <w:rPr>
                <w:rFonts w:hint="eastAsia" w:ascii="宋体" w:hAnsi="宋体" w:eastAsia="宋体" w:cs="宋体"/>
                <w:color w:val="0000FF"/>
                <w:kern w:val="0"/>
                <w:szCs w:val="21"/>
                <w:lang w:val="en-US" w:eastAsia="zh-CN"/>
              </w:rPr>
              <w:t>3.23</w:t>
            </w:r>
            <w:r>
              <w:rPr>
                <w:rFonts w:hint="eastAsia" w:ascii="宋体" w:hAnsi="宋体" w:eastAsia="宋体" w:cs="宋体"/>
                <w:color w:val="0000FF"/>
                <w:kern w:val="0"/>
                <w:szCs w:val="21"/>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hAnsi="Times New Roman" w:eastAsia="宋体" w:cs="Times New Roman"/>
                <w:b/>
                <w:bCs/>
                <w:color w:val="0000FF"/>
                <w:sz w:val="24"/>
                <w:szCs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ascii="宋体" w:hAnsi="宋体" w:eastAsia="宋体" w:cs="宋体"/>
                <w:kern w:val="0"/>
                <w:szCs w:val="21"/>
                <w:lang w:bidi="ar"/>
              </w:rPr>
            </w:pPr>
            <w:r>
              <w:rPr>
                <w:rFonts w:hint="eastAsia" w:ascii="宋体" w:hAnsi="宋体" w:eastAsia="宋体" w:cs="宋体"/>
                <w:kern w:val="0"/>
                <w:szCs w:val="21"/>
                <w:lang w:bidi="ar"/>
              </w:rPr>
              <w:t>3</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宋体" w:cs="Times New Roman"/>
                <w:szCs w:val="24"/>
              </w:rPr>
            </w:pPr>
            <w:r>
              <w:rPr>
                <w:rFonts w:hint="eastAsia" w:ascii="Times New Roman" w:hAnsi="Times New Roman" w:eastAsia="宋体" w:cs="Times New Roman"/>
                <w:szCs w:val="24"/>
              </w:rPr>
              <w:t>项目组织实施方案的评价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宋体" w:cs="Times New Roman"/>
                <w:szCs w:val="24"/>
              </w:rPr>
            </w:pPr>
            <w:r>
              <w:rPr>
                <w:rFonts w:hint="eastAsia" w:ascii="Times New Roman" w:hAnsi="Times New Roman" w:eastAsia="宋体" w:cs="Times New Roman"/>
                <w:szCs w:val="24"/>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numPr>
                <w:ilvl w:val="0"/>
                <w:numId w:val="1"/>
              </w:numPr>
              <w:rPr>
                <w:rFonts w:ascii="Times New Roman" w:hAnsi="Times New Roman" w:eastAsia="宋体" w:cs="Times New Roman"/>
                <w:szCs w:val="24"/>
              </w:rPr>
            </w:pPr>
            <w:r>
              <w:rPr>
                <w:rFonts w:hint="eastAsia" w:ascii="Times New Roman" w:hAnsi="Times New Roman" w:eastAsia="宋体" w:cs="Times New Roman"/>
                <w:szCs w:val="24"/>
              </w:rPr>
              <w:t>评审内容：</w:t>
            </w:r>
          </w:p>
          <w:p>
            <w:pPr>
              <w:numPr>
                <w:ilvl w:val="255"/>
                <w:numId w:val="0"/>
              </w:numPr>
              <w:rPr>
                <w:rFonts w:ascii="Times New Roman" w:hAnsi="Times New Roman" w:eastAsia="宋体" w:cs="Times New Roman"/>
                <w:szCs w:val="24"/>
              </w:rPr>
            </w:pPr>
            <w:r>
              <w:rPr>
                <w:rFonts w:hint="eastAsia" w:ascii="Times New Roman" w:hAnsi="Times New Roman" w:eastAsia="宋体" w:cs="Times New Roman"/>
                <w:szCs w:val="24"/>
              </w:rPr>
              <w:t>投标人提供本项目的组织实施方案，方案中应包含：</w:t>
            </w:r>
          </w:p>
          <w:p>
            <w:pPr>
              <w:numPr>
                <w:ilvl w:val="0"/>
                <w:numId w:val="2"/>
              </w:numPr>
              <w:rPr>
                <w:rFonts w:ascii="Times New Roman" w:hAnsi="Times New Roman" w:eastAsia="宋体" w:cs="Times New Roman"/>
                <w:szCs w:val="24"/>
              </w:rPr>
            </w:pPr>
            <w:r>
              <w:rPr>
                <w:rFonts w:hint="eastAsia" w:ascii="Times New Roman" w:hAnsi="Times New Roman" w:eastAsia="宋体" w:cs="Times New Roman"/>
                <w:szCs w:val="24"/>
              </w:rPr>
              <w:t xml:space="preserve">项目进度计划安排 </w:t>
            </w:r>
          </w:p>
          <w:p>
            <w:pPr>
              <w:numPr>
                <w:ilvl w:val="0"/>
                <w:numId w:val="2"/>
              </w:numPr>
              <w:rPr>
                <w:rFonts w:ascii="Times New Roman" w:hAnsi="Times New Roman" w:eastAsia="宋体" w:cs="Times New Roman"/>
                <w:szCs w:val="24"/>
              </w:rPr>
            </w:pPr>
            <w:r>
              <w:rPr>
                <w:rFonts w:hint="eastAsia" w:ascii="Times New Roman" w:hAnsi="Times New Roman" w:eastAsia="宋体" w:cs="Times New Roman"/>
                <w:szCs w:val="24"/>
              </w:rPr>
              <w:t xml:space="preserve">施工组织计划 </w:t>
            </w:r>
          </w:p>
          <w:p>
            <w:pPr>
              <w:numPr>
                <w:ilvl w:val="0"/>
                <w:numId w:val="2"/>
              </w:numPr>
              <w:rPr>
                <w:rFonts w:ascii="Times New Roman" w:hAnsi="Times New Roman" w:eastAsia="宋体" w:cs="Times New Roman"/>
                <w:szCs w:val="24"/>
              </w:rPr>
            </w:pPr>
            <w:r>
              <w:rPr>
                <w:rFonts w:hint="eastAsia" w:ascii="Times New Roman" w:hAnsi="Times New Roman" w:eastAsia="宋体" w:cs="Times New Roman"/>
                <w:szCs w:val="24"/>
              </w:rPr>
              <w:t xml:space="preserve">验收组织计划 </w:t>
            </w:r>
          </w:p>
          <w:p>
            <w:pPr>
              <w:numPr>
                <w:ilvl w:val="0"/>
                <w:numId w:val="2"/>
              </w:numPr>
              <w:rPr>
                <w:rFonts w:ascii="Times New Roman" w:hAnsi="Times New Roman" w:eastAsia="宋体" w:cs="Times New Roman"/>
                <w:szCs w:val="24"/>
              </w:rPr>
            </w:pPr>
            <w:r>
              <w:rPr>
                <w:rFonts w:hint="eastAsia" w:ascii="Times New Roman" w:hAnsi="Times New Roman" w:eastAsia="宋体" w:cs="Times New Roman"/>
                <w:szCs w:val="24"/>
              </w:rPr>
              <w:t xml:space="preserve">产品培训方案 </w:t>
            </w:r>
          </w:p>
          <w:p>
            <w:pPr>
              <w:numPr>
                <w:ilvl w:val="0"/>
                <w:numId w:val="1"/>
              </w:numPr>
              <w:rPr>
                <w:rFonts w:ascii="Times New Roman" w:hAnsi="Times New Roman" w:eastAsia="宋体" w:cs="Times New Roman"/>
                <w:szCs w:val="24"/>
              </w:rPr>
            </w:pPr>
            <w:r>
              <w:rPr>
                <w:rFonts w:hint="eastAsia" w:ascii="Times New Roman" w:hAnsi="Times New Roman" w:eastAsia="宋体" w:cs="Times New Roman"/>
                <w:szCs w:val="24"/>
              </w:rPr>
              <w:t>评审标准：</w:t>
            </w:r>
          </w:p>
          <w:p>
            <w:pPr>
              <w:numPr>
                <w:ilvl w:val="255"/>
                <w:numId w:val="0"/>
              </w:numPr>
              <w:rPr>
                <w:rFonts w:ascii="Times New Roman" w:hAnsi="Times New Roman" w:eastAsia="宋体" w:cs="Times New Roman"/>
                <w:szCs w:val="24"/>
              </w:rPr>
            </w:pPr>
            <w:r>
              <w:rPr>
                <w:rFonts w:hint="eastAsia" w:ascii="Times New Roman" w:hAnsi="Times New Roman" w:eastAsia="宋体" w:cs="Times New Roman"/>
                <w:szCs w:val="24"/>
              </w:rPr>
              <w:t>1.方案中含有上述任意一个内容得15分，最高得60分。</w:t>
            </w:r>
          </w:p>
          <w:p>
            <w:pPr>
              <w:numPr>
                <w:ilvl w:val="255"/>
                <w:numId w:val="0"/>
              </w:numPr>
              <w:rPr>
                <w:rFonts w:ascii="Times New Roman" w:hAnsi="Times New Roman" w:eastAsia="宋体" w:cs="Times New Roman"/>
                <w:szCs w:val="24"/>
              </w:rPr>
            </w:pPr>
            <w:r>
              <w:rPr>
                <w:rFonts w:hint="eastAsia" w:ascii="Times New Roman" w:hAnsi="Times New Roman" w:eastAsia="宋体" w:cs="Times New Roman"/>
                <w:szCs w:val="24"/>
              </w:rPr>
              <w:t>2.在此基础上，对方案的合理性、可行性进行打分：</w:t>
            </w:r>
          </w:p>
          <w:p>
            <w:pPr>
              <w:numPr>
                <w:ilvl w:val="255"/>
                <w:numId w:val="0"/>
              </w:numPr>
              <w:ind w:left="105"/>
              <w:rPr>
                <w:rFonts w:ascii="Times New Roman" w:hAnsi="Times New Roman" w:eastAsia="宋体" w:cs="Times New Roman"/>
                <w:szCs w:val="24"/>
              </w:rPr>
            </w:pPr>
            <w:r>
              <w:rPr>
                <w:rFonts w:hint="eastAsia" w:ascii="Times New Roman" w:hAnsi="Times New Roman" w:eastAsia="宋体" w:cs="Times New Roman"/>
                <w:szCs w:val="24"/>
              </w:rPr>
              <w:t xml:space="preserve">（1）方案清晰周密、合理可行、表述完整、方法得当、技术先进、符合相关规范要求得40分。 </w:t>
            </w:r>
          </w:p>
          <w:p>
            <w:pPr>
              <w:numPr>
                <w:ilvl w:val="255"/>
                <w:numId w:val="0"/>
              </w:numPr>
              <w:ind w:left="105"/>
              <w:rPr>
                <w:rFonts w:ascii="Times New Roman" w:hAnsi="Times New Roman" w:eastAsia="宋体" w:cs="Times New Roman"/>
                <w:szCs w:val="24"/>
              </w:rPr>
            </w:pPr>
            <w:r>
              <w:rPr>
                <w:rFonts w:hint="eastAsia" w:ascii="Times New Roman" w:hAnsi="Times New Roman" w:eastAsia="宋体" w:cs="Times New Roman"/>
                <w:szCs w:val="24"/>
              </w:rPr>
              <w:t xml:space="preserve">（2）方案基本可行表述基本完整得20分。 </w:t>
            </w:r>
          </w:p>
          <w:p>
            <w:pPr>
              <w:numPr>
                <w:ilvl w:val="255"/>
                <w:numId w:val="0"/>
              </w:numPr>
              <w:ind w:left="105"/>
              <w:rPr>
                <w:rFonts w:ascii="Times New Roman" w:hAnsi="Times New Roman" w:eastAsia="宋体" w:cs="Times New Roman"/>
                <w:szCs w:val="24"/>
              </w:rPr>
            </w:pPr>
            <w:r>
              <w:rPr>
                <w:rFonts w:hint="eastAsia" w:ascii="Times New Roman" w:hAnsi="Times New Roman" w:eastAsia="宋体" w:cs="Times New Roman"/>
                <w:szCs w:val="24"/>
              </w:rPr>
              <w:t xml:space="preserve">（3）未提供或方案计划不切合本项目的实际情况、合理完善性差、可行性差的对应项不得分。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hAnsi="Times New Roman" w:eastAsia="宋体" w:cs="Times New Roman"/>
                <w:b/>
                <w:bCs/>
                <w:color w:val="0000FF"/>
                <w:sz w:val="24"/>
                <w:szCs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ascii="宋体" w:hAnsi="宋体" w:eastAsia="宋体" w:cs="宋体"/>
                <w:kern w:val="0"/>
                <w:szCs w:val="21"/>
                <w:lang w:bidi="ar"/>
              </w:rPr>
            </w:pPr>
            <w:r>
              <w:rPr>
                <w:rFonts w:hint="eastAsia" w:ascii="宋体" w:hAnsi="宋体" w:eastAsia="宋体" w:cs="宋体"/>
                <w:kern w:val="0"/>
                <w:szCs w:val="21"/>
                <w:lang w:bidi="ar"/>
              </w:rPr>
              <w:t>4</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宋体" w:cs="Times New Roman"/>
                <w:szCs w:val="24"/>
              </w:rPr>
            </w:pPr>
            <w:r>
              <w:rPr>
                <w:rFonts w:hint="eastAsia" w:ascii="Times New Roman" w:hAnsi="Times New Roman" w:eastAsia="宋体" w:cs="Times New Roman"/>
                <w:szCs w:val="24"/>
              </w:rPr>
              <w:t>售后服务评价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宋体" w:cs="Times New Roman"/>
                <w:szCs w:val="24"/>
              </w:rPr>
            </w:pPr>
            <w:r>
              <w:rPr>
                <w:rFonts w:hint="eastAsia" w:ascii="Times New Roman" w:hAnsi="Times New Roman" w:eastAsia="宋体" w:cs="Times New Roman"/>
                <w:szCs w:val="24"/>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numPr>
                <w:ilvl w:val="0"/>
                <w:numId w:val="3"/>
              </w:numPr>
              <w:rPr>
                <w:rFonts w:ascii="Times New Roman" w:hAnsi="Times New Roman" w:eastAsia="宋体" w:cs="Times New Roman"/>
                <w:szCs w:val="24"/>
              </w:rPr>
            </w:pPr>
            <w:r>
              <w:rPr>
                <w:rFonts w:hint="eastAsia" w:ascii="Times New Roman" w:hAnsi="Times New Roman" w:eastAsia="宋体" w:cs="Times New Roman"/>
                <w:szCs w:val="24"/>
              </w:rPr>
              <w:t>评审内容：</w:t>
            </w:r>
          </w:p>
          <w:p>
            <w:pPr>
              <w:numPr>
                <w:ilvl w:val="255"/>
                <w:numId w:val="0"/>
              </w:numPr>
              <w:rPr>
                <w:rFonts w:ascii="Times New Roman" w:hAnsi="Times New Roman" w:eastAsia="宋体" w:cs="Times New Roman"/>
                <w:szCs w:val="24"/>
              </w:rPr>
            </w:pPr>
            <w:r>
              <w:rPr>
                <w:rFonts w:hint="eastAsia" w:ascii="Times New Roman" w:hAnsi="Times New Roman" w:eastAsia="宋体" w:cs="Times New Roman"/>
                <w:szCs w:val="24"/>
              </w:rPr>
              <w:t>投标人提供本项目的售后服务方案，方案中应包含：</w:t>
            </w:r>
          </w:p>
          <w:p>
            <w:pPr>
              <w:numPr>
                <w:ilvl w:val="0"/>
                <w:numId w:val="4"/>
              </w:numPr>
              <w:rPr>
                <w:rFonts w:ascii="Times New Roman" w:hAnsi="Times New Roman" w:eastAsia="宋体" w:cs="Times New Roman"/>
                <w:szCs w:val="24"/>
              </w:rPr>
            </w:pPr>
            <w:r>
              <w:rPr>
                <w:rFonts w:hint="eastAsia" w:ascii="Times New Roman" w:hAnsi="Times New Roman" w:eastAsia="宋体" w:cs="Times New Roman"/>
                <w:szCs w:val="24"/>
              </w:rPr>
              <w:t xml:space="preserve">服务内容 </w:t>
            </w:r>
          </w:p>
          <w:p>
            <w:pPr>
              <w:numPr>
                <w:ilvl w:val="0"/>
                <w:numId w:val="4"/>
              </w:numPr>
              <w:rPr>
                <w:rFonts w:ascii="Times New Roman" w:hAnsi="Times New Roman" w:eastAsia="宋体" w:cs="Times New Roman"/>
                <w:szCs w:val="24"/>
              </w:rPr>
            </w:pPr>
            <w:r>
              <w:rPr>
                <w:rFonts w:hint="eastAsia" w:ascii="Times New Roman" w:hAnsi="Times New Roman" w:eastAsia="宋体" w:cs="Times New Roman"/>
                <w:szCs w:val="24"/>
              </w:rPr>
              <w:t xml:space="preserve">维修应急方案 </w:t>
            </w:r>
          </w:p>
          <w:p>
            <w:pPr>
              <w:numPr>
                <w:ilvl w:val="0"/>
                <w:numId w:val="4"/>
              </w:numPr>
              <w:rPr>
                <w:rFonts w:ascii="Times New Roman" w:hAnsi="Times New Roman" w:eastAsia="宋体" w:cs="Times New Roman"/>
                <w:szCs w:val="24"/>
              </w:rPr>
            </w:pPr>
            <w:r>
              <w:rPr>
                <w:rFonts w:hint="eastAsia" w:ascii="Times New Roman" w:hAnsi="Times New Roman" w:eastAsia="宋体" w:cs="Times New Roman"/>
                <w:szCs w:val="24"/>
              </w:rPr>
              <w:t xml:space="preserve">培训计划 </w:t>
            </w:r>
          </w:p>
          <w:p>
            <w:pPr>
              <w:numPr>
                <w:ilvl w:val="0"/>
                <w:numId w:val="4"/>
              </w:numPr>
              <w:rPr>
                <w:rFonts w:ascii="Times New Roman" w:hAnsi="Times New Roman" w:eastAsia="宋体" w:cs="Times New Roman"/>
                <w:szCs w:val="24"/>
              </w:rPr>
            </w:pPr>
            <w:r>
              <w:rPr>
                <w:rFonts w:hint="eastAsia" w:ascii="Times New Roman" w:hAnsi="Times New Roman" w:eastAsia="宋体" w:cs="Times New Roman"/>
                <w:szCs w:val="24"/>
              </w:rPr>
              <w:t>其他特色服务等</w:t>
            </w:r>
          </w:p>
          <w:p>
            <w:pPr>
              <w:numPr>
                <w:ilvl w:val="0"/>
                <w:numId w:val="3"/>
              </w:numPr>
              <w:rPr>
                <w:rFonts w:ascii="Times New Roman" w:hAnsi="Times New Roman" w:eastAsia="宋体" w:cs="Times New Roman"/>
                <w:szCs w:val="24"/>
              </w:rPr>
            </w:pPr>
            <w:r>
              <w:rPr>
                <w:rFonts w:hint="eastAsia" w:ascii="Times New Roman" w:hAnsi="Times New Roman" w:eastAsia="宋体" w:cs="Times New Roman"/>
                <w:szCs w:val="24"/>
              </w:rPr>
              <w:t>评审标准：</w:t>
            </w:r>
          </w:p>
          <w:p>
            <w:pPr>
              <w:numPr>
                <w:ilvl w:val="255"/>
                <w:numId w:val="0"/>
              </w:numPr>
              <w:rPr>
                <w:rFonts w:ascii="Times New Roman" w:hAnsi="Times New Roman" w:eastAsia="宋体" w:cs="Times New Roman"/>
                <w:szCs w:val="24"/>
              </w:rPr>
            </w:pPr>
            <w:r>
              <w:rPr>
                <w:rFonts w:hint="eastAsia" w:ascii="Times New Roman" w:hAnsi="Times New Roman" w:eastAsia="宋体" w:cs="Times New Roman"/>
                <w:szCs w:val="24"/>
              </w:rPr>
              <w:t>1.方案中含有上述任意一个内容得15分，最高得60分。</w:t>
            </w:r>
          </w:p>
          <w:p>
            <w:pPr>
              <w:numPr>
                <w:ilvl w:val="255"/>
                <w:numId w:val="0"/>
              </w:numPr>
              <w:rPr>
                <w:rFonts w:ascii="Times New Roman" w:hAnsi="Times New Roman" w:eastAsia="宋体" w:cs="Times New Roman"/>
                <w:szCs w:val="24"/>
              </w:rPr>
            </w:pPr>
            <w:r>
              <w:rPr>
                <w:rFonts w:hint="eastAsia" w:ascii="Times New Roman" w:hAnsi="Times New Roman" w:eastAsia="宋体" w:cs="Times New Roman"/>
                <w:szCs w:val="24"/>
              </w:rPr>
              <w:t>2.在此基础上，对方案的合理性、可行性进行打分：</w:t>
            </w:r>
          </w:p>
          <w:p>
            <w:pPr>
              <w:numPr>
                <w:ilvl w:val="0"/>
                <w:numId w:val="5"/>
              </w:numPr>
              <w:ind w:left="105" w:firstLine="0"/>
              <w:rPr>
                <w:rFonts w:ascii="Times New Roman" w:hAnsi="Times New Roman" w:eastAsia="宋体" w:cs="Times New Roman"/>
                <w:szCs w:val="24"/>
              </w:rPr>
            </w:pPr>
            <w:r>
              <w:rPr>
                <w:rFonts w:hint="eastAsia" w:ascii="Times New Roman" w:hAnsi="Times New Roman" w:eastAsia="宋体" w:cs="Times New Roman"/>
                <w:szCs w:val="24"/>
              </w:rPr>
              <w:t>售后服务方案非常详细，保障措施完善可行，得40分；</w:t>
            </w:r>
          </w:p>
          <w:p>
            <w:pPr>
              <w:numPr>
                <w:ilvl w:val="0"/>
                <w:numId w:val="5"/>
              </w:numPr>
              <w:ind w:left="105" w:firstLine="0"/>
              <w:rPr>
                <w:rFonts w:ascii="Times New Roman" w:hAnsi="Times New Roman" w:eastAsia="宋体" w:cs="Times New Roman"/>
                <w:szCs w:val="24"/>
              </w:rPr>
            </w:pPr>
            <w:r>
              <w:rPr>
                <w:rFonts w:hint="eastAsia" w:ascii="Times New Roman" w:hAnsi="Times New Roman" w:eastAsia="宋体" w:cs="Times New Roman"/>
                <w:szCs w:val="24"/>
              </w:rPr>
              <w:t>售后服务方案比较具体，保障措施比较完善可行，能够满足招标文件要求的得20分；</w:t>
            </w:r>
          </w:p>
          <w:p>
            <w:pPr>
              <w:numPr>
                <w:ilvl w:val="255"/>
                <w:numId w:val="0"/>
              </w:numPr>
              <w:ind w:left="105"/>
              <w:rPr>
                <w:rFonts w:ascii="Times New Roman" w:hAnsi="Times New Roman" w:eastAsia="宋体" w:cs="Times New Roman"/>
                <w:szCs w:val="24"/>
              </w:rPr>
            </w:pPr>
            <w:r>
              <w:rPr>
                <w:rFonts w:hint="eastAsia" w:ascii="Times New Roman" w:hAnsi="Times New Roman" w:eastAsia="宋体" w:cs="Times New Roman"/>
                <w:szCs w:val="24"/>
              </w:rPr>
              <w:t xml:space="preserve"> (3)未提供售后服务方案和措施或方案不详细、可行性较差，无法满足招标文件要求的得0%分。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hAnsi="Times New Roman" w:eastAsia="宋体" w:cs="Times New Roman"/>
                <w:b/>
                <w:bCs/>
                <w:color w:val="0000FF"/>
                <w:sz w:val="24"/>
                <w:szCs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eastAsia="zh-CN" w:bidi="ar"/>
              </w:rPr>
            </w:pPr>
            <w:r>
              <w:rPr>
                <w:rFonts w:hint="eastAsia" w:ascii="宋体" w:hAnsi="宋体" w:eastAsia="宋体" w:cs="宋体"/>
                <w:kern w:val="0"/>
                <w:szCs w:val="21"/>
                <w:lang w:val="en-US" w:eastAsia="zh-CN" w:bidi="ar"/>
              </w:rPr>
              <w:t>5</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宋体" w:hAnsi="宋体" w:eastAsia="宋体" w:cs="Times New Roman"/>
                <w:szCs w:val="21"/>
              </w:rPr>
            </w:pPr>
            <w:r>
              <w:rPr>
                <w:rFonts w:hint="eastAsia" w:ascii="宋体" w:hAnsi="宋体" w:eastAsia="宋体" w:cs="宋体"/>
                <w:szCs w:val="21"/>
              </w:rPr>
              <w:t>绿色采购情况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ascii="宋体" w:hAnsi="宋体" w:eastAsia="宋体" w:cs="Times New Roman"/>
                <w:szCs w:val="21"/>
              </w:rPr>
            </w:pPr>
            <w:r>
              <w:rPr>
                <w:rFonts w:hint="eastAsia" w:ascii="Times New Roman" w:hAnsi="Times New Roman" w:eastAsia="宋体" w:cs="Times New Roman"/>
                <w:szCs w:val="21"/>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widowControl/>
              <w:spacing w:line="300" w:lineRule="exact"/>
              <w:jc w:val="left"/>
              <w:rPr>
                <w:rFonts w:ascii="宋体" w:hAnsi="宋体" w:eastAsia="宋体" w:cs="宋体"/>
                <w:kern w:val="0"/>
                <w:szCs w:val="21"/>
              </w:rPr>
            </w:pPr>
            <w:r>
              <w:rPr>
                <w:rFonts w:hint="eastAsia" w:ascii="宋体" w:hAnsi="宋体" w:eastAsia="宋体" w:cs="宋体"/>
                <w:kern w:val="0"/>
                <w:szCs w:val="21"/>
              </w:rPr>
              <w:t>（一）评审内容：</w:t>
            </w:r>
          </w:p>
          <w:p>
            <w:pPr>
              <w:snapToGrid w:val="0"/>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spacing w:line="300" w:lineRule="exact"/>
              <w:rPr>
                <w:rFonts w:ascii="宋体" w:hAnsi="宋体" w:eastAsia="宋体" w:cs="宋体"/>
                <w:kern w:val="0"/>
                <w:szCs w:val="21"/>
              </w:rPr>
            </w:pPr>
            <w:r>
              <w:rPr>
                <w:rFonts w:hint="eastAsia" w:ascii="宋体" w:hAnsi="宋体" w:eastAsia="宋体" w:cs="宋体"/>
                <w:color w:val="0000FF"/>
                <w:szCs w:val="21"/>
              </w:rPr>
              <w:t>（二）评审依据：</w:t>
            </w:r>
          </w:p>
          <w:p>
            <w:pPr>
              <w:snapToGrid w:val="0"/>
              <w:ind w:firstLine="420" w:firstLineChars="200"/>
              <w:rPr>
                <w:rFonts w:ascii="宋体" w:hAnsi="宋体" w:eastAsia="宋体" w:cs="Times New Roman"/>
                <w:color w:val="0000FF"/>
                <w:szCs w:val="21"/>
              </w:rPr>
            </w:pPr>
            <w:r>
              <w:rPr>
                <w:rFonts w:hint="eastAsia" w:ascii="宋体" w:hAnsi="宋体" w:eastAsia="宋体" w:cs="宋体"/>
                <w:color w:val="0000FF"/>
                <w:szCs w:val="21"/>
              </w:rPr>
              <w:t>投标人提供符合相关要求的承诺函得100分（格式自定，应在《自行采购投标及履约承诺函》外另起承诺函）可视为符合规定，无需提供检测报告、认证报告。未提供或不符合的不得分。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rFonts w:ascii="Times New Roman" w:hAnsi="Times New Roman" w:eastAsia="宋体" w:cs="Times New Roman"/>
                <w:b/>
                <w:bCs/>
                <w:color w:val="0000FF"/>
                <w:sz w:val="24"/>
                <w:szCs w:val="24"/>
              </w:rPr>
            </w:pPr>
            <w:r>
              <w:rPr>
                <w:rFonts w:hint="eastAsia" w:ascii="宋体" w:hAnsi="宋体" w:eastAsia="宋体" w:cs="宋体"/>
                <w:b/>
                <w:bCs/>
                <w:color w:val="0000FF"/>
                <w:kern w:val="0"/>
                <w:sz w:val="24"/>
                <w:szCs w:val="24"/>
                <w:lang w:bidi="ar"/>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ascii="Times New Roman" w:hAnsi="Times New Roman" w:eastAsia="宋体" w:cs="Times New Roman"/>
                <w:b/>
                <w:bCs/>
                <w:color w:val="0000FF"/>
                <w:sz w:val="24"/>
                <w:szCs w:val="24"/>
              </w:rPr>
            </w:pPr>
            <w:r>
              <w:rPr>
                <w:rFonts w:hint="eastAsia" w:ascii="Times New Roman" w:hAnsi="Times New Roman" w:eastAsia="宋体" w:cs="Times New Roman"/>
                <w:b/>
                <w:bCs/>
                <w:color w:val="0000FF"/>
                <w:sz w:val="24"/>
                <w:szCs w:val="24"/>
              </w:rPr>
              <w:t>综合实力</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ascii="Times New Roman" w:hAnsi="Times New Roman" w:eastAsia="宋体" w:cs="Times New Roman"/>
                <w:b/>
                <w:bCs/>
                <w:color w:val="0000FF"/>
                <w:sz w:val="24"/>
                <w:szCs w:val="24"/>
              </w:rPr>
            </w:pPr>
            <w:r>
              <w:rPr>
                <w:rFonts w:hint="eastAsia" w:ascii="Times New Roman" w:hAnsi="Times New Roman" w:eastAsia="宋体" w:cs="Times New Roman"/>
                <w:b/>
                <w:bCs/>
                <w:color w:val="0000FF"/>
                <w:sz w:val="24"/>
                <w:szCs w:val="24"/>
              </w:rPr>
              <w:t>13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hAnsi="Times New Roman" w:eastAsia="宋体" w:cs="Times New Roman"/>
                <w:b/>
                <w:bCs/>
                <w:color w:val="0000FF"/>
                <w:sz w:val="24"/>
                <w:szCs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jc w:val="center"/>
              <w:rPr>
                <w:rFonts w:ascii="宋体" w:hAnsi="Times New Roman" w:eastAsia="宋体" w:cs="Times New Roman"/>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ascii="宋体" w:hAnsi="Times New Roman" w:eastAsia="宋体" w:cs="Times New Roman"/>
                <w:b/>
                <w:bCs/>
                <w:color w:val="0000FF"/>
                <w:sz w:val="24"/>
                <w:szCs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ascii="Times New Roman" w:hAnsi="Times New Roman" w:eastAsia="宋体" w:cs="Times New Roman"/>
                <w:szCs w:val="21"/>
              </w:rPr>
            </w:pPr>
            <w:r>
              <w:rPr>
                <w:rFonts w:ascii="宋体" w:hAnsi="宋体" w:eastAsia="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ascii="Times New Roman" w:hAnsi="Times New Roman" w:eastAsia="宋体" w:cs="Times New Roman"/>
                <w:szCs w:val="21"/>
              </w:rPr>
            </w:pPr>
            <w:r>
              <w:rPr>
                <w:rFonts w:ascii="宋体" w:hAnsi="宋体" w:eastAsia="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ascii="Times New Roman" w:hAnsi="Times New Roman" w:eastAsia="宋体" w:cs="Times New Roman"/>
                <w:szCs w:val="21"/>
              </w:rPr>
            </w:pPr>
            <w:r>
              <w:rPr>
                <w:rFonts w:ascii="宋体" w:hAnsi="宋体" w:eastAsia="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ascii="Times New Roman" w:hAnsi="Times New Roman" w:eastAsia="宋体" w:cs="Times New Roman"/>
                <w:szCs w:val="21"/>
              </w:rPr>
            </w:pPr>
            <w:r>
              <w:rPr>
                <w:rFonts w:ascii="宋体" w:hAnsi="宋体" w:eastAsia="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hAnsi="Times New Roman" w:eastAsia="宋体" w:cs="Times New Roman"/>
                <w:b/>
                <w:bCs/>
                <w:color w:val="0000FF"/>
                <w:sz w:val="24"/>
                <w:szCs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ascii="Times New Roman" w:hAnsi="Times New Roman" w:eastAsia="宋体" w:cs="Times New Roman"/>
                <w:szCs w:val="21"/>
              </w:rPr>
            </w:pPr>
            <w:r>
              <w:rPr>
                <w:rFonts w:hint="eastAsia" w:ascii="Times New Roman" w:hAnsi="Times New Roman" w:eastAsia="宋体" w:cs="Times New Roman"/>
                <w:szCs w:val="21"/>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Times New Roman" w:hAnsi="Times New Roman" w:eastAsia="宋体" w:cs="Times New Roman"/>
                <w:szCs w:val="24"/>
              </w:rPr>
            </w:pPr>
            <w:r>
              <w:rPr>
                <w:rFonts w:hint="eastAsia" w:ascii="Times New Roman" w:hAnsi="Times New Roman" w:eastAsia="宋体" w:cs="Times New Roman"/>
                <w:szCs w:val="24"/>
              </w:rPr>
              <w:t>经验评价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宋体" w:cs="Times New Roman"/>
                <w:szCs w:val="24"/>
              </w:rPr>
            </w:pPr>
            <w:r>
              <w:rPr>
                <w:rFonts w:hint="eastAsia" w:ascii="Times New Roman" w:hAnsi="Times New Roman" w:eastAsia="宋体" w:cs="Times New Roman"/>
                <w:szCs w:val="24"/>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Times New Roman" w:hAnsi="Times New Roman" w:eastAsia="宋体" w:cs="Times New Roman"/>
                <w:szCs w:val="24"/>
              </w:rPr>
            </w:pPr>
            <w:r>
              <w:rPr>
                <w:rFonts w:hint="eastAsia" w:ascii="Times New Roman" w:hAnsi="Times New Roman" w:eastAsia="宋体" w:cs="Times New Roman"/>
                <w:szCs w:val="24"/>
              </w:rPr>
              <w:t>2024年1月1日（以合同签订日期为准）以来，投标人具有与本项目同类（家具）项目经验，且履约评价为优或满意（或其他同等评价），每提供一个得50分，最高得100分。</w:t>
            </w:r>
          </w:p>
          <w:p>
            <w:pPr>
              <w:rPr>
                <w:rFonts w:ascii="Times New Roman" w:hAnsi="Times New Roman" w:eastAsia="宋体" w:cs="Times New Roman"/>
                <w:szCs w:val="24"/>
              </w:rPr>
            </w:pPr>
            <w:r>
              <w:rPr>
                <w:rFonts w:hint="eastAsia" w:ascii="Times New Roman" w:hAnsi="Times New Roman" w:eastAsia="宋体" w:cs="Times New Roman"/>
                <w:szCs w:val="24"/>
              </w:rPr>
              <w:t>证明材料：</w:t>
            </w:r>
          </w:p>
          <w:p>
            <w:pPr>
              <w:rPr>
                <w:rFonts w:ascii="Times New Roman" w:hAnsi="Times New Roman" w:eastAsia="宋体" w:cs="Times New Roman"/>
                <w:szCs w:val="24"/>
              </w:rPr>
            </w:pPr>
            <w:r>
              <w:rPr>
                <w:rFonts w:hint="eastAsia" w:ascii="Times New Roman" w:hAnsi="Times New Roman" w:eastAsia="宋体" w:cs="Times New Roman"/>
                <w:szCs w:val="24"/>
              </w:rPr>
              <w:t>1、同时提供以下：（1）合同关键页（须能体现投标人信息）扫描件；（2）设备配置清单扫描件；（3）验收报告[加盖合同相对方公章（或合同相对方业务章）]；（4）履约评价证明[加盖合同相对方公章（或合同相对方业务章）]。</w:t>
            </w:r>
          </w:p>
          <w:p>
            <w:pPr>
              <w:rPr>
                <w:rFonts w:ascii="Times New Roman" w:hAnsi="Times New Roman" w:eastAsia="宋体" w:cs="Times New Roman"/>
                <w:szCs w:val="24"/>
              </w:rPr>
            </w:pPr>
            <w:r>
              <w:rPr>
                <w:rFonts w:hint="eastAsia" w:ascii="宋体" w:hAnsi="宋体" w:eastAsia="宋体" w:cs="宋体"/>
                <w:bCs/>
                <w:szCs w:val="21"/>
              </w:rPr>
              <w:t>2.未按要求提供相关证明材料（或相关证明材料无法判断是否符合评分要求）的不计得分，原件备查。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tcBorders>
              <w:left w:val="single" w:color="000000" w:sz="8" w:space="0"/>
              <w:right w:val="single" w:color="000000" w:sz="8" w:space="0"/>
            </w:tcBorders>
            <w:shd w:val="clear" w:color="auto" w:fill="auto"/>
            <w:vAlign w:val="center"/>
          </w:tcPr>
          <w:p>
            <w:pPr>
              <w:jc w:val="center"/>
              <w:rPr>
                <w:rFonts w:ascii="宋体" w:hAnsi="Times New Roman" w:eastAsia="宋体" w:cs="Times New Roman"/>
                <w:b/>
                <w:bCs/>
                <w:color w:val="0000FF"/>
                <w:sz w:val="24"/>
                <w:szCs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ascii="Times New Roman" w:hAnsi="Times New Roman" w:eastAsia="宋体" w:cs="Times New Roman"/>
                <w:szCs w:val="21"/>
              </w:rPr>
            </w:pPr>
            <w:r>
              <w:rPr>
                <w:rFonts w:hint="eastAsia" w:ascii="Times New Roman" w:hAnsi="Times New Roman" w:eastAsia="宋体" w:cs="Times New Roman"/>
                <w:szCs w:val="21"/>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eastAsia="宋体" w:cs="宋体"/>
                <w:kern w:val="0"/>
                <w:szCs w:val="21"/>
                <w:lang w:bidi="ar"/>
              </w:rPr>
            </w:pPr>
            <w:r>
              <w:rPr>
                <w:rFonts w:hint="eastAsia" w:ascii="宋体" w:hAnsi="宋体" w:eastAsia="宋体" w:cs="宋体"/>
                <w:szCs w:val="21"/>
              </w:rPr>
              <w:t>产品质量评价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eastAsia="宋体" w:cs="宋体"/>
                <w:kern w:val="0"/>
                <w:szCs w:val="21"/>
                <w:lang w:bidi="ar"/>
              </w:rPr>
            </w:pPr>
            <w:r>
              <w:rPr>
                <w:rFonts w:hint="eastAsia" w:ascii="宋体" w:hAnsi="宋体" w:eastAsia="宋体" w:cs="宋体"/>
                <w:szCs w:val="21"/>
                <w:lang w:bidi="ar"/>
              </w:rPr>
              <w:t>8</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288" w:lineRule="auto"/>
              <w:jc w:val="left"/>
              <w:textAlignment w:val="center"/>
              <w:rPr>
                <w:rFonts w:ascii="宋体" w:hAnsi="宋体" w:eastAsia="宋体" w:cs="宋体"/>
                <w:b/>
                <w:bCs/>
                <w:szCs w:val="21"/>
              </w:rPr>
            </w:pPr>
            <w:r>
              <w:rPr>
                <w:rFonts w:hint="eastAsia" w:ascii="宋体" w:hAnsi="宋体" w:eastAsia="宋体" w:cs="宋体"/>
                <w:b/>
                <w:bCs/>
                <w:szCs w:val="21"/>
              </w:rPr>
              <w:t>一、评审内容：</w:t>
            </w:r>
          </w:p>
          <w:p>
            <w:pPr>
              <w:rPr>
                <w:rFonts w:ascii="宋体" w:hAnsi="宋体" w:eastAsia="宋体" w:cs="宋体"/>
                <w:szCs w:val="21"/>
              </w:rPr>
            </w:pPr>
            <w:r>
              <w:rPr>
                <w:rFonts w:hint="eastAsia" w:ascii="宋体" w:hAnsi="宋体" w:eastAsia="宋体" w:cs="宋体"/>
                <w:szCs w:val="21"/>
              </w:rPr>
              <w:t>投标人所投产品具有以下认证证书：</w:t>
            </w:r>
          </w:p>
          <w:p>
            <w:pPr>
              <w:rPr>
                <w:rFonts w:ascii="宋体" w:hAnsi="宋体" w:eastAsia="宋体" w:cs="宋体"/>
                <w:szCs w:val="24"/>
              </w:rPr>
            </w:pPr>
            <w:r>
              <w:rPr>
                <w:rFonts w:hint="eastAsia" w:ascii="宋体" w:hAnsi="宋体" w:eastAsia="宋体" w:cs="宋体"/>
                <w:szCs w:val="24"/>
              </w:rPr>
              <w:t>（1）</w:t>
            </w:r>
            <w:r>
              <w:rPr>
                <w:rFonts w:hint="eastAsia" w:ascii="宋体" w:hAnsi="宋体" w:eastAsia="宋体" w:cs="宋体"/>
                <w:color w:val="000000"/>
                <w:szCs w:val="24"/>
              </w:rPr>
              <w:t>绿色供应链认证证书，认证范围需包括：宿舍家具（</w:t>
            </w:r>
            <w:r>
              <w:rPr>
                <w:rFonts w:hint="eastAsia" w:ascii="Times New Roman" w:hAnsi="Times New Roman" w:eastAsia="宋体" w:cs="Times New Roman"/>
                <w:color w:val="000000"/>
                <w:szCs w:val="24"/>
              </w:rPr>
              <w:t>实木床、衣柜</w:t>
            </w:r>
            <w:r>
              <w:rPr>
                <w:rFonts w:hint="eastAsia" w:ascii="宋体" w:hAnsi="宋体" w:eastAsia="宋体" w:cs="宋体"/>
                <w:color w:val="000000"/>
                <w:szCs w:val="24"/>
              </w:rPr>
              <w:t>），</w:t>
            </w:r>
            <w:r>
              <w:rPr>
                <w:rFonts w:hint="eastAsia" w:ascii="宋体" w:hAnsi="宋体" w:eastAsia="宋体" w:cs="宋体"/>
                <w:szCs w:val="24"/>
              </w:rPr>
              <w:t>得30分。</w:t>
            </w:r>
          </w:p>
          <w:p>
            <w:pPr>
              <w:rPr>
                <w:rFonts w:ascii="宋体" w:hAnsi="宋体" w:eastAsia="宋体" w:cs="宋体"/>
                <w:szCs w:val="24"/>
              </w:rPr>
            </w:pPr>
            <w:r>
              <w:rPr>
                <w:rFonts w:hint="eastAsia" w:ascii="宋体" w:hAnsi="宋体" w:eastAsia="宋体" w:cs="宋体"/>
                <w:szCs w:val="24"/>
              </w:rPr>
              <w:t>（2）</w:t>
            </w:r>
            <w:r>
              <w:rPr>
                <w:rFonts w:hint="eastAsia" w:ascii="Times New Roman" w:hAnsi="Times New Roman" w:eastAsia="宋体" w:cs="Times New Roman"/>
                <w:szCs w:val="24"/>
              </w:rPr>
              <w:t>碳排放管理体系认证证书，</w:t>
            </w:r>
            <w:r>
              <w:rPr>
                <w:rFonts w:hint="eastAsia" w:ascii="宋体" w:hAnsi="宋体" w:eastAsia="宋体" w:cs="宋体"/>
                <w:color w:val="000000"/>
                <w:szCs w:val="24"/>
              </w:rPr>
              <w:t>认证范围需包括：宿舍家具（</w:t>
            </w:r>
            <w:r>
              <w:rPr>
                <w:rFonts w:hint="eastAsia" w:ascii="Times New Roman" w:hAnsi="Times New Roman" w:eastAsia="宋体" w:cs="Times New Roman"/>
                <w:color w:val="000000"/>
                <w:szCs w:val="24"/>
              </w:rPr>
              <w:t>实木床、衣柜</w:t>
            </w:r>
            <w:r>
              <w:rPr>
                <w:rFonts w:hint="eastAsia" w:ascii="宋体" w:hAnsi="宋体" w:eastAsia="宋体" w:cs="宋体"/>
                <w:color w:val="000000"/>
                <w:szCs w:val="24"/>
              </w:rPr>
              <w:t>）</w:t>
            </w:r>
            <w:r>
              <w:rPr>
                <w:rFonts w:hint="eastAsia" w:ascii="宋体" w:hAnsi="宋体" w:eastAsia="宋体" w:cs="宋体"/>
                <w:szCs w:val="24"/>
              </w:rPr>
              <w:t>，得30分。</w:t>
            </w:r>
          </w:p>
          <w:p>
            <w:pPr>
              <w:rPr>
                <w:rFonts w:ascii="宋体" w:hAnsi="宋体" w:eastAsia="宋体" w:cs="宋体"/>
                <w:szCs w:val="24"/>
              </w:rPr>
            </w:pPr>
            <w:r>
              <w:rPr>
                <w:rFonts w:hint="eastAsia" w:ascii="宋体" w:hAnsi="宋体" w:eastAsia="宋体" w:cs="宋体"/>
                <w:szCs w:val="24"/>
              </w:rPr>
              <w:t>（3）家具中有害物质限量认证证书</w:t>
            </w:r>
            <w:r>
              <w:rPr>
                <w:rFonts w:hint="eastAsia" w:ascii="宋体" w:hAnsi="宋体" w:eastAsia="宋体" w:cs="宋体"/>
                <w:sz w:val="24"/>
                <w:szCs w:val="24"/>
              </w:rPr>
              <w:t>，</w:t>
            </w:r>
            <w:r>
              <w:rPr>
                <w:rFonts w:hint="eastAsia" w:ascii="宋体" w:hAnsi="宋体" w:eastAsia="宋体" w:cs="宋体"/>
                <w:szCs w:val="24"/>
              </w:rPr>
              <w:t>认证范围需包括：①钢木家具（桌类、床类）；②木家具（桌类、柜类）；认证范围每包含一项得20分，最高得40分。</w:t>
            </w:r>
          </w:p>
          <w:p>
            <w:pPr>
              <w:rPr>
                <w:rFonts w:ascii="宋体" w:hAnsi="宋体" w:eastAsia="宋体" w:cs="宋体"/>
                <w:szCs w:val="24"/>
              </w:rPr>
            </w:pPr>
            <w:r>
              <w:rPr>
                <w:rFonts w:hint="eastAsia" w:ascii="宋体" w:hAnsi="宋体" w:eastAsia="宋体" w:cs="宋体"/>
                <w:szCs w:val="24"/>
              </w:rPr>
              <w:t>以上3项累计得分，满分100分。提供的证书不满足要求或未提供不得分。</w:t>
            </w:r>
          </w:p>
          <w:p>
            <w:pPr>
              <w:widowControl/>
              <w:spacing w:line="288" w:lineRule="auto"/>
              <w:jc w:val="left"/>
              <w:textAlignment w:val="center"/>
              <w:rPr>
                <w:rFonts w:ascii="宋体" w:hAnsi="宋体" w:eastAsia="宋体" w:cs="宋体"/>
                <w:b/>
                <w:bCs/>
                <w:color w:val="0000FF"/>
                <w:szCs w:val="21"/>
              </w:rPr>
            </w:pPr>
            <w:r>
              <w:rPr>
                <w:rFonts w:hint="eastAsia" w:ascii="宋体" w:hAnsi="宋体" w:eastAsia="宋体" w:cs="宋体"/>
                <w:b/>
                <w:bCs/>
                <w:color w:val="0000FF"/>
                <w:szCs w:val="21"/>
              </w:rPr>
              <w:t xml:space="preserve">二、评审依据： </w:t>
            </w:r>
          </w:p>
          <w:p>
            <w:pPr>
              <w:widowControl/>
              <w:spacing w:line="288" w:lineRule="auto"/>
              <w:jc w:val="left"/>
              <w:textAlignment w:val="center"/>
              <w:rPr>
                <w:rFonts w:hint="eastAsia" w:ascii="宋体" w:hAnsi="宋体" w:eastAsia="宋体" w:cs="宋体"/>
                <w:color w:val="0000FF"/>
                <w:szCs w:val="21"/>
              </w:rPr>
            </w:pPr>
            <w:r>
              <w:rPr>
                <w:rFonts w:hint="eastAsia" w:ascii="宋体" w:hAnsi="宋体" w:eastAsia="宋体" w:cs="宋体"/>
                <w:color w:val="0000FF"/>
                <w:szCs w:val="21"/>
              </w:rPr>
              <w:t>1、提供相关认证机构颁发的有效期内的认证证书扫描件及认证信息查询截图（截图需显示证书状态为有效）。</w:t>
            </w:r>
          </w:p>
          <w:p>
            <w:pPr>
              <w:widowControl/>
              <w:spacing w:line="288" w:lineRule="auto"/>
              <w:jc w:val="left"/>
              <w:textAlignment w:val="center"/>
              <w:rPr>
                <w:rFonts w:hint="eastAsia" w:ascii="宋体" w:hAnsi="宋体" w:eastAsia="宋体" w:cs="宋体"/>
                <w:color w:val="0000FF"/>
                <w:szCs w:val="21"/>
              </w:rPr>
            </w:pPr>
            <w:r>
              <w:rPr>
                <w:rFonts w:hint="eastAsia" w:ascii="宋体" w:hAnsi="宋体" w:eastAsia="宋体" w:cs="宋体"/>
                <w:color w:val="0000FF"/>
                <w:szCs w:val="21"/>
              </w:rPr>
              <w:t>说明：①证书与查询信息截图必须同时提供，缺一不可。未同时提供的不得分，后果由供应商自行承担。②供应商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pPr>
              <w:widowControl/>
              <w:numPr>
                <w:ilvl w:val="0"/>
                <w:numId w:val="6"/>
              </w:numPr>
              <w:spacing w:line="288" w:lineRule="auto"/>
              <w:ind w:left="425" w:hanging="425"/>
              <w:jc w:val="left"/>
              <w:textAlignment w:val="center"/>
              <w:rPr>
                <w:rFonts w:ascii="宋体" w:hAnsi="宋体" w:eastAsia="宋体" w:cs="宋体"/>
                <w:szCs w:val="24"/>
              </w:rPr>
            </w:pPr>
            <w:r>
              <w:rPr>
                <w:rFonts w:hint="eastAsia" w:ascii="宋体" w:hAnsi="宋体" w:eastAsia="宋体" w:cs="宋体"/>
                <w:color w:val="0000FF"/>
                <w:szCs w:val="21"/>
              </w:rPr>
              <w:t>2、未按要求提供相关证明材料（或相关证明材料无法判断是否符合评分要求）的不计得分，原件备查。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ascii="Times New Roman" w:hAnsi="Times New Roman" w:eastAsia="宋体" w:cs="Times New Roman"/>
                <w:b/>
                <w:bCs/>
                <w:color w:val="0000FF"/>
                <w:sz w:val="24"/>
                <w:szCs w:val="24"/>
              </w:rPr>
            </w:pPr>
            <w:r>
              <w:rPr>
                <w:rFonts w:hint="eastAsia" w:ascii="宋体" w:hAnsi="宋体" w:eastAsia="宋体" w:cs="宋体"/>
                <w:b/>
                <w:bCs/>
                <w:color w:val="0000FF"/>
                <w:kern w:val="0"/>
                <w:sz w:val="24"/>
                <w:szCs w:val="24"/>
                <w:lang w:bidi="ar"/>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ascii="Times New Roman" w:hAnsi="Times New Roman" w:eastAsia="宋体" w:cs="Times New Roman"/>
                <w:b/>
                <w:bCs/>
                <w:color w:val="0000FF"/>
                <w:sz w:val="24"/>
                <w:szCs w:val="24"/>
              </w:rPr>
            </w:pPr>
            <w:r>
              <w:rPr>
                <w:rFonts w:hint="eastAsia" w:ascii="宋体" w:hAnsi="宋体" w:eastAsia="宋体" w:cs="宋体"/>
                <w:b/>
                <w:bCs/>
                <w:color w:val="0000FF"/>
                <w:kern w:val="0"/>
                <w:sz w:val="24"/>
                <w:szCs w:val="24"/>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ascii="Times New Roman" w:hAnsi="Times New Roman" w:eastAsia="宋体" w:cs="Times New Roman"/>
                <w:b/>
                <w:bCs/>
                <w:color w:val="0000FF"/>
                <w:sz w:val="24"/>
                <w:szCs w:val="24"/>
              </w:rPr>
            </w:pPr>
            <w:r>
              <w:rPr>
                <w:rFonts w:hint="eastAsia" w:ascii="Times New Roman" w:hAnsi="Times New Roman" w:eastAsia="宋体" w:cs="Times New Roman"/>
                <w:b/>
                <w:bCs/>
                <w:color w:val="0000FF"/>
                <w:sz w:val="24"/>
                <w:szCs w:val="24"/>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Times New Roman" w:eastAsia="宋体" w:cs="Times New Roman"/>
                <w:b/>
                <w:bCs/>
                <w:color w:val="0000FF"/>
                <w:sz w:val="24"/>
                <w:szCs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hAnsi="Times New Roman" w:eastAsia="宋体" w:cs="Times New Roman"/>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hAnsi="Times New Roman" w:eastAsia="宋体" w:cs="Times New Roman"/>
                <w:b/>
                <w:bCs/>
                <w:color w:val="0000FF"/>
                <w:sz w:val="24"/>
                <w:szCs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ascii="Times New Roman" w:hAnsi="Times New Roman" w:eastAsia="宋体" w:cs="Times New Roman"/>
                <w:szCs w:val="21"/>
              </w:rPr>
            </w:pPr>
            <w:r>
              <w:rPr>
                <w:rFonts w:ascii="宋体" w:hAnsi="宋体" w:eastAsia="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ascii="Times New Roman" w:hAnsi="Times New Roman" w:eastAsia="宋体" w:cs="Times New Roman"/>
                <w:szCs w:val="21"/>
              </w:rPr>
            </w:pPr>
            <w:r>
              <w:rPr>
                <w:rFonts w:ascii="宋体" w:hAnsi="宋体" w:eastAsia="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ascii="Times New Roman" w:hAnsi="Times New Roman" w:eastAsia="宋体" w:cs="Times New Roman"/>
                <w:szCs w:val="21"/>
              </w:rPr>
            </w:pPr>
            <w:r>
              <w:rPr>
                <w:rFonts w:ascii="宋体" w:hAnsi="宋体" w:eastAsia="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ascii="Times New Roman" w:hAnsi="Times New Roman" w:eastAsia="宋体" w:cs="Times New Roman"/>
                <w:szCs w:val="21"/>
              </w:rPr>
            </w:pPr>
            <w:r>
              <w:rPr>
                <w:rFonts w:ascii="宋体" w:hAnsi="宋体" w:eastAsia="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Times New Roman" w:eastAsia="宋体" w:cs="Times New Roman"/>
                <w:b/>
                <w:bCs/>
                <w:color w:val="0000FF"/>
                <w:sz w:val="24"/>
                <w:szCs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ascii="Times New Roman" w:hAnsi="Times New Roman" w:eastAsia="宋体" w:cs="Times New Roman"/>
                <w:szCs w:val="21"/>
              </w:rPr>
            </w:pPr>
            <w:r>
              <w:rPr>
                <w:rFonts w:hint="eastAsia" w:ascii="Times New Roman" w:hAnsi="Times New Roman" w:eastAsia="宋体" w:cs="Times New Roman"/>
                <w:szCs w:val="24"/>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ascii="Times New Roman" w:hAnsi="Times New Roman" w:eastAsia="宋体" w:cs="Times New Roman"/>
                <w:szCs w:val="21"/>
              </w:rPr>
            </w:pPr>
            <w:r>
              <w:rPr>
                <w:rFonts w:hint="eastAsia" w:ascii="Times New Roman" w:hAnsi="Times New Roman" w:eastAsia="宋体" w:cs="Times New Roman"/>
                <w:szCs w:val="24"/>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ascii="Times New Roman" w:hAnsi="Times New Roman" w:eastAsia="宋体" w:cs="Times New Roman"/>
                <w:szCs w:val="21"/>
              </w:rPr>
            </w:pPr>
            <w:r>
              <w:rPr>
                <w:rFonts w:hint="eastAsia" w:ascii="Times New Roman" w:hAnsi="Times New Roman" w:eastAsia="宋体" w:cs="Times New Roman"/>
                <w:szCs w:val="24"/>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wordWrap w:val="0"/>
              <w:spacing w:after="120"/>
              <w:ind w:firstLine="420" w:firstLineChars="200"/>
              <w:rPr>
                <w:rFonts w:ascii="宋体" w:hAnsi="宋体" w:eastAsia="宋体" w:cs="宋体"/>
                <w:szCs w:val="21"/>
              </w:rPr>
            </w:pPr>
            <w:r>
              <w:rPr>
                <w:rFonts w:hint="eastAsia" w:ascii="宋体" w:hAnsi="宋体" w:eastAsia="宋体" w:cs="宋体"/>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有关供应商诚信查询结果。</w:t>
            </w:r>
          </w:p>
          <w:p>
            <w:pPr>
              <w:wordWrap w:val="0"/>
              <w:spacing w:after="120"/>
              <w:ind w:firstLine="420" w:firstLineChars="200"/>
              <w:rPr>
                <w:rFonts w:ascii="Times New Roman" w:hAnsi="Times New Roman" w:eastAsia="宋体" w:cs="Times New Roman"/>
                <w:szCs w:val="24"/>
              </w:rPr>
            </w:pPr>
            <w:r>
              <w:rPr>
                <w:rFonts w:hint="eastAsia" w:ascii="宋体" w:hAnsi="宋体" w:eastAsia="宋体" w:cs="宋体"/>
                <w:szCs w:val="21"/>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p>
      <w:pPr>
        <w:pStyle w:val="15"/>
      </w:pPr>
    </w:p>
    <w:p>
      <w:pPr>
        <w:sectPr>
          <w:pgSz w:w="11907" w:h="16840"/>
          <w:pgMar w:top="1440" w:right="1418" w:bottom="1440" w:left="1418" w:header="851" w:footer="992" w:gutter="0"/>
          <w:cols w:space="425" w:num="1"/>
          <w:titlePg/>
          <w:docGrid w:linePitch="462" w:charSpace="0"/>
        </w:sectPr>
      </w:pPr>
    </w:p>
    <w:p>
      <w:pPr>
        <w:jc w:val="center"/>
        <w:rPr>
          <w:b/>
          <w:sz w:val="84"/>
          <w:szCs w:val="84"/>
        </w:rPr>
      </w:pPr>
    </w:p>
    <w:p>
      <w:pPr>
        <w:jc w:val="center"/>
        <w:rPr>
          <w:b/>
          <w:sz w:val="84"/>
          <w:szCs w:val="84"/>
        </w:rPr>
      </w:pPr>
    </w:p>
    <w:p>
      <w:pPr>
        <w:jc w:val="center"/>
        <w:rPr>
          <w:b/>
          <w:sz w:val="84"/>
          <w:szCs w:val="84"/>
        </w:rPr>
      </w:pPr>
    </w:p>
    <w:p>
      <w:pPr>
        <w:jc w:val="center"/>
        <w:rPr>
          <w:rFonts w:hint="eastAsia" w:eastAsiaTheme="minorEastAsia"/>
          <w:b/>
          <w:sz w:val="120"/>
          <w:szCs w:val="120"/>
          <w:lang w:eastAsia="zh-CN"/>
        </w:rPr>
      </w:pPr>
      <w:r>
        <w:rPr>
          <w:rFonts w:hint="eastAsia"/>
          <w:b/>
          <w:sz w:val="120"/>
          <w:szCs w:val="120"/>
          <w:lang w:eastAsia="zh-CN"/>
        </w:rPr>
        <w:t>自行采购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（货物类）</w:t>
      </w:r>
    </w:p>
    <w:p/>
    <w:p/>
    <w:p/>
    <w:p/>
    <w:p/>
    <w:p/>
    <w:p/>
    <w:p/>
    <w:p/>
    <w:p/>
    <w:p/>
    <w:p/>
    <w:p/>
    <w:p/>
    <w:p/>
    <w:p/>
    <w:p/>
    <w:p/>
    <w:p/>
    <w:p>
      <w:pPr>
        <w:jc w:val="center"/>
        <w:rPr>
          <w:b/>
          <w:sz w:val="44"/>
          <w:szCs w:val="44"/>
        </w:rPr>
      </w:pPr>
      <w:bookmarkStart w:id="3" w:name="_Hlk71465316"/>
      <w:r>
        <w:rPr>
          <w:rFonts w:hint="eastAsia"/>
          <w:b/>
          <w:sz w:val="44"/>
          <w:szCs w:val="44"/>
        </w:rPr>
        <w:t>深圳公共资源交易中心</w:t>
      </w:r>
    </w:p>
    <w:p>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pPr>
        <w:widowControl/>
        <w:jc w:val="center"/>
      </w:pPr>
    </w:p>
    <w:p>
      <w:pPr>
        <w:widowControl/>
        <w:jc w:val="center"/>
      </w:pPr>
      <w:r>
        <w:br w:type="page"/>
      </w:r>
    </w:p>
    <w:p>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pPr>
        <w:ind w:firstLine="960" w:firstLineChars="400"/>
        <w:rPr>
          <w:sz w:val="24"/>
        </w:rPr>
      </w:pPr>
      <w:r>
        <w:rPr>
          <w:rFonts w:hint="eastAsia"/>
          <w:sz w:val="24"/>
        </w:rPr>
        <w:t>关键信息</w:t>
      </w:r>
    </w:p>
    <w:p>
      <w:pPr>
        <w:ind w:left="630" w:leftChars="300" w:firstLine="630" w:firstLineChars="300"/>
        <w:rPr>
          <w:rFonts w:ascii="宋体" w:hAnsi="宋体"/>
          <w:szCs w:val="21"/>
        </w:rPr>
      </w:pPr>
      <w:r>
        <w:rPr>
          <w:rFonts w:hint="eastAsia" w:ascii="宋体" w:hAnsi="宋体"/>
          <w:szCs w:val="21"/>
        </w:rPr>
        <w:t>第一章  招标公告</w:t>
      </w:r>
    </w:p>
    <w:p>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pPr>
        <w:ind w:left="630" w:leftChars="300" w:firstLine="411" w:firstLineChars="196"/>
        <w:rPr>
          <w:rFonts w:ascii="宋体" w:hAnsi="宋体"/>
          <w:szCs w:val="21"/>
        </w:rPr>
      </w:pPr>
      <w:r>
        <w:rPr>
          <w:rFonts w:hint="eastAsia" w:ascii="宋体" w:hAnsi="宋体"/>
          <w:szCs w:val="21"/>
        </w:rPr>
        <w:t>第一章  总则</w:t>
      </w:r>
    </w:p>
    <w:p>
      <w:pPr>
        <w:ind w:left="630" w:leftChars="300" w:firstLine="411" w:firstLineChars="196"/>
        <w:rPr>
          <w:rFonts w:ascii="宋体" w:hAnsi="宋体"/>
          <w:szCs w:val="21"/>
        </w:rPr>
      </w:pPr>
      <w:r>
        <w:rPr>
          <w:rFonts w:hint="eastAsia" w:ascii="宋体" w:hAnsi="宋体"/>
          <w:szCs w:val="21"/>
        </w:rPr>
        <w:t>第二章  招标文件</w:t>
      </w:r>
    </w:p>
    <w:p>
      <w:pPr>
        <w:ind w:left="630" w:leftChars="300" w:firstLine="411" w:firstLineChars="196"/>
        <w:rPr>
          <w:rFonts w:ascii="宋体" w:hAnsi="宋体"/>
          <w:szCs w:val="21"/>
        </w:rPr>
      </w:pPr>
      <w:r>
        <w:rPr>
          <w:rFonts w:hint="eastAsia" w:ascii="宋体" w:hAnsi="宋体"/>
          <w:szCs w:val="21"/>
        </w:rPr>
        <w:t>第三章  投标文件的编制</w:t>
      </w:r>
    </w:p>
    <w:p>
      <w:pPr>
        <w:ind w:left="630" w:leftChars="300" w:firstLine="411" w:firstLineChars="196"/>
        <w:rPr>
          <w:rFonts w:ascii="宋体" w:hAnsi="宋体"/>
          <w:szCs w:val="21"/>
        </w:rPr>
      </w:pPr>
      <w:r>
        <w:rPr>
          <w:rFonts w:hint="eastAsia" w:ascii="宋体" w:hAnsi="宋体"/>
          <w:szCs w:val="21"/>
        </w:rPr>
        <w:t>第四章  投标文件的递交</w:t>
      </w:r>
    </w:p>
    <w:p>
      <w:pPr>
        <w:ind w:left="630" w:leftChars="300" w:firstLine="411" w:firstLineChars="196"/>
        <w:rPr>
          <w:rFonts w:ascii="宋体" w:hAnsi="宋体"/>
          <w:szCs w:val="21"/>
        </w:rPr>
      </w:pPr>
      <w:r>
        <w:rPr>
          <w:rFonts w:hint="eastAsia" w:ascii="宋体" w:hAnsi="宋体"/>
          <w:szCs w:val="21"/>
        </w:rPr>
        <w:t>第五章  开标</w:t>
      </w:r>
    </w:p>
    <w:p>
      <w:pPr>
        <w:ind w:left="630" w:leftChars="300" w:firstLine="411" w:firstLineChars="196"/>
        <w:rPr>
          <w:rFonts w:ascii="宋体" w:hAnsi="宋体"/>
          <w:szCs w:val="21"/>
        </w:rPr>
      </w:pPr>
      <w:r>
        <w:rPr>
          <w:rFonts w:hint="eastAsia" w:ascii="宋体" w:hAnsi="宋体"/>
          <w:szCs w:val="21"/>
        </w:rPr>
        <w:t>第六章  评审要求</w:t>
      </w:r>
    </w:p>
    <w:p>
      <w:pPr>
        <w:ind w:left="630" w:leftChars="300" w:firstLine="411" w:firstLineChars="196"/>
        <w:rPr>
          <w:rFonts w:ascii="宋体" w:hAnsi="宋体"/>
          <w:szCs w:val="21"/>
        </w:rPr>
      </w:pPr>
      <w:r>
        <w:rPr>
          <w:rFonts w:hint="eastAsia" w:ascii="宋体" w:hAnsi="宋体"/>
          <w:szCs w:val="21"/>
        </w:rPr>
        <w:t>第七章  评审程序及评审方法</w:t>
      </w:r>
    </w:p>
    <w:p>
      <w:pPr>
        <w:ind w:left="630" w:leftChars="300" w:firstLine="411" w:firstLineChars="196"/>
        <w:rPr>
          <w:rFonts w:ascii="宋体" w:hAnsi="宋体"/>
          <w:szCs w:val="21"/>
        </w:rPr>
      </w:pPr>
      <w:r>
        <w:rPr>
          <w:rFonts w:hint="eastAsia" w:ascii="宋体" w:hAnsi="宋体"/>
          <w:szCs w:val="21"/>
        </w:rPr>
        <w:t>第八章  定标及公示</w:t>
      </w:r>
    </w:p>
    <w:p>
      <w:pPr>
        <w:ind w:left="630" w:leftChars="300" w:firstLine="411" w:firstLineChars="196"/>
        <w:rPr>
          <w:rFonts w:ascii="宋体" w:hAnsi="宋体"/>
          <w:szCs w:val="21"/>
        </w:rPr>
      </w:pPr>
      <w:r>
        <w:rPr>
          <w:rFonts w:hint="eastAsia" w:ascii="宋体" w:hAnsi="宋体"/>
          <w:szCs w:val="21"/>
        </w:rPr>
        <w:t>第九章  公开招标失败的后续处理</w:t>
      </w:r>
    </w:p>
    <w:p>
      <w:pPr>
        <w:ind w:left="630" w:leftChars="300" w:firstLine="411" w:firstLineChars="196"/>
        <w:rPr>
          <w:rFonts w:ascii="宋体" w:hAnsi="宋体"/>
          <w:szCs w:val="21"/>
        </w:rPr>
      </w:pPr>
      <w:r>
        <w:rPr>
          <w:rFonts w:hint="eastAsia" w:ascii="宋体" w:hAnsi="宋体"/>
          <w:szCs w:val="21"/>
        </w:rPr>
        <w:t>第十章  合同的授予与备案</w:t>
      </w:r>
    </w:p>
    <w:p>
      <w:pPr>
        <w:ind w:firstLine="1050" w:firstLineChars="500"/>
        <w:rPr>
          <w:rFonts w:hint="eastAsia"/>
        </w:rPr>
      </w:pPr>
      <w:r>
        <w:rPr>
          <w:rFonts w:hint="eastAsia"/>
        </w:rPr>
        <w:t>第十一章  质疑处理</w:t>
      </w:r>
    </w:p>
    <w:p>
      <w:pPr>
        <w:pStyle w:val="8"/>
        <w:rPr>
          <w:rFonts w:hint="eastAsia"/>
        </w:rPr>
      </w:pPr>
    </w:p>
    <w:p>
      <w:pPr>
        <w:pStyle w:val="15"/>
        <w:rPr>
          <w:rFonts w:hint="eastAsia"/>
        </w:rPr>
      </w:pPr>
    </w:p>
    <w:p>
      <w:pPr>
        <w:pStyle w:val="15"/>
        <w:rPr>
          <w:rFonts w:hint="eastAsia"/>
        </w:rPr>
      </w:pPr>
    </w:p>
    <w:p>
      <w:pPr>
        <w:pStyle w:val="8"/>
        <w:rPr>
          <w:rFonts w:hint="eastAsia"/>
        </w:rPr>
        <w:sectPr>
          <w:pgSz w:w="11907" w:h="16840"/>
          <w:pgMar w:top="1440" w:right="1797" w:bottom="1440" w:left="1797" w:header="851" w:footer="992" w:gutter="0"/>
          <w:cols w:space="425" w:num="1"/>
          <w:titlePg/>
          <w:docGrid w:linePitch="462" w:charSpace="0"/>
        </w:sectPr>
      </w:pPr>
    </w:p>
    <w:bookmarkEnd w:id="4"/>
    <w:p>
      <w:pPr>
        <w:pStyle w:val="3"/>
        <w:jc w:val="center"/>
        <w:rPr>
          <w:color w:val="FF0000"/>
          <w:sz w:val="24"/>
        </w:rPr>
      </w:pPr>
      <w:bookmarkStart w:id="6" w:name="bt投标报价汇总表"/>
      <w:bookmarkEnd w:id="6"/>
      <w:bookmarkStart w:id="7" w:name="bt技术标投标文件格式"/>
      <w:bookmarkEnd w:id="7"/>
      <w:bookmarkStart w:id="8" w:name="bt商务标投标文件格式"/>
      <w:bookmarkEnd w:id="8"/>
      <w:bookmarkStart w:id="9" w:name="bt其他资料2"/>
      <w:bookmarkEnd w:id="9"/>
      <w:bookmarkStart w:id="10" w:name="bt合同条款及格式"/>
      <w:bookmarkEnd w:id="10"/>
      <w:bookmarkStart w:id="11" w:name="bt合同格式"/>
      <w:bookmarkEnd w:id="11"/>
      <w:bookmarkStart w:id="12" w:name="bt投标文件签署授权委托书"/>
      <w:bookmarkEnd w:id="12"/>
      <w:bookmarkStart w:id="13" w:name="bt项目管理班子配备情况"/>
      <w:bookmarkEnd w:id="13"/>
      <w:bookmarkStart w:id="14" w:name="bt开标一览表"/>
      <w:bookmarkEnd w:id="14"/>
      <w:bookmarkStart w:id="15" w:name="bt投标函"/>
      <w:bookmarkEnd w:id="15"/>
      <w:bookmarkStart w:id="16" w:name="bt说明"/>
      <w:bookmarkEnd w:id="16"/>
      <w:bookmarkStart w:id="17" w:name="bt合同条款"/>
      <w:bookmarkEnd w:id="17"/>
      <w:bookmarkStart w:id="18" w:name="bt其他资料由投标人自定"/>
      <w:bookmarkEnd w:id="18"/>
      <w:bookmarkStart w:id="19" w:name="bt本工程承诺书"/>
      <w:bookmarkEnd w:id="19"/>
      <w:bookmarkStart w:id="20" w:name="合同格式"/>
      <w:bookmarkEnd w:id="20"/>
      <w:bookmarkStart w:id="21" w:name="bt投标人须知"/>
      <w:bookmarkEnd w:id="21"/>
      <w:bookmarkStart w:id="22" w:name="bt投标人情况介绍"/>
      <w:bookmarkEnd w:id="22"/>
      <w:r>
        <w:rPr>
          <w:rFonts w:hint="eastAsia"/>
        </w:rPr>
        <w:t>第一册  专用条款</w:t>
      </w:r>
    </w:p>
    <w:p>
      <w:pPr>
        <w:pStyle w:val="6"/>
        <w:jc w:val="center"/>
        <w:rPr>
          <w:sz w:val="28"/>
          <w:szCs w:val="28"/>
        </w:rPr>
      </w:pPr>
      <w:r>
        <w:rPr>
          <w:rFonts w:hint="eastAsia"/>
          <w:sz w:val="28"/>
          <w:szCs w:val="28"/>
        </w:rPr>
        <w:t>第一章  招标公告</w:t>
      </w:r>
    </w:p>
    <w:p>
      <w:pPr>
        <w:spacing w:line="360" w:lineRule="auto"/>
        <w:rPr>
          <w:rFonts w:ascii="宋体" w:hAnsi="宋体" w:cs="宋体"/>
          <w:b/>
          <w:bCs/>
          <w:kern w:val="0"/>
          <w:szCs w:val="21"/>
        </w:rPr>
      </w:pPr>
      <w:r>
        <w:rPr>
          <w:rFonts w:hint="eastAsia" w:ascii="宋体" w:hAnsi="宋体" w:cs="宋体"/>
          <w:b/>
          <w:bCs/>
          <w:kern w:val="0"/>
          <w:szCs w:val="21"/>
        </w:rPr>
        <w:t>申请人的资格要求：</w:t>
      </w:r>
    </w:p>
    <w:p>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pStyle w:val="2"/>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pPr>
        <w:ind w:firstLine="420" w:firstLineChars="200"/>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专门面向中小企业采购：否</w:t>
      </w:r>
      <w:r>
        <w:rPr>
          <w:rFonts w:hint="eastAsia" w:ascii="宋体" w:hAnsi="宋体" w:cs="宋体"/>
          <w:kern w:val="0"/>
          <w:szCs w:val="21"/>
          <w:lang w:eastAsia="zh-CN"/>
        </w:rPr>
        <w:t>。</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ascii="宋体" w:hAnsi="宋体"/>
        </w:rPr>
      </w:pPr>
      <w:r>
        <w:rPr>
          <w:rFonts w:hint="eastAsia" w:ascii="宋体" w:hAnsi="宋体"/>
        </w:rPr>
        <w:t>（2）供应商投标（上传投标文件）必须先行办理注册手续。</w:t>
      </w:r>
    </w:p>
    <w:p>
      <w:pPr>
        <w:ind w:firstLine="420" w:firstLineChars="200"/>
        <w:rPr>
          <w:rFonts w:ascii="宋体" w:hAnsi="宋体"/>
        </w:rPr>
      </w:pPr>
    </w:p>
    <w:p>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pPr>
        <w:ind w:firstLine="422" w:firstLineChars="200"/>
        <w:rPr>
          <w:b/>
        </w:rPr>
      </w:pPr>
    </w:p>
    <w:p>
      <w:pPr>
        <w:rPr>
          <w:sz w:val="24"/>
        </w:rPr>
        <w:sectPr>
          <w:pgSz w:w="11907" w:h="16840"/>
          <w:pgMar w:top="1440" w:right="1797" w:bottom="1440" w:left="1797" w:header="851" w:footer="992" w:gutter="0"/>
          <w:cols w:space="425" w:num="1"/>
          <w:titlePg/>
          <w:docGrid w:linePitch="462" w:charSpace="0"/>
        </w:sectPr>
      </w:pPr>
    </w:p>
    <w:p>
      <w:pPr>
        <w:pStyle w:val="6"/>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pPr>
        <w:pStyle w:val="6"/>
        <w:spacing w:before="120" w:beforeLines="50" w:after="120" w:afterLines="50"/>
        <w:jc w:val="center"/>
        <w:rPr>
          <w:szCs w:val="24"/>
        </w:rPr>
      </w:pPr>
      <w:bookmarkStart w:id="24" w:name="_Toc73518117"/>
      <w:bookmarkStart w:id="25" w:name="_Toc60560625"/>
      <w:bookmarkStart w:id="26" w:name="_Toc101074876"/>
      <w:bookmarkStart w:id="27" w:name="_Toc100052364"/>
      <w:bookmarkStart w:id="28" w:name="_Toc73521635"/>
      <w:bookmarkStart w:id="29" w:name="_Toc60631620"/>
      <w:bookmarkStart w:id="30" w:name="_Toc73517639"/>
      <w:bookmarkStart w:id="31" w:name="_Toc73521547"/>
      <w:r>
        <w:rPr>
          <w:rFonts w:hint="eastAsia"/>
          <w:szCs w:val="24"/>
        </w:rPr>
        <w:t>一、对通用条款的补充内容</w:t>
      </w:r>
    </w:p>
    <w:bookmarkEnd w:id="24"/>
    <w:bookmarkEnd w:id="25"/>
    <w:bookmarkEnd w:id="26"/>
    <w:bookmarkEnd w:id="27"/>
    <w:bookmarkEnd w:id="28"/>
    <w:bookmarkEnd w:id="29"/>
    <w:bookmarkEnd w:id="30"/>
    <w:bookmarkEnd w:id="31"/>
    <w:tbl>
      <w:tblPr>
        <w:tblStyle w:val="18"/>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b/>
                <w:bCs/>
              </w:rPr>
            </w:pPr>
            <w:bookmarkStart w:id="32" w:name="_Hlk72218097"/>
            <w:r>
              <w:rPr>
                <w:rFonts w:hint="eastAsia" w:ascii="宋体" w:hAnsi="宋体"/>
                <w:b/>
                <w:bCs/>
              </w:rPr>
              <w:t>通用条款序号</w:t>
            </w:r>
          </w:p>
        </w:tc>
        <w:tc>
          <w:tcPr>
            <w:tcW w:w="2409" w:type="dxa"/>
            <w:noWrap w:val="0"/>
            <w:vAlign w:val="center"/>
          </w:tcPr>
          <w:p>
            <w:pPr>
              <w:jc w:val="center"/>
              <w:rPr>
                <w:rFonts w:ascii="宋体" w:hAnsi="宋体"/>
                <w:b/>
                <w:bCs/>
              </w:rPr>
            </w:pPr>
            <w:r>
              <w:rPr>
                <w:rFonts w:hint="eastAsia" w:ascii="宋体" w:hAnsi="宋体"/>
                <w:b/>
                <w:bCs/>
              </w:rPr>
              <w:t>涉及事项</w:t>
            </w:r>
          </w:p>
        </w:tc>
        <w:tc>
          <w:tcPr>
            <w:tcW w:w="4980" w:type="dxa"/>
            <w:noWrap w:val="0"/>
            <w:vAlign w:val="center"/>
          </w:tcPr>
          <w:p>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.1</w:t>
            </w:r>
          </w:p>
        </w:tc>
        <w:tc>
          <w:tcPr>
            <w:tcW w:w="2409" w:type="dxa"/>
            <w:noWrap w:val="0"/>
            <w:vAlign w:val="center"/>
          </w:tcPr>
          <w:p>
            <w:pPr>
              <w:jc w:val="center"/>
            </w:pPr>
            <w:r>
              <w:rPr>
                <w:rFonts w:hint="eastAsia"/>
              </w:rPr>
              <w:t>采购人</w:t>
            </w:r>
          </w:p>
        </w:tc>
        <w:tc>
          <w:tcPr>
            <w:tcW w:w="4980" w:type="dxa"/>
            <w:noWrap w:val="0"/>
            <w:vAlign w:val="center"/>
          </w:tcPr>
          <w:p>
            <w:pPr>
              <w:jc w:val="center"/>
              <w:rPr>
                <w:rFonts w:ascii="宋体" w:hAnsi="宋体"/>
              </w:rPr>
            </w:pPr>
            <w:r>
              <w:rPr>
                <w:rFonts w:hint="eastAsia" w:ascii="宋体" w:hAnsi="宋体" w:cs="宋体"/>
                <w:bCs/>
                <w:color w:val="000000"/>
                <w:kern w:val="0"/>
                <w:sz w:val="24"/>
              </w:rPr>
              <w:t>深圳市宝安区会展城实验学校</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.2</w:t>
            </w:r>
          </w:p>
        </w:tc>
        <w:tc>
          <w:tcPr>
            <w:tcW w:w="2409" w:type="dxa"/>
            <w:noWrap w:val="0"/>
            <w:vAlign w:val="center"/>
          </w:tcPr>
          <w:p>
            <w:pPr>
              <w:jc w:val="center"/>
              <w:rPr>
                <w:rFonts w:ascii="宋体" w:hAnsi="宋体"/>
              </w:rPr>
            </w:pPr>
            <w:r>
              <w:rPr>
                <w:rFonts w:hint="eastAsia" w:ascii="宋体" w:hAnsi="宋体"/>
              </w:rPr>
              <w:t>政府集中采购机构</w:t>
            </w:r>
          </w:p>
        </w:tc>
        <w:tc>
          <w:tcPr>
            <w:tcW w:w="4980" w:type="dxa"/>
            <w:noWrap w:val="0"/>
            <w:vAlign w:val="center"/>
          </w:tcPr>
          <w:p>
            <w:pPr>
              <w:jc w:val="center"/>
            </w:pPr>
            <w:r>
              <w:rPr>
                <w:rFonts w:hint="eastAsia"/>
              </w:rPr>
              <w:t>深圳公共资源交易中心</w:t>
            </w:r>
          </w:p>
          <w:p>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9</w:t>
            </w:r>
          </w:p>
        </w:tc>
        <w:tc>
          <w:tcPr>
            <w:tcW w:w="2409" w:type="dxa"/>
            <w:noWrap w:val="0"/>
            <w:vAlign w:val="center"/>
          </w:tcPr>
          <w:p>
            <w:pPr>
              <w:jc w:val="center"/>
              <w:rPr>
                <w:rFonts w:ascii="宋体" w:hAnsi="宋体"/>
              </w:rPr>
            </w:pPr>
            <w:r>
              <w:rPr>
                <w:rFonts w:hint="eastAsia" w:ascii="宋体" w:hAnsi="宋体"/>
              </w:rPr>
              <w:t>踏勘现场</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0</w:t>
            </w:r>
          </w:p>
        </w:tc>
        <w:tc>
          <w:tcPr>
            <w:tcW w:w="2409" w:type="dxa"/>
            <w:noWrap w:val="0"/>
            <w:vAlign w:val="center"/>
          </w:tcPr>
          <w:p>
            <w:pPr>
              <w:jc w:val="center"/>
              <w:rPr>
                <w:rFonts w:ascii="宋体" w:hAnsi="宋体"/>
              </w:rPr>
            </w:pPr>
            <w:r>
              <w:rPr>
                <w:rFonts w:hint="eastAsia" w:ascii="宋体" w:hAnsi="宋体"/>
              </w:rPr>
              <w:t>标前会议</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pPr>
              <w:jc w:val="center"/>
              <w:rPr>
                <w:rFonts w:ascii="宋体" w:hAnsi="宋体"/>
              </w:rPr>
            </w:pPr>
            <w:r>
              <w:rPr>
                <w:rFonts w:hint="eastAsia" w:ascii="宋体" w:hAnsi="宋体"/>
              </w:rPr>
              <w:t>招标文件的澄清和修改</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0</w:t>
            </w:r>
          </w:p>
        </w:tc>
        <w:tc>
          <w:tcPr>
            <w:tcW w:w="2409" w:type="dxa"/>
            <w:noWrap w:val="0"/>
            <w:vAlign w:val="center"/>
          </w:tcPr>
          <w:p>
            <w:pPr>
              <w:jc w:val="center"/>
              <w:rPr>
                <w:rFonts w:ascii="宋体" w:hAnsi="宋体"/>
              </w:rPr>
            </w:pPr>
            <w:r>
              <w:rPr>
                <w:rFonts w:hint="eastAsia" w:ascii="宋体" w:hAnsi="宋体"/>
              </w:rPr>
              <w:t>投标有效期</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2</w:t>
            </w:r>
          </w:p>
        </w:tc>
        <w:tc>
          <w:tcPr>
            <w:tcW w:w="2409" w:type="dxa"/>
            <w:noWrap w:val="0"/>
            <w:vAlign w:val="center"/>
          </w:tcPr>
          <w:p>
            <w:pPr>
              <w:jc w:val="center"/>
              <w:rPr>
                <w:rFonts w:ascii="宋体" w:hAnsi="宋体"/>
              </w:rPr>
            </w:pPr>
            <w:r>
              <w:rPr>
                <w:rFonts w:hint="eastAsia" w:ascii="宋体" w:hAnsi="宋体"/>
              </w:rPr>
              <w:t>投标人的替代方案</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5</w:t>
            </w:r>
          </w:p>
        </w:tc>
        <w:tc>
          <w:tcPr>
            <w:tcW w:w="2409" w:type="dxa"/>
            <w:noWrap w:val="0"/>
            <w:vAlign w:val="center"/>
          </w:tcPr>
          <w:p>
            <w:pPr>
              <w:jc w:val="center"/>
              <w:rPr>
                <w:rFonts w:ascii="宋体" w:hAnsi="宋体"/>
              </w:rPr>
            </w:pPr>
            <w:r>
              <w:rPr>
                <w:rFonts w:hint="eastAsia" w:ascii="宋体" w:hAnsi="宋体"/>
              </w:rPr>
              <w:t>投标文件的大小</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6</w:t>
            </w:r>
          </w:p>
        </w:tc>
        <w:tc>
          <w:tcPr>
            <w:tcW w:w="2409" w:type="dxa"/>
            <w:noWrap w:val="0"/>
            <w:vAlign w:val="center"/>
          </w:tcPr>
          <w:p>
            <w:pPr>
              <w:jc w:val="center"/>
              <w:rPr>
                <w:rFonts w:ascii="宋体" w:hAnsi="宋体"/>
              </w:rPr>
            </w:pPr>
            <w:bookmarkStart w:id="33" w:name="_Hlk71664860"/>
            <w:r>
              <w:rPr>
                <w:rFonts w:hint="eastAsia" w:ascii="宋体" w:hAnsi="宋体"/>
              </w:rPr>
              <w:t>样品、现场演示、方案讲解</w:t>
            </w:r>
            <w:bookmarkEnd w:id="33"/>
          </w:p>
        </w:tc>
        <w:tc>
          <w:tcPr>
            <w:tcW w:w="4980" w:type="dxa"/>
            <w:noWrap w:val="0"/>
            <w:vAlign w:val="center"/>
          </w:tcPr>
          <w:p>
            <w:pPr>
              <w:jc w:val="center"/>
              <w:rPr>
                <w:rFonts w:ascii="宋体" w:hAnsi="宋体"/>
              </w:rPr>
            </w:pPr>
            <w:r>
              <w:rPr>
                <w:rFonts w:hint="eastAsia"/>
              </w:rPr>
              <w:t>如有样品、演示、方案讲解，具体安排见第三章 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7</w:t>
            </w:r>
          </w:p>
        </w:tc>
        <w:tc>
          <w:tcPr>
            <w:tcW w:w="2409" w:type="dxa"/>
            <w:noWrap w:val="0"/>
            <w:vAlign w:val="center"/>
          </w:tcPr>
          <w:p>
            <w:pPr>
              <w:jc w:val="center"/>
              <w:rPr>
                <w:rFonts w:ascii="宋体" w:hAnsi="宋体"/>
              </w:rPr>
            </w:pPr>
            <w:r>
              <w:rPr>
                <w:rFonts w:hint="eastAsia" w:ascii="宋体" w:hAnsi="宋体"/>
              </w:rPr>
              <w:t>评审方法</w:t>
            </w:r>
          </w:p>
        </w:tc>
        <w:tc>
          <w:tcPr>
            <w:tcW w:w="4980" w:type="dxa"/>
            <w:noWrap w:val="0"/>
            <w:vAlign w:val="center"/>
          </w:tcPr>
          <w:p>
            <w:pPr>
              <w:jc w:val="center"/>
              <w:rPr>
                <w:rFonts w:ascii="宋体" w:hAnsi="宋体"/>
              </w:rPr>
            </w:pPr>
            <w:r>
              <w:rPr>
                <w:rFonts w:hint="eastAsia"/>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8</w:t>
            </w:r>
          </w:p>
        </w:tc>
        <w:tc>
          <w:tcPr>
            <w:tcW w:w="2409" w:type="dxa"/>
            <w:noWrap w:val="0"/>
            <w:vAlign w:val="center"/>
          </w:tcPr>
          <w:p>
            <w:pPr>
              <w:jc w:val="center"/>
              <w:rPr>
                <w:rFonts w:ascii="宋体" w:hAnsi="宋体"/>
              </w:rPr>
            </w:pPr>
            <w:r>
              <w:rPr>
                <w:rFonts w:hint="eastAsia" w:ascii="宋体" w:hAnsi="宋体"/>
              </w:rPr>
              <w:t>定标方法</w:t>
            </w:r>
          </w:p>
        </w:tc>
        <w:tc>
          <w:tcPr>
            <w:tcW w:w="4980" w:type="dxa"/>
            <w:noWrap w:val="0"/>
            <w:vAlign w:val="center"/>
          </w:tcPr>
          <w:p>
            <w:pPr>
              <w:jc w:val="center"/>
              <w:rPr>
                <w:rFonts w:ascii="宋体" w:hAnsi="宋体"/>
              </w:rPr>
            </w:pPr>
            <w:r>
              <w:rPr>
                <w:rFonts w:hint="eastAsia"/>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4</w:t>
            </w:r>
            <w:r>
              <w:rPr>
                <w:rFonts w:ascii="宋体" w:hAnsi="宋体"/>
              </w:rPr>
              <w:t>6</w:t>
            </w:r>
          </w:p>
        </w:tc>
        <w:tc>
          <w:tcPr>
            <w:tcW w:w="2409" w:type="dxa"/>
            <w:noWrap w:val="0"/>
            <w:vAlign w:val="center"/>
          </w:tcPr>
          <w:p>
            <w:pPr>
              <w:jc w:val="center"/>
              <w:rPr>
                <w:rFonts w:ascii="宋体" w:hAnsi="宋体"/>
              </w:rPr>
            </w:pPr>
            <w:r>
              <w:rPr>
                <w:rFonts w:hint="eastAsia" w:ascii="宋体" w:hAnsi="宋体"/>
              </w:rPr>
              <w:t>履约担保</w:t>
            </w:r>
          </w:p>
        </w:tc>
        <w:tc>
          <w:tcPr>
            <w:tcW w:w="4980" w:type="dxa"/>
            <w:noWrap w:val="0"/>
            <w:vAlign w:val="center"/>
          </w:tcPr>
          <w:p>
            <w:pPr>
              <w:jc w:val="center"/>
              <w:rPr>
                <w:rFonts w:ascii="宋体" w:hAnsi="宋体"/>
              </w:rPr>
            </w:pPr>
            <w:r>
              <w:rPr>
                <w:rFonts w:hint="eastAsia"/>
              </w:rPr>
              <w:t>不需要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noWrap w:val="0"/>
            <w:vAlign w:val="center"/>
          </w:tcPr>
          <w:p>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pPr>
        <w:rPr>
          <w:b/>
        </w:rPr>
      </w:pPr>
      <w:r>
        <w:rPr>
          <w:rFonts w:hint="eastAsia"/>
          <w:szCs w:val="21"/>
        </w:rPr>
        <w:t>备注：本表是通用条款相关条款的补充和明确，如与通用条款内容相冲突的，以本表为准。</w:t>
      </w:r>
    </w:p>
    <w:bookmarkEnd w:id="32"/>
    <w:p>
      <w:pPr>
        <w:pStyle w:val="6"/>
        <w:spacing w:before="120" w:beforeLines="50" w:after="120" w:afterLines="50"/>
        <w:jc w:val="center"/>
        <w:rPr>
          <w:szCs w:val="24"/>
        </w:rPr>
      </w:pPr>
      <w:bookmarkStart w:id="34" w:name="_Hlk72218117"/>
      <w:r>
        <w:rPr>
          <w:rFonts w:hint="eastAsia"/>
          <w:szCs w:val="24"/>
        </w:rPr>
        <w:t>二、其他关键信息</w:t>
      </w:r>
    </w:p>
    <w:p>
      <w:pPr>
        <w:ind w:firstLine="422" w:firstLineChars="200"/>
        <w:rPr>
          <w:b/>
          <w:bCs/>
        </w:rPr>
      </w:pPr>
      <w:bookmarkStart w:id="35" w:name="_Hlk72579427"/>
      <w:r>
        <w:rPr>
          <w:rFonts w:hint="eastAsia"/>
          <w:b/>
          <w:bCs/>
        </w:rPr>
        <w:t>（一）与“对通用条款的补充内容”章节相关的事项</w:t>
      </w:r>
    </w:p>
    <w:p>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pPr>
        <w:jc w:val="center"/>
      </w:pPr>
      <w:r>
        <w:rPr>
          <w:rFonts w:hint="eastAsia"/>
          <w:b/>
        </w:rPr>
        <w:t>非评定分离项目</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4" w:type="dxa"/>
            <w:noWrap w:val="0"/>
            <w:vAlign w:val="top"/>
          </w:tcPr>
          <w:p>
            <w:pPr>
              <w:jc w:val="center"/>
            </w:pPr>
            <w:r>
              <w:rPr>
                <w:rFonts w:hint="eastAsia"/>
              </w:rPr>
              <w:t>评标方法</w:t>
            </w:r>
          </w:p>
        </w:tc>
        <w:tc>
          <w:tcPr>
            <w:tcW w:w="3235" w:type="dxa"/>
            <w:noWrap w:val="0"/>
            <w:vAlign w:val="top"/>
          </w:tcPr>
          <w:p>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候选中标供应商家数</w:t>
            </w:r>
          </w:p>
        </w:tc>
        <w:tc>
          <w:tcPr>
            <w:tcW w:w="3235" w:type="dxa"/>
            <w:noWrap w:val="0"/>
            <w:vAlign w:val="top"/>
          </w:tcPr>
          <w:p>
            <w:pPr>
              <w:jc w:val="center"/>
              <w:rPr>
                <w:rFonts w:hint="default" w:eastAsia="宋体"/>
                <w:lang w:val="en-US" w:eastAsia="zh-CN"/>
              </w:rPr>
            </w:pPr>
            <w:r>
              <w:rPr>
                <w:rFonts w:hint="eastAsia"/>
              </w:rPr>
              <w:t>1</w:t>
            </w:r>
          </w:p>
        </w:tc>
        <w:tc>
          <w:tcPr>
            <w:tcW w:w="2450" w:type="dxa"/>
            <w:noWrap w:val="0"/>
            <w:vAlign w:val="top"/>
          </w:tcPr>
          <w:p>
            <w:pPr>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中标供应商家数</w:t>
            </w:r>
          </w:p>
        </w:tc>
        <w:tc>
          <w:tcPr>
            <w:tcW w:w="3235" w:type="dxa"/>
            <w:noWrap w:val="0"/>
            <w:vAlign w:val="top"/>
          </w:tcPr>
          <w:p>
            <w:pPr>
              <w:jc w:val="center"/>
            </w:pPr>
            <w:r>
              <w:rPr>
                <w:rFonts w:hint="eastAsia"/>
              </w:rPr>
              <w:t>1</w:t>
            </w:r>
          </w:p>
        </w:tc>
        <w:tc>
          <w:tcPr>
            <w:tcW w:w="2450" w:type="dxa"/>
            <w:noWrap w:val="0"/>
            <w:vAlign w:val="top"/>
          </w:tcPr>
          <w:p>
            <w:pPr>
              <w:jc w:val="center"/>
              <w:rPr>
                <w:rFonts w:hint="eastAsia"/>
              </w:rPr>
            </w:pPr>
            <w:r>
              <w:rPr>
                <w:rFonts w:hint="eastAsia"/>
              </w:rPr>
              <w:t>1</w:t>
            </w:r>
          </w:p>
        </w:tc>
      </w:tr>
    </w:tbl>
    <w:p>
      <w:pPr>
        <w:pStyle w:val="15"/>
      </w:pPr>
    </w:p>
    <w:p>
      <w:pPr>
        <w:ind w:firstLine="480" w:firstLineChars="200"/>
        <w:rPr>
          <w:rFonts w:hint="eastAsia" w:ascii="Arial" w:hAnsi="Arial" w:eastAsia="宋体" w:cs="Arial"/>
          <w:color w:val="000000"/>
          <w:sz w:val="24"/>
          <w:szCs w:val="24"/>
          <w:highlight w:val="yellow"/>
        </w:rPr>
      </w:pPr>
    </w:p>
    <w:p>
      <w:pPr>
        <w:ind w:firstLine="422" w:firstLineChars="200"/>
        <w:rPr>
          <w:rFonts w:hint="eastAsia"/>
          <w:b/>
        </w:rPr>
      </w:pPr>
    </w:p>
    <w:p>
      <w:pPr>
        <w:ind w:firstLine="422" w:firstLineChars="200"/>
        <w:rPr>
          <w:b/>
        </w:rPr>
      </w:pPr>
      <w:r>
        <w:rPr>
          <w:rFonts w:hint="eastAsia"/>
          <w:b/>
        </w:rPr>
        <w:t>（二）其他事项</w:t>
      </w:r>
      <w:bookmarkEnd w:id="35"/>
    </w:p>
    <w:p>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10 </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rPr>
        <w:t>（</w:t>
      </w:r>
      <w:r>
        <w:rPr>
          <w:rFonts w:hint="eastAsia"/>
          <w:color w:val="000000" w:themeColor="text1"/>
          <w:u w:val="none"/>
          <w:lang w:val="en-US" w:eastAsia="zh-CN"/>
        </w:rPr>
        <w:t>10%~20%</w:t>
      </w:r>
      <w:r>
        <w:rPr>
          <w:rFonts w:hint="eastAsia"/>
          <w:color w:val="000000" w:themeColor="text1"/>
          <w:u w:val="none"/>
          <w:lang w:eastAsia="zh-CN"/>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pPr>
        <w:pStyle w:val="8"/>
        <w:rPr>
          <w:b/>
        </w:rPr>
      </w:pPr>
    </w:p>
    <w:p>
      <w:pPr>
        <w:pStyle w:val="15"/>
        <w:rPr>
          <w:b/>
        </w:rPr>
      </w:pPr>
    </w:p>
    <w:p>
      <w:pPr>
        <w:pStyle w:val="15"/>
        <w:rPr>
          <w:b/>
        </w:rPr>
      </w:pPr>
    </w:p>
    <w:p>
      <w:pPr>
        <w:pStyle w:val="15"/>
        <w:rPr>
          <w:b/>
        </w:rPr>
        <w:sectPr>
          <w:pgSz w:w="11907" w:h="16840"/>
          <w:pgMar w:top="1440" w:right="1797" w:bottom="1440" w:left="1797" w:header="851" w:footer="992" w:gutter="0"/>
          <w:cols w:space="425" w:num="1"/>
          <w:titlePg/>
          <w:docGrid w:linePitch="462" w:charSpace="0"/>
        </w:sectPr>
      </w:pPr>
    </w:p>
    <w:bookmarkEnd w:id="34"/>
    <w:p>
      <w:pPr>
        <w:pStyle w:val="6"/>
        <w:jc w:val="center"/>
        <w:rPr>
          <w:sz w:val="28"/>
          <w:szCs w:val="28"/>
        </w:rPr>
      </w:pPr>
      <w:r>
        <w:rPr>
          <w:rFonts w:hint="eastAsia"/>
          <w:sz w:val="28"/>
          <w:szCs w:val="28"/>
        </w:rPr>
        <w:t>第三章 用户需求书</w:t>
      </w:r>
    </w:p>
    <w:p>
      <w:pPr>
        <w:pStyle w:val="6"/>
        <w:spacing w:before="120" w:beforeLines="50" w:after="120" w:afterLines="50"/>
        <w:jc w:val="center"/>
        <w:rPr>
          <w:szCs w:val="24"/>
        </w:rPr>
      </w:pPr>
      <w:r>
        <w:rPr>
          <w:rFonts w:hint="eastAsia"/>
          <w:szCs w:val="24"/>
        </w:rPr>
        <w:t>一、项目基本信息</w:t>
      </w:r>
    </w:p>
    <w:p>
      <w:pPr>
        <w:rPr>
          <w:rFonts w:ascii="宋体" w:hAnsi="宋体"/>
          <w:b/>
          <w:color w:val="FF0000"/>
          <w:szCs w:val="21"/>
        </w:rPr>
      </w:pPr>
    </w:p>
    <w:tbl>
      <w:tblPr>
        <w:tblStyle w:val="18"/>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603"/>
        <w:gridCol w:w="3158"/>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szCs w:val="21"/>
              </w:rPr>
            </w:pPr>
            <w:r>
              <w:rPr>
                <w:rFonts w:hint="eastAsia"/>
                <w:bCs/>
                <w:szCs w:val="21"/>
              </w:rPr>
              <w:t>序号</w:t>
            </w:r>
          </w:p>
        </w:tc>
        <w:tc>
          <w:tcPr>
            <w:tcW w:w="2603" w:type="dxa"/>
            <w:vAlign w:val="center"/>
          </w:tcPr>
          <w:p>
            <w:pPr>
              <w:jc w:val="center"/>
              <w:rPr>
                <w:bCs/>
                <w:szCs w:val="21"/>
              </w:rPr>
            </w:pPr>
            <w:r>
              <w:rPr>
                <w:rFonts w:hint="eastAsia"/>
                <w:szCs w:val="21"/>
              </w:rPr>
              <w:t>采购计划编号</w:t>
            </w:r>
          </w:p>
        </w:tc>
        <w:tc>
          <w:tcPr>
            <w:tcW w:w="3158" w:type="dxa"/>
            <w:vAlign w:val="center"/>
          </w:tcPr>
          <w:p>
            <w:pPr>
              <w:jc w:val="center"/>
              <w:rPr>
                <w:bCs/>
                <w:szCs w:val="21"/>
              </w:rPr>
            </w:pPr>
            <w:r>
              <w:rPr>
                <w:rFonts w:hint="eastAsia"/>
                <w:bCs/>
                <w:szCs w:val="21"/>
              </w:rPr>
              <w:t>采购项目名称</w:t>
            </w:r>
          </w:p>
        </w:tc>
        <w:tc>
          <w:tcPr>
            <w:tcW w:w="2355" w:type="dxa"/>
            <w:vAlign w:val="center"/>
          </w:tcPr>
          <w:p>
            <w:pPr>
              <w:jc w:val="center"/>
              <w:rPr>
                <w:b/>
                <w:bCs/>
                <w:color w:val="FF0000"/>
                <w:szCs w:val="21"/>
              </w:rPr>
            </w:pPr>
            <w:r>
              <w:rPr>
                <w:rFonts w:hint="eastAsia"/>
                <w:b/>
                <w:bCs/>
                <w:color w:val="FF0000"/>
                <w:szCs w:val="21"/>
              </w:rPr>
              <w:t>财政预算限额（元）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color w:val="FF0000"/>
                <w:szCs w:val="21"/>
              </w:rPr>
            </w:pPr>
            <w:r>
              <w:rPr>
                <w:rFonts w:hint="eastAsia"/>
                <w:bCs/>
                <w:color w:val="FF0000"/>
                <w:szCs w:val="21"/>
              </w:rPr>
              <w:t>1</w:t>
            </w:r>
          </w:p>
        </w:tc>
        <w:tc>
          <w:tcPr>
            <w:tcW w:w="2603" w:type="dxa"/>
            <w:vAlign w:val="center"/>
          </w:tcPr>
          <w:p>
            <w:pPr>
              <w:jc w:val="center"/>
              <w:rPr>
                <w:bCs/>
                <w:color w:val="FF0000"/>
                <w:szCs w:val="21"/>
              </w:rPr>
            </w:pPr>
            <w:r>
              <w:rPr>
                <w:rFonts w:hint="eastAsia"/>
                <w:bCs/>
                <w:color w:val="FF0000"/>
                <w:szCs w:val="21"/>
              </w:rPr>
              <w:t>BAJYJ2025053007200A</w:t>
            </w:r>
          </w:p>
        </w:tc>
        <w:tc>
          <w:tcPr>
            <w:tcW w:w="3158" w:type="dxa"/>
            <w:vAlign w:val="center"/>
          </w:tcPr>
          <w:p>
            <w:pPr>
              <w:jc w:val="center"/>
              <w:rPr>
                <w:b/>
                <w:bCs/>
                <w:color w:val="FF0000"/>
                <w:szCs w:val="21"/>
              </w:rPr>
            </w:pPr>
            <w:r>
              <w:rPr>
                <w:rFonts w:hint="eastAsia"/>
                <w:b/>
                <w:bCs/>
                <w:color w:val="FF0000"/>
                <w:szCs w:val="21"/>
              </w:rPr>
              <w:t>深圳市宝安区会展城实验学校宿舍设备采购项目</w:t>
            </w:r>
          </w:p>
        </w:tc>
        <w:tc>
          <w:tcPr>
            <w:tcW w:w="2355" w:type="dxa"/>
            <w:vAlign w:val="center"/>
          </w:tcPr>
          <w:p>
            <w:pPr>
              <w:jc w:val="center"/>
              <w:rPr>
                <w:rFonts w:hint="default" w:eastAsiaTheme="minorEastAsia"/>
                <w:bCs/>
                <w:color w:val="FF0000"/>
                <w:szCs w:val="21"/>
                <w:lang w:val="en-US" w:eastAsia="zh-CN"/>
              </w:rPr>
            </w:pPr>
            <w:r>
              <w:rPr>
                <w:rFonts w:hint="eastAsia"/>
                <w:bCs/>
                <w:color w:val="FF0000"/>
                <w:szCs w:val="21"/>
              </w:rPr>
              <w:t>441000</w:t>
            </w:r>
            <w:r>
              <w:rPr>
                <w:rFonts w:hint="eastAsia"/>
                <w:bCs/>
                <w:color w:val="FF0000"/>
                <w:szCs w:val="21"/>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74" w:type="dxa"/>
            <w:gridSpan w:val="3"/>
            <w:vAlign w:val="center"/>
          </w:tcPr>
          <w:p>
            <w:pPr>
              <w:jc w:val="center"/>
              <w:rPr>
                <w:b/>
                <w:bCs/>
                <w:color w:val="FF0000"/>
                <w:szCs w:val="21"/>
              </w:rPr>
            </w:pPr>
            <w:r>
              <w:rPr>
                <w:b/>
                <w:bCs/>
                <w:color w:val="FF0000"/>
                <w:szCs w:val="21"/>
              </w:rPr>
              <w:t>合计</w:t>
            </w:r>
          </w:p>
        </w:tc>
        <w:tc>
          <w:tcPr>
            <w:tcW w:w="2355" w:type="dxa"/>
            <w:vAlign w:val="center"/>
          </w:tcPr>
          <w:p>
            <w:pPr>
              <w:jc w:val="center"/>
              <w:rPr>
                <w:bCs/>
                <w:color w:val="FF0000"/>
                <w:szCs w:val="21"/>
              </w:rPr>
            </w:pPr>
            <w:r>
              <w:rPr>
                <w:rFonts w:hint="eastAsia"/>
                <w:bCs/>
                <w:color w:val="FF0000"/>
                <w:szCs w:val="21"/>
              </w:rPr>
              <w:t>441000</w:t>
            </w:r>
            <w:r>
              <w:rPr>
                <w:rFonts w:hint="eastAsia"/>
                <w:bCs/>
                <w:color w:val="FF0000"/>
                <w:szCs w:val="21"/>
                <w:lang w:val="en-US" w:eastAsia="zh-CN"/>
              </w:rPr>
              <w:t>.00</w:t>
            </w:r>
          </w:p>
        </w:tc>
      </w:tr>
    </w:tbl>
    <w:p>
      <w:pPr>
        <w:rPr>
          <w:rFonts w:ascii="宋体" w:hAnsi="宋体"/>
          <w:b/>
          <w:color w:val="FF0000"/>
          <w:szCs w:val="21"/>
        </w:rPr>
      </w:pPr>
    </w:p>
    <w:p>
      <w:pPr>
        <w:rPr>
          <w:rFonts w:ascii="宋体" w:hAnsi="宋体"/>
          <w:b/>
          <w:color w:val="FF0000"/>
          <w:szCs w:val="21"/>
        </w:rPr>
      </w:pPr>
    </w:p>
    <w:p>
      <w:pPr>
        <w:pStyle w:val="6"/>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8"/>
        <w:tblW w:w="76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789"/>
        <w:gridCol w:w="1316"/>
        <w:gridCol w:w="1631"/>
        <w:gridCol w:w="787"/>
        <w:gridCol w:w="787"/>
        <w:gridCol w:w="790"/>
        <w:gridCol w:w="790"/>
        <w:gridCol w:w="7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10"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序号</w:t>
            </w:r>
          </w:p>
        </w:tc>
        <w:tc>
          <w:tcPr>
            <w:tcW w:w="13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采购计划编号</w:t>
            </w:r>
          </w:p>
        </w:tc>
        <w:tc>
          <w:tcPr>
            <w:tcW w:w="16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货物名称（标的名称）</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数量</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单位</w:t>
            </w:r>
          </w:p>
        </w:tc>
        <w:tc>
          <w:tcPr>
            <w:tcW w:w="7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keepNext w:val="0"/>
              <w:keepLines w:val="0"/>
              <w:widowControl/>
              <w:suppressLineNumbers w:val="0"/>
              <w:jc w:val="center"/>
              <w:textAlignment w:val="bottom"/>
              <w:rPr>
                <w:rFonts w:hint="eastAsia" w:ascii="宋体" w:hAnsi="宋体" w:eastAsia="宋体" w:cs="宋体"/>
                <w:b/>
                <w:i w:val="0"/>
                <w:color w:val="FF0000"/>
                <w:sz w:val="21"/>
                <w:szCs w:val="21"/>
                <w:highlight w:val="yellow"/>
                <w:u w:val="none"/>
              </w:rPr>
            </w:pPr>
            <w:r>
              <w:rPr>
                <w:rFonts w:hint="eastAsia" w:ascii="宋体" w:hAnsi="宋体" w:eastAsia="宋体" w:cs="宋体"/>
                <w:b/>
                <w:i w:val="0"/>
                <w:color w:val="FF0000"/>
                <w:kern w:val="0"/>
                <w:sz w:val="21"/>
                <w:szCs w:val="21"/>
                <w:highlight w:val="yellow"/>
                <w:u w:val="none"/>
                <w:lang w:val="en-US" w:eastAsia="zh-CN" w:bidi="ar"/>
              </w:rPr>
              <w:t>是否接受进口</w:t>
            </w:r>
          </w:p>
        </w:tc>
        <w:tc>
          <w:tcPr>
            <w:tcW w:w="7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keepNext w:val="0"/>
              <w:keepLines w:val="0"/>
              <w:widowControl/>
              <w:suppressLineNumbers w:val="0"/>
              <w:jc w:val="center"/>
              <w:textAlignment w:val="bottom"/>
              <w:rPr>
                <w:rFonts w:hint="eastAsia" w:ascii="宋体" w:hAnsi="宋体" w:eastAsia="宋体" w:cs="宋体"/>
                <w:b/>
                <w:i w:val="0"/>
                <w:color w:val="FF0000"/>
                <w:sz w:val="21"/>
                <w:szCs w:val="21"/>
                <w:highlight w:val="yellow"/>
                <w:u w:val="none"/>
              </w:rPr>
            </w:pPr>
            <w:r>
              <w:rPr>
                <w:rFonts w:hint="eastAsia" w:ascii="宋体" w:hAnsi="宋体" w:eastAsia="宋体" w:cs="宋体"/>
                <w:b/>
                <w:i w:val="0"/>
                <w:color w:val="FF0000"/>
                <w:kern w:val="0"/>
                <w:sz w:val="21"/>
                <w:szCs w:val="21"/>
                <w:highlight w:val="yellow"/>
                <w:u w:val="none"/>
                <w:lang w:val="en-US" w:eastAsia="zh-CN" w:bidi="ar"/>
              </w:rPr>
              <w:t>是否专门面向中小企业</w:t>
            </w:r>
          </w:p>
        </w:tc>
        <w:tc>
          <w:tcPr>
            <w:tcW w:w="7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bottom"/>
          </w:tcPr>
          <w:p>
            <w:pPr>
              <w:keepNext w:val="0"/>
              <w:keepLines w:val="0"/>
              <w:widowControl/>
              <w:suppressLineNumbers w:val="0"/>
              <w:jc w:val="center"/>
              <w:textAlignment w:val="bottom"/>
              <w:rPr>
                <w:rFonts w:hint="eastAsia" w:ascii="宋体" w:hAnsi="宋体" w:eastAsia="宋体" w:cs="宋体"/>
                <w:b/>
                <w:i w:val="0"/>
                <w:color w:val="FF0000"/>
                <w:sz w:val="21"/>
                <w:szCs w:val="21"/>
                <w:highlight w:val="yellow"/>
                <w:u w:val="none"/>
              </w:rPr>
            </w:pPr>
            <w:r>
              <w:rPr>
                <w:rFonts w:hint="eastAsia" w:ascii="宋体" w:hAnsi="宋体" w:eastAsia="宋体" w:cs="宋体"/>
                <w:b/>
                <w:i w:val="0"/>
                <w:color w:val="FF0000"/>
                <w:kern w:val="0"/>
                <w:sz w:val="21"/>
                <w:szCs w:val="21"/>
                <w:highlight w:val="yellow"/>
                <w:u w:val="none"/>
                <w:lang w:val="en-US" w:eastAsia="zh-CN" w:bidi="ar"/>
              </w:rPr>
              <w:t>标的所属行业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1</w:t>
            </w:r>
          </w:p>
        </w:tc>
        <w:tc>
          <w:tcPr>
            <w:tcW w:w="1316"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BAJYJ2025053007200A</w:t>
            </w:r>
          </w:p>
        </w:tc>
        <w:tc>
          <w:tcPr>
            <w:tcW w:w="16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吧台</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hint="eastAsia" w:ascii="宋体" w:hAnsi="宋体" w:eastAsia="宋体" w:cs="宋体"/>
                <w:i w:val="0"/>
                <w:color w:val="000000"/>
                <w:sz w:val="22"/>
                <w:szCs w:val="22"/>
                <w:highlight w:val="yellow"/>
                <w:u w:val="none"/>
              </w:rPr>
            </w:pPr>
            <w:r>
              <w:rPr>
                <w:rFonts w:hint="eastAsia" w:ascii="宋体" w:hAnsi="宋体" w:cs="宋体"/>
                <w:color w:val="000000"/>
                <w:kern w:val="0"/>
                <w:sz w:val="24"/>
                <w:highlight w:val="yellow"/>
                <w:lang w:bidi="ar"/>
              </w:rPr>
              <w:t>42</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hint="eastAsia" w:ascii="宋体" w:hAnsi="宋体" w:eastAsia="宋体" w:cs="宋体"/>
                <w:i w:val="0"/>
                <w:color w:val="000000"/>
                <w:sz w:val="22"/>
                <w:szCs w:val="22"/>
                <w:highlight w:val="yellow"/>
                <w:u w:val="none"/>
              </w:rPr>
            </w:pPr>
            <w:r>
              <w:rPr>
                <w:rFonts w:hint="eastAsia" w:ascii="宋体" w:hAnsi="宋体" w:cs="宋体"/>
                <w:color w:val="000000"/>
                <w:kern w:val="0"/>
                <w:sz w:val="24"/>
                <w:highlight w:val="yellow"/>
                <w:lang w:bidi="ar"/>
              </w:rPr>
              <w:t>个</w:t>
            </w:r>
          </w:p>
        </w:tc>
        <w:tc>
          <w:tcPr>
            <w:tcW w:w="79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拒绝进口</w:t>
            </w:r>
          </w:p>
        </w:tc>
        <w:tc>
          <w:tcPr>
            <w:tcW w:w="79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否</w:t>
            </w:r>
          </w:p>
        </w:tc>
        <w:tc>
          <w:tcPr>
            <w:tcW w:w="79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2</w:t>
            </w:r>
          </w:p>
        </w:tc>
        <w:tc>
          <w:tcPr>
            <w:tcW w:w="13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16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实木单人床</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hint="eastAsia" w:ascii="宋体" w:hAnsi="宋体" w:eastAsia="宋体" w:cs="宋体"/>
                <w:i w:val="0"/>
                <w:color w:val="000000"/>
                <w:sz w:val="22"/>
                <w:szCs w:val="22"/>
                <w:highlight w:val="yellow"/>
                <w:u w:val="none"/>
              </w:rPr>
            </w:pPr>
            <w:r>
              <w:rPr>
                <w:rFonts w:hint="eastAsia" w:ascii="宋体" w:hAnsi="宋体" w:cs="宋体"/>
                <w:color w:val="000000"/>
                <w:kern w:val="0"/>
                <w:sz w:val="24"/>
                <w:highlight w:val="yellow"/>
                <w:lang w:bidi="ar"/>
              </w:rPr>
              <w:t>42</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hint="eastAsia" w:ascii="宋体" w:hAnsi="宋体" w:eastAsia="宋体" w:cs="宋体"/>
                <w:i w:val="0"/>
                <w:color w:val="000000"/>
                <w:sz w:val="22"/>
                <w:szCs w:val="22"/>
                <w:highlight w:val="yellow"/>
                <w:u w:val="none"/>
              </w:rPr>
            </w:pPr>
            <w:r>
              <w:rPr>
                <w:rFonts w:hint="eastAsia" w:ascii="宋体" w:hAnsi="宋体" w:cs="宋体"/>
                <w:color w:val="000000"/>
                <w:kern w:val="0"/>
                <w:sz w:val="22"/>
                <w:szCs w:val="22"/>
                <w:highlight w:val="yellow"/>
                <w:lang w:bidi="ar"/>
              </w:rPr>
              <w:t>张</w:t>
            </w: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3</w:t>
            </w:r>
          </w:p>
        </w:tc>
        <w:tc>
          <w:tcPr>
            <w:tcW w:w="13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16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床垫</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hint="eastAsia" w:ascii="宋体" w:hAnsi="宋体" w:eastAsia="宋体" w:cs="宋体"/>
                <w:i w:val="0"/>
                <w:color w:val="000000"/>
                <w:sz w:val="22"/>
                <w:szCs w:val="22"/>
                <w:highlight w:val="yellow"/>
                <w:u w:val="none"/>
              </w:rPr>
            </w:pPr>
            <w:r>
              <w:rPr>
                <w:rFonts w:hint="eastAsia" w:ascii="宋体" w:hAnsi="宋体" w:cs="宋体"/>
                <w:color w:val="000000"/>
                <w:kern w:val="0"/>
                <w:sz w:val="24"/>
                <w:highlight w:val="yellow"/>
                <w:lang w:bidi="ar"/>
              </w:rPr>
              <w:t>40</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hint="eastAsia" w:ascii="宋体" w:hAnsi="宋体" w:eastAsia="宋体" w:cs="宋体"/>
                <w:i w:val="0"/>
                <w:color w:val="000000"/>
                <w:sz w:val="22"/>
                <w:szCs w:val="22"/>
                <w:highlight w:val="yellow"/>
                <w:u w:val="none"/>
              </w:rPr>
            </w:pPr>
            <w:r>
              <w:rPr>
                <w:rFonts w:hint="eastAsia" w:ascii="宋体" w:hAnsi="宋体" w:cs="宋体"/>
                <w:color w:val="000000"/>
                <w:kern w:val="0"/>
                <w:sz w:val="22"/>
                <w:szCs w:val="22"/>
                <w:highlight w:val="yellow"/>
                <w:lang w:bidi="ar"/>
              </w:rPr>
              <w:t>张</w:t>
            </w: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4</w:t>
            </w:r>
          </w:p>
        </w:tc>
        <w:tc>
          <w:tcPr>
            <w:tcW w:w="13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16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写字桌</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hint="eastAsia" w:ascii="宋体" w:hAnsi="宋体" w:eastAsia="宋体" w:cs="宋体"/>
                <w:i w:val="0"/>
                <w:color w:val="000000"/>
                <w:sz w:val="22"/>
                <w:szCs w:val="22"/>
                <w:highlight w:val="yellow"/>
                <w:u w:val="none"/>
              </w:rPr>
            </w:pPr>
            <w:r>
              <w:rPr>
                <w:rFonts w:hint="eastAsia" w:ascii="宋体" w:hAnsi="宋体" w:cs="宋体"/>
                <w:color w:val="000000"/>
                <w:kern w:val="0"/>
                <w:sz w:val="24"/>
                <w:highlight w:val="yellow"/>
                <w:lang w:bidi="ar"/>
              </w:rPr>
              <w:t>42</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hint="eastAsia" w:ascii="宋体" w:hAnsi="宋体" w:eastAsia="宋体" w:cs="宋体"/>
                <w:i w:val="0"/>
                <w:color w:val="000000"/>
                <w:sz w:val="22"/>
                <w:szCs w:val="22"/>
                <w:highlight w:val="yellow"/>
                <w:u w:val="none"/>
              </w:rPr>
            </w:pPr>
            <w:r>
              <w:rPr>
                <w:rFonts w:hint="eastAsia" w:ascii="宋体" w:hAnsi="宋体" w:cs="宋体"/>
                <w:color w:val="000000"/>
                <w:kern w:val="0"/>
                <w:sz w:val="22"/>
                <w:szCs w:val="22"/>
                <w:highlight w:val="yellow"/>
                <w:lang w:bidi="ar"/>
              </w:rPr>
              <w:t>张</w:t>
            </w: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5</w:t>
            </w:r>
          </w:p>
        </w:tc>
        <w:tc>
          <w:tcPr>
            <w:tcW w:w="13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16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折叠椅</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hint="eastAsia" w:ascii="宋体" w:hAnsi="宋体" w:eastAsia="宋体" w:cs="宋体"/>
                <w:i w:val="0"/>
                <w:color w:val="000000"/>
                <w:sz w:val="22"/>
                <w:szCs w:val="22"/>
                <w:highlight w:val="yellow"/>
                <w:u w:val="none"/>
              </w:rPr>
            </w:pPr>
            <w:r>
              <w:rPr>
                <w:rFonts w:hint="eastAsia" w:ascii="宋体" w:hAnsi="宋体" w:cs="宋体"/>
                <w:color w:val="000000"/>
                <w:kern w:val="0"/>
                <w:sz w:val="24"/>
                <w:highlight w:val="yellow"/>
                <w:lang w:bidi="ar"/>
              </w:rPr>
              <w:t>42</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hint="eastAsia" w:ascii="宋体" w:hAnsi="宋体" w:eastAsia="宋体" w:cs="宋体"/>
                <w:i w:val="0"/>
                <w:color w:val="000000"/>
                <w:sz w:val="22"/>
                <w:szCs w:val="22"/>
                <w:highlight w:val="yellow"/>
                <w:u w:val="none"/>
              </w:rPr>
            </w:pPr>
            <w:r>
              <w:rPr>
                <w:rFonts w:hint="eastAsia" w:ascii="宋体" w:hAnsi="宋体" w:cs="宋体"/>
                <w:color w:val="000000"/>
                <w:kern w:val="0"/>
                <w:sz w:val="22"/>
                <w:szCs w:val="22"/>
                <w:highlight w:val="yellow"/>
                <w:lang w:bidi="ar"/>
              </w:rPr>
              <w:t>张</w:t>
            </w: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6</w:t>
            </w:r>
          </w:p>
        </w:tc>
        <w:tc>
          <w:tcPr>
            <w:tcW w:w="13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16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窗帘</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hint="eastAsia" w:ascii="宋体" w:hAnsi="宋体" w:eastAsia="宋体" w:cs="宋体"/>
                <w:i w:val="0"/>
                <w:color w:val="000000"/>
                <w:sz w:val="22"/>
                <w:szCs w:val="22"/>
                <w:highlight w:val="yellow"/>
                <w:u w:val="none"/>
              </w:rPr>
            </w:pPr>
            <w:r>
              <w:rPr>
                <w:rFonts w:hint="eastAsia" w:ascii="宋体" w:hAnsi="宋体" w:cs="宋体"/>
                <w:color w:val="000000"/>
                <w:kern w:val="0"/>
                <w:sz w:val="24"/>
                <w:highlight w:val="yellow"/>
                <w:lang w:bidi="ar"/>
              </w:rPr>
              <w:t>128</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hint="eastAsia" w:ascii="宋体" w:hAnsi="宋体" w:eastAsia="宋体" w:cs="宋体"/>
                <w:i w:val="0"/>
                <w:color w:val="000000"/>
                <w:sz w:val="22"/>
                <w:szCs w:val="22"/>
                <w:highlight w:val="yellow"/>
                <w:u w:val="none"/>
              </w:rPr>
            </w:pPr>
            <w:r>
              <w:rPr>
                <w:rFonts w:hint="eastAsia" w:ascii="宋体" w:hAnsi="宋体" w:cs="宋体"/>
                <w:color w:val="000000"/>
                <w:kern w:val="0"/>
                <w:sz w:val="22"/>
                <w:szCs w:val="22"/>
                <w:highlight w:val="yellow"/>
                <w:lang w:bidi="ar"/>
              </w:rPr>
              <w:t>米</w:t>
            </w: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7</w:t>
            </w:r>
          </w:p>
        </w:tc>
        <w:tc>
          <w:tcPr>
            <w:tcW w:w="13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16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洗衣机</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hint="eastAsia" w:ascii="宋体" w:hAnsi="宋体" w:eastAsia="宋体" w:cs="宋体"/>
                <w:i w:val="0"/>
                <w:color w:val="000000"/>
                <w:sz w:val="22"/>
                <w:szCs w:val="22"/>
                <w:highlight w:val="yellow"/>
                <w:u w:val="none"/>
              </w:rPr>
            </w:pPr>
            <w:r>
              <w:rPr>
                <w:rFonts w:hint="eastAsia" w:ascii="宋体" w:hAnsi="宋体" w:cs="宋体"/>
                <w:color w:val="000000"/>
                <w:kern w:val="0"/>
                <w:sz w:val="24"/>
                <w:highlight w:val="yellow"/>
                <w:lang w:bidi="ar"/>
              </w:rPr>
              <w:t>42</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hint="eastAsia" w:ascii="宋体" w:hAnsi="宋体" w:eastAsia="宋体" w:cs="宋体"/>
                <w:i w:val="0"/>
                <w:color w:val="000000"/>
                <w:sz w:val="22"/>
                <w:szCs w:val="22"/>
                <w:highlight w:val="yellow"/>
                <w:u w:val="none"/>
              </w:rPr>
            </w:pPr>
            <w:r>
              <w:rPr>
                <w:rFonts w:hint="eastAsia" w:ascii="宋体" w:hAnsi="宋体" w:cs="宋体"/>
                <w:color w:val="000000"/>
                <w:kern w:val="0"/>
                <w:sz w:val="22"/>
                <w:szCs w:val="22"/>
                <w:highlight w:val="yellow"/>
                <w:lang w:bidi="ar"/>
              </w:rPr>
              <w:t>台</w:t>
            </w: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8</w:t>
            </w:r>
          </w:p>
        </w:tc>
        <w:tc>
          <w:tcPr>
            <w:tcW w:w="13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16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衣柜</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hint="eastAsia" w:ascii="宋体" w:hAnsi="宋体" w:eastAsia="宋体" w:cs="宋体"/>
                <w:i w:val="0"/>
                <w:color w:val="000000"/>
                <w:sz w:val="22"/>
                <w:szCs w:val="22"/>
                <w:highlight w:val="yellow"/>
                <w:u w:val="none"/>
              </w:rPr>
            </w:pPr>
            <w:r>
              <w:rPr>
                <w:rFonts w:hint="eastAsia" w:ascii="宋体" w:hAnsi="宋体" w:cs="宋体"/>
                <w:color w:val="000000"/>
                <w:kern w:val="0"/>
                <w:sz w:val="24"/>
                <w:highlight w:val="yellow"/>
                <w:lang w:bidi="ar"/>
              </w:rPr>
              <w:t>41</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hint="eastAsia" w:ascii="宋体" w:hAnsi="宋体" w:eastAsia="宋体" w:cs="宋体"/>
                <w:i w:val="0"/>
                <w:color w:val="000000"/>
                <w:sz w:val="22"/>
                <w:szCs w:val="22"/>
                <w:highlight w:val="yellow"/>
                <w:u w:val="none"/>
              </w:rPr>
            </w:pPr>
            <w:r>
              <w:rPr>
                <w:rFonts w:hint="eastAsia" w:ascii="宋体" w:hAnsi="宋体" w:cs="宋体"/>
                <w:color w:val="000000"/>
                <w:kern w:val="0"/>
                <w:sz w:val="22"/>
                <w:szCs w:val="22"/>
                <w:highlight w:val="yellow"/>
                <w:lang w:bidi="ar"/>
              </w:rPr>
              <w:t>个</w:t>
            </w: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9</w:t>
            </w:r>
          </w:p>
        </w:tc>
        <w:tc>
          <w:tcPr>
            <w:tcW w:w="13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16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过道时钟</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hint="eastAsia" w:ascii="宋体" w:hAnsi="宋体" w:eastAsia="宋体" w:cs="宋体"/>
                <w:i w:val="0"/>
                <w:color w:val="000000"/>
                <w:sz w:val="22"/>
                <w:szCs w:val="22"/>
                <w:highlight w:val="yellow"/>
                <w:u w:val="none"/>
              </w:rPr>
            </w:pPr>
            <w:r>
              <w:rPr>
                <w:rFonts w:hint="eastAsia" w:ascii="宋体" w:hAnsi="宋体" w:cs="宋体"/>
                <w:color w:val="000000"/>
                <w:kern w:val="0"/>
                <w:sz w:val="22"/>
                <w:szCs w:val="22"/>
                <w:highlight w:val="yellow"/>
                <w:lang w:bidi="ar"/>
              </w:rPr>
              <w:t>1</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hint="eastAsia" w:ascii="宋体" w:hAnsi="宋体" w:eastAsia="宋体" w:cs="宋体"/>
                <w:i w:val="0"/>
                <w:color w:val="000000"/>
                <w:sz w:val="22"/>
                <w:szCs w:val="22"/>
                <w:highlight w:val="yellow"/>
                <w:u w:val="none"/>
              </w:rPr>
            </w:pPr>
            <w:r>
              <w:rPr>
                <w:rFonts w:hint="eastAsia" w:ascii="宋体" w:hAnsi="宋体" w:cs="宋体"/>
                <w:color w:val="000000"/>
                <w:kern w:val="0"/>
                <w:sz w:val="22"/>
                <w:szCs w:val="22"/>
                <w:highlight w:val="yellow"/>
                <w:lang w:bidi="ar"/>
              </w:rPr>
              <w:t>台</w:t>
            </w: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10</w:t>
            </w:r>
          </w:p>
        </w:tc>
        <w:tc>
          <w:tcPr>
            <w:tcW w:w="13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163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空气消毒机</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hint="eastAsia" w:ascii="宋体" w:hAnsi="宋体" w:eastAsia="宋体" w:cs="宋体"/>
                <w:i w:val="0"/>
                <w:color w:val="000000"/>
                <w:sz w:val="22"/>
                <w:szCs w:val="22"/>
                <w:highlight w:val="yellow"/>
                <w:u w:val="none"/>
              </w:rPr>
            </w:pPr>
            <w:r>
              <w:rPr>
                <w:rFonts w:hint="eastAsia" w:ascii="宋体" w:hAnsi="宋体" w:cs="宋体"/>
                <w:color w:val="000000"/>
                <w:kern w:val="0"/>
                <w:sz w:val="22"/>
                <w:szCs w:val="22"/>
                <w:highlight w:val="yellow"/>
                <w:lang w:bidi="ar"/>
              </w:rPr>
              <w:t>1</w:t>
            </w:r>
          </w:p>
        </w:tc>
        <w:tc>
          <w:tcPr>
            <w:tcW w:w="6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hint="eastAsia" w:ascii="宋体" w:hAnsi="宋体" w:eastAsia="宋体" w:cs="宋体"/>
                <w:i w:val="0"/>
                <w:color w:val="000000"/>
                <w:sz w:val="22"/>
                <w:szCs w:val="22"/>
                <w:highlight w:val="yellow"/>
                <w:u w:val="none"/>
              </w:rPr>
            </w:pPr>
            <w:r>
              <w:rPr>
                <w:rFonts w:hint="eastAsia" w:ascii="宋体" w:hAnsi="宋体" w:cs="宋体"/>
                <w:color w:val="000000"/>
                <w:kern w:val="0"/>
                <w:sz w:val="22"/>
                <w:szCs w:val="22"/>
                <w:highlight w:val="yellow"/>
                <w:lang w:bidi="ar"/>
              </w:rPr>
              <w:t>台</w:t>
            </w: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bl>
    <w:p>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pPr>
        <w:numPr>
          <w:ilvl w:val="0"/>
          <w:numId w:val="7"/>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pPr>
        <w:numPr>
          <w:ilvl w:val="0"/>
          <w:numId w:val="7"/>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pPr>
        <w:numPr>
          <w:ilvl w:val="0"/>
          <w:numId w:val="7"/>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pPr>
        <w:ind w:firstLine="422" w:firstLineChars="200"/>
        <w:rPr>
          <w:rFonts w:ascii="宋体" w:hAnsi="宋体"/>
          <w:b/>
          <w:color w:val="FF0000"/>
          <w:szCs w:val="21"/>
        </w:rPr>
      </w:pPr>
      <w:r>
        <w:rPr>
          <w:rFonts w:hint="eastAsia" w:ascii="宋体" w:hAnsi="宋体"/>
          <w:b/>
          <w:color w:val="FF0000"/>
          <w:szCs w:val="21"/>
          <w:lang w:val="en-US" w:eastAsia="zh-CN"/>
        </w:rPr>
        <w:t>5</w:t>
      </w:r>
      <w:r>
        <w:rPr>
          <w:rFonts w:hint="eastAsia" w:ascii="宋体" w:hAnsi="宋体"/>
          <w:b/>
          <w:color w:val="FF0000"/>
          <w:szCs w:val="21"/>
        </w:rPr>
        <w:t>、本项目核心产品为：</w:t>
      </w:r>
      <w:r>
        <w:rPr>
          <w:rFonts w:hint="eastAsia" w:ascii="宋体" w:hAnsi="宋体"/>
          <w:b/>
          <w:color w:val="FF0000"/>
          <w:szCs w:val="21"/>
          <w:u w:val="single"/>
        </w:rPr>
        <w:t xml:space="preserve">   实木单人床   </w:t>
      </w:r>
      <w:r>
        <w:rPr>
          <w:rFonts w:hint="eastAsia" w:ascii="宋体" w:hAnsi="宋体"/>
          <w:b/>
          <w:color w:val="FF0000"/>
          <w:szCs w:val="21"/>
        </w:rPr>
        <w:t>。</w:t>
      </w:r>
    </w:p>
    <w:bookmarkEnd w:id="37"/>
    <w:p>
      <w:pPr>
        <w:rPr>
          <w:rFonts w:ascii="宋体" w:hAnsi="宋体"/>
          <w:b/>
          <w:color w:val="FF0000"/>
          <w:szCs w:val="21"/>
        </w:rPr>
      </w:pPr>
    </w:p>
    <w:p>
      <w:pPr>
        <w:pStyle w:val="8"/>
      </w:pPr>
    </w:p>
    <w:p>
      <w:pPr>
        <w:pStyle w:val="6"/>
        <w:spacing w:before="120" w:beforeLines="50" w:after="120" w:afterLines="50"/>
        <w:jc w:val="center"/>
        <w:rPr>
          <w:sz w:val="28"/>
          <w:szCs w:val="28"/>
        </w:rPr>
      </w:pPr>
      <w:bookmarkStart w:id="39" w:name="_Toc128884461"/>
      <w:r>
        <w:rPr>
          <w:rFonts w:hint="eastAsia"/>
          <w:sz w:val="28"/>
          <w:szCs w:val="28"/>
        </w:rPr>
        <w:t>三、实质性条款</w:t>
      </w:r>
    </w:p>
    <w:tbl>
      <w:tblPr>
        <w:tblStyle w:val="18"/>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r>
              <w:rPr>
                <w:rFonts w:hint="eastAsia"/>
              </w:rPr>
              <w:t>序号</w:t>
            </w:r>
          </w:p>
        </w:tc>
        <w:tc>
          <w:tcPr>
            <w:tcW w:w="7832" w:type="dxa"/>
            <w:noWrap w:val="0"/>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pPr>
              <w:jc w:val="center"/>
            </w:pPr>
            <w:r>
              <w:rPr>
                <w:rFonts w:hint="eastAsia"/>
              </w:rPr>
              <w:t>1</w:t>
            </w:r>
          </w:p>
        </w:tc>
        <w:tc>
          <w:tcPr>
            <w:tcW w:w="7832" w:type="dxa"/>
            <w:noWrap w:val="0"/>
            <w:vAlign w:val="top"/>
          </w:tcPr>
          <w:p>
            <w:pPr>
              <w:jc w:val="center"/>
              <w:rPr>
                <w:rFonts w:hint="eastAsia" w:eastAsia="宋体"/>
                <w:lang w:eastAsia="zh-CN"/>
              </w:rPr>
            </w:pPr>
            <w:r>
              <w:rPr>
                <w:rFonts w:hint="eastAsia"/>
              </w:rPr>
              <w:t>本项目招标文件中所有带★号条款</w:t>
            </w:r>
            <w:r>
              <w:rPr>
                <w:rFonts w:hint="eastAsia"/>
                <w:lang w:val="en-US" w:eastAsia="zh-CN"/>
              </w:rPr>
              <w:t>内容</w:t>
            </w:r>
          </w:p>
        </w:tc>
      </w:tr>
    </w:tbl>
    <w:p>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9"/>
    <w:p>
      <w:pPr>
        <w:spacing w:afterLines="25" w:line="300" w:lineRule="auto"/>
        <w:rPr>
          <w:rFonts w:ascii="Arial" w:hAnsi="Arial" w:eastAsia="宋体" w:cs="Times New Roman"/>
          <w:szCs w:val="24"/>
        </w:rPr>
      </w:pPr>
    </w:p>
    <w:p>
      <w:pPr>
        <w:widowControl/>
        <w:jc w:val="left"/>
        <w:rPr>
          <w:rFonts w:ascii="Arial" w:hAnsi="Arial" w:eastAsia="宋体" w:cs="Times New Roman"/>
          <w:szCs w:val="24"/>
        </w:rPr>
      </w:pPr>
    </w:p>
    <w:p>
      <w:pPr>
        <w:pStyle w:val="8"/>
      </w:pPr>
    </w:p>
    <w:p>
      <w:pPr>
        <w:pStyle w:val="6"/>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pPr>
        <w:ind w:firstLine="422" w:firstLineChars="200"/>
        <w:rPr>
          <w:rFonts w:hint="eastAsia"/>
          <w:b/>
          <w:szCs w:val="21"/>
        </w:rPr>
      </w:pPr>
    </w:p>
    <w:bookmarkEnd w:id="40"/>
    <w:tbl>
      <w:tblPr>
        <w:tblStyle w:val="18"/>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085"/>
        <w:gridCol w:w="1085"/>
        <w:gridCol w:w="61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6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序号</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设备名称</w:t>
            </w:r>
          </w:p>
        </w:tc>
        <w:tc>
          <w:tcPr>
            <w:tcW w:w="369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技术参数要求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651"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651"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吧台</w:t>
            </w:r>
          </w:p>
        </w:tc>
        <w:tc>
          <w:tcPr>
            <w:tcW w:w="369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top"/>
          </w:tcPr>
          <w:p>
            <w:pPr>
              <w:keepNext w:val="0"/>
              <w:keepLines w:val="0"/>
              <w:widowControl/>
              <w:suppressLineNumbers w:val="0"/>
              <w:jc w:val="left"/>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1.尺寸：1400mmW*400mmD(±10%mm)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369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top"/>
          </w:tcPr>
          <w:p>
            <w:pPr>
              <w:keepNext w:val="0"/>
              <w:keepLines w:val="0"/>
              <w:widowControl/>
              <w:suppressLineNumbers w:val="0"/>
              <w:jc w:val="left"/>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2.基材：采用22mm指接板制作，经防潮、防虫、防腐处理，抗弯力强，不易变形。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651"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651"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实木单人床</w:t>
            </w:r>
          </w:p>
        </w:tc>
        <w:tc>
          <w:tcPr>
            <w:tcW w:w="369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top"/>
          </w:tcPr>
          <w:p>
            <w:pPr>
              <w:keepNext w:val="0"/>
              <w:keepLines w:val="0"/>
              <w:widowControl/>
              <w:suppressLineNumbers w:val="0"/>
              <w:jc w:val="left"/>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1.尺寸：2100mmW*1500mmD*950mmH(±10%mm)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369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top"/>
          </w:tcPr>
          <w:p>
            <w:pPr>
              <w:keepNext w:val="0"/>
              <w:keepLines w:val="0"/>
              <w:widowControl/>
              <w:suppressLineNumbers w:val="0"/>
              <w:jc w:val="left"/>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2.基材：采用22mm指接板制作，经防潮、防虫、防腐处理，抗弯力强，不易变形；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369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top"/>
          </w:tcPr>
          <w:p>
            <w:pPr>
              <w:keepNext w:val="0"/>
              <w:keepLines w:val="0"/>
              <w:widowControl/>
              <w:suppressLineNumbers w:val="0"/>
              <w:jc w:val="left"/>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3.清漆：采用开放油漆工艺；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369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top"/>
          </w:tcPr>
          <w:p>
            <w:pPr>
              <w:keepNext w:val="0"/>
              <w:keepLines w:val="0"/>
              <w:widowControl/>
              <w:suppressLineNumbers w:val="0"/>
              <w:jc w:val="left"/>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r>
              <w:rPr>
                <w:rStyle w:val="38"/>
                <w:lang w:val="en-US" w:eastAsia="zh-CN" w:bidi="ar"/>
              </w:rPr>
              <w:t>4.</w:t>
            </w:r>
            <w:r>
              <w:rPr>
                <w:rStyle w:val="39"/>
                <w:lang w:val="en-US" w:eastAsia="zh-CN" w:bidi="ar"/>
              </w:rPr>
              <w:t>实木床检测依据</w:t>
            </w:r>
            <w:r>
              <w:rPr>
                <w:rStyle w:val="38"/>
                <w:lang w:val="en-US" w:eastAsia="zh-CN" w:bidi="ar"/>
              </w:rPr>
              <w:t>GB/T35607-2017</w:t>
            </w:r>
            <w:r>
              <w:rPr>
                <w:rStyle w:val="39"/>
                <w:lang w:val="en-US" w:eastAsia="zh-CN" w:bidi="ar"/>
              </w:rPr>
              <w:t>或</w:t>
            </w:r>
            <w:r>
              <w:rPr>
                <w:rStyle w:val="38"/>
                <w:lang w:val="en-US" w:eastAsia="zh-CN" w:bidi="ar"/>
              </w:rPr>
              <w:t>GB/T35607-2024</w:t>
            </w:r>
            <w:r>
              <w:rPr>
                <w:rStyle w:val="39"/>
                <w:lang w:val="en-US" w:eastAsia="zh-CN" w:bidi="ar"/>
              </w:rPr>
              <w:t>；检测要求：涂层可迁移元素（铅（</w:t>
            </w:r>
            <w:r>
              <w:rPr>
                <w:rStyle w:val="38"/>
                <w:lang w:val="en-US" w:eastAsia="zh-CN" w:bidi="ar"/>
              </w:rPr>
              <w:t>Pb</w:t>
            </w:r>
            <w:r>
              <w:rPr>
                <w:rStyle w:val="39"/>
                <w:lang w:val="en-US" w:eastAsia="zh-CN" w:bidi="ar"/>
              </w:rPr>
              <w:t>）、镉（</w:t>
            </w:r>
            <w:r>
              <w:rPr>
                <w:rStyle w:val="38"/>
                <w:lang w:val="en-US" w:eastAsia="zh-CN" w:bidi="ar"/>
              </w:rPr>
              <w:t>Cd</w:t>
            </w:r>
            <w:r>
              <w:rPr>
                <w:rStyle w:val="39"/>
                <w:lang w:val="en-US" w:eastAsia="zh-CN" w:bidi="ar"/>
              </w:rPr>
              <w:t>）、铬（</w:t>
            </w:r>
            <w:r>
              <w:rPr>
                <w:rStyle w:val="38"/>
                <w:lang w:val="en-US" w:eastAsia="zh-CN" w:bidi="ar"/>
              </w:rPr>
              <w:t>Cr</w:t>
            </w:r>
            <w:r>
              <w:rPr>
                <w:rStyle w:val="39"/>
                <w:lang w:val="en-US" w:eastAsia="zh-CN" w:bidi="ar"/>
              </w:rPr>
              <w:t>）、汞（</w:t>
            </w:r>
            <w:r>
              <w:rPr>
                <w:rStyle w:val="38"/>
                <w:lang w:val="en-US" w:eastAsia="zh-CN" w:bidi="ar"/>
              </w:rPr>
              <w:t>Hg</w:t>
            </w:r>
            <w:r>
              <w:rPr>
                <w:rStyle w:val="39"/>
                <w:lang w:val="en-US" w:eastAsia="zh-CN" w:bidi="ar"/>
              </w:rPr>
              <w:t>）、锑（</w:t>
            </w:r>
            <w:r>
              <w:rPr>
                <w:rStyle w:val="38"/>
                <w:lang w:val="en-US" w:eastAsia="zh-CN" w:bidi="ar"/>
              </w:rPr>
              <w:t>Sb</w:t>
            </w:r>
            <w:r>
              <w:rPr>
                <w:rStyle w:val="39"/>
                <w:lang w:val="en-US" w:eastAsia="zh-CN" w:bidi="ar"/>
              </w:rPr>
              <w:t>）、钡（</w:t>
            </w:r>
            <w:r>
              <w:rPr>
                <w:rStyle w:val="38"/>
                <w:lang w:val="en-US" w:eastAsia="zh-CN" w:bidi="ar"/>
              </w:rPr>
              <w:t>Ba</w:t>
            </w:r>
            <w:r>
              <w:rPr>
                <w:rStyle w:val="39"/>
                <w:lang w:val="en-US" w:eastAsia="zh-CN" w:bidi="ar"/>
              </w:rPr>
              <w:t>）、硒（</w:t>
            </w:r>
            <w:r>
              <w:rPr>
                <w:rStyle w:val="38"/>
                <w:lang w:val="en-US" w:eastAsia="zh-CN" w:bidi="ar"/>
              </w:rPr>
              <w:t>Se</w:t>
            </w:r>
            <w:r>
              <w:rPr>
                <w:rStyle w:val="39"/>
                <w:lang w:val="en-US" w:eastAsia="zh-CN" w:bidi="ar"/>
              </w:rPr>
              <w:t>）、砷（</w:t>
            </w:r>
            <w:r>
              <w:rPr>
                <w:rStyle w:val="38"/>
                <w:lang w:val="en-US" w:eastAsia="zh-CN" w:bidi="ar"/>
              </w:rPr>
              <w:t>As</w:t>
            </w:r>
            <w:r>
              <w:rPr>
                <w:rStyle w:val="39"/>
                <w:lang w:val="en-US" w:eastAsia="zh-CN" w:bidi="ar"/>
              </w:rPr>
              <w:t>））、单项结论均符合；挥发性有机化合物：苯≤</w:t>
            </w:r>
            <w:r>
              <w:rPr>
                <w:rStyle w:val="38"/>
                <w:lang w:val="en-US" w:eastAsia="zh-CN" w:bidi="ar"/>
              </w:rPr>
              <w:t>0.005mg/m</w:t>
            </w:r>
            <w:r>
              <w:rPr>
                <w:rStyle w:val="39"/>
                <w:lang w:val="en-US" w:eastAsia="zh-CN" w:bidi="ar"/>
              </w:rPr>
              <w:t>³、甲苯≤</w:t>
            </w:r>
            <w:r>
              <w:rPr>
                <w:rStyle w:val="38"/>
                <w:lang w:val="en-US" w:eastAsia="zh-CN" w:bidi="ar"/>
              </w:rPr>
              <w:t>0.005mg/m</w:t>
            </w:r>
            <w:r>
              <w:rPr>
                <w:rStyle w:val="39"/>
                <w:lang w:val="en-US" w:eastAsia="zh-CN" w:bidi="ar"/>
              </w:rPr>
              <w:t>³、二甲苯≤</w:t>
            </w:r>
            <w:r>
              <w:rPr>
                <w:rStyle w:val="38"/>
                <w:lang w:val="en-US" w:eastAsia="zh-CN" w:bidi="ar"/>
              </w:rPr>
              <w:t>0.005mg/m</w:t>
            </w:r>
            <w:r>
              <w:rPr>
                <w:rStyle w:val="39"/>
                <w:lang w:val="en-US" w:eastAsia="zh-CN" w:bidi="ar"/>
              </w:rPr>
              <w:t>³、</w:t>
            </w:r>
            <w:r>
              <w:rPr>
                <w:rStyle w:val="38"/>
                <w:lang w:val="en-US" w:eastAsia="zh-CN" w:bidi="ar"/>
              </w:rPr>
              <w:t>TVOC</w:t>
            </w:r>
            <w:r>
              <w:rPr>
                <w:rStyle w:val="39"/>
                <w:lang w:val="en-US" w:eastAsia="zh-CN" w:bidi="ar"/>
              </w:rPr>
              <w:t>≤</w:t>
            </w:r>
            <w:r>
              <w:rPr>
                <w:rStyle w:val="38"/>
                <w:lang w:val="en-US" w:eastAsia="zh-CN" w:bidi="ar"/>
              </w:rPr>
              <w:t>0.08mg/m</w:t>
            </w:r>
            <w:r>
              <w:rPr>
                <w:rStyle w:val="39"/>
                <w:lang w:val="en-US" w:eastAsia="zh-CN" w:bidi="ar"/>
              </w:rPr>
              <w:t>³；甲醛释放量≤</w:t>
            </w:r>
            <w:r>
              <w:rPr>
                <w:rStyle w:val="38"/>
                <w:lang w:val="en-US" w:eastAsia="zh-CN" w:bidi="ar"/>
              </w:rPr>
              <w:t>0.01mg/m</w:t>
            </w:r>
            <w:r>
              <w:rPr>
                <w:rStyle w:val="39"/>
                <w:lang w:val="en-US" w:eastAsia="zh-CN" w:bidi="ar"/>
              </w:rPr>
              <w:t>³。【</w:t>
            </w:r>
            <w:r>
              <w:rPr>
                <w:rStyle w:val="40"/>
                <w:lang w:val="en-US" w:eastAsia="zh-CN" w:bidi="ar"/>
              </w:rPr>
              <w:t>投标时同时提供：①由第三方检验检测机构出具并加盖（或带有）</w:t>
            </w:r>
            <w:r>
              <w:rPr>
                <w:rStyle w:val="41"/>
                <w:lang w:val="en-US" w:eastAsia="zh-CN" w:bidi="ar"/>
              </w:rPr>
              <w:t>CMA</w:t>
            </w:r>
            <w:r>
              <w:rPr>
                <w:rStyle w:val="40"/>
                <w:lang w:val="en-US" w:eastAsia="zh-CN" w:bidi="ar"/>
              </w:rPr>
              <w:t>及</w:t>
            </w:r>
            <w:r>
              <w:rPr>
                <w:rStyle w:val="41"/>
                <w:lang w:val="en-US" w:eastAsia="zh-CN" w:bidi="ar"/>
              </w:rPr>
              <w:t>CNAS</w:t>
            </w:r>
            <w:r>
              <w:rPr>
                <w:rStyle w:val="40"/>
                <w:lang w:val="en-US" w:eastAsia="zh-CN" w:bidi="ar"/>
              </w:rPr>
              <w:t>标志的检验检测报告扫描件，原件备查；②上述检验检测报告在全国认证认可信息公共服务平台（认</w:t>
            </w:r>
            <w:r>
              <w:rPr>
                <w:rStyle w:val="41"/>
                <w:lang w:val="en-US" w:eastAsia="zh-CN" w:bidi="ar"/>
              </w:rPr>
              <w:t>e</w:t>
            </w:r>
            <w:r>
              <w:rPr>
                <w:rStyle w:val="40"/>
                <w:lang w:val="en-US" w:eastAsia="zh-CN" w:bidi="ar"/>
              </w:rPr>
              <w:t>云）（</w:t>
            </w:r>
            <w:r>
              <w:rPr>
                <w:rStyle w:val="41"/>
                <w:lang w:val="en-US" w:eastAsia="zh-CN" w:bidi="ar"/>
              </w:rPr>
              <w:t>http://cx.cnca.cn/</w:t>
            </w:r>
            <w:r>
              <w:rPr>
                <w:rStyle w:val="40"/>
                <w:lang w:val="en-US" w:eastAsia="zh-CN" w:bidi="ar"/>
              </w:rPr>
              <w:t>）的信息查询记录截图。注：对应参数（检验检测项）在检验检测报告中进行标注；检验检测报告出具的时间应在本项目投标截止日前3年内；如检验检测报告中明确备注说明相关检验检测项不在检验检测机构</w:t>
            </w:r>
            <w:r>
              <w:rPr>
                <w:rStyle w:val="41"/>
                <w:lang w:val="en-US" w:eastAsia="zh-CN" w:bidi="ar"/>
              </w:rPr>
              <w:t>CMA</w:t>
            </w:r>
            <w:r>
              <w:rPr>
                <w:rStyle w:val="40"/>
                <w:lang w:val="en-US" w:eastAsia="zh-CN" w:bidi="ar"/>
              </w:rPr>
              <w:t>或</w:t>
            </w:r>
            <w:r>
              <w:rPr>
                <w:rStyle w:val="41"/>
                <w:lang w:val="en-US" w:eastAsia="zh-CN" w:bidi="ar"/>
              </w:rPr>
              <w:t>CNAS</w:t>
            </w:r>
            <w:r>
              <w:rPr>
                <w:rStyle w:val="40"/>
                <w:lang w:val="en-US" w:eastAsia="zh-CN" w:bidi="ar"/>
              </w:rPr>
              <w:t>资质许可（认定）范围内的，不符合招标文件要求。</w:t>
            </w:r>
            <w:r>
              <w:rPr>
                <w:rStyle w:val="39"/>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651"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651"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床垫</w:t>
            </w:r>
          </w:p>
        </w:tc>
        <w:tc>
          <w:tcPr>
            <w:tcW w:w="369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1.尺寸：2000mmW*1500mmD*200mmH(±10%mm)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369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2.面料：提取棉、麻、竹纺织而成；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369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3.床垫：弹簧针织面料；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369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r>
              <w:rPr>
                <w:rStyle w:val="39"/>
                <w:lang w:val="en-US" w:eastAsia="zh-CN" w:bidi="ar"/>
              </w:rPr>
              <w:t>床垫</w:t>
            </w:r>
            <w:r>
              <w:rPr>
                <w:rStyle w:val="42"/>
                <w:lang w:val="en-US" w:eastAsia="zh-CN" w:bidi="ar"/>
              </w:rPr>
              <w:t>检测依据：QB/T1952.2-2011或QB/T1952.2-2023《软体家具 弹簧软床垫》；检测要求：尺寸偏差、床垫铺面对角线偏差，面料，铺面、边面缝纫，缝边，单项评价合格；面料物理性能：面料耐干摩擦色牢度≥4级；铺垫料物理性能毡垫：化纤（棉）毡强度≥10N/cm；铺垫料物理性能软质聚氨酯泡沫塑料：其他回弹率≥36%；其他拉伸强度≥115KPa；卫生、安全，弹簧，耐久性，标志，使用说明单项评价合格。【</w:t>
            </w:r>
            <w:r>
              <w:rPr>
                <w:rStyle w:val="40"/>
                <w:lang w:val="en-US" w:eastAsia="zh-CN" w:bidi="ar"/>
              </w:rPr>
              <w:t>投标时同时提供：①由第三方检验检测机构出具并加盖（或带有）</w:t>
            </w:r>
            <w:r>
              <w:rPr>
                <w:rStyle w:val="43"/>
                <w:rFonts w:eastAsia="宋体"/>
                <w:lang w:val="en-US" w:eastAsia="zh-CN" w:bidi="ar"/>
              </w:rPr>
              <w:t>CMA</w:t>
            </w:r>
            <w:r>
              <w:rPr>
                <w:rStyle w:val="40"/>
                <w:lang w:val="en-US" w:eastAsia="zh-CN" w:bidi="ar"/>
              </w:rPr>
              <w:t>及</w:t>
            </w:r>
            <w:r>
              <w:rPr>
                <w:rStyle w:val="43"/>
                <w:rFonts w:eastAsia="宋体"/>
                <w:lang w:val="en-US" w:eastAsia="zh-CN" w:bidi="ar"/>
              </w:rPr>
              <w:t>CNAS</w:t>
            </w:r>
            <w:r>
              <w:rPr>
                <w:rStyle w:val="40"/>
                <w:lang w:val="en-US" w:eastAsia="zh-CN" w:bidi="ar"/>
              </w:rPr>
              <w:t>标志的检验检测报告扫描件，原件备查；②上述检验检测报告在全国认证认可信息公共服务平台（认</w:t>
            </w:r>
            <w:r>
              <w:rPr>
                <w:rStyle w:val="43"/>
                <w:rFonts w:eastAsia="宋体"/>
                <w:lang w:val="en-US" w:eastAsia="zh-CN" w:bidi="ar"/>
              </w:rPr>
              <w:t>e</w:t>
            </w:r>
            <w:r>
              <w:rPr>
                <w:rStyle w:val="40"/>
                <w:lang w:val="en-US" w:eastAsia="zh-CN" w:bidi="ar"/>
              </w:rPr>
              <w:t>云）（</w:t>
            </w:r>
            <w:r>
              <w:rPr>
                <w:rStyle w:val="43"/>
                <w:rFonts w:eastAsia="宋体"/>
                <w:lang w:val="en-US" w:eastAsia="zh-CN" w:bidi="ar"/>
              </w:rPr>
              <w:t>http://cx.cnca.cn/</w:t>
            </w:r>
            <w:r>
              <w:rPr>
                <w:rStyle w:val="40"/>
                <w:lang w:val="en-US" w:eastAsia="zh-CN" w:bidi="ar"/>
              </w:rPr>
              <w:t>）的信息查询记录截图。注：对应参数（检验检测项）在检验检测报告中进行标注；检验检测报告出具的时间应在本项目投标截止日前1年内；如检验检测报告中明确备注说明相关检验检测项不在检验检测机构</w:t>
            </w:r>
            <w:r>
              <w:rPr>
                <w:rStyle w:val="43"/>
                <w:rFonts w:eastAsia="宋体"/>
                <w:lang w:val="en-US" w:eastAsia="zh-CN" w:bidi="ar"/>
              </w:rPr>
              <w:t>CMA</w:t>
            </w:r>
            <w:r>
              <w:rPr>
                <w:rStyle w:val="40"/>
                <w:lang w:val="en-US" w:eastAsia="zh-CN" w:bidi="ar"/>
              </w:rPr>
              <w:t>或</w:t>
            </w:r>
            <w:r>
              <w:rPr>
                <w:rStyle w:val="43"/>
                <w:rFonts w:eastAsia="宋体"/>
                <w:lang w:val="en-US" w:eastAsia="zh-CN" w:bidi="ar"/>
              </w:rPr>
              <w:t>CNAS</w:t>
            </w:r>
            <w:r>
              <w:rPr>
                <w:rStyle w:val="40"/>
                <w:lang w:val="en-US" w:eastAsia="zh-CN" w:bidi="ar"/>
              </w:rPr>
              <w:t>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651"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651"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写字桌</w:t>
            </w:r>
          </w:p>
        </w:tc>
        <w:tc>
          <w:tcPr>
            <w:tcW w:w="369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1.尺寸：900mmW*600mmD*730mmH(±10%mm)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369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2.基材：采用22mm指接板制作，经防潮、防虫、防腐处理，抗弯力强，不易变形；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651"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651"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折叠椅</w:t>
            </w:r>
          </w:p>
        </w:tc>
        <w:tc>
          <w:tcPr>
            <w:tcW w:w="369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1.尺寸：450mmw*500mmD*700mmH(±10%mm)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369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2.椅架：实木，经防潮、防虫、防腐处理，抗弯力强，不易变形；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369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3.油漆：环保油漆，开放油漆工艺，色泽一致，厚度均匀，交货时，表面油漆干透。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369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4.坐垫：采用麻绒坐垫。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651"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651"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窗帘</w:t>
            </w:r>
          </w:p>
        </w:tc>
        <w:tc>
          <w:tcPr>
            <w:tcW w:w="369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1.面料：由棉麻、棉、绦组成，遮光静音隔热，不缩水，不褪色，颜色由学校选定。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369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2.含窗帘杆.布头勾等安装铺材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651"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651"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洗衣机</w:t>
            </w:r>
          </w:p>
        </w:tc>
        <w:tc>
          <w:tcPr>
            <w:tcW w:w="369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1.尺寸：500mmw*500mmD*850mmH(±10%mm)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369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2.基材：镀锌钢板、内桶不锈钢，颜色由学校选定。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651"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651"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衣柜</w:t>
            </w:r>
          </w:p>
        </w:tc>
        <w:tc>
          <w:tcPr>
            <w:tcW w:w="369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1.尺寸：1400mmW*600mmD*2800(±10%mm)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369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2.基材：采用18mm多层板，经防潮、防虫、防腐处理，抗弯力强，不易变形。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369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r>
              <w:rPr>
                <w:rStyle w:val="39"/>
                <w:lang w:val="en-US" w:eastAsia="zh-CN" w:bidi="ar"/>
              </w:rPr>
              <w:t>实木多层板</w:t>
            </w:r>
            <w:r>
              <w:rPr>
                <w:rStyle w:val="42"/>
                <w:lang w:val="en-US" w:eastAsia="zh-CN" w:bidi="ar"/>
              </w:rPr>
              <w:t>检测依据：GB/T34722-2017浸渍胶膜纸饰面胶合板和细木工板；检测要求：含水率8~10%、表面胶合强度≥1.20MPa、表面耐划痕:≥1.5N表面无大于90%的连续划痕、表面耐磨：磨耗值≤80mg/100r，表面情况：磨350r以后应无露底现象；表面耐冷热循环：无裂纹、鼓泡、变色、起皱等、表面耐龟裂≥5级，表面耐水蒸气≥4级。甲醛释放限量≤0.02mg/m³。【</w:t>
            </w:r>
            <w:r>
              <w:rPr>
                <w:rStyle w:val="40"/>
                <w:lang w:val="en-US" w:eastAsia="zh-CN" w:bidi="ar"/>
              </w:rPr>
              <w:t>投标时同时提供：①由第三方检验检测机构出具并加盖（或带有）</w:t>
            </w:r>
            <w:r>
              <w:rPr>
                <w:rStyle w:val="43"/>
                <w:rFonts w:eastAsia="宋体"/>
                <w:lang w:val="en-US" w:eastAsia="zh-CN" w:bidi="ar"/>
              </w:rPr>
              <w:t>CMA</w:t>
            </w:r>
            <w:r>
              <w:rPr>
                <w:rStyle w:val="40"/>
                <w:lang w:val="en-US" w:eastAsia="zh-CN" w:bidi="ar"/>
              </w:rPr>
              <w:t>及</w:t>
            </w:r>
            <w:r>
              <w:rPr>
                <w:rStyle w:val="43"/>
                <w:rFonts w:eastAsia="宋体"/>
                <w:lang w:val="en-US" w:eastAsia="zh-CN" w:bidi="ar"/>
              </w:rPr>
              <w:t>CNAS</w:t>
            </w:r>
            <w:r>
              <w:rPr>
                <w:rStyle w:val="40"/>
                <w:lang w:val="en-US" w:eastAsia="zh-CN" w:bidi="ar"/>
              </w:rPr>
              <w:t>标志的检验检测报告扫描件，原件备查；②上述检验检测报告在全国认证认可信息公共服务平台（认</w:t>
            </w:r>
            <w:r>
              <w:rPr>
                <w:rStyle w:val="43"/>
                <w:rFonts w:eastAsia="宋体"/>
                <w:lang w:val="en-US" w:eastAsia="zh-CN" w:bidi="ar"/>
              </w:rPr>
              <w:t>e</w:t>
            </w:r>
            <w:r>
              <w:rPr>
                <w:rStyle w:val="40"/>
                <w:lang w:val="en-US" w:eastAsia="zh-CN" w:bidi="ar"/>
              </w:rPr>
              <w:t>云）（</w:t>
            </w:r>
            <w:r>
              <w:rPr>
                <w:rStyle w:val="43"/>
                <w:rFonts w:eastAsia="宋体"/>
                <w:lang w:val="en-US" w:eastAsia="zh-CN" w:bidi="ar"/>
              </w:rPr>
              <w:t>http://cx.cnca.cn/</w:t>
            </w:r>
            <w:r>
              <w:rPr>
                <w:rStyle w:val="40"/>
                <w:lang w:val="en-US" w:eastAsia="zh-CN" w:bidi="ar"/>
              </w:rPr>
              <w:t>）的信息查询记录截图。注：对应参数（检验检测项）在检验检测报告中进行标注；检验检测报告出具的时间应在本项目投标截止日前1年内；如检验检测报告中明确备注说明相关检验检测项不在检验检测机构</w:t>
            </w:r>
            <w:r>
              <w:rPr>
                <w:rStyle w:val="43"/>
                <w:rFonts w:eastAsia="宋体"/>
                <w:lang w:val="en-US" w:eastAsia="zh-CN" w:bidi="ar"/>
              </w:rPr>
              <w:t>CMA</w:t>
            </w:r>
            <w:r>
              <w:rPr>
                <w:rStyle w:val="40"/>
                <w:lang w:val="en-US" w:eastAsia="zh-CN" w:bidi="ar"/>
              </w:rPr>
              <w:t>或</w:t>
            </w:r>
            <w:r>
              <w:rPr>
                <w:rStyle w:val="43"/>
                <w:rFonts w:eastAsia="宋体"/>
                <w:lang w:val="en-US" w:eastAsia="zh-CN" w:bidi="ar"/>
              </w:rPr>
              <w:t>CNAS</w:t>
            </w:r>
            <w:r>
              <w:rPr>
                <w:rStyle w:val="40"/>
                <w:lang w:val="en-US" w:eastAsia="zh-CN" w:bidi="ar"/>
              </w:rPr>
              <w:t>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369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r>
              <w:rPr>
                <w:rStyle w:val="39"/>
                <w:lang w:val="en-US" w:eastAsia="zh-CN" w:bidi="ar"/>
              </w:rPr>
              <w:t>衣柜检测依据</w:t>
            </w:r>
            <w:r>
              <w:rPr>
                <w:rStyle w:val="38"/>
                <w:lang w:val="en-US" w:eastAsia="zh-CN" w:bidi="ar"/>
              </w:rPr>
              <w:t>GB/T35607-2017</w:t>
            </w:r>
            <w:r>
              <w:rPr>
                <w:rStyle w:val="39"/>
                <w:lang w:val="en-US" w:eastAsia="zh-CN" w:bidi="ar"/>
              </w:rPr>
              <w:t>或</w:t>
            </w:r>
            <w:r>
              <w:rPr>
                <w:rStyle w:val="38"/>
                <w:lang w:val="en-US" w:eastAsia="zh-CN" w:bidi="ar"/>
              </w:rPr>
              <w:t>GB/T35607-2024</w:t>
            </w:r>
            <w:r>
              <w:rPr>
                <w:rStyle w:val="39"/>
                <w:lang w:val="en-US" w:eastAsia="zh-CN" w:bidi="ar"/>
              </w:rPr>
              <w:t>；检测要求：外观要求：漆膜外观、涂层可迁移元素、单项检测结果符合要求；挥发性有机化合物：苯≤</w:t>
            </w:r>
            <w:r>
              <w:rPr>
                <w:rStyle w:val="38"/>
                <w:lang w:val="en-US" w:eastAsia="zh-CN" w:bidi="ar"/>
              </w:rPr>
              <w:t>0.005mg/m</w:t>
            </w:r>
            <w:r>
              <w:rPr>
                <w:rStyle w:val="39"/>
                <w:lang w:val="en-US" w:eastAsia="zh-CN" w:bidi="ar"/>
              </w:rPr>
              <w:t>³、甲苯≤</w:t>
            </w:r>
            <w:r>
              <w:rPr>
                <w:rStyle w:val="38"/>
                <w:lang w:val="en-US" w:eastAsia="zh-CN" w:bidi="ar"/>
              </w:rPr>
              <w:t>0.005mg/m</w:t>
            </w:r>
            <w:r>
              <w:rPr>
                <w:rStyle w:val="39"/>
                <w:lang w:val="en-US" w:eastAsia="zh-CN" w:bidi="ar"/>
              </w:rPr>
              <w:t>³、二甲苯≤</w:t>
            </w:r>
            <w:r>
              <w:rPr>
                <w:rStyle w:val="38"/>
                <w:lang w:val="en-US" w:eastAsia="zh-CN" w:bidi="ar"/>
              </w:rPr>
              <w:t>0.005mg/m</w:t>
            </w:r>
            <w:r>
              <w:rPr>
                <w:rStyle w:val="39"/>
                <w:lang w:val="en-US" w:eastAsia="zh-CN" w:bidi="ar"/>
              </w:rPr>
              <w:t>³、</w:t>
            </w:r>
            <w:r>
              <w:rPr>
                <w:rStyle w:val="38"/>
                <w:lang w:val="en-US" w:eastAsia="zh-CN" w:bidi="ar"/>
              </w:rPr>
              <w:t>TVOC</w:t>
            </w:r>
            <w:r>
              <w:rPr>
                <w:rStyle w:val="39"/>
                <w:lang w:val="en-US" w:eastAsia="zh-CN" w:bidi="ar"/>
              </w:rPr>
              <w:t>≤</w:t>
            </w:r>
            <w:r>
              <w:rPr>
                <w:rStyle w:val="38"/>
                <w:lang w:val="en-US" w:eastAsia="zh-CN" w:bidi="ar"/>
              </w:rPr>
              <w:t>0.08mg/m</w:t>
            </w:r>
            <w:r>
              <w:rPr>
                <w:rStyle w:val="39"/>
                <w:lang w:val="en-US" w:eastAsia="zh-CN" w:bidi="ar"/>
              </w:rPr>
              <w:t>³；甲醛释放量≤</w:t>
            </w:r>
            <w:r>
              <w:rPr>
                <w:rStyle w:val="38"/>
                <w:lang w:val="en-US" w:eastAsia="zh-CN" w:bidi="ar"/>
              </w:rPr>
              <w:t>0.03mg/m</w:t>
            </w:r>
            <w:r>
              <w:rPr>
                <w:rStyle w:val="39"/>
                <w:lang w:val="en-US" w:eastAsia="zh-CN" w:bidi="ar"/>
              </w:rPr>
              <w:t>³。【</w:t>
            </w:r>
            <w:r>
              <w:rPr>
                <w:rStyle w:val="40"/>
                <w:lang w:val="en-US" w:eastAsia="zh-CN" w:bidi="ar"/>
              </w:rPr>
              <w:t>投标时同时提供：①由第三方检验检测机构出具并加盖（或带有）</w:t>
            </w:r>
            <w:r>
              <w:rPr>
                <w:rStyle w:val="41"/>
                <w:lang w:val="en-US" w:eastAsia="zh-CN" w:bidi="ar"/>
              </w:rPr>
              <w:t>CMA</w:t>
            </w:r>
            <w:r>
              <w:rPr>
                <w:rStyle w:val="40"/>
                <w:lang w:val="en-US" w:eastAsia="zh-CN" w:bidi="ar"/>
              </w:rPr>
              <w:t>及</w:t>
            </w:r>
            <w:r>
              <w:rPr>
                <w:rStyle w:val="41"/>
                <w:lang w:val="en-US" w:eastAsia="zh-CN" w:bidi="ar"/>
              </w:rPr>
              <w:t>CNAS</w:t>
            </w:r>
            <w:r>
              <w:rPr>
                <w:rStyle w:val="40"/>
                <w:lang w:val="en-US" w:eastAsia="zh-CN" w:bidi="ar"/>
              </w:rPr>
              <w:t>标志的检验检测报告扫描件，原件备查；②上述检验检测报告在全国认证认可信息公共服务平台（认</w:t>
            </w:r>
            <w:r>
              <w:rPr>
                <w:rStyle w:val="41"/>
                <w:lang w:val="en-US" w:eastAsia="zh-CN" w:bidi="ar"/>
              </w:rPr>
              <w:t>e</w:t>
            </w:r>
            <w:r>
              <w:rPr>
                <w:rStyle w:val="40"/>
                <w:lang w:val="en-US" w:eastAsia="zh-CN" w:bidi="ar"/>
              </w:rPr>
              <w:t>云）（</w:t>
            </w:r>
            <w:r>
              <w:rPr>
                <w:rStyle w:val="41"/>
                <w:lang w:val="en-US" w:eastAsia="zh-CN" w:bidi="ar"/>
              </w:rPr>
              <w:t>http://cx.cnca.cn/</w:t>
            </w:r>
            <w:r>
              <w:rPr>
                <w:rStyle w:val="40"/>
                <w:lang w:val="en-US" w:eastAsia="zh-CN" w:bidi="ar"/>
              </w:rPr>
              <w:t>）的信息查询记录截图。注：对应参数（检验检测项）在检验检测报告中进行标注；检验检测报告出具的时间应在本项目投标截止日前3年内；如检验检测报告中明确备注说明相关检验检测项不在检验检测机构</w:t>
            </w:r>
            <w:r>
              <w:rPr>
                <w:rStyle w:val="41"/>
                <w:lang w:val="en-US" w:eastAsia="zh-CN" w:bidi="ar"/>
              </w:rPr>
              <w:t>CMA</w:t>
            </w:r>
            <w:r>
              <w:rPr>
                <w:rStyle w:val="40"/>
                <w:lang w:val="en-US" w:eastAsia="zh-CN" w:bidi="ar"/>
              </w:rPr>
              <w:t>或</w:t>
            </w:r>
            <w:r>
              <w:rPr>
                <w:rStyle w:val="41"/>
                <w:lang w:val="en-US" w:eastAsia="zh-CN" w:bidi="ar"/>
              </w:rPr>
              <w:t>CNAS</w:t>
            </w:r>
            <w:r>
              <w:rPr>
                <w:rStyle w:val="40"/>
                <w:lang w:val="en-US" w:eastAsia="zh-CN" w:bidi="ar"/>
              </w:rPr>
              <w:t>资质许可（认定）范围内的，不符合招标文件要求。</w:t>
            </w:r>
            <w:r>
              <w:rPr>
                <w:rStyle w:val="39"/>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651"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w:t>
            </w:r>
          </w:p>
        </w:tc>
        <w:tc>
          <w:tcPr>
            <w:tcW w:w="651"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过道时钟</w:t>
            </w:r>
          </w:p>
        </w:tc>
        <w:tc>
          <w:tcPr>
            <w:tcW w:w="369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1.一体化外观设计，采用TFT LCD显示屏，显示分辨率为：2560*800，显示尺寸为：43cm*13cm。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369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2.具备1个千兆以太网口，支持POE/DC受电；具备一个USB接口。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369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▲3.提供多个时钟显示模板，支持个性化时钟显示。配合系统平台可实现手动或定时息屏和亮屏、图文信息发布等功能。</w:t>
            </w:r>
            <w:r>
              <w:rPr>
                <w:rStyle w:val="40"/>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369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r>
              <w:rPr>
                <w:rStyle w:val="42"/>
                <w:lang w:val="en-US" w:eastAsia="zh-CN" w:bidi="ar"/>
              </w:rPr>
              <w:t>4.支持通过NTP协议自动校准日期和时间，支持时区配置。</w:t>
            </w:r>
            <w:r>
              <w:rPr>
                <w:rStyle w:val="40"/>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369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5.支持在线升级功能，可直接联网升级新版软件。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651"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651"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空气消毒机</w:t>
            </w:r>
          </w:p>
        </w:tc>
        <w:tc>
          <w:tcPr>
            <w:tcW w:w="369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1、尺寸：440*245*140±5mm，额定电压：AC 220V/50Hz，额定功率: ≤20W，待机功率：≤2W。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369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2、循环风量：≥400m³/h，噪声：≤60dB(A)，寿命：≥30000小时，重量：≤3.5kg。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369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▲3、整机采用等离子体技术。</w:t>
            </w:r>
            <w:r>
              <w:rPr>
                <w:rStyle w:val="40"/>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369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4、等离子体电子密度：≥5.80×1019-1.35×1020m-3。等离子体电子能量：≥1.2电子伏特。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369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甲型流感病毒（H1N1）去除率：＞99.99%。甲型流感病毒（H3N2）去除率：＞99.99%。肠道病毒（EV71）去除率：＞99.99%。冠状病毒（HCoV-229E）去除率：＞99.99%。产品开启“最大档”消毒作用2小时，肺炎克雷伯氏菌的杀灭率3次试验结果均＞99.90%。</w:t>
            </w:r>
            <w:r>
              <w:rPr>
                <w:rStyle w:val="40"/>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369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w:t>
            </w:r>
            <w:r>
              <w:rPr>
                <w:rStyle w:val="42"/>
                <w:lang w:val="en-US" w:eastAsia="zh-CN" w:bidi="ar"/>
              </w:rPr>
              <w:t>、方便清洁：初级滤网水洗清洁，等离子体气枪吹扫。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369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w:t>
            </w:r>
            <w:r>
              <w:rPr>
                <w:rStyle w:val="42"/>
                <w:lang w:val="en-US" w:eastAsia="zh-CN" w:bidi="ar"/>
              </w:rPr>
              <w:t>、产品使用期间不产生任何耗材。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369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w:t>
            </w:r>
            <w:r>
              <w:rPr>
                <w:rStyle w:val="42"/>
                <w:lang w:val="en-US" w:eastAsia="zh-CN" w:bidi="ar"/>
              </w:rPr>
              <w:t>、可对空间场景进行静态和动态消毒；可实现24小时“人机共存”健康消毒模式：在有人的情况下使用，持续对环境空气进行动态消毒净化，不会对人体产生危害，又可以有效防止空气中的细菌繁殖再生。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369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w:t>
            </w:r>
            <w:r>
              <w:rPr>
                <w:rStyle w:val="42"/>
                <w:lang w:val="en-US" w:eastAsia="zh-CN" w:bidi="ar"/>
              </w:rPr>
              <w:t>、支持壁挂安装或吊装，并且配有专门壁挂和吊装配件。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6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369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w:t>
            </w:r>
            <w:r>
              <w:rPr>
                <w:rStyle w:val="42"/>
                <w:lang w:val="en-US" w:eastAsia="zh-CN" w:bidi="ar"/>
              </w:rPr>
              <w:t>、可配置遥控器，支持433无线协议配对模式，可支持对多台空气消毒机进行操作。</w:t>
            </w:r>
          </w:p>
        </w:tc>
      </w:tr>
    </w:tbl>
    <w:p>
      <w:pPr>
        <w:rPr>
          <w:b/>
          <w:szCs w:val="21"/>
        </w:rPr>
      </w:pPr>
    </w:p>
    <w:p>
      <w:pPr>
        <w:rPr>
          <w:b/>
          <w:szCs w:val="21"/>
        </w:rPr>
      </w:pPr>
    </w:p>
    <w:p>
      <w:pPr>
        <w:pStyle w:val="6"/>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pPr>
        <w:ind w:firstLine="422" w:firstLineChars="200"/>
        <w:rPr>
          <w:b/>
          <w:szCs w:val="21"/>
        </w:rPr>
      </w:pPr>
      <w:r>
        <w:rPr>
          <w:b/>
          <w:szCs w:val="21"/>
        </w:rPr>
        <w:t>2</w:t>
      </w:r>
      <w:r>
        <w:rPr>
          <w:rFonts w:hint="eastAsia"/>
          <w:b/>
          <w:szCs w:val="21"/>
        </w:rPr>
        <w:t>、带★号条款为不可偏离条款，不作为评分准则中的评分内容</w:t>
      </w:r>
      <w:r>
        <w:rPr>
          <w:rFonts w:hint="eastAsia"/>
          <w:b/>
          <w:szCs w:val="21"/>
          <w:lang w:eastAsia="zh-CN"/>
        </w:rPr>
        <w:t>，</w:t>
      </w:r>
      <w:r>
        <w:rPr>
          <w:rFonts w:hint="eastAsia"/>
          <w:b/>
          <w:szCs w:val="21"/>
        </w:rPr>
        <w:t>如未响应或出现负偏离的，将作投标无效处理；带“</w:t>
      </w:r>
      <w:r>
        <w:t>▲</w:t>
      </w:r>
      <w:r>
        <w:rPr>
          <w:rFonts w:hint="eastAsia"/>
          <w:b/>
          <w:szCs w:val="21"/>
        </w:rPr>
        <w:t>”指标项为重要参数，负偏离时依相关评分准则内容作重点扣分处理。</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29"/>
        <w:gridCol w:w="1390"/>
        <w:gridCol w:w="101"/>
        <w:gridCol w:w="6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3" w:type="pct"/>
            <w:vAlign w:val="center"/>
          </w:tcPr>
          <w:p>
            <w:pPr>
              <w:jc w:val="center"/>
              <w:rPr>
                <w:b/>
              </w:rPr>
            </w:pPr>
            <w:r>
              <w:rPr>
                <w:rFonts w:hint="eastAsia"/>
                <w:b/>
              </w:rPr>
              <w:t>序号</w:t>
            </w:r>
          </w:p>
        </w:tc>
        <w:tc>
          <w:tcPr>
            <w:tcW w:w="891" w:type="pct"/>
            <w:gridSpan w:val="3"/>
            <w:vAlign w:val="center"/>
          </w:tcPr>
          <w:p>
            <w:pPr>
              <w:jc w:val="center"/>
              <w:rPr>
                <w:b/>
              </w:rPr>
            </w:pPr>
            <w:r>
              <w:rPr>
                <w:rFonts w:hint="eastAsia"/>
                <w:b/>
              </w:rPr>
              <w:t>商务需求项</w:t>
            </w:r>
          </w:p>
        </w:tc>
        <w:tc>
          <w:tcPr>
            <w:tcW w:w="3595" w:type="pct"/>
            <w:vAlign w:val="center"/>
          </w:tcPr>
          <w:p>
            <w:pPr>
              <w:jc w:val="center"/>
              <w:rPr>
                <w:b/>
              </w:rPr>
            </w:pPr>
            <w:r>
              <w:rPr>
                <w:rFonts w:hint="eastAsia"/>
                <w:b/>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000" w:type="pct"/>
            <w:gridSpan w:val="5"/>
          </w:tcPr>
          <w:p>
            <w:pPr>
              <w:rPr>
                <w:b/>
              </w:rPr>
            </w:pPr>
            <w:r>
              <w:rPr>
                <w:rFonts w:hint="eastAsia"/>
                <w:b/>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30" w:type="pct"/>
            <w:gridSpan w:val="2"/>
            <w:vAlign w:val="center"/>
          </w:tcPr>
          <w:p>
            <w:pPr>
              <w:jc w:val="center"/>
              <w:rPr>
                <w:bCs/>
              </w:rPr>
            </w:pPr>
            <w:r>
              <w:rPr>
                <w:rFonts w:hint="eastAsia"/>
                <w:bCs/>
              </w:rPr>
              <w:t>1</w:t>
            </w:r>
          </w:p>
        </w:tc>
        <w:tc>
          <w:tcPr>
            <w:tcW w:w="815" w:type="pct"/>
          </w:tcPr>
          <w:p>
            <w:pPr>
              <w:jc w:val="center"/>
            </w:pPr>
            <w:r>
              <w:rPr>
                <w:rFonts w:hint="eastAsia"/>
              </w:rPr>
              <w:t>维修响应及故障解决时间</w:t>
            </w:r>
          </w:p>
        </w:tc>
        <w:tc>
          <w:tcPr>
            <w:tcW w:w="3653" w:type="pct"/>
            <w:gridSpan w:val="2"/>
          </w:tcPr>
          <w:p>
            <w:pPr>
              <w:rPr>
                <w:b/>
              </w:rPr>
            </w:pPr>
            <w:r>
              <w:rPr>
                <w:rFonts w:hint="eastAsia"/>
                <w:bCs/>
                <w:szCs w:val="21"/>
              </w:rPr>
              <w:t>在免费保修期内，一旦发生质量问题，中标人保证在接到通知24小时内赶到现场进行修理或更换。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30" w:type="pct"/>
            <w:gridSpan w:val="2"/>
            <w:vMerge w:val="restart"/>
            <w:vAlign w:val="center"/>
          </w:tcPr>
          <w:p>
            <w:pPr>
              <w:jc w:val="center"/>
              <w:rPr>
                <w:szCs w:val="21"/>
              </w:rPr>
            </w:pPr>
            <w:r>
              <w:rPr>
                <w:rFonts w:hint="eastAsia"/>
                <w:szCs w:val="21"/>
              </w:rPr>
              <w:t>2</w:t>
            </w:r>
          </w:p>
        </w:tc>
        <w:tc>
          <w:tcPr>
            <w:tcW w:w="815" w:type="pct"/>
            <w:vMerge w:val="restart"/>
            <w:vAlign w:val="center"/>
          </w:tcPr>
          <w:p>
            <w:pPr>
              <w:jc w:val="center"/>
              <w:rPr>
                <w:szCs w:val="21"/>
              </w:rPr>
            </w:pPr>
            <w:r>
              <w:rPr>
                <w:rFonts w:hint="eastAsia"/>
                <w:szCs w:val="21"/>
              </w:rPr>
              <w:t>免费保修期</w:t>
            </w:r>
          </w:p>
        </w:tc>
        <w:tc>
          <w:tcPr>
            <w:tcW w:w="3653" w:type="pct"/>
            <w:gridSpan w:val="2"/>
          </w:tcPr>
          <w:p>
            <w:pPr>
              <w:rPr>
                <w:b/>
                <w:szCs w:val="21"/>
              </w:rPr>
            </w:pPr>
            <w:r>
              <w:rPr>
                <w:rFonts w:hint="eastAsia"/>
                <w:bCs/>
                <w:szCs w:val="21"/>
              </w:rPr>
              <w:t>1</w:t>
            </w:r>
            <w:r>
              <w:rPr>
                <w:bCs/>
                <w:szCs w:val="21"/>
              </w:rPr>
              <w:t>.</w:t>
            </w:r>
            <w:r>
              <w:rPr>
                <w:rFonts w:hint="eastAsia"/>
                <w:bCs/>
                <w:szCs w:val="21"/>
              </w:rPr>
              <w:t>货物免费保修期</w:t>
            </w:r>
            <w:r>
              <w:rPr>
                <w:rFonts w:hint="eastAsia"/>
                <w:bCs/>
                <w:color w:val="FF0000"/>
                <w:szCs w:val="21"/>
                <w:u w:val="single"/>
              </w:rPr>
              <w:t xml:space="preserve">  3  </w:t>
            </w:r>
            <w:r>
              <w:rPr>
                <w:rFonts w:hint="eastAsia"/>
                <w:bCs/>
                <w:color w:val="FF0000"/>
                <w:szCs w:val="21"/>
              </w:rPr>
              <w:t>年，</w:t>
            </w:r>
            <w:r>
              <w:rPr>
                <w:rFonts w:hint="eastAsia"/>
                <w:bCs/>
                <w:szCs w:val="21"/>
              </w:rPr>
              <w:t>时间自最终验收合格并交付使用之日起计算。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530" w:type="pct"/>
            <w:gridSpan w:val="2"/>
            <w:vMerge w:val="continue"/>
            <w:vAlign w:val="center"/>
          </w:tcPr>
          <w:p>
            <w:pPr>
              <w:jc w:val="center"/>
              <w:rPr>
                <w:b/>
              </w:rPr>
            </w:pPr>
          </w:p>
        </w:tc>
        <w:tc>
          <w:tcPr>
            <w:tcW w:w="815" w:type="pct"/>
            <w:vMerge w:val="continue"/>
            <w:vAlign w:val="center"/>
          </w:tcPr>
          <w:p/>
        </w:tc>
        <w:tc>
          <w:tcPr>
            <w:tcW w:w="3653" w:type="pct"/>
            <w:gridSpan w:val="2"/>
            <w:vAlign w:val="center"/>
          </w:tcPr>
          <w:p>
            <w:pPr>
              <w:rPr>
                <w:bCs/>
                <w:szCs w:val="21"/>
              </w:rPr>
            </w:pPr>
            <w:r>
              <w:rPr>
                <w:rFonts w:hint="eastAsia"/>
                <w:bCs/>
                <w:szCs w:val="21"/>
              </w:rPr>
              <w:t>2</w:t>
            </w:r>
            <w:r>
              <w:rPr>
                <w:bCs/>
                <w:szCs w:val="21"/>
              </w:rPr>
              <w:t>.</w:t>
            </w:r>
            <w:r>
              <w:rPr>
                <w:rFonts w:hint="eastAsia"/>
                <w:bCs/>
                <w:szCs w:val="21"/>
              </w:rPr>
              <w:t>免费保修期内，</w:t>
            </w:r>
            <w:r>
              <w:rPr>
                <w:rFonts w:hint="eastAsia"/>
                <w:color w:val="000000"/>
                <w:szCs w:val="21"/>
              </w:rPr>
              <w:t>所有服务及配件全部免费。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530" w:type="pct"/>
            <w:gridSpan w:val="2"/>
            <w:vAlign w:val="center"/>
          </w:tcPr>
          <w:p>
            <w:pPr>
              <w:jc w:val="center"/>
              <w:rPr>
                <w:b/>
              </w:rPr>
            </w:pPr>
            <w:r>
              <w:rPr>
                <w:rFonts w:hint="eastAsia"/>
                <w:szCs w:val="21"/>
              </w:rPr>
              <w:t>3</w:t>
            </w:r>
          </w:p>
        </w:tc>
        <w:tc>
          <w:tcPr>
            <w:tcW w:w="815" w:type="pct"/>
            <w:vAlign w:val="center"/>
          </w:tcPr>
          <w:p>
            <w:pPr>
              <w:jc w:val="center"/>
              <w:rPr>
                <w:b/>
              </w:rPr>
            </w:pPr>
            <w:r>
              <w:rPr>
                <w:rFonts w:hint="eastAsia"/>
                <w:szCs w:val="21"/>
              </w:rPr>
              <w:t>技术文件</w:t>
            </w:r>
          </w:p>
        </w:tc>
        <w:tc>
          <w:tcPr>
            <w:tcW w:w="3653" w:type="pct"/>
            <w:gridSpan w:val="2"/>
            <w:vAlign w:val="center"/>
          </w:tcPr>
          <w:p>
            <w:pPr>
              <w:rPr>
                <w:bCs/>
              </w:rPr>
            </w:pPr>
            <w:r>
              <w:rPr>
                <w:rFonts w:hint="eastAsia"/>
                <w:bCs/>
              </w:rPr>
              <w:t>供应商应提供全套、完整的书面技术资料，包括仪器说明书、操作手册、简单维修说明、图纸等。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530" w:type="pct"/>
            <w:gridSpan w:val="2"/>
            <w:vAlign w:val="center"/>
          </w:tcPr>
          <w:p>
            <w:pPr>
              <w:jc w:val="center"/>
              <w:rPr>
                <w:bCs/>
              </w:rPr>
            </w:pPr>
            <w:r>
              <w:rPr>
                <w:rFonts w:hint="eastAsia"/>
                <w:bCs/>
              </w:rPr>
              <w:t>4</w:t>
            </w:r>
          </w:p>
        </w:tc>
        <w:tc>
          <w:tcPr>
            <w:tcW w:w="815" w:type="pct"/>
            <w:vAlign w:val="center"/>
          </w:tcPr>
          <w:p>
            <w:pPr>
              <w:jc w:val="center"/>
              <w:rPr>
                <w:bCs/>
              </w:rPr>
            </w:pPr>
            <w:r>
              <w:rPr>
                <w:rFonts w:hint="eastAsia"/>
                <w:szCs w:val="21"/>
              </w:rPr>
              <w:t>安装调试</w:t>
            </w:r>
          </w:p>
        </w:tc>
        <w:tc>
          <w:tcPr>
            <w:tcW w:w="3653" w:type="pct"/>
            <w:gridSpan w:val="2"/>
            <w:vAlign w:val="center"/>
          </w:tcPr>
          <w:p>
            <w:pPr>
              <w:jc w:val="left"/>
              <w:rPr>
                <w:rFonts w:ascii="宋体" w:hAnsi="宋体" w:cs="宋体"/>
                <w:color w:val="FFFFFF"/>
                <w:szCs w:val="21"/>
              </w:rPr>
            </w:pPr>
            <w:r>
              <w:rPr>
                <w:rFonts w:hint="eastAsia" w:ascii="宋体" w:hAnsi="宋体" w:cs="宋体"/>
                <w:color w:val="FF0000"/>
                <w:szCs w:val="21"/>
              </w:rPr>
              <w:t>本项目要求在进场施工日起 30个日历日内完工，进场时间由采购人确定。</w:t>
            </w:r>
          </w:p>
          <w:p>
            <w:pPr>
              <w:jc w:val="left"/>
              <w:rPr>
                <w:rFonts w:ascii="宋体" w:hAnsi="宋体" w:cs="宋体"/>
                <w:szCs w:val="21"/>
              </w:rPr>
            </w:pPr>
            <w:r>
              <w:rPr>
                <w:rFonts w:hint="eastAsia" w:ascii="宋体" w:hAnsi="宋体" w:cs="宋体"/>
                <w:szCs w:val="21"/>
              </w:rPr>
              <w:t>中标人负责免费安装、调试。安装、调试完成后，由采购人和中标人双方组成验收小组共同进行技术验收和商务验收，验收合格后签署《验收报告》。产品质量和安装调试检验标准遵照国家相关规定和最新标准执行。</w:t>
            </w:r>
          </w:p>
          <w:p>
            <w:pPr>
              <w:rPr>
                <w:bCs/>
                <w:szCs w:val="21"/>
              </w:rPr>
            </w:pPr>
            <w:r>
              <w:rPr>
                <w:rFonts w:hint="eastAsia" w:ascii="宋体" w:hAnsi="宋体" w:cs="宋体"/>
                <w:szCs w:val="21"/>
              </w:rPr>
              <w:t>验收中如发现有质量不合格或型号规格、数量等与送货清单不符、提交的技术文件和资料不完整等情形，中标人应更换或补齐，并按照“其它商务要求”中的“违约责任”承担相应责任，不额外收费。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5"/>
            <w:vAlign w:val="center"/>
          </w:tcPr>
          <w:p>
            <w:pPr>
              <w:spacing w:line="360" w:lineRule="exact"/>
              <w:rPr>
                <w:rFonts w:ascii="宋体" w:hAnsi="宋体"/>
                <w:b/>
              </w:rPr>
            </w:pPr>
            <w:r>
              <w:rPr>
                <w:rFonts w:hint="eastAsia" w:ascii="宋体" w:hAnsi="宋体"/>
                <w:b/>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0" w:type="pct"/>
            <w:gridSpan w:val="2"/>
            <w:vMerge w:val="restart"/>
            <w:vAlign w:val="center"/>
          </w:tcPr>
          <w:p>
            <w:pPr>
              <w:spacing w:line="360" w:lineRule="exact"/>
              <w:jc w:val="center"/>
              <w:rPr>
                <w:rFonts w:ascii="宋体" w:hAnsi="宋体"/>
                <w:b/>
                <w:sz w:val="20"/>
                <w:szCs w:val="20"/>
              </w:rPr>
            </w:pPr>
            <w:r>
              <w:rPr>
                <w:rFonts w:hint="eastAsia" w:ascii="宋体" w:hAnsi="宋体"/>
                <w:b/>
                <w:sz w:val="20"/>
                <w:szCs w:val="20"/>
              </w:rPr>
              <w:t>1</w:t>
            </w:r>
          </w:p>
        </w:tc>
        <w:tc>
          <w:tcPr>
            <w:tcW w:w="815" w:type="pct"/>
            <w:vMerge w:val="restart"/>
            <w:vAlign w:val="center"/>
          </w:tcPr>
          <w:p>
            <w:pPr>
              <w:spacing w:line="360" w:lineRule="exact"/>
              <w:jc w:val="center"/>
              <w:rPr>
                <w:rFonts w:ascii="宋体" w:hAnsi="宋体"/>
                <w:b/>
                <w:color w:val="000000"/>
                <w:sz w:val="20"/>
                <w:szCs w:val="20"/>
              </w:rPr>
            </w:pPr>
            <w:r>
              <w:rPr>
                <w:rStyle w:val="21"/>
                <w:rFonts w:hint="eastAsia" w:ascii="宋体" w:hAnsi="宋体" w:cs="宋体"/>
                <w:color w:val="000000"/>
                <w:sz w:val="20"/>
                <w:szCs w:val="20"/>
              </w:rPr>
              <w:t>维修零配件、消耗品和延续保修合同的报价</w:t>
            </w:r>
          </w:p>
        </w:tc>
        <w:tc>
          <w:tcPr>
            <w:tcW w:w="3653" w:type="pct"/>
            <w:gridSpan w:val="2"/>
            <w:vAlign w:val="center"/>
          </w:tcPr>
          <w:p>
            <w:pPr>
              <w:spacing w:line="360" w:lineRule="exact"/>
              <w:rPr>
                <w:rFonts w:ascii="宋体" w:hAnsi="宋体"/>
                <w:b/>
                <w:color w:val="000000"/>
              </w:rPr>
            </w:pPr>
            <w:r>
              <w:rPr>
                <w:rFonts w:hint="eastAsia" w:ascii="宋体" w:hAnsi="宋体" w:cs="宋体"/>
                <w:color w:val="000000"/>
                <w:szCs w:val="21"/>
              </w:rPr>
              <w:t>1.1由设备制造商提供售后服务，</w:t>
            </w:r>
            <w:r>
              <w:rPr>
                <w:rFonts w:hint="eastAsia" w:ascii="宋体" w:hAnsi="宋体" w:cs="宋体"/>
                <w:color w:val="000000"/>
                <w:szCs w:val="21"/>
                <w:u w:val="single"/>
              </w:rPr>
              <w:t xml:space="preserve"> 1 </w:t>
            </w:r>
            <w:r>
              <w:rPr>
                <w:rFonts w:hint="eastAsia" w:ascii="宋体" w:hAnsi="宋体" w:cs="宋体"/>
                <w:color w:val="000000"/>
                <w:szCs w:val="21"/>
              </w:rPr>
              <w:t>小时内响应，</w:t>
            </w:r>
            <w:r>
              <w:rPr>
                <w:rFonts w:hint="eastAsia" w:ascii="宋体" w:hAnsi="宋体" w:cs="宋体"/>
                <w:color w:val="000000"/>
                <w:szCs w:val="21"/>
                <w:u w:val="single"/>
              </w:rPr>
              <w:t xml:space="preserve"> 24 </w:t>
            </w:r>
            <w:r>
              <w:rPr>
                <w:rFonts w:hint="eastAsia" w:ascii="宋体" w:hAnsi="宋体" w:cs="宋体"/>
                <w:color w:val="000000"/>
                <w:szCs w:val="21"/>
              </w:rPr>
              <w:t>小时维修到位，并在48小时内消除故障（不可抗力情况除外）。消耗品和零配件供应及时，特殊情况下可提供备用机。在境内有相对应的零配件保税库，于中标后出具证明文件。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0" w:type="pct"/>
            <w:gridSpan w:val="2"/>
            <w:vMerge w:val="continue"/>
            <w:vAlign w:val="center"/>
          </w:tcPr>
          <w:p>
            <w:pPr>
              <w:spacing w:line="360" w:lineRule="exact"/>
              <w:jc w:val="center"/>
              <w:rPr>
                <w:rFonts w:ascii="宋体" w:hAnsi="宋体"/>
                <w:b/>
              </w:rPr>
            </w:pPr>
          </w:p>
        </w:tc>
        <w:tc>
          <w:tcPr>
            <w:tcW w:w="815" w:type="pct"/>
            <w:vMerge w:val="continue"/>
            <w:vAlign w:val="center"/>
          </w:tcPr>
          <w:p>
            <w:pPr>
              <w:spacing w:line="360" w:lineRule="exact"/>
              <w:rPr>
                <w:rStyle w:val="21"/>
                <w:rFonts w:ascii="宋体" w:hAnsi="宋体" w:cs="宋体"/>
                <w:color w:val="000000"/>
                <w:sz w:val="20"/>
                <w:szCs w:val="20"/>
              </w:rPr>
            </w:pPr>
          </w:p>
        </w:tc>
        <w:tc>
          <w:tcPr>
            <w:tcW w:w="3653" w:type="pct"/>
            <w:gridSpan w:val="2"/>
            <w:vAlign w:val="center"/>
          </w:tcPr>
          <w:p>
            <w:pPr>
              <w:spacing w:line="360" w:lineRule="exact"/>
              <w:rPr>
                <w:rFonts w:ascii="宋体" w:hAnsi="宋体"/>
                <w:b/>
                <w:color w:val="000000"/>
              </w:rPr>
            </w:pPr>
            <w:r>
              <w:rPr>
                <w:rFonts w:hint="eastAsia" w:ascii="宋体" w:hAnsi="宋体" w:cs="宋体"/>
                <w:color w:val="000000"/>
                <w:szCs w:val="21"/>
              </w:rPr>
              <w:t>1.2中标单位需要提前报价并获得同意后方可开展维修，并确保维修后产品正常使用的时间期限。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5"/>
            <w:vAlign w:val="center"/>
          </w:tcPr>
          <w:p>
            <w:pPr>
              <w:spacing w:line="360" w:lineRule="exact"/>
              <w:rPr>
                <w:rFonts w:ascii="宋体" w:hAnsi="宋体"/>
                <w:b/>
              </w:rPr>
            </w:pPr>
            <w:r>
              <w:rPr>
                <w:rFonts w:hint="eastAsia" w:ascii="宋体" w:hAnsi="宋体"/>
                <w:b/>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0" w:type="pct"/>
            <w:gridSpan w:val="2"/>
            <w:vMerge w:val="restart"/>
            <w:vAlign w:val="center"/>
          </w:tcPr>
          <w:p>
            <w:pPr>
              <w:spacing w:line="360" w:lineRule="exact"/>
              <w:jc w:val="center"/>
              <w:rPr>
                <w:rFonts w:ascii="宋体" w:hAnsi="宋体"/>
                <w:b/>
                <w:sz w:val="20"/>
                <w:szCs w:val="20"/>
              </w:rPr>
            </w:pPr>
            <w:r>
              <w:rPr>
                <w:rFonts w:hint="eastAsia" w:ascii="宋体" w:hAnsi="宋体"/>
                <w:b/>
                <w:sz w:val="20"/>
                <w:szCs w:val="20"/>
              </w:rPr>
              <w:t>1</w:t>
            </w:r>
          </w:p>
        </w:tc>
        <w:tc>
          <w:tcPr>
            <w:tcW w:w="815" w:type="pct"/>
            <w:vMerge w:val="restart"/>
            <w:vAlign w:val="center"/>
          </w:tcPr>
          <w:p>
            <w:pPr>
              <w:spacing w:line="360" w:lineRule="exact"/>
              <w:jc w:val="center"/>
              <w:rPr>
                <w:rFonts w:ascii="宋体" w:hAnsi="宋体"/>
                <w:b/>
                <w:sz w:val="20"/>
                <w:szCs w:val="20"/>
              </w:rPr>
            </w:pPr>
            <w:r>
              <w:rPr>
                <w:rFonts w:hint="eastAsia" w:ascii="宋体" w:hAnsi="宋体"/>
                <w:b/>
                <w:sz w:val="20"/>
                <w:szCs w:val="20"/>
              </w:rPr>
              <w:t>违约责任</w:t>
            </w:r>
          </w:p>
        </w:tc>
        <w:tc>
          <w:tcPr>
            <w:tcW w:w="3653" w:type="pct"/>
            <w:gridSpan w:val="2"/>
          </w:tcPr>
          <w:p>
            <w:pPr>
              <w:spacing w:line="360" w:lineRule="exact"/>
              <w:rPr>
                <w:rFonts w:ascii="宋体" w:hAnsi="宋体" w:cs="宋体"/>
                <w:color w:val="000000"/>
                <w:szCs w:val="21"/>
              </w:rPr>
            </w:pPr>
            <w:r>
              <w:rPr>
                <w:rFonts w:hint="eastAsia" w:ascii="宋体" w:hAnsi="宋体" w:cs="宋体"/>
                <w:color w:val="000000"/>
                <w:szCs w:val="21"/>
              </w:rPr>
              <w:t>1.1中标人不能交货的，需偿付不能交货部分货款的</w:t>
            </w:r>
            <w:r>
              <w:rPr>
                <w:rFonts w:hint="eastAsia" w:ascii="宋体" w:hAnsi="宋体" w:cs="宋体"/>
                <w:color w:val="000000"/>
                <w:szCs w:val="21"/>
                <w:u w:val="single"/>
              </w:rPr>
              <w:t xml:space="preserve"> 10  </w:t>
            </w:r>
            <w:r>
              <w:rPr>
                <w:rFonts w:hint="eastAsia" w:ascii="宋体" w:hAnsi="宋体" w:cs="宋体"/>
                <w:color w:val="000000"/>
                <w:szCs w:val="21"/>
              </w:rPr>
              <w:t>%的违约金并按主管部门相关规定处理。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0" w:type="pct"/>
            <w:gridSpan w:val="2"/>
            <w:vMerge w:val="continue"/>
            <w:vAlign w:val="center"/>
          </w:tcPr>
          <w:p>
            <w:pPr>
              <w:spacing w:line="360" w:lineRule="exact"/>
              <w:jc w:val="center"/>
              <w:rPr>
                <w:rFonts w:ascii="宋体" w:hAnsi="宋体"/>
                <w:b/>
                <w:sz w:val="20"/>
                <w:szCs w:val="20"/>
              </w:rPr>
            </w:pPr>
          </w:p>
        </w:tc>
        <w:tc>
          <w:tcPr>
            <w:tcW w:w="815" w:type="pct"/>
            <w:vMerge w:val="continue"/>
            <w:vAlign w:val="center"/>
          </w:tcPr>
          <w:p>
            <w:pPr>
              <w:spacing w:line="360" w:lineRule="exact"/>
              <w:jc w:val="center"/>
              <w:rPr>
                <w:rFonts w:ascii="宋体" w:hAnsi="宋体"/>
                <w:b/>
                <w:sz w:val="20"/>
                <w:szCs w:val="20"/>
              </w:rPr>
            </w:pPr>
          </w:p>
        </w:tc>
        <w:tc>
          <w:tcPr>
            <w:tcW w:w="3653" w:type="pct"/>
            <w:gridSpan w:val="2"/>
          </w:tcPr>
          <w:p>
            <w:pPr>
              <w:spacing w:line="360" w:lineRule="exact"/>
              <w:rPr>
                <w:rFonts w:ascii="宋体" w:hAnsi="宋体" w:cs="宋体"/>
                <w:color w:val="000000"/>
                <w:szCs w:val="21"/>
              </w:rPr>
            </w:pPr>
            <w:r>
              <w:rPr>
                <w:rFonts w:hint="eastAsia" w:ascii="宋体" w:hAnsi="宋体" w:cs="宋体"/>
                <w:color w:val="000000"/>
                <w:szCs w:val="21"/>
              </w:rPr>
              <w:t>1.2中标人逾期交货的，应当承担继续履行、采取补救措施或者赔偿损失等违约责任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0" w:type="pct"/>
            <w:gridSpan w:val="2"/>
            <w:vMerge w:val="continue"/>
            <w:vAlign w:val="center"/>
          </w:tcPr>
          <w:p>
            <w:pPr>
              <w:spacing w:line="360" w:lineRule="exact"/>
              <w:jc w:val="center"/>
              <w:rPr>
                <w:rFonts w:ascii="宋体" w:hAnsi="宋体"/>
                <w:b/>
                <w:sz w:val="20"/>
                <w:szCs w:val="20"/>
              </w:rPr>
            </w:pPr>
          </w:p>
        </w:tc>
        <w:tc>
          <w:tcPr>
            <w:tcW w:w="815" w:type="pct"/>
            <w:vMerge w:val="continue"/>
            <w:vAlign w:val="center"/>
          </w:tcPr>
          <w:p>
            <w:pPr>
              <w:spacing w:line="360" w:lineRule="exact"/>
              <w:jc w:val="center"/>
              <w:rPr>
                <w:rFonts w:ascii="宋体" w:hAnsi="宋体"/>
                <w:b/>
                <w:sz w:val="20"/>
                <w:szCs w:val="20"/>
              </w:rPr>
            </w:pPr>
          </w:p>
        </w:tc>
        <w:tc>
          <w:tcPr>
            <w:tcW w:w="3653" w:type="pct"/>
            <w:gridSpan w:val="2"/>
          </w:tcPr>
          <w:p>
            <w:pPr>
              <w:spacing w:line="360" w:lineRule="exact"/>
              <w:rPr>
                <w:rFonts w:ascii="宋体" w:hAnsi="宋体" w:cs="宋体"/>
                <w:color w:val="000000"/>
                <w:szCs w:val="21"/>
              </w:rPr>
            </w:pPr>
            <w:r>
              <w:rPr>
                <w:rFonts w:hint="eastAsia" w:ascii="宋体" w:hAnsi="宋体" w:cs="宋体"/>
                <w:color w:val="000000"/>
                <w:szCs w:val="21"/>
              </w:rPr>
              <w:t>1.3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0" w:type="pct"/>
            <w:gridSpan w:val="2"/>
            <w:vMerge w:val="restart"/>
            <w:vAlign w:val="center"/>
          </w:tcPr>
          <w:p>
            <w:pPr>
              <w:spacing w:line="360" w:lineRule="exact"/>
              <w:jc w:val="center"/>
              <w:rPr>
                <w:rFonts w:ascii="宋体" w:hAnsi="宋体"/>
                <w:b/>
                <w:sz w:val="20"/>
                <w:szCs w:val="20"/>
              </w:rPr>
            </w:pPr>
            <w:r>
              <w:rPr>
                <w:rFonts w:hint="eastAsia" w:ascii="宋体" w:hAnsi="宋体"/>
                <w:b/>
                <w:sz w:val="20"/>
                <w:szCs w:val="20"/>
              </w:rPr>
              <w:t>2</w:t>
            </w:r>
          </w:p>
        </w:tc>
        <w:tc>
          <w:tcPr>
            <w:tcW w:w="815" w:type="pct"/>
            <w:vMerge w:val="restart"/>
            <w:vAlign w:val="center"/>
          </w:tcPr>
          <w:p>
            <w:pPr>
              <w:spacing w:line="360" w:lineRule="exact"/>
              <w:jc w:val="center"/>
              <w:rPr>
                <w:rFonts w:ascii="宋体" w:hAnsi="宋体"/>
                <w:b/>
                <w:sz w:val="20"/>
                <w:szCs w:val="20"/>
              </w:rPr>
            </w:pPr>
            <w:r>
              <w:rPr>
                <w:rFonts w:hint="eastAsia" w:ascii="宋体" w:hAnsi="宋体"/>
                <w:b/>
                <w:sz w:val="20"/>
                <w:szCs w:val="20"/>
              </w:rPr>
              <w:t>交货及付款要求</w:t>
            </w:r>
          </w:p>
        </w:tc>
        <w:tc>
          <w:tcPr>
            <w:tcW w:w="3653" w:type="pct"/>
            <w:gridSpan w:val="2"/>
            <w:vAlign w:val="center"/>
          </w:tcPr>
          <w:p>
            <w:pPr>
              <w:spacing w:line="360" w:lineRule="exact"/>
            </w:pPr>
            <w:r>
              <w:rPr>
                <w:rFonts w:hint="eastAsia"/>
              </w:rPr>
              <w:t>2.1履约时间和地点：投标供应商在签订合同之日起</w:t>
            </w:r>
            <w:r>
              <w:t>30</w:t>
            </w:r>
            <w:r>
              <w:rPr>
                <w:rFonts w:hint="eastAsia"/>
              </w:rPr>
              <w:t>天内交货，交货地点为深圳市宝安区会展城实验学校。</w:t>
            </w:r>
          </w:p>
          <w:p>
            <w:pPr>
              <w:pStyle w:val="8"/>
            </w:pPr>
            <w:r>
              <w:rPr>
                <w:rFonts w:hint="eastAsia"/>
              </w:rPr>
              <w:t>注：长期货物政府采购（自行采购）合同履行期限最长不得超过二十四个月，如甲方对履约情况不满意，甲方不再续约。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530" w:type="pct"/>
            <w:gridSpan w:val="2"/>
            <w:vMerge w:val="continue"/>
            <w:vAlign w:val="center"/>
          </w:tcPr>
          <w:p>
            <w:pPr>
              <w:spacing w:line="360" w:lineRule="exact"/>
              <w:jc w:val="center"/>
              <w:rPr>
                <w:rFonts w:ascii="宋体" w:hAnsi="宋体"/>
                <w:b/>
                <w:sz w:val="20"/>
                <w:szCs w:val="20"/>
              </w:rPr>
            </w:pPr>
          </w:p>
        </w:tc>
        <w:tc>
          <w:tcPr>
            <w:tcW w:w="815" w:type="pct"/>
            <w:vMerge w:val="continue"/>
            <w:vAlign w:val="center"/>
          </w:tcPr>
          <w:p>
            <w:pPr>
              <w:spacing w:line="360" w:lineRule="exact"/>
              <w:jc w:val="center"/>
              <w:rPr>
                <w:rFonts w:ascii="宋体" w:hAnsi="宋体"/>
                <w:b/>
                <w:sz w:val="20"/>
                <w:szCs w:val="20"/>
              </w:rPr>
            </w:pPr>
          </w:p>
        </w:tc>
        <w:tc>
          <w:tcPr>
            <w:tcW w:w="3653" w:type="pct"/>
            <w:gridSpan w:val="2"/>
            <w:vAlign w:val="center"/>
          </w:tcPr>
          <w:p>
            <w:pPr>
              <w:spacing w:line="360" w:lineRule="exact"/>
            </w:pPr>
            <w:r>
              <w:rPr>
                <w:rFonts w:hint="eastAsia"/>
              </w:rPr>
              <w:t>2</w:t>
            </w:r>
            <w:r>
              <w:t>.2</w:t>
            </w:r>
            <w:r>
              <w:rPr>
                <w:rFonts w:hint="eastAsia"/>
              </w:rPr>
              <w:t>付款期限和方式：</w:t>
            </w:r>
            <w:r>
              <w:rPr>
                <w:rFonts w:hint="eastAsia" w:ascii="新宋体" w:hAnsi="新宋体" w:eastAsia="新宋体" w:cstheme="minorBidi"/>
                <w:color w:val="FF0000"/>
                <w:szCs w:val="21"/>
              </w:rPr>
              <w:t>合同签订后10个工作日内支付</w:t>
            </w:r>
            <w:r>
              <w:rPr>
                <w:rFonts w:hint="eastAsia" w:ascii="新宋体" w:hAnsi="新宋体" w:eastAsia="新宋体" w:cstheme="minorBidi"/>
                <w:color w:val="FF0000"/>
                <w:szCs w:val="21"/>
                <w:u w:val="single"/>
              </w:rPr>
              <w:t>5</w:t>
            </w:r>
            <w:r>
              <w:rPr>
                <w:rFonts w:hint="eastAsia" w:ascii="新宋体" w:hAnsi="新宋体" w:eastAsia="新宋体" w:cstheme="minorBidi"/>
                <w:color w:val="FF0000"/>
                <w:szCs w:val="21"/>
              </w:rPr>
              <w:t>0%的预付款。本项目完成并经验收合格后，对于满足合同约定支付条件的，采购人应当自收到发票后10个工作日内</w:t>
            </w:r>
            <w:r>
              <w:rPr>
                <w:rFonts w:hint="eastAsia" w:ascii="新宋体" w:hAnsi="新宋体" w:eastAsia="新宋体" w:cstheme="minorBidi"/>
                <w:color w:val="FF0000"/>
                <w:szCs w:val="21"/>
                <w:highlight w:val="yellow"/>
              </w:rPr>
              <w:t>（最长不超过15日历日）</w:t>
            </w:r>
            <w:r>
              <w:rPr>
                <w:rFonts w:hint="eastAsia" w:ascii="新宋体" w:hAnsi="新宋体" w:eastAsia="新宋体" w:cstheme="minorBidi"/>
                <w:color w:val="FF0000"/>
                <w:szCs w:val="21"/>
              </w:rPr>
              <w:t>将资金支付到合同约定的中标供应商账户。</w:t>
            </w:r>
          </w:p>
          <w:p>
            <w:pPr>
              <w:pStyle w:val="8"/>
            </w:pPr>
            <w:r>
              <w:rPr>
                <w:rFonts w:hint="eastAsia"/>
              </w:rPr>
              <w:t>注：根据《深圳市落实采购人主体责任实施办法》第34条规定，对于满足合同约定支付条件的，采购人应当自收到发票后 15 日内将资金支付到合同约定的供应商账户，不得以机构变动、人员更替、政策调整等为由延迟付款，不得将采购文件和合同中未规定的义务作为向供应商付款的条件。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0" w:type="pct"/>
            <w:gridSpan w:val="2"/>
            <w:vAlign w:val="center"/>
          </w:tcPr>
          <w:p>
            <w:pPr>
              <w:spacing w:line="360" w:lineRule="exact"/>
              <w:jc w:val="center"/>
              <w:rPr>
                <w:rFonts w:ascii="宋体" w:hAnsi="宋体"/>
                <w:b/>
                <w:sz w:val="20"/>
                <w:szCs w:val="20"/>
              </w:rPr>
            </w:pPr>
            <w:r>
              <w:rPr>
                <w:rFonts w:hint="eastAsia" w:ascii="宋体" w:hAnsi="宋体"/>
                <w:b/>
                <w:sz w:val="20"/>
                <w:szCs w:val="20"/>
              </w:rPr>
              <w:t>3</w:t>
            </w:r>
          </w:p>
        </w:tc>
        <w:tc>
          <w:tcPr>
            <w:tcW w:w="815" w:type="pct"/>
            <w:vAlign w:val="center"/>
          </w:tcPr>
          <w:p>
            <w:pPr>
              <w:spacing w:line="360" w:lineRule="exact"/>
              <w:jc w:val="center"/>
              <w:rPr>
                <w:rStyle w:val="21"/>
                <w:rFonts w:ascii="宋体" w:hAnsi="宋体" w:cs="宋体"/>
                <w:bCs w:val="0"/>
                <w:color w:val="000000"/>
                <w:sz w:val="20"/>
                <w:szCs w:val="20"/>
              </w:rPr>
            </w:pPr>
            <w:r>
              <w:rPr>
                <w:rFonts w:hint="eastAsia" w:ascii="宋体" w:hAnsi="宋体" w:cs="宋体"/>
                <w:b/>
                <w:color w:val="000000"/>
                <w:sz w:val="20"/>
                <w:szCs w:val="20"/>
              </w:rPr>
              <w:t>验收条件</w:t>
            </w:r>
          </w:p>
        </w:tc>
        <w:tc>
          <w:tcPr>
            <w:tcW w:w="3653" w:type="pct"/>
            <w:gridSpan w:val="2"/>
            <w:vAlign w:val="center"/>
          </w:tcPr>
          <w:p>
            <w:pPr>
              <w:spacing w:line="360" w:lineRule="exact"/>
              <w:rPr>
                <w:rFonts w:ascii="宋体" w:hAnsi="宋体" w:cs="宋体"/>
                <w:color w:val="000000"/>
                <w:sz w:val="20"/>
                <w:szCs w:val="20"/>
              </w:rPr>
            </w:pPr>
            <w:r>
              <w:rPr>
                <w:rFonts w:hint="eastAsia" w:ascii="Calibri" w:hAnsi="Calibri" w:cstheme="minorBidi"/>
                <w:szCs w:val="22"/>
              </w:rPr>
              <w:t>3</w:t>
            </w:r>
            <w:r>
              <w:rPr>
                <w:rFonts w:ascii="Calibri" w:hAnsi="Calibri" w:cstheme="minorBidi"/>
                <w:szCs w:val="22"/>
              </w:rPr>
              <w:t>.1.投标人货物经过双方检验认可后，签署验收报告，产品保修期自验收合格之日起算，由投标人提供产品保修文件。</w:t>
            </w:r>
            <w:r>
              <w:rPr>
                <w:rFonts w:ascii="Calibri" w:hAnsi="Calibri" w:cstheme="minorBidi"/>
                <w:szCs w:val="22"/>
              </w:rPr>
              <w:br w:type="textWrapping"/>
            </w:r>
            <w:r>
              <w:rPr>
                <w:rFonts w:hint="eastAsia" w:ascii="Calibri" w:hAnsi="Calibri" w:cstheme="minorBidi"/>
                <w:szCs w:val="22"/>
              </w:rPr>
              <w:t>3</w:t>
            </w:r>
            <w:r>
              <w:rPr>
                <w:rFonts w:ascii="Calibri" w:hAnsi="Calibri" w:cstheme="minorBidi"/>
                <w:szCs w:val="22"/>
              </w:rPr>
              <w:t>.2.当满足以下条件时，采购人才向</w:t>
            </w:r>
            <w:r>
              <w:rPr>
                <w:rFonts w:hint="eastAsia" w:ascii="Calibri" w:hAnsi="Calibri" w:cstheme="minorBidi"/>
                <w:szCs w:val="22"/>
              </w:rPr>
              <w:t>中标</w:t>
            </w:r>
            <w:r>
              <w:rPr>
                <w:rFonts w:ascii="Calibri" w:hAnsi="Calibri" w:cstheme="minorBidi"/>
                <w:szCs w:val="22"/>
              </w:rPr>
              <w:t>人签发货物验收报告：</w:t>
            </w:r>
            <w:r>
              <w:rPr>
                <w:rFonts w:ascii="Calibri" w:hAnsi="Calibri" w:cstheme="minorBidi"/>
                <w:szCs w:val="22"/>
              </w:rPr>
              <w:br w:type="textWrapping"/>
            </w:r>
            <w:r>
              <w:rPr>
                <w:rFonts w:hint="eastAsia" w:ascii="Calibri" w:hAnsi="Calibri" w:cstheme="minorBidi"/>
                <w:szCs w:val="22"/>
              </w:rPr>
              <w:t>3.</w:t>
            </w:r>
            <w:r>
              <w:rPr>
                <w:rFonts w:ascii="Calibri" w:hAnsi="Calibri" w:cstheme="minorBidi"/>
                <w:szCs w:val="22"/>
              </w:rPr>
              <w:t>2.1.</w:t>
            </w:r>
            <w:r>
              <w:rPr>
                <w:rFonts w:hint="eastAsia" w:ascii="Calibri" w:hAnsi="Calibri" w:cstheme="minorBidi"/>
                <w:szCs w:val="22"/>
              </w:rPr>
              <w:t>中标</w:t>
            </w:r>
            <w:r>
              <w:rPr>
                <w:rFonts w:ascii="Calibri" w:hAnsi="Calibri" w:cstheme="minorBidi"/>
                <w:szCs w:val="22"/>
              </w:rPr>
              <w:t>人已按照合同规定提供了全部产品及完整的技术资料。</w:t>
            </w:r>
            <w:r>
              <w:rPr>
                <w:rFonts w:ascii="Calibri" w:hAnsi="Calibri" w:cstheme="minorBidi"/>
                <w:szCs w:val="22"/>
              </w:rPr>
              <w:br w:type="textWrapping"/>
            </w:r>
            <w:r>
              <w:rPr>
                <w:rFonts w:hint="eastAsia" w:ascii="Calibri" w:hAnsi="Calibri" w:cstheme="minorBidi"/>
                <w:szCs w:val="22"/>
              </w:rPr>
              <w:t>3</w:t>
            </w:r>
            <w:r>
              <w:rPr>
                <w:rFonts w:ascii="Calibri" w:hAnsi="Calibri" w:cstheme="minorBidi"/>
                <w:szCs w:val="22"/>
              </w:rPr>
              <w:t>.2.2.货物符合招标文件技术规格书的要求，性能满足要求。</w:t>
            </w:r>
            <w:r>
              <w:rPr>
                <w:rFonts w:ascii="Calibri" w:hAnsi="Calibri" w:cstheme="minorBidi"/>
                <w:szCs w:val="22"/>
              </w:rPr>
              <w:br w:type="textWrapping"/>
            </w:r>
            <w:r>
              <w:rPr>
                <w:rFonts w:hint="eastAsia" w:ascii="Calibri" w:hAnsi="Calibri" w:cstheme="minorBidi"/>
                <w:szCs w:val="22"/>
              </w:rPr>
              <w:t>3</w:t>
            </w:r>
            <w:r>
              <w:rPr>
                <w:rFonts w:ascii="Calibri" w:hAnsi="Calibri" w:cstheme="minorBidi"/>
                <w:szCs w:val="22"/>
              </w:rPr>
              <w:t>.2.3.货物具备产品合格证。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0" w:type="pct"/>
            <w:gridSpan w:val="2"/>
            <w:vAlign w:val="center"/>
          </w:tcPr>
          <w:p>
            <w:pPr>
              <w:spacing w:line="360" w:lineRule="exact"/>
              <w:jc w:val="center"/>
              <w:rPr>
                <w:rFonts w:ascii="宋体" w:hAnsi="宋体"/>
                <w:b/>
                <w:sz w:val="20"/>
                <w:szCs w:val="20"/>
              </w:rPr>
            </w:pPr>
            <w:r>
              <w:rPr>
                <w:rFonts w:hint="eastAsia" w:ascii="宋体" w:hAnsi="宋体"/>
                <w:b/>
                <w:sz w:val="20"/>
                <w:szCs w:val="20"/>
              </w:rPr>
              <w:t>4</w:t>
            </w:r>
          </w:p>
        </w:tc>
        <w:tc>
          <w:tcPr>
            <w:tcW w:w="815" w:type="pct"/>
            <w:vAlign w:val="center"/>
          </w:tcPr>
          <w:p>
            <w:pPr>
              <w:spacing w:line="360" w:lineRule="exact"/>
              <w:jc w:val="center"/>
              <w:rPr>
                <w:rStyle w:val="21"/>
                <w:rFonts w:ascii="宋体" w:hAnsi="宋体" w:cs="宋体"/>
                <w:bCs w:val="0"/>
                <w:color w:val="000000"/>
                <w:sz w:val="20"/>
                <w:szCs w:val="20"/>
              </w:rPr>
            </w:pPr>
            <w:r>
              <w:rPr>
                <w:rFonts w:hint="eastAsia" w:ascii="宋体" w:hAnsi="宋体" w:cs="宋体"/>
                <w:b/>
                <w:color w:val="000000"/>
                <w:sz w:val="20"/>
                <w:szCs w:val="20"/>
              </w:rPr>
              <w:t>争议解决方法</w:t>
            </w:r>
          </w:p>
        </w:tc>
        <w:tc>
          <w:tcPr>
            <w:tcW w:w="3653" w:type="pct"/>
            <w:gridSpan w:val="2"/>
            <w:vAlign w:val="center"/>
          </w:tcPr>
          <w:p>
            <w:pPr>
              <w:jc w:val="left"/>
              <w:rPr>
                <w:rFonts w:ascii="宋体" w:hAnsi="宋体" w:cs="宋体"/>
                <w:color w:val="FFFFFF"/>
                <w:szCs w:val="21"/>
              </w:rPr>
            </w:pPr>
            <w:r>
              <w:rPr>
                <w:rFonts w:hint="eastAsia" w:ascii="宋体" w:hAnsi="宋体" w:cs="宋体"/>
                <w:szCs w:val="21"/>
              </w:rPr>
              <w:t>4.1.凡因执行项目合同所发生的或与本合同有关的一切争议，双方应通过友好协商解决。</w:t>
            </w:r>
          </w:p>
          <w:p>
            <w:pPr>
              <w:spacing w:line="360" w:lineRule="exact"/>
              <w:rPr>
                <w:rFonts w:ascii="宋体" w:hAnsi="宋体" w:cs="宋体"/>
                <w:color w:val="000000"/>
                <w:sz w:val="20"/>
                <w:szCs w:val="20"/>
              </w:rPr>
            </w:pPr>
            <w:r>
              <w:rPr>
                <w:rFonts w:hint="eastAsia" w:ascii="宋体" w:hAnsi="宋体" w:cs="宋体"/>
                <w:szCs w:val="21"/>
              </w:rPr>
              <w:t>如果协商还不能解决，应提交深圳仲裁委员会，按其仲裁规则和程序在深圳进行仲裁。仲裁裁决应为最终裁决，对双方均具有约束力。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0" w:type="pct"/>
            <w:gridSpan w:val="2"/>
            <w:vAlign w:val="center"/>
          </w:tcPr>
          <w:p>
            <w:pPr>
              <w:spacing w:line="360" w:lineRule="exact"/>
              <w:jc w:val="center"/>
              <w:rPr>
                <w:rFonts w:ascii="宋体" w:hAnsi="宋体"/>
                <w:b/>
                <w:sz w:val="20"/>
                <w:szCs w:val="20"/>
              </w:rPr>
            </w:pPr>
            <w:r>
              <w:rPr>
                <w:rFonts w:hint="eastAsia" w:ascii="宋体" w:hAnsi="宋体"/>
                <w:b/>
                <w:sz w:val="20"/>
                <w:szCs w:val="20"/>
              </w:rPr>
              <w:t>5</w:t>
            </w:r>
          </w:p>
        </w:tc>
        <w:tc>
          <w:tcPr>
            <w:tcW w:w="815" w:type="pct"/>
            <w:vAlign w:val="center"/>
          </w:tcPr>
          <w:p>
            <w:pPr>
              <w:spacing w:line="360" w:lineRule="exact"/>
              <w:jc w:val="center"/>
              <w:rPr>
                <w:rFonts w:ascii="宋体" w:hAnsi="宋体"/>
                <w:color w:val="000000"/>
                <w:sz w:val="20"/>
                <w:szCs w:val="20"/>
              </w:rPr>
            </w:pPr>
            <w:r>
              <w:rPr>
                <w:rStyle w:val="21"/>
                <w:rFonts w:hint="eastAsia" w:ascii="宋体" w:hAnsi="宋体" w:cs="宋体"/>
                <w:color w:val="000000"/>
                <w:sz w:val="20"/>
                <w:szCs w:val="20"/>
              </w:rPr>
              <w:t>运输、安装条件</w:t>
            </w:r>
          </w:p>
        </w:tc>
        <w:tc>
          <w:tcPr>
            <w:tcW w:w="3653" w:type="pct"/>
            <w:gridSpan w:val="2"/>
            <w:vAlign w:val="center"/>
          </w:tcPr>
          <w:p>
            <w:pPr>
              <w:spacing w:line="360" w:lineRule="exact"/>
              <w:rPr>
                <w:rFonts w:ascii="宋体" w:hAnsi="宋体"/>
                <w:bCs/>
                <w:color w:val="000000"/>
                <w:szCs w:val="21"/>
              </w:rPr>
            </w:pPr>
            <w:r>
              <w:rPr>
                <w:rFonts w:hint="eastAsia" w:ascii="宋体" w:hAnsi="宋体" w:cs="宋体"/>
                <w:color w:val="000000"/>
                <w:szCs w:val="21"/>
              </w:rPr>
              <w:t>5.1 投标供应商须在签订合同之日起 3天内向采购人提供设备的运行、安装、使用环境要求。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0" w:type="pct"/>
            <w:gridSpan w:val="2"/>
            <w:vMerge w:val="restart"/>
            <w:vAlign w:val="center"/>
          </w:tcPr>
          <w:p>
            <w:pPr>
              <w:spacing w:line="360" w:lineRule="exact"/>
              <w:jc w:val="center"/>
              <w:rPr>
                <w:rFonts w:ascii="宋体" w:hAnsi="宋体"/>
                <w:b/>
                <w:sz w:val="20"/>
                <w:szCs w:val="20"/>
              </w:rPr>
            </w:pPr>
            <w:r>
              <w:rPr>
                <w:rFonts w:hint="eastAsia" w:ascii="宋体" w:hAnsi="宋体"/>
                <w:b/>
                <w:sz w:val="20"/>
                <w:szCs w:val="20"/>
              </w:rPr>
              <w:t>6</w:t>
            </w:r>
          </w:p>
        </w:tc>
        <w:tc>
          <w:tcPr>
            <w:tcW w:w="815" w:type="pct"/>
            <w:vMerge w:val="restart"/>
            <w:vAlign w:val="center"/>
          </w:tcPr>
          <w:p>
            <w:pPr>
              <w:spacing w:line="360" w:lineRule="exact"/>
              <w:jc w:val="center"/>
              <w:rPr>
                <w:rFonts w:ascii="宋体" w:hAnsi="宋体"/>
                <w:b/>
                <w:sz w:val="20"/>
                <w:szCs w:val="20"/>
              </w:rPr>
            </w:pPr>
            <w:r>
              <w:rPr>
                <w:rFonts w:ascii="宋体" w:hAnsi="宋体"/>
                <w:b/>
                <w:sz w:val="20"/>
                <w:szCs w:val="20"/>
              </w:rPr>
              <w:t>培训</w:t>
            </w:r>
          </w:p>
        </w:tc>
        <w:tc>
          <w:tcPr>
            <w:tcW w:w="3653" w:type="pct"/>
            <w:gridSpan w:val="2"/>
          </w:tcPr>
          <w:p>
            <w:pPr>
              <w:widowControl/>
              <w:jc w:val="left"/>
              <w:rPr>
                <w:rFonts w:ascii="宋体" w:hAnsi="宋体" w:cs="宋体"/>
                <w:color w:val="000000"/>
                <w:szCs w:val="21"/>
              </w:rPr>
            </w:pPr>
            <w:r>
              <w:rPr>
                <w:rFonts w:hint="eastAsia" w:ascii="宋体" w:hAnsi="宋体" w:cs="宋体"/>
                <w:color w:val="000000"/>
                <w:szCs w:val="21"/>
              </w:rPr>
              <w:t>6.1投标供应商应派专业技术人员免费对采购单位指定人员进行定期培训及指导，直至其完全掌握设备的基本故障处理技术。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0" w:type="pct"/>
            <w:gridSpan w:val="2"/>
            <w:vMerge w:val="continue"/>
            <w:vAlign w:val="center"/>
          </w:tcPr>
          <w:p>
            <w:pPr>
              <w:spacing w:line="360" w:lineRule="exact"/>
              <w:jc w:val="center"/>
              <w:rPr>
                <w:rFonts w:ascii="宋体" w:hAnsi="宋体"/>
                <w:b/>
                <w:sz w:val="20"/>
                <w:szCs w:val="20"/>
              </w:rPr>
            </w:pPr>
          </w:p>
        </w:tc>
        <w:tc>
          <w:tcPr>
            <w:tcW w:w="815" w:type="pct"/>
            <w:vMerge w:val="continue"/>
            <w:vAlign w:val="center"/>
          </w:tcPr>
          <w:p>
            <w:pPr>
              <w:spacing w:line="360" w:lineRule="exact"/>
              <w:rPr>
                <w:rFonts w:ascii="宋体" w:hAnsi="宋体"/>
                <w:b/>
                <w:sz w:val="20"/>
                <w:szCs w:val="20"/>
              </w:rPr>
            </w:pPr>
          </w:p>
        </w:tc>
        <w:tc>
          <w:tcPr>
            <w:tcW w:w="3653" w:type="pct"/>
            <w:gridSpan w:val="2"/>
          </w:tcPr>
          <w:p>
            <w:pPr>
              <w:widowControl/>
              <w:jc w:val="left"/>
              <w:rPr>
                <w:rFonts w:ascii="宋体" w:hAnsi="宋体" w:cs="宋体"/>
                <w:color w:val="000000"/>
                <w:szCs w:val="21"/>
              </w:rPr>
            </w:pPr>
            <w:r>
              <w:rPr>
                <w:rFonts w:hint="eastAsia" w:ascii="宋体" w:hAnsi="宋体" w:cs="宋体"/>
                <w:color w:val="000000"/>
                <w:szCs w:val="21"/>
              </w:rPr>
              <w:t>6.2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0" w:type="pct"/>
            <w:gridSpan w:val="2"/>
            <w:vMerge w:val="restart"/>
            <w:vAlign w:val="center"/>
          </w:tcPr>
          <w:p>
            <w:pPr>
              <w:spacing w:line="360" w:lineRule="exact"/>
              <w:jc w:val="center"/>
              <w:rPr>
                <w:rFonts w:ascii="宋体" w:hAnsi="宋体"/>
                <w:b/>
                <w:sz w:val="20"/>
                <w:szCs w:val="20"/>
              </w:rPr>
            </w:pPr>
            <w:r>
              <w:rPr>
                <w:rFonts w:hint="eastAsia" w:ascii="宋体" w:hAnsi="宋体"/>
                <w:b/>
                <w:sz w:val="20"/>
                <w:szCs w:val="20"/>
              </w:rPr>
              <w:t>7</w:t>
            </w:r>
          </w:p>
        </w:tc>
        <w:tc>
          <w:tcPr>
            <w:tcW w:w="815" w:type="pct"/>
            <w:vMerge w:val="restart"/>
            <w:vAlign w:val="center"/>
          </w:tcPr>
          <w:p>
            <w:pPr>
              <w:spacing w:line="360" w:lineRule="exact"/>
              <w:jc w:val="center"/>
              <w:rPr>
                <w:rFonts w:ascii="宋体" w:hAnsi="宋体"/>
                <w:b/>
                <w:sz w:val="20"/>
                <w:szCs w:val="20"/>
              </w:rPr>
            </w:pPr>
            <w:r>
              <w:rPr>
                <w:rFonts w:ascii="宋体" w:hAnsi="宋体"/>
                <w:b/>
                <w:sz w:val="20"/>
                <w:szCs w:val="20"/>
              </w:rPr>
              <w:t>知识产权</w:t>
            </w:r>
          </w:p>
        </w:tc>
        <w:tc>
          <w:tcPr>
            <w:tcW w:w="3653" w:type="pct"/>
            <w:gridSpan w:val="2"/>
          </w:tcPr>
          <w:p>
            <w:pPr>
              <w:rPr>
                <w:szCs w:val="21"/>
              </w:rPr>
            </w:pPr>
            <w:r>
              <w:rPr>
                <w:rFonts w:hint="eastAsia" w:ascii="宋体" w:hAnsi="宋体" w:cs="宋体"/>
                <w:color w:val="000000"/>
                <w:szCs w:val="21"/>
              </w:rPr>
              <w:t>7.1涉及采购标的的知识产权归属、处理的，应约定知识产权的归属和处理方式。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0" w:type="pct"/>
            <w:gridSpan w:val="2"/>
            <w:vMerge w:val="continue"/>
            <w:vAlign w:val="center"/>
          </w:tcPr>
          <w:p>
            <w:pPr>
              <w:spacing w:line="360" w:lineRule="exact"/>
              <w:jc w:val="center"/>
              <w:rPr>
                <w:rFonts w:ascii="宋体" w:hAnsi="宋体"/>
                <w:b/>
              </w:rPr>
            </w:pPr>
          </w:p>
        </w:tc>
        <w:tc>
          <w:tcPr>
            <w:tcW w:w="815" w:type="pct"/>
            <w:vMerge w:val="continue"/>
            <w:vAlign w:val="center"/>
          </w:tcPr>
          <w:p>
            <w:pPr>
              <w:spacing w:line="360" w:lineRule="exact"/>
              <w:rPr>
                <w:rFonts w:ascii="宋体" w:hAnsi="宋体"/>
                <w:b/>
              </w:rPr>
            </w:pPr>
          </w:p>
        </w:tc>
        <w:tc>
          <w:tcPr>
            <w:tcW w:w="3653" w:type="pct"/>
            <w:gridSpan w:val="2"/>
          </w:tcPr>
          <w:p>
            <w:pPr>
              <w:widowControl/>
              <w:jc w:val="left"/>
              <w:rPr>
                <w:rFonts w:ascii="宋体" w:hAnsi="宋体" w:cs="宋体"/>
                <w:color w:val="000000"/>
                <w:szCs w:val="21"/>
              </w:rPr>
            </w:pPr>
            <w:r>
              <w:rPr>
                <w:rFonts w:hint="eastAsia" w:ascii="宋体" w:hAnsi="宋体" w:cs="宋体"/>
                <w:color w:val="000000"/>
                <w:szCs w:val="21"/>
              </w:rPr>
              <w:t>7.2采购人购买产品后，有权对该产品与其他设备进行配套、整合或适当改进，而免受侵犯专利权的起诉。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0" w:type="pct"/>
            <w:gridSpan w:val="2"/>
            <w:vMerge w:val="restart"/>
            <w:vAlign w:val="center"/>
          </w:tcPr>
          <w:p>
            <w:pPr>
              <w:spacing w:line="360" w:lineRule="exact"/>
              <w:jc w:val="center"/>
              <w:rPr>
                <w:rFonts w:ascii="宋体" w:hAnsi="宋体"/>
                <w:b/>
              </w:rPr>
            </w:pPr>
            <w:r>
              <w:rPr>
                <w:rFonts w:hint="eastAsia"/>
                <w:b/>
              </w:rPr>
              <w:t>8</w:t>
            </w:r>
          </w:p>
        </w:tc>
        <w:tc>
          <w:tcPr>
            <w:tcW w:w="815" w:type="pct"/>
            <w:vMerge w:val="restart"/>
            <w:vAlign w:val="center"/>
          </w:tcPr>
          <w:p>
            <w:pPr>
              <w:spacing w:line="360" w:lineRule="exact"/>
              <w:jc w:val="center"/>
              <w:rPr>
                <w:rFonts w:ascii="宋体" w:hAnsi="宋体"/>
                <w:b/>
              </w:rPr>
            </w:pPr>
            <w:r>
              <w:rPr>
                <w:rFonts w:ascii="宋体" w:hAnsi="宋体"/>
                <w:b/>
                <w:color w:val="0000FF"/>
                <w:sz w:val="20"/>
                <w:szCs w:val="20"/>
              </w:rPr>
              <w:t>其他</w:t>
            </w:r>
          </w:p>
        </w:tc>
        <w:tc>
          <w:tcPr>
            <w:tcW w:w="3653" w:type="pct"/>
            <w:gridSpan w:val="2"/>
          </w:tcPr>
          <w:p>
            <w:pPr>
              <w:widowControl/>
              <w:jc w:val="left"/>
              <w:rPr>
                <w:rFonts w:ascii="宋体" w:hAnsi="宋体" w:cs="宋体"/>
                <w:color w:val="000000"/>
                <w:szCs w:val="21"/>
              </w:rPr>
            </w:pPr>
            <w:r>
              <w:rPr>
                <w:rFonts w:hint="eastAsia" w:ascii="宋体" w:hAnsi="宋体" w:cs="宋体"/>
                <w:color w:val="000000"/>
                <w:szCs w:val="21"/>
              </w:rPr>
              <w:t>投标供应商应按其投标文件中的承诺，进行其他售后服务工作。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0" w:type="pct"/>
            <w:gridSpan w:val="2"/>
            <w:vMerge w:val="continue"/>
            <w:vAlign w:val="center"/>
          </w:tcPr>
          <w:p>
            <w:pPr>
              <w:widowControl/>
              <w:jc w:val="left"/>
            </w:pPr>
          </w:p>
        </w:tc>
        <w:tc>
          <w:tcPr>
            <w:tcW w:w="815" w:type="pct"/>
            <w:vMerge w:val="continue"/>
            <w:vAlign w:val="center"/>
          </w:tcPr>
          <w:p>
            <w:pPr>
              <w:widowControl/>
              <w:jc w:val="left"/>
            </w:pPr>
          </w:p>
        </w:tc>
        <w:tc>
          <w:tcPr>
            <w:tcW w:w="3653" w:type="pct"/>
            <w:gridSpan w:val="2"/>
          </w:tcPr>
          <w:p>
            <w:pPr>
              <w:widowControl/>
              <w:jc w:val="left"/>
              <w:rPr>
                <w:rFonts w:ascii="宋体" w:hAnsi="宋体" w:cs="宋体"/>
                <w:color w:val="000000"/>
                <w:szCs w:val="21"/>
              </w:rPr>
            </w:pPr>
            <w:r>
              <w:rPr>
                <w:rFonts w:hint="eastAsia" w:ascii="宋体" w:hAnsi="宋体" w:cs="宋体"/>
                <w:color w:val="000000"/>
                <w:szCs w:val="21"/>
              </w:rPr>
              <w:t>8.1投标供应商应按其投标文件中的承诺，进行其他售后服务工作。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0" w:type="pct"/>
            <w:gridSpan w:val="2"/>
            <w:vMerge w:val="continue"/>
            <w:vAlign w:val="center"/>
          </w:tcPr>
          <w:p>
            <w:pPr>
              <w:widowControl/>
              <w:jc w:val="left"/>
              <w:rPr>
                <w:rFonts w:ascii="宋体" w:hAnsi="宋体" w:cs="宋体"/>
                <w:color w:val="000000"/>
                <w:sz w:val="20"/>
                <w:szCs w:val="20"/>
              </w:rPr>
            </w:pPr>
          </w:p>
        </w:tc>
        <w:tc>
          <w:tcPr>
            <w:tcW w:w="815" w:type="pct"/>
            <w:vMerge w:val="continue"/>
            <w:vAlign w:val="center"/>
          </w:tcPr>
          <w:p>
            <w:pPr>
              <w:widowControl/>
              <w:jc w:val="left"/>
              <w:rPr>
                <w:rFonts w:ascii="宋体" w:hAnsi="宋体" w:cs="宋体"/>
                <w:color w:val="000000"/>
                <w:sz w:val="20"/>
                <w:szCs w:val="20"/>
              </w:rPr>
            </w:pPr>
          </w:p>
        </w:tc>
        <w:tc>
          <w:tcPr>
            <w:tcW w:w="3653" w:type="pct"/>
            <w:gridSpan w:val="2"/>
          </w:tcPr>
          <w:p>
            <w:pPr>
              <w:widowControl/>
              <w:jc w:val="left"/>
              <w:rPr>
                <w:rFonts w:ascii="宋体" w:hAnsi="宋体" w:cs="宋体"/>
                <w:color w:val="000000"/>
                <w:szCs w:val="21"/>
              </w:rPr>
            </w:pPr>
            <w:r>
              <w:rPr>
                <w:rFonts w:hint="eastAsia" w:ascii="宋体" w:hAnsi="宋体" w:cs="Arial"/>
                <w:color w:val="FF0000"/>
                <w:szCs w:val="21"/>
              </w:rPr>
              <w:t>8.2中标供应商在签订合同时应提供投标文件打印稿贰份，并加盖公章（一份交给监理公司，一份交给学校），同时提供投标文件的OFFICE文档。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0" w:type="pct"/>
            <w:gridSpan w:val="2"/>
            <w:vMerge w:val="continue"/>
            <w:vAlign w:val="center"/>
          </w:tcPr>
          <w:p>
            <w:pPr>
              <w:widowControl/>
              <w:jc w:val="left"/>
              <w:rPr>
                <w:rFonts w:ascii="宋体" w:hAnsi="宋体" w:cs="宋体"/>
                <w:color w:val="000000"/>
                <w:sz w:val="20"/>
                <w:szCs w:val="20"/>
              </w:rPr>
            </w:pPr>
          </w:p>
        </w:tc>
        <w:tc>
          <w:tcPr>
            <w:tcW w:w="815" w:type="pct"/>
            <w:vMerge w:val="continue"/>
            <w:vAlign w:val="center"/>
          </w:tcPr>
          <w:p>
            <w:pPr>
              <w:widowControl/>
              <w:jc w:val="left"/>
              <w:rPr>
                <w:rFonts w:ascii="宋体" w:hAnsi="宋体" w:cs="宋体"/>
                <w:color w:val="000000"/>
                <w:sz w:val="20"/>
                <w:szCs w:val="20"/>
              </w:rPr>
            </w:pPr>
          </w:p>
        </w:tc>
        <w:tc>
          <w:tcPr>
            <w:tcW w:w="3653" w:type="pct"/>
            <w:gridSpan w:val="2"/>
          </w:tcPr>
          <w:p>
            <w:pPr>
              <w:widowControl/>
              <w:jc w:val="left"/>
              <w:rPr>
                <w:rFonts w:ascii="宋体" w:hAnsi="宋体" w:cs="宋体"/>
                <w:color w:val="000000"/>
                <w:szCs w:val="21"/>
              </w:rPr>
            </w:pPr>
            <w:r>
              <w:rPr>
                <w:rFonts w:hint="eastAsia" w:ascii="宋体" w:hAnsi="宋体" w:cs="Arial"/>
                <w:color w:val="FF0000"/>
                <w:szCs w:val="21"/>
              </w:rPr>
              <w:t>8.3上报验收报告时，除了表格中写明的材料外，还需要提交验收记录表、产品三证（产品合格证、供货凭证（含生产厂家或代理商证明）、产品检测证明（含第三方有资质检测机构出具的有效检测报告）、合同及附件；提供室内环境污染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530" w:type="pct"/>
            <w:gridSpan w:val="2"/>
            <w:vMerge w:val="continue"/>
            <w:vAlign w:val="center"/>
          </w:tcPr>
          <w:p>
            <w:pPr>
              <w:widowControl/>
              <w:jc w:val="left"/>
              <w:rPr>
                <w:rFonts w:ascii="宋体" w:hAnsi="宋体" w:cs="宋体"/>
                <w:color w:val="000000"/>
                <w:sz w:val="20"/>
                <w:szCs w:val="20"/>
              </w:rPr>
            </w:pPr>
          </w:p>
        </w:tc>
        <w:tc>
          <w:tcPr>
            <w:tcW w:w="815" w:type="pct"/>
            <w:vMerge w:val="continue"/>
            <w:vAlign w:val="center"/>
          </w:tcPr>
          <w:p>
            <w:pPr>
              <w:widowControl/>
              <w:jc w:val="left"/>
              <w:rPr>
                <w:rFonts w:ascii="宋体" w:hAnsi="宋体" w:cs="宋体"/>
                <w:color w:val="000000"/>
                <w:sz w:val="20"/>
                <w:szCs w:val="20"/>
              </w:rPr>
            </w:pPr>
          </w:p>
        </w:tc>
        <w:tc>
          <w:tcPr>
            <w:tcW w:w="3653" w:type="pct"/>
            <w:gridSpan w:val="2"/>
          </w:tcPr>
          <w:p>
            <w:pPr>
              <w:widowControl/>
              <w:jc w:val="left"/>
              <w:rPr>
                <w:rFonts w:ascii="宋体" w:hAnsi="宋体" w:cs="宋体"/>
                <w:color w:val="000000"/>
                <w:szCs w:val="21"/>
              </w:rPr>
            </w:pPr>
            <w:r>
              <w:rPr>
                <w:rFonts w:hint="eastAsia" w:ascii="宋体" w:hAnsi="宋体" w:cs="Arial"/>
                <w:color w:val="FF0000"/>
                <w:szCs w:val="21"/>
              </w:rPr>
              <w:t>8.4投标商必须确保中标后提供的货物为正规渠道供货，不存在违反国家法律、法规的情况。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530" w:type="pct"/>
            <w:gridSpan w:val="2"/>
            <w:vMerge w:val="continue"/>
            <w:vAlign w:val="center"/>
          </w:tcPr>
          <w:p>
            <w:pPr>
              <w:widowControl/>
              <w:jc w:val="left"/>
            </w:pPr>
          </w:p>
        </w:tc>
        <w:tc>
          <w:tcPr>
            <w:tcW w:w="815" w:type="pct"/>
            <w:vMerge w:val="continue"/>
            <w:vAlign w:val="center"/>
          </w:tcPr>
          <w:p>
            <w:pPr>
              <w:widowControl/>
              <w:jc w:val="left"/>
            </w:pPr>
          </w:p>
        </w:tc>
        <w:tc>
          <w:tcPr>
            <w:tcW w:w="3653" w:type="pct"/>
            <w:gridSpan w:val="2"/>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val="en-US" w:eastAsia="zh-CN"/>
              </w:rPr>
              <w:t>8.5</w:t>
            </w:r>
            <w:r>
              <w:rPr>
                <w:rFonts w:hint="eastAsia" w:ascii="宋体" w:hAnsi="宋体" w:eastAsia="宋体" w:cs="宋体"/>
                <w:color w:val="000000"/>
                <w:kern w:val="2"/>
                <w:sz w:val="20"/>
                <w:szCs w:val="20"/>
                <w:lang w:eastAsia="zh-CN"/>
              </w:rPr>
              <w:t>特别条款：对于单纯家具（含课桌椅）项目、含家具或装修的功能室项目及教室照明设备在验收时还需提供以下材料：</w:t>
            </w:r>
          </w:p>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①家具（含课桌椅）类货物应提供有害物质检测报告。根据深圳经济特区技术规范《家具成品及原辅材料中有害物质限量》（SZJG52-2016）的规定，需根据现场抽样并对以下项目进行检验且合格：</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8"/>
              <w:gridCol w:w="1582"/>
              <w:gridCol w:w="1316"/>
              <w:gridCol w:w="874"/>
              <w:gridCol w:w="1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5" w:hRule="atLeast"/>
                <w:tblHeader/>
                <w:jc w:val="center"/>
              </w:trPr>
              <w:tc>
                <w:tcPr>
                  <w:tcW w:w="649" w:type="dxa"/>
                  <w:noWrap w:val="0"/>
                  <w:vAlign w:val="center"/>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序号</w:t>
                  </w:r>
                </w:p>
              </w:tc>
              <w:tc>
                <w:tcPr>
                  <w:tcW w:w="1668" w:type="dxa"/>
                  <w:noWrap w:val="0"/>
                  <w:vAlign w:val="center"/>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检验项目</w:t>
                  </w:r>
                </w:p>
              </w:tc>
              <w:tc>
                <w:tcPr>
                  <w:tcW w:w="1298" w:type="dxa"/>
                  <w:noWrap w:val="0"/>
                  <w:vAlign w:val="center"/>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依据法律法规或标准条款</w:t>
                  </w:r>
                </w:p>
              </w:tc>
              <w:tc>
                <w:tcPr>
                  <w:tcW w:w="944" w:type="dxa"/>
                  <w:noWrap w:val="0"/>
                  <w:vAlign w:val="center"/>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强制性/推荐性</w:t>
                  </w:r>
                </w:p>
              </w:tc>
              <w:tc>
                <w:tcPr>
                  <w:tcW w:w="1518" w:type="dxa"/>
                  <w:noWrap w:val="0"/>
                  <w:vAlign w:val="center"/>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检测方法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jc w:val="center"/>
              </w:trPr>
              <w:tc>
                <w:tcPr>
                  <w:tcW w:w="649" w:type="dxa"/>
                  <w:noWrap w:val="0"/>
                  <w:vAlign w:val="top"/>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1</w:t>
                  </w:r>
                </w:p>
              </w:tc>
              <w:tc>
                <w:tcPr>
                  <w:tcW w:w="1668" w:type="dxa"/>
                  <w:noWrap w:val="0"/>
                  <w:vAlign w:val="center"/>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甲醛释放量</w:t>
                  </w:r>
                </w:p>
              </w:tc>
              <w:tc>
                <w:tcPr>
                  <w:tcW w:w="1298" w:type="dxa"/>
                  <w:noWrap w:val="0"/>
                  <w:vAlign w:val="center"/>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SZJG52-2016</w:t>
                  </w:r>
                </w:p>
              </w:tc>
              <w:tc>
                <w:tcPr>
                  <w:tcW w:w="944" w:type="dxa"/>
                  <w:noWrap w:val="0"/>
                  <w:vAlign w:val="center"/>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强制性</w:t>
                  </w:r>
                </w:p>
              </w:tc>
              <w:tc>
                <w:tcPr>
                  <w:tcW w:w="1518" w:type="dxa"/>
                  <w:noWrap w:val="0"/>
                  <w:vAlign w:val="center"/>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SZJG52-2016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jc w:val="center"/>
              </w:trPr>
              <w:tc>
                <w:tcPr>
                  <w:tcW w:w="649" w:type="dxa"/>
                  <w:noWrap w:val="0"/>
                  <w:vAlign w:val="top"/>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2</w:t>
                  </w:r>
                </w:p>
              </w:tc>
              <w:tc>
                <w:tcPr>
                  <w:tcW w:w="1668" w:type="dxa"/>
                  <w:noWrap w:val="0"/>
                  <w:vAlign w:val="center"/>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苯释放量</w:t>
                  </w:r>
                </w:p>
              </w:tc>
              <w:tc>
                <w:tcPr>
                  <w:tcW w:w="1298" w:type="dxa"/>
                  <w:noWrap w:val="0"/>
                  <w:vAlign w:val="center"/>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SZJG52-2016</w:t>
                  </w:r>
                </w:p>
              </w:tc>
              <w:tc>
                <w:tcPr>
                  <w:tcW w:w="944" w:type="dxa"/>
                  <w:noWrap w:val="0"/>
                  <w:vAlign w:val="center"/>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强制性</w:t>
                  </w:r>
                </w:p>
              </w:tc>
              <w:tc>
                <w:tcPr>
                  <w:tcW w:w="1518" w:type="dxa"/>
                  <w:noWrap w:val="0"/>
                  <w:vAlign w:val="center"/>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SZJG52-2016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jc w:val="center"/>
              </w:trPr>
              <w:tc>
                <w:tcPr>
                  <w:tcW w:w="649" w:type="dxa"/>
                  <w:noWrap w:val="0"/>
                  <w:vAlign w:val="top"/>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3</w:t>
                  </w:r>
                </w:p>
              </w:tc>
              <w:tc>
                <w:tcPr>
                  <w:tcW w:w="1668" w:type="dxa"/>
                  <w:noWrap w:val="0"/>
                  <w:vAlign w:val="center"/>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甲苯释放量</w:t>
                  </w:r>
                </w:p>
              </w:tc>
              <w:tc>
                <w:tcPr>
                  <w:tcW w:w="1298" w:type="dxa"/>
                  <w:noWrap w:val="0"/>
                  <w:vAlign w:val="center"/>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SZJG52-2016</w:t>
                  </w:r>
                </w:p>
              </w:tc>
              <w:tc>
                <w:tcPr>
                  <w:tcW w:w="944" w:type="dxa"/>
                  <w:noWrap w:val="0"/>
                  <w:vAlign w:val="center"/>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强制性</w:t>
                  </w:r>
                </w:p>
              </w:tc>
              <w:tc>
                <w:tcPr>
                  <w:tcW w:w="1518" w:type="dxa"/>
                  <w:noWrap w:val="0"/>
                  <w:vAlign w:val="center"/>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SZJG52-2016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jc w:val="center"/>
              </w:trPr>
              <w:tc>
                <w:tcPr>
                  <w:tcW w:w="649" w:type="dxa"/>
                  <w:noWrap w:val="0"/>
                  <w:vAlign w:val="top"/>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4</w:t>
                  </w:r>
                </w:p>
              </w:tc>
              <w:tc>
                <w:tcPr>
                  <w:tcW w:w="1668" w:type="dxa"/>
                  <w:noWrap w:val="0"/>
                  <w:vAlign w:val="center"/>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二甲苯释放量</w:t>
                  </w:r>
                </w:p>
              </w:tc>
              <w:tc>
                <w:tcPr>
                  <w:tcW w:w="1298" w:type="dxa"/>
                  <w:noWrap w:val="0"/>
                  <w:vAlign w:val="center"/>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SZJG52-2016</w:t>
                  </w:r>
                </w:p>
              </w:tc>
              <w:tc>
                <w:tcPr>
                  <w:tcW w:w="944" w:type="dxa"/>
                  <w:noWrap w:val="0"/>
                  <w:vAlign w:val="center"/>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强制性</w:t>
                  </w:r>
                </w:p>
              </w:tc>
              <w:tc>
                <w:tcPr>
                  <w:tcW w:w="1518" w:type="dxa"/>
                  <w:noWrap w:val="0"/>
                  <w:vAlign w:val="center"/>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SZJG52-2016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4" w:hRule="atLeast"/>
                <w:jc w:val="center"/>
              </w:trPr>
              <w:tc>
                <w:tcPr>
                  <w:tcW w:w="649" w:type="dxa"/>
                  <w:noWrap w:val="0"/>
                  <w:vAlign w:val="top"/>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5</w:t>
                  </w:r>
                </w:p>
              </w:tc>
              <w:tc>
                <w:tcPr>
                  <w:tcW w:w="1668" w:type="dxa"/>
                  <w:noWrap w:val="0"/>
                  <w:vAlign w:val="center"/>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总挥发性有机化合物（TVOC）释放量</w:t>
                  </w:r>
                </w:p>
              </w:tc>
              <w:tc>
                <w:tcPr>
                  <w:tcW w:w="1298" w:type="dxa"/>
                  <w:noWrap w:val="0"/>
                  <w:vAlign w:val="center"/>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SZJG52-2016</w:t>
                  </w:r>
                </w:p>
              </w:tc>
              <w:tc>
                <w:tcPr>
                  <w:tcW w:w="944" w:type="dxa"/>
                  <w:noWrap w:val="0"/>
                  <w:vAlign w:val="center"/>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强制性</w:t>
                  </w:r>
                </w:p>
              </w:tc>
              <w:tc>
                <w:tcPr>
                  <w:tcW w:w="1518" w:type="dxa"/>
                  <w:noWrap w:val="0"/>
                  <w:vAlign w:val="center"/>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SZJG52-2016 GB/T31106-2014</w:t>
                  </w:r>
                </w:p>
              </w:tc>
            </w:tr>
          </w:tbl>
          <w:p>
            <w:pPr>
              <w:widowControl w:val="0"/>
              <w:spacing w:after="60" w:afterLines="25" w:line="300" w:lineRule="auto"/>
              <w:jc w:val="both"/>
              <w:rPr>
                <w:rFonts w:hint="eastAsia" w:ascii="宋体" w:hAnsi="宋体" w:eastAsia="宋体" w:cs="宋体"/>
                <w:color w:val="000000"/>
                <w:kern w:val="2"/>
                <w:sz w:val="20"/>
                <w:szCs w:val="20"/>
                <w:lang w:eastAsia="zh-CN"/>
              </w:rPr>
            </w:pPr>
          </w:p>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②含家具或装修的功能室应当另行提供室内环境污染检测报告。按照国家《室内空气质量标准》（GB/T 18883-2022）中的标准进行检测并合格（至少包括以下五项，如有更新则以最新标准为准）：</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8"/>
              <w:gridCol w:w="2683"/>
              <w:gridCol w:w="2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5" w:hRule="atLeast"/>
                <w:tblHeader/>
                <w:jc w:val="center"/>
              </w:trPr>
              <w:tc>
                <w:tcPr>
                  <w:tcW w:w="1017" w:type="dxa"/>
                  <w:noWrap w:val="0"/>
                  <w:vAlign w:val="center"/>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序号</w:t>
                  </w:r>
                </w:p>
              </w:tc>
              <w:tc>
                <w:tcPr>
                  <w:tcW w:w="2260" w:type="dxa"/>
                  <w:noWrap w:val="0"/>
                  <w:vAlign w:val="center"/>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检验项目</w:t>
                  </w:r>
                </w:p>
              </w:tc>
              <w:tc>
                <w:tcPr>
                  <w:tcW w:w="1782" w:type="dxa"/>
                  <w:noWrap w:val="0"/>
                  <w:vAlign w:val="center"/>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依据法律法规或标准条款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1017" w:type="dxa"/>
                  <w:noWrap w:val="0"/>
                  <w:vAlign w:val="top"/>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1</w:t>
                  </w:r>
                </w:p>
              </w:tc>
              <w:tc>
                <w:tcPr>
                  <w:tcW w:w="2260" w:type="dxa"/>
                  <w:noWrap w:val="0"/>
                  <w:vAlign w:val="center"/>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甲醛</w:t>
                  </w:r>
                </w:p>
              </w:tc>
              <w:tc>
                <w:tcPr>
                  <w:tcW w:w="1782" w:type="dxa"/>
                  <w:noWrap w:val="0"/>
                  <w:vAlign w:val="center"/>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GB/T 18883-2022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1017" w:type="dxa"/>
                  <w:noWrap w:val="0"/>
                  <w:vAlign w:val="top"/>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2</w:t>
                  </w:r>
                </w:p>
              </w:tc>
              <w:tc>
                <w:tcPr>
                  <w:tcW w:w="2260" w:type="dxa"/>
                  <w:noWrap w:val="0"/>
                  <w:vAlign w:val="center"/>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苯</w:t>
                  </w:r>
                </w:p>
              </w:tc>
              <w:tc>
                <w:tcPr>
                  <w:tcW w:w="1782" w:type="dxa"/>
                  <w:noWrap w:val="0"/>
                  <w:vAlign w:val="center"/>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GB/T 18883-2022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1017" w:type="dxa"/>
                  <w:noWrap w:val="0"/>
                  <w:vAlign w:val="top"/>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3</w:t>
                  </w:r>
                </w:p>
              </w:tc>
              <w:tc>
                <w:tcPr>
                  <w:tcW w:w="2260" w:type="dxa"/>
                  <w:noWrap w:val="0"/>
                  <w:vAlign w:val="center"/>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甲苯</w:t>
                  </w:r>
                </w:p>
              </w:tc>
              <w:tc>
                <w:tcPr>
                  <w:tcW w:w="1782" w:type="dxa"/>
                  <w:noWrap w:val="0"/>
                  <w:vAlign w:val="center"/>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GB/T 18883-2022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1017" w:type="dxa"/>
                  <w:noWrap w:val="0"/>
                  <w:vAlign w:val="top"/>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4</w:t>
                  </w:r>
                </w:p>
              </w:tc>
              <w:tc>
                <w:tcPr>
                  <w:tcW w:w="2260" w:type="dxa"/>
                  <w:noWrap w:val="0"/>
                  <w:vAlign w:val="center"/>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二甲苯</w:t>
                  </w:r>
                </w:p>
              </w:tc>
              <w:tc>
                <w:tcPr>
                  <w:tcW w:w="1782" w:type="dxa"/>
                  <w:noWrap w:val="0"/>
                  <w:vAlign w:val="center"/>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GB/T 18883-2022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1017" w:type="dxa"/>
                  <w:noWrap w:val="0"/>
                  <w:vAlign w:val="top"/>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5</w:t>
                  </w:r>
                </w:p>
              </w:tc>
              <w:tc>
                <w:tcPr>
                  <w:tcW w:w="2260" w:type="dxa"/>
                  <w:noWrap w:val="0"/>
                  <w:vAlign w:val="center"/>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总挥发性有机化合物（TVOC）</w:t>
                  </w:r>
                </w:p>
              </w:tc>
              <w:tc>
                <w:tcPr>
                  <w:tcW w:w="1782" w:type="dxa"/>
                  <w:noWrap w:val="0"/>
                  <w:vAlign w:val="center"/>
                </w:tcPr>
                <w:p>
                  <w:pPr>
                    <w:widowControl w:val="0"/>
                    <w:spacing w:after="60" w:afterLines="25" w:line="300" w:lineRule="auto"/>
                    <w:jc w:val="both"/>
                    <w:rPr>
                      <w:rFonts w:hint="eastAsia" w:ascii="宋体" w:hAnsi="宋体" w:eastAsia="宋体" w:cs="宋体"/>
                      <w:color w:val="000000"/>
                      <w:kern w:val="2"/>
                      <w:sz w:val="20"/>
                      <w:szCs w:val="20"/>
                      <w:lang w:eastAsia="zh-CN"/>
                    </w:rPr>
                  </w:pPr>
                  <w:r>
                    <w:rPr>
                      <w:rFonts w:hint="eastAsia" w:ascii="宋体" w:hAnsi="宋体" w:eastAsia="宋体" w:cs="宋体"/>
                      <w:color w:val="000000"/>
                      <w:kern w:val="2"/>
                      <w:sz w:val="20"/>
                      <w:szCs w:val="20"/>
                      <w:lang w:eastAsia="zh-CN"/>
                    </w:rPr>
                    <w:t>GB/T 18883-2022</w:t>
                  </w:r>
                </w:p>
              </w:tc>
            </w:tr>
          </w:tbl>
          <w:p>
            <w:pPr>
              <w:widowControl/>
              <w:jc w:val="left"/>
              <w:rPr>
                <w:rFonts w:ascii="宋体" w:hAnsi="宋体" w:cs="Arial"/>
                <w:color w:val="FF0000"/>
                <w:szCs w:val="21"/>
              </w:rPr>
            </w:pPr>
          </w:p>
        </w:tc>
      </w:tr>
    </w:tbl>
    <w:p>
      <w:pPr>
        <w:rPr>
          <w:b/>
        </w:rPr>
      </w:pPr>
    </w:p>
    <w:p>
      <w:pPr>
        <w:pStyle w:val="7"/>
        <w:spacing w:before="60" w:beforeLines="25" w:after="60" w:afterLines="25"/>
        <w:ind w:firstLine="0" w:firstLineChars="0"/>
        <w:rPr>
          <w:rFonts w:ascii="宋体" w:hAnsi="宋体"/>
          <w:szCs w:val="21"/>
        </w:rPr>
      </w:pPr>
    </w:p>
    <w:p>
      <w:pPr>
        <w:pStyle w:val="6"/>
        <w:spacing w:before="120" w:beforeLines="50" w:after="120" w:afterLines="50"/>
        <w:jc w:val="center"/>
        <w:rPr>
          <w:sz w:val="28"/>
          <w:szCs w:val="28"/>
        </w:rPr>
      </w:pPr>
      <w:r>
        <w:rPr>
          <w:rFonts w:hint="eastAsia" w:ascii="Arial" w:hAnsi="Arial" w:eastAsia="宋体" w:cs="Times New Roman"/>
          <w:b/>
          <w:bCs/>
          <w:sz w:val="32"/>
          <w:szCs w:val="32"/>
          <w:lang w:val="en-US" w:eastAsia="zh-CN"/>
        </w:rPr>
        <w:t>六</w:t>
      </w:r>
      <w:r>
        <w:rPr>
          <w:rFonts w:hint="eastAsia"/>
          <w:sz w:val="28"/>
          <w:szCs w:val="28"/>
        </w:rPr>
        <w:t>、其他重要条款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7"/>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pPr>
        <w:rPr>
          <w:rFonts w:ascii="宋体" w:hAnsi="宋体"/>
        </w:rPr>
      </w:pPr>
    </w:p>
    <w:p>
      <w:pPr>
        <w:pStyle w:val="8"/>
        <w:rPr>
          <w:rFonts w:ascii="宋体" w:hAnsi="宋体"/>
        </w:rPr>
      </w:pPr>
    </w:p>
    <w:p>
      <w:pPr>
        <w:pStyle w:val="15"/>
      </w:pPr>
    </w:p>
    <w:p>
      <w:pPr>
        <w:pStyle w:val="6"/>
        <w:jc w:val="center"/>
        <w:rPr>
          <w:kern w:val="2"/>
        </w:rPr>
      </w:pPr>
      <w:r>
        <w:rPr>
          <w:rFonts w:hint="eastAsia"/>
          <w:kern w:val="2"/>
        </w:rPr>
        <w:t>第四章</w:t>
      </w:r>
      <w:r>
        <w:rPr>
          <w:kern w:val="2"/>
        </w:rPr>
        <w:t xml:space="preserve"> </w:t>
      </w:r>
      <w:r>
        <w:rPr>
          <w:rFonts w:hint="eastAsia"/>
          <w:kern w:val="2"/>
        </w:rPr>
        <w:t xml:space="preserve"> 投标文件组成要求及格式</w:t>
      </w:r>
    </w:p>
    <w:p>
      <w:pPr>
        <w:rPr>
          <w:rStyle w:val="35"/>
          <w:sz w:val="24"/>
        </w:rPr>
      </w:pPr>
      <w:r>
        <w:rPr>
          <w:rStyle w:val="35"/>
          <w:rFonts w:hint="eastAsia"/>
          <w:sz w:val="24"/>
        </w:rPr>
        <w:t>特别提醒：</w:t>
      </w:r>
    </w:p>
    <w:p>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pPr>
        <w:ind w:firstLine="480" w:firstLineChars="200"/>
        <w:rPr>
          <w:rFonts w:ascii="仿宋_GB2312" w:eastAsia="仿宋_GB2312"/>
          <w:sz w:val="24"/>
        </w:rPr>
      </w:pPr>
      <w:bookmarkStart w:id="41"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1"/>
    <w:p>
      <w:pPr>
        <w:ind w:firstLine="420" w:firstLineChars="200"/>
        <w:rPr>
          <w:rFonts w:ascii="宋体" w:hAnsi="宋体"/>
          <w:szCs w:val="21"/>
        </w:rPr>
      </w:pPr>
    </w:p>
    <w:p>
      <w:pPr>
        <w:ind w:firstLine="480" w:firstLineChars="200"/>
        <w:rPr>
          <w:rFonts w:ascii="仿宋_GB2312" w:eastAsia="仿宋_GB2312"/>
          <w:sz w:val="24"/>
        </w:rPr>
      </w:pPr>
    </w:p>
    <w:p>
      <w:pPr>
        <w:rPr>
          <w:rFonts w:ascii="仿宋_GB2312" w:eastAsia="仿宋_GB2312"/>
          <w:sz w:val="24"/>
        </w:rPr>
      </w:pPr>
    </w:p>
    <w:p>
      <w:pPr>
        <w:rPr>
          <w:rFonts w:ascii="宋体" w:hAnsi="宋体"/>
          <w:sz w:val="24"/>
        </w:rPr>
      </w:pPr>
      <w:bookmarkStart w:id="42" w:name="_Hlk72257771"/>
      <w:bookmarkStart w:id="43" w:name="_Hlk72263559"/>
      <w:r>
        <w:rPr>
          <w:rFonts w:hint="eastAsia" w:ascii="宋体" w:hAnsi="宋体"/>
          <w:sz w:val="24"/>
        </w:rPr>
        <w:t>投标文件组成：</w:t>
      </w:r>
    </w:p>
    <w:p>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ind w:left="718" w:leftChars="342" w:firstLine="1417" w:firstLineChars="675"/>
        <w:rPr>
          <w:rFonts w:hint="eastAsia" w:eastAsia="宋体"/>
          <w:szCs w:val="21"/>
          <w:lang w:eastAsia="zh-CN"/>
        </w:rPr>
      </w:pPr>
      <w:r>
        <w:rPr>
          <w:rFonts w:hint="eastAsia"/>
          <w:szCs w:val="21"/>
        </w:rPr>
        <w:t>（1）</w:t>
      </w:r>
      <w:bookmarkStart w:id="44" w:name="_Hlk72070784"/>
      <w:r>
        <w:rPr>
          <w:rFonts w:hint="eastAsia"/>
          <w:szCs w:val="21"/>
        </w:rPr>
        <w:t>投标函</w:t>
      </w:r>
      <w:bookmarkEnd w:id="44"/>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4</w:t>
      </w:r>
      <w:r>
        <w:rPr>
          <w:rFonts w:hint="eastAsia"/>
          <w:szCs w:val="21"/>
        </w:rPr>
        <w:t>）项目详细报价</w:t>
      </w:r>
      <w:r>
        <w:rPr>
          <w:rFonts w:hint="eastAsia"/>
          <w:szCs w:val="21"/>
          <w:lang w:eastAsia="zh-CN"/>
        </w:rPr>
        <w:t>；</w:t>
      </w:r>
    </w:p>
    <w:p>
      <w:pPr>
        <w:ind w:left="718" w:leftChars="342" w:firstLine="1417" w:firstLineChars="675"/>
        <w:rPr>
          <w:rFonts w:hint="eastAsia"/>
          <w:szCs w:val="21"/>
          <w:highlight w:val="yellow"/>
        </w:rPr>
      </w:pPr>
      <w:r>
        <w:rPr>
          <w:rFonts w:hint="eastAsia"/>
          <w:szCs w:val="21"/>
        </w:rPr>
        <w:t>（</w:t>
      </w:r>
      <w:r>
        <w:rPr>
          <w:rFonts w:hint="eastAsia"/>
          <w:szCs w:val="21"/>
          <w:lang w:val="en-US" w:eastAsia="zh-CN"/>
        </w:rPr>
        <w:t>5</w:t>
      </w:r>
      <w:r>
        <w:rPr>
          <w:rFonts w:hint="eastAsia"/>
          <w:szCs w:val="21"/>
        </w:rPr>
        <w:t>）</w:t>
      </w:r>
      <w:r>
        <w:rPr>
          <w:rFonts w:hint="eastAsia"/>
          <w:szCs w:val="21"/>
          <w:highlight w:val="yellow"/>
        </w:rPr>
        <w:t>经验评价</w:t>
      </w:r>
    </w:p>
    <w:p>
      <w:pPr>
        <w:ind w:left="718" w:leftChars="342" w:firstLine="1417" w:firstLineChars="675"/>
        <w:rPr>
          <w:rFonts w:hint="eastAsia"/>
          <w:szCs w:val="21"/>
          <w:lang w:eastAsia="zh-CN"/>
        </w:rPr>
      </w:pPr>
      <w:r>
        <w:rPr>
          <w:rFonts w:hint="eastAsia"/>
          <w:szCs w:val="21"/>
          <w:highlight w:val="yellow"/>
          <w:lang w:eastAsia="zh-CN"/>
        </w:rPr>
        <w:t>（</w:t>
      </w:r>
      <w:r>
        <w:rPr>
          <w:rFonts w:hint="eastAsia"/>
          <w:szCs w:val="21"/>
          <w:highlight w:val="yellow"/>
          <w:lang w:val="en-US" w:eastAsia="zh-CN"/>
        </w:rPr>
        <w:t>6</w:t>
      </w:r>
      <w:r>
        <w:rPr>
          <w:rFonts w:hint="eastAsia"/>
          <w:szCs w:val="21"/>
          <w:highlight w:val="yellow"/>
          <w:lang w:eastAsia="zh-CN"/>
        </w:rPr>
        <w:t>）</w:t>
      </w:r>
      <w:r>
        <w:rPr>
          <w:rFonts w:hint="eastAsia"/>
          <w:szCs w:val="21"/>
          <w:highlight w:val="yellow"/>
        </w:rPr>
        <w:t>产品质量评价</w:t>
      </w:r>
      <w:r>
        <w:rPr>
          <w:rFonts w:hint="eastAsia"/>
          <w:szCs w:val="21"/>
          <w:lang w:eastAsia="zh-CN"/>
        </w:rPr>
        <w:t>；</w:t>
      </w:r>
    </w:p>
    <w:p>
      <w:pPr>
        <w:ind w:left="718" w:leftChars="342" w:firstLine="1417" w:firstLineChars="675"/>
        <w:rPr>
          <w:rFonts w:hint="eastAsia" w:eastAsia="宋体"/>
          <w:szCs w:val="21"/>
          <w:lang w:eastAsia="zh-CN"/>
        </w:rPr>
      </w:pPr>
      <w:r>
        <w:rPr>
          <w:rFonts w:hint="eastAsia" w:ascii="宋体" w:hAnsi="宋体"/>
          <w:szCs w:val="21"/>
          <w:lang w:eastAsia="zh-CN"/>
        </w:rPr>
        <w:t>（</w:t>
      </w:r>
      <w:r>
        <w:rPr>
          <w:rFonts w:hint="eastAsia" w:ascii="宋体" w:hAnsi="宋体"/>
          <w:szCs w:val="21"/>
          <w:lang w:val="en-US" w:eastAsia="zh-CN"/>
        </w:rPr>
        <w:t>7</w:t>
      </w:r>
      <w:r>
        <w:rPr>
          <w:rFonts w:hint="eastAsia" w:ascii="宋体" w:hAnsi="宋体"/>
          <w:szCs w:val="21"/>
          <w:lang w:eastAsia="zh-CN"/>
        </w:rPr>
        <w:t>）</w:t>
      </w:r>
      <w:r>
        <w:rPr>
          <w:rFonts w:hint="eastAsia"/>
          <w:szCs w:val="21"/>
        </w:rPr>
        <w:t>投标人认为需要加以说明的其他内容</w:t>
      </w:r>
      <w:r>
        <w:rPr>
          <w:rFonts w:hint="eastAsia"/>
          <w:szCs w:val="21"/>
          <w:lang w:eastAsia="zh-CN"/>
        </w:rPr>
        <w:t>（</w:t>
      </w:r>
      <w:r>
        <w:rPr>
          <w:rFonts w:hint="eastAsia"/>
          <w:szCs w:val="21"/>
          <w:lang w:val="en-US" w:eastAsia="zh-CN"/>
        </w:rPr>
        <w:t>公开</w:t>
      </w:r>
      <w:r>
        <w:rPr>
          <w:rFonts w:hint="eastAsia"/>
          <w:szCs w:val="21"/>
          <w:lang w:eastAsia="zh-CN"/>
        </w:rPr>
        <w:t>）；</w:t>
      </w:r>
    </w:p>
    <w:p>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r>
        <w:rPr>
          <w:rFonts w:hint="eastAsia"/>
          <w:szCs w:val="21"/>
          <w:lang w:eastAsia="zh-CN"/>
        </w:rPr>
        <w:t>项目组织实施方案的评价</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7</w:t>
      </w:r>
      <w:r>
        <w:rPr>
          <w:rFonts w:hint="eastAsia"/>
          <w:szCs w:val="21"/>
          <w:lang w:eastAsia="zh-CN"/>
        </w:rPr>
        <w:t>）售后服务评价</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8</w:t>
      </w:r>
      <w:r>
        <w:rPr>
          <w:rFonts w:hint="eastAsia"/>
          <w:szCs w:val="21"/>
          <w:lang w:eastAsia="zh-CN"/>
        </w:rPr>
        <w:t>）绿色采购情况；</w:t>
      </w:r>
    </w:p>
    <w:p>
      <w:pPr>
        <w:ind w:left="718" w:leftChars="342" w:firstLine="1417" w:firstLineChars="675"/>
        <w:rPr>
          <w:rFonts w:hint="eastAsia" w:eastAsia="宋体"/>
          <w:szCs w:val="21"/>
          <w:lang w:eastAsia="zh-CN"/>
        </w:rPr>
      </w:pPr>
      <w:r>
        <w:rPr>
          <w:rFonts w:hint="eastAsia" w:ascii="宋体" w:hAnsi="宋体"/>
          <w:szCs w:val="21"/>
          <w:lang w:eastAsia="zh-CN"/>
        </w:rPr>
        <w:t>（</w:t>
      </w:r>
      <w:r>
        <w:rPr>
          <w:rFonts w:hint="eastAsia" w:ascii="宋体" w:hAnsi="宋体"/>
          <w:szCs w:val="21"/>
          <w:lang w:val="en-US" w:eastAsia="zh-CN"/>
        </w:rPr>
        <w:t>9</w:t>
      </w:r>
      <w:r>
        <w:rPr>
          <w:rFonts w:hint="eastAsia" w:ascii="宋体" w:hAnsi="宋体"/>
          <w:szCs w:val="21"/>
          <w:lang w:eastAsia="zh-CN"/>
        </w:rPr>
        <w:t>）</w:t>
      </w:r>
      <w:r>
        <w:rPr>
          <w:rFonts w:hint="eastAsia"/>
          <w:szCs w:val="21"/>
        </w:rPr>
        <w:t>投标人认为需要加以说明的其他内容</w:t>
      </w:r>
      <w:r>
        <w:rPr>
          <w:rFonts w:hint="eastAsia"/>
          <w:szCs w:val="21"/>
          <w:lang w:eastAsia="zh-CN"/>
        </w:rPr>
        <w:t>；</w:t>
      </w:r>
    </w:p>
    <w:p>
      <w:pPr>
        <w:pStyle w:val="8"/>
      </w:pPr>
    </w:p>
    <w:p>
      <w:pPr>
        <w:pStyle w:val="7"/>
        <w:ind w:left="210" w:leftChars="100" w:firstLine="781" w:firstLineChars="372"/>
        <w:rPr>
          <w:rFonts w:ascii="宋体" w:hAnsi="宋体"/>
          <w:szCs w:val="21"/>
        </w:rPr>
      </w:pPr>
    </w:p>
    <w:p>
      <w:pPr>
        <w:rPr>
          <w:rFonts w:ascii="仿宋_GB2312" w:eastAsia="仿宋_GB2312"/>
          <w:sz w:val="24"/>
        </w:rPr>
      </w:pPr>
    </w:p>
    <w:p>
      <w:pPr>
        <w:ind w:firstLine="426" w:firstLineChars="202"/>
        <w:rPr>
          <w:rFonts w:ascii="宋体" w:hAnsi="宋体"/>
          <w:b/>
          <w:szCs w:val="21"/>
        </w:rPr>
      </w:pPr>
      <w:r>
        <w:rPr>
          <w:rFonts w:hint="eastAsia" w:ascii="宋体" w:hAnsi="宋体"/>
          <w:b/>
          <w:szCs w:val="21"/>
        </w:rPr>
        <w:t>备注：</w:t>
      </w:r>
    </w:p>
    <w:p>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2"/>
      <w:bookmarkEnd w:id="43"/>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sectPr>
          <w:pgSz w:w="11907" w:h="16840"/>
          <w:pgMar w:top="1440" w:right="1797" w:bottom="1440" w:left="1797" w:header="851" w:footer="992" w:gutter="0"/>
          <w:cols w:space="425" w:num="1"/>
          <w:titlePg/>
          <w:docGrid w:linePitch="462" w:charSpace="0"/>
        </w:sectPr>
      </w:pPr>
    </w:p>
    <w:p>
      <w:pPr>
        <w:outlineLvl w:val="1"/>
        <w:rPr>
          <w:rFonts w:ascii="宋体" w:hAnsi="宋体"/>
          <w:b/>
          <w:color w:val="FF0000"/>
          <w:sz w:val="28"/>
          <w:szCs w:val="28"/>
        </w:rPr>
      </w:pPr>
      <w:r>
        <w:rPr>
          <w:rFonts w:hint="eastAsia" w:ascii="宋体" w:hAnsi="宋体"/>
          <w:b/>
          <w:color w:val="FF0000"/>
          <w:sz w:val="28"/>
          <w:szCs w:val="28"/>
        </w:rPr>
        <w:t>投标文件正文（信息公开部分）</w:t>
      </w:r>
    </w:p>
    <w:p>
      <w:pPr>
        <w:pStyle w:val="4"/>
        <w:jc w:val="center"/>
        <w:rPr>
          <w:rFonts w:ascii="黑体" w:eastAsia="黑体"/>
          <w:b w:val="0"/>
          <w:sz w:val="24"/>
        </w:rPr>
      </w:pPr>
      <w:r>
        <w:rPr>
          <w:rFonts w:hint="eastAsia" w:ascii="黑体" w:eastAsia="黑体"/>
          <w:b w:val="0"/>
          <w:sz w:val="24"/>
        </w:rPr>
        <w:t>一、投标函</w:t>
      </w:r>
    </w:p>
    <w:p>
      <w:pPr>
        <w:spacing w:line="360" w:lineRule="auto"/>
        <w:rPr>
          <w:rFonts w:ascii="宋体" w:hAnsi="宋体"/>
          <w:szCs w:val="21"/>
        </w:rPr>
      </w:pPr>
      <w:bookmarkStart w:id="45"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ascii="宋体" w:hAnsi="宋体"/>
          <w:szCs w:val="21"/>
        </w:rPr>
      </w:pPr>
      <w:bookmarkStart w:id="46"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 xxx（项目编号）xxx</w:t>
      </w:r>
      <w:r>
        <w:rPr>
          <w:rFonts w:hint="eastAsia"/>
          <w:sz w:val="21"/>
          <w:szCs w:val="21"/>
          <w:u w:val="thick"/>
          <w:lang w:val="en-US" w:eastAsia="zh-CN"/>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xxx（项目名称）xxx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7" w:name="_Hlk72263588"/>
      <w:r>
        <w:rPr>
          <w:rFonts w:hint="eastAsia"/>
          <w:szCs w:val="21"/>
        </w:rPr>
        <w:t>愿意按照招标文件要求承包上述项目并修补其任何缺陷。</w:t>
      </w:r>
      <w:bookmarkEnd w:id="47"/>
    </w:p>
    <w:p>
      <w:pPr>
        <w:ind w:firstLine="420" w:firstLineChars="200"/>
        <w:rPr>
          <w:rFonts w:ascii="宋体" w:hAnsi="宋体"/>
          <w:szCs w:val="21"/>
        </w:rPr>
      </w:pPr>
      <w:r>
        <w:rPr>
          <w:rFonts w:ascii="宋体" w:hAnsi="宋体"/>
          <w:szCs w:val="21"/>
        </w:rPr>
        <w:t>2</w:t>
      </w:r>
      <w:r>
        <w:rPr>
          <w:rFonts w:hint="eastAsia" w:ascii="宋体" w:hAnsi="宋体"/>
          <w:szCs w:val="21"/>
        </w:rPr>
        <w:t>、</w:t>
      </w:r>
      <w:bookmarkStart w:id="48" w:name="_Hlk73819847"/>
      <w:r>
        <w:rPr>
          <w:rFonts w:hint="eastAsia" w:ascii="宋体" w:hAnsi="宋体"/>
          <w:szCs w:val="21"/>
        </w:rPr>
        <w:t>投标价格见</w:t>
      </w:r>
      <w:r>
        <w:rPr>
          <w:rFonts w:hint="eastAsia"/>
          <w:szCs w:val="21"/>
        </w:rPr>
        <w:t>投标书编制软件中《开标一览表》中填写的投标总价。</w:t>
      </w:r>
      <w:bookmarkEnd w:id="48"/>
    </w:p>
    <w:p>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6"/>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firstLine="210" w:firstLineChars="100"/>
        <w:rPr>
          <w:rFonts w:hint="eastAsia"/>
          <w:szCs w:val="21"/>
        </w:rPr>
      </w:pPr>
    </w:p>
    <w:p>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ind w:left="420" w:leftChars="200"/>
        <w:rPr>
          <w:sz w:val="24"/>
        </w:rPr>
      </w:pPr>
      <w:r>
        <w:rPr>
          <w:rFonts w:hint="eastAsia"/>
          <w:sz w:val="24"/>
        </w:rPr>
        <w:t xml:space="preserve">                       </w:t>
      </w:r>
    </w:p>
    <w:p>
      <w:pPr>
        <w:rPr>
          <w:rFonts w:ascii="黑体" w:hAnsi="宋体" w:eastAsia="黑体"/>
        </w:rPr>
      </w:pPr>
    </w:p>
    <w:p>
      <w:pPr>
        <w:rPr>
          <w:rFonts w:ascii="黑体" w:hAnsi="宋体" w:eastAsia="黑体"/>
        </w:rPr>
      </w:pPr>
    </w:p>
    <w:bookmarkEnd w:id="45"/>
    <w:p>
      <w:pPr>
        <w:pStyle w:val="4"/>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pPr>
        <w:rPr>
          <w:rFonts w:ascii="宋体" w:hAnsi="宋体"/>
          <w:color w:val="FF0000"/>
          <w:szCs w:val="21"/>
        </w:rPr>
      </w:pPr>
      <w:bookmarkStart w:id="49"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0" w:name="_Hlk72587269"/>
      <w:bookmarkStart w:id="51"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50"/>
      <w:r>
        <w:rPr>
          <w:rFonts w:hint="eastAsia" w:ascii="宋体" w:hAnsi="宋体"/>
          <w:szCs w:val="21"/>
        </w:rPr>
        <w:t>。</w:t>
      </w:r>
    </w:p>
    <w:bookmarkEnd w:id="51"/>
    <w:p>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ascii="宋体" w:hAnsi="宋体"/>
        </w:rPr>
      </w:pPr>
    </w:p>
    <w:p>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49"/>
    <w:p>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pPr>
        <w:ind w:firstLine="645"/>
        <w:rPr>
          <w:rFonts w:ascii="宋体" w:hAnsi="宋体"/>
          <w:szCs w:val="21"/>
        </w:rPr>
      </w:pPr>
    </w:p>
    <w:p>
      <w:pPr>
        <w:rPr>
          <w:rFonts w:ascii="宋体"/>
          <w:b/>
          <w:szCs w:val="21"/>
        </w:rPr>
      </w:pPr>
    </w:p>
    <w:p>
      <w:pPr>
        <w:ind w:firstLine="482" w:firstLineChars="200"/>
        <w:jc w:val="center"/>
        <w:rPr>
          <w:rFonts w:hAnsi="宋体"/>
          <w:b/>
          <w:bCs/>
          <w:sz w:val="24"/>
        </w:rPr>
      </w:pPr>
    </w:p>
    <w:p>
      <w:pPr>
        <w:pStyle w:val="4"/>
        <w:jc w:val="center"/>
        <w:rPr>
          <w:rFonts w:ascii="黑体" w:eastAsia="黑体"/>
          <w:b w:val="0"/>
          <w:sz w:val="24"/>
          <w:szCs w:val="24"/>
        </w:rPr>
      </w:pPr>
      <w:r>
        <w:rPr>
          <w:rFonts w:hint="eastAsia" w:ascii="黑体" w:eastAsia="黑体"/>
          <w:b w:val="0"/>
          <w:sz w:val="24"/>
          <w:szCs w:val="24"/>
        </w:rPr>
        <w:t>三、投标人情况及资格证明文件</w:t>
      </w:r>
    </w:p>
    <w:p>
      <w:pPr>
        <w:rPr>
          <w:b/>
          <w:bCs/>
          <w:sz w:val="24"/>
        </w:rPr>
      </w:pPr>
    </w:p>
    <w:p>
      <w:pPr>
        <w:ind w:firstLine="2640" w:firstLineChars="1100"/>
        <w:outlineLvl w:val="3"/>
        <w:rPr>
          <w:rFonts w:ascii="黑体" w:hAnsi="宋体" w:eastAsia="黑体"/>
          <w:bCs/>
          <w:kern w:val="0"/>
          <w:sz w:val="24"/>
          <w:szCs w:val="32"/>
        </w:rPr>
      </w:pPr>
      <w:bookmarkStart w:id="52" w:name="_Hlk72257590"/>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pPr>
        <w:rPr>
          <w:b/>
          <w:bCs/>
          <w:sz w:val="24"/>
        </w:rPr>
      </w:pPr>
    </w:p>
    <w:p>
      <w:pPr>
        <w:ind w:firstLine="480" w:firstLineChars="200"/>
        <w:outlineLvl w:val="3"/>
        <w:rPr>
          <w:rFonts w:ascii="黑体" w:hAnsi="宋体" w:eastAsia="黑体"/>
          <w:bCs/>
          <w:kern w:val="0"/>
          <w:sz w:val="24"/>
          <w:szCs w:val="32"/>
        </w:rPr>
      </w:pPr>
      <w:bookmarkStart w:id="53" w:name="_Hlk72257908"/>
      <w:r>
        <w:rPr>
          <w:rFonts w:hint="eastAsia" w:ascii="黑体" w:hAnsi="宋体" w:eastAsia="黑体"/>
          <w:bCs/>
          <w:kern w:val="0"/>
          <w:sz w:val="24"/>
          <w:szCs w:val="32"/>
        </w:rPr>
        <w:t>（二）中小企业声明函、残疾人福利性单位声明函及监狱企业声明函</w:t>
      </w:r>
    </w:p>
    <w:bookmarkEnd w:id="52"/>
    <w:p>
      <w:pPr>
        <w:jc w:val="left"/>
        <w:outlineLvl w:val="9"/>
        <w:rPr>
          <w:rFonts w:ascii="黑体" w:hAnsi="宋体" w:eastAsia="黑体"/>
          <w:bCs/>
          <w:kern w:val="0"/>
          <w:sz w:val="24"/>
          <w:szCs w:val="32"/>
        </w:rPr>
      </w:pP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numPr>
          <w:ilvl w:val="0"/>
          <w:numId w:val="8"/>
        </w:numPr>
        <w:jc w:val="center"/>
        <w:outlineLvl w:val="9"/>
        <w:rPr>
          <w:b/>
          <w:sz w:val="24"/>
        </w:rPr>
      </w:pPr>
      <w:r>
        <w:rPr>
          <w:b/>
          <w:sz w:val="24"/>
        </w:rPr>
        <w:t>中小企业声明函（货物）</w:t>
      </w:r>
    </w:p>
    <w:p>
      <w:pPr>
        <w:pStyle w:val="8"/>
        <w:widowControl w:val="0"/>
        <w:numPr>
          <w:ilvl w:val="0"/>
          <w:numId w:val="0"/>
        </w:numPr>
        <w:spacing w:line="360" w:lineRule="auto"/>
        <w:jc w:val="both"/>
      </w:pPr>
    </w:p>
    <w:p>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5"/>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pPr>
        <w:pStyle w:val="15"/>
        <w:ind w:firstLine="420" w:firstLineChars="200"/>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4"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4"/>
    </w:p>
    <w:p>
      <w:pPr>
        <w:ind w:firstLine="420" w:firstLineChars="200"/>
        <w:outlineLvl w:val="9"/>
        <w:rPr>
          <w:rFonts w:ascii="宋体" w:hAnsi="宋体"/>
          <w:bCs/>
          <w:color w:val="FF0000"/>
          <w:kern w:val="0"/>
          <w:szCs w:val="21"/>
        </w:rPr>
      </w:pPr>
    </w:p>
    <w:p/>
    <w:p>
      <w:pPr>
        <w:ind w:firstLine="420" w:firstLineChars="200"/>
      </w:pPr>
    </w:p>
    <w:p>
      <w:pPr>
        <w:jc w:val="center"/>
        <w:outlineLvl w:val="9"/>
        <w:rPr>
          <w:b/>
          <w:sz w:val="24"/>
        </w:rPr>
      </w:pPr>
      <w:r>
        <w:rPr>
          <w:rFonts w:hint="eastAsia"/>
          <w:b/>
          <w:sz w:val="24"/>
        </w:rPr>
        <w:t>2、残疾人福利性单位声明函（货物类）</w:t>
      </w:r>
    </w:p>
    <w:p>
      <w:pPr>
        <w:rPr>
          <w:b/>
          <w:bCs/>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5" w:name="_Hlk73562331"/>
      <w:bookmarkStart w:id="56"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5"/>
    </w:p>
    <w:bookmarkEnd w:id="56"/>
    <w:p>
      <w:pPr>
        <w:ind w:firstLine="420" w:firstLineChars="200"/>
        <w:rPr>
          <w:rFonts w:ascii="宋体" w:hAnsi="宋体"/>
          <w:szCs w:val="21"/>
        </w:rPr>
      </w:pPr>
    </w:p>
    <w:p>
      <w:pPr>
        <w:ind w:firstLine="420" w:firstLineChars="200"/>
        <w:rPr>
          <w:rFonts w:ascii="宋体" w:hAnsi="宋体"/>
          <w:szCs w:val="21"/>
        </w:rPr>
      </w:pPr>
    </w:p>
    <w:p>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3"/>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pPr>
        <w:pStyle w:val="4"/>
        <w:jc w:val="center"/>
        <w:rPr>
          <w:rFonts w:ascii="黑体" w:eastAsia="黑体"/>
          <w:b w:val="0"/>
          <w:sz w:val="24"/>
          <w:szCs w:val="24"/>
        </w:rPr>
      </w:pPr>
      <w:bookmarkStart w:id="57" w:name="_Hlk72259976"/>
      <w:r>
        <w:rPr>
          <w:rFonts w:hint="eastAsia" w:ascii="黑体" w:eastAsia="黑体"/>
          <w:b w:val="0"/>
          <w:sz w:val="24"/>
          <w:szCs w:val="24"/>
        </w:rPr>
        <w:t>四、项目详细报价</w:t>
      </w:r>
    </w:p>
    <w:p>
      <w:pPr>
        <w:tabs>
          <w:tab w:val="left" w:pos="720"/>
        </w:tabs>
        <w:ind w:firstLine="3132" w:firstLineChars="1300"/>
        <w:rPr>
          <w:b/>
          <w:sz w:val="24"/>
        </w:rPr>
      </w:pPr>
      <w:r>
        <w:rPr>
          <w:rFonts w:hint="eastAsia"/>
          <w:b/>
          <w:sz w:val="24"/>
        </w:rPr>
        <w:t>（一）分项报价表</w:t>
      </w:r>
    </w:p>
    <w:tbl>
      <w:tblPr>
        <w:tblStyle w:val="18"/>
        <w:tblW w:w="499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40"/>
        <w:gridCol w:w="1319"/>
        <w:gridCol w:w="1334"/>
        <w:gridCol w:w="541"/>
        <w:gridCol w:w="543"/>
        <w:gridCol w:w="543"/>
        <w:gridCol w:w="543"/>
        <w:gridCol w:w="543"/>
        <w:gridCol w:w="543"/>
        <w:gridCol w:w="559"/>
        <w:gridCol w:w="559"/>
        <w:gridCol w:w="7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10"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序号</w:t>
            </w:r>
          </w:p>
        </w:tc>
        <w:tc>
          <w:tcPr>
            <w:tcW w:w="792"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采购计划编号</w:t>
            </w:r>
          </w:p>
        </w:tc>
        <w:tc>
          <w:tcPr>
            <w:tcW w:w="80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货物名称</w:t>
            </w:r>
          </w:p>
        </w:tc>
        <w:tc>
          <w:tcPr>
            <w:tcW w:w="325"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品牌</w:t>
            </w:r>
          </w:p>
        </w:tc>
        <w:tc>
          <w:tcPr>
            <w:tcW w:w="32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Style w:val="44"/>
                <w:highlight w:val="yellow"/>
                <w:lang w:val="en-US" w:eastAsia="zh-CN" w:bidi="ar"/>
              </w:rPr>
              <w:t>规格</w:t>
            </w:r>
            <w:r>
              <w:rPr>
                <w:rFonts w:hint="default" w:ascii="Times New Roman" w:hAnsi="Times New Roman" w:eastAsia="宋体" w:cs="Times New Roman"/>
                <w:i w:val="0"/>
                <w:color w:val="000000"/>
                <w:kern w:val="0"/>
                <w:sz w:val="21"/>
                <w:szCs w:val="21"/>
                <w:highlight w:val="yellow"/>
                <w:u w:val="none"/>
                <w:lang w:val="en-US" w:eastAsia="zh-CN" w:bidi="ar"/>
              </w:rPr>
              <w:t>/</w:t>
            </w:r>
            <w:r>
              <w:rPr>
                <w:rStyle w:val="44"/>
                <w:highlight w:val="yellow"/>
                <w:lang w:val="en-US" w:eastAsia="zh-CN" w:bidi="ar"/>
              </w:rPr>
              <w:t>型号</w:t>
            </w:r>
          </w:p>
        </w:tc>
        <w:tc>
          <w:tcPr>
            <w:tcW w:w="32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1"/>
                <w:szCs w:val="21"/>
                <w:highlight w:val="yellow"/>
                <w:u w:val="none"/>
              </w:rPr>
            </w:pPr>
            <w:r>
              <w:rPr>
                <w:rFonts w:hint="eastAsia" w:ascii="宋体" w:hAnsi="宋体" w:eastAsia="宋体" w:cs="宋体"/>
                <w:b/>
                <w:i w:val="0"/>
                <w:color w:val="FF0000"/>
                <w:kern w:val="0"/>
                <w:sz w:val="21"/>
                <w:szCs w:val="21"/>
                <w:highlight w:val="yellow"/>
                <w:u w:val="none"/>
                <w:lang w:val="en-US" w:eastAsia="zh-CN" w:bidi="ar"/>
              </w:rPr>
              <w:t>原产地</w:t>
            </w:r>
          </w:p>
        </w:tc>
        <w:tc>
          <w:tcPr>
            <w:tcW w:w="32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制造商名称</w:t>
            </w:r>
          </w:p>
        </w:tc>
        <w:tc>
          <w:tcPr>
            <w:tcW w:w="32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数量</w:t>
            </w:r>
          </w:p>
        </w:tc>
        <w:tc>
          <w:tcPr>
            <w:tcW w:w="32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单位</w:t>
            </w:r>
          </w:p>
        </w:tc>
        <w:tc>
          <w:tcPr>
            <w:tcW w:w="33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Style w:val="44"/>
                <w:highlight w:val="yellow"/>
                <w:lang w:val="en-US" w:eastAsia="zh-CN" w:bidi="ar"/>
              </w:rPr>
              <w:t>单价</w:t>
            </w:r>
            <w:r>
              <w:rPr>
                <w:rFonts w:hint="default" w:ascii="Times New Roman" w:hAnsi="Times New Roman" w:eastAsia="宋体" w:cs="Times New Roman"/>
                <w:i w:val="0"/>
                <w:color w:val="000000"/>
                <w:kern w:val="0"/>
                <w:sz w:val="21"/>
                <w:szCs w:val="21"/>
                <w:highlight w:val="yellow"/>
                <w:u w:val="none"/>
                <w:lang w:val="en-US" w:eastAsia="zh-CN" w:bidi="ar"/>
              </w:rPr>
              <w:t>(</w:t>
            </w:r>
            <w:r>
              <w:rPr>
                <w:rStyle w:val="44"/>
                <w:highlight w:val="yellow"/>
                <w:lang w:val="en-US" w:eastAsia="zh-CN" w:bidi="ar"/>
              </w:rPr>
              <w:t>元</w:t>
            </w:r>
            <w:r>
              <w:rPr>
                <w:rFonts w:hint="default" w:ascii="Times New Roman" w:hAnsi="Times New Roman" w:eastAsia="宋体" w:cs="Times New Roman"/>
                <w:i w:val="0"/>
                <w:color w:val="000000"/>
                <w:kern w:val="0"/>
                <w:sz w:val="21"/>
                <w:szCs w:val="21"/>
                <w:highlight w:val="yellow"/>
                <w:u w:val="none"/>
                <w:lang w:val="en-US" w:eastAsia="zh-CN" w:bidi="ar"/>
              </w:rPr>
              <w:t>)</w:t>
            </w:r>
          </w:p>
        </w:tc>
        <w:tc>
          <w:tcPr>
            <w:tcW w:w="33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Style w:val="44"/>
                <w:highlight w:val="yellow"/>
                <w:lang w:val="en-US" w:eastAsia="zh-CN" w:bidi="ar"/>
              </w:rPr>
              <w:t>合价</w:t>
            </w:r>
            <w:r>
              <w:rPr>
                <w:rFonts w:hint="default" w:ascii="Times New Roman" w:hAnsi="Times New Roman" w:eastAsia="宋体" w:cs="Times New Roman"/>
                <w:i w:val="0"/>
                <w:color w:val="000000"/>
                <w:kern w:val="0"/>
                <w:sz w:val="21"/>
                <w:szCs w:val="21"/>
                <w:highlight w:val="yellow"/>
                <w:u w:val="none"/>
                <w:lang w:val="en-US" w:eastAsia="zh-CN" w:bidi="ar"/>
              </w:rPr>
              <w:t>(</w:t>
            </w:r>
            <w:r>
              <w:rPr>
                <w:rStyle w:val="44"/>
                <w:highlight w:val="yellow"/>
                <w:lang w:val="en-US" w:eastAsia="zh-CN" w:bidi="ar"/>
              </w:rPr>
              <w:t>元</w:t>
            </w:r>
            <w:r>
              <w:rPr>
                <w:rFonts w:hint="default" w:ascii="Times New Roman" w:hAnsi="Times New Roman" w:eastAsia="宋体" w:cs="Times New Roman"/>
                <w:i w:val="0"/>
                <w:color w:val="000000"/>
                <w:kern w:val="0"/>
                <w:sz w:val="21"/>
                <w:szCs w:val="21"/>
                <w:highlight w:val="yellow"/>
                <w:u w:val="none"/>
                <w:lang w:val="en-US" w:eastAsia="zh-CN" w:bidi="ar"/>
              </w:rPr>
              <w:t>)</w:t>
            </w:r>
          </w:p>
        </w:tc>
        <w:tc>
          <w:tcPr>
            <w:tcW w:w="45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预算金额（元）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1</w:t>
            </w:r>
          </w:p>
        </w:tc>
        <w:tc>
          <w:tcPr>
            <w:tcW w:w="792"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BAJYJ2025053007200A</w:t>
            </w:r>
          </w:p>
        </w:tc>
        <w:tc>
          <w:tcPr>
            <w:tcW w:w="80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吧台</w:t>
            </w:r>
          </w:p>
        </w:tc>
        <w:tc>
          <w:tcPr>
            <w:tcW w:w="325"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hint="eastAsia" w:ascii="宋体" w:hAnsi="宋体" w:eastAsia="宋体" w:cs="宋体"/>
                <w:i w:val="0"/>
                <w:color w:val="000000"/>
                <w:sz w:val="22"/>
                <w:szCs w:val="22"/>
                <w:highlight w:val="yellow"/>
                <w:u w:val="none"/>
              </w:rPr>
            </w:pPr>
            <w:r>
              <w:rPr>
                <w:rFonts w:hint="eastAsia" w:ascii="宋体" w:hAnsi="宋体" w:cs="宋体"/>
                <w:color w:val="000000"/>
                <w:kern w:val="0"/>
                <w:sz w:val="24"/>
                <w:highlight w:val="yellow"/>
                <w:lang w:bidi="ar"/>
              </w:rPr>
              <w:t>42</w:t>
            </w:r>
          </w:p>
        </w:tc>
        <w:tc>
          <w:tcPr>
            <w:tcW w:w="54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hint="eastAsia" w:ascii="宋体" w:hAnsi="宋体" w:eastAsia="宋体" w:cs="宋体"/>
                <w:i w:val="0"/>
                <w:color w:val="000000"/>
                <w:sz w:val="22"/>
                <w:szCs w:val="22"/>
                <w:highlight w:val="yellow"/>
                <w:u w:val="none"/>
              </w:rPr>
            </w:pPr>
            <w:r>
              <w:rPr>
                <w:rFonts w:hint="eastAsia" w:ascii="宋体" w:hAnsi="宋体" w:cs="宋体"/>
                <w:color w:val="000000"/>
                <w:kern w:val="0"/>
                <w:sz w:val="24"/>
                <w:highlight w:val="yellow"/>
                <w:lang w:bidi="ar"/>
              </w:rPr>
              <w:t>个</w:t>
            </w:r>
          </w:p>
        </w:tc>
        <w:tc>
          <w:tcPr>
            <w:tcW w:w="33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3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451"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default" w:ascii="宋体" w:hAnsi="宋体" w:eastAsia="宋体" w:cs="宋体"/>
                <w:i w:val="0"/>
                <w:color w:val="000000"/>
                <w:sz w:val="22"/>
                <w:szCs w:val="22"/>
                <w:highlight w:val="yellow"/>
                <w:u w:val="none"/>
                <w:lang w:val="en-US"/>
              </w:rPr>
            </w:pPr>
            <w:r>
              <w:rPr>
                <w:rFonts w:hint="eastAsia" w:ascii="宋体" w:hAnsi="宋体" w:eastAsia="宋体" w:cs="宋体"/>
                <w:i w:val="0"/>
                <w:color w:val="000000"/>
                <w:kern w:val="0"/>
                <w:sz w:val="22"/>
                <w:szCs w:val="22"/>
                <w:highlight w:val="yellow"/>
                <w:u w:val="none"/>
                <w:lang w:val="en-US" w:eastAsia="zh-CN" w:bidi="ar"/>
              </w:rPr>
              <w:t>441000.00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2</w:t>
            </w:r>
          </w:p>
        </w:tc>
        <w:tc>
          <w:tcPr>
            <w:tcW w:w="792"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0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实木单人床</w:t>
            </w:r>
          </w:p>
        </w:tc>
        <w:tc>
          <w:tcPr>
            <w:tcW w:w="325"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hint="eastAsia" w:ascii="宋体" w:hAnsi="宋体" w:eastAsia="宋体" w:cs="宋体"/>
                <w:i w:val="0"/>
                <w:color w:val="000000"/>
                <w:sz w:val="22"/>
                <w:szCs w:val="22"/>
                <w:highlight w:val="yellow"/>
                <w:u w:val="none"/>
              </w:rPr>
            </w:pPr>
            <w:r>
              <w:rPr>
                <w:rFonts w:hint="eastAsia" w:ascii="宋体" w:hAnsi="宋体" w:cs="宋体"/>
                <w:color w:val="000000"/>
                <w:kern w:val="0"/>
                <w:sz w:val="24"/>
                <w:highlight w:val="yellow"/>
                <w:lang w:bidi="ar"/>
              </w:rPr>
              <w:t>42</w:t>
            </w:r>
          </w:p>
        </w:tc>
        <w:tc>
          <w:tcPr>
            <w:tcW w:w="54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hint="eastAsia" w:ascii="宋体" w:hAnsi="宋体" w:eastAsia="宋体" w:cs="宋体"/>
                <w:i w:val="0"/>
                <w:color w:val="000000"/>
                <w:sz w:val="22"/>
                <w:szCs w:val="22"/>
                <w:highlight w:val="yellow"/>
                <w:u w:val="none"/>
              </w:rPr>
            </w:pPr>
            <w:r>
              <w:rPr>
                <w:rFonts w:hint="eastAsia" w:ascii="宋体" w:hAnsi="宋体" w:cs="宋体"/>
                <w:color w:val="000000"/>
                <w:kern w:val="0"/>
                <w:sz w:val="22"/>
                <w:szCs w:val="22"/>
                <w:highlight w:val="yellow"/>
                <w:lang w:bidi="ar"/>
              </w:rPr>
              <w:t>张</w:t>
            </w:r>
          </w:p>
        </w:tc>
        <w:tc>
          <w:tcPr>
            <w:tcW w:w="33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bookmarkStart w:id="135" w:name="_GoBack"/>
            <w:bookmarkEnd w:id="135"/>
          </w:p>
        </w:tc>
        <w:tc>
          <w:tcPr>
            <w:tcW w:w="33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4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3</w:t>
            </w:r>
          </w:p>
        </w:tc>
        <w:tc>
          <w:tcPr>
            <w:tcW w:w="792"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0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床垫</w:t>
            </w:r>
          </w:p>
        </w:tc>
        <w:tc>
          <w:tcPr>
            <w:tcW w:w="325"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hint="eastAsia" w:ascii="宋体" w:hAnsi="宋体" w:eastAsia="宋体" w:cs="宋体"/>
                <w:i w:val="0"/>
                <w:color w:val="000000"/>
                <w:sz w:val="22"/>
                <w:szCs w:val="22"/>
                <w:highlight w:val="yellow"/>
                <w:u w:val="none"/>
              </w:rPr>
            </w:pPr>
            <w:r>
              <w:rPr>
                <w:rFonts w:hint="eastAsia" w:ascii="宋体" w:hAnsi="宋体" w:cs="宋体"/>
                <w:color w:val="000000"/>
                <w:kern w:val="0"/>
                <w:sz w:val="24"/>
                <w:highlight w:val="yellow"/>
                <w:lang w:bidi="ar"/>
              </w:rPr>
              <w:t>40</w:t>
            </w:r>
          </w:p>
        </w:tc>
        <w:tc>
          <w:tcPr>
            <w:tcW w:w="54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hint="eastAsia" w:ascii="宋体" w:hAnsi="宋体" w:eastAsia="宋体" w:cs="宋体"/>
                <w:i w:val="0"/>
                <w:color w:val="000000"/>
                <w:sz w:val="22"/>
                <w:szCs w:val="22"/>
                <w:highlight w:val="yellow"/>
                <w:u w:val="none"/>
              </w:rPr>
            </w:pPr>
            <w:r>
              <w:rPr>
                <w:rFonts w:hint="eastAsia" w:ascii="宋体" w:hAnsi="宋体" w:cs="宋体"/>
                <w:color w:val="000000"/>
                <w:kern w:val="0"/>
                <w:sz w:val="22"/>
                <w:szCs w:val="22"/>
                <w:highlight w:val="yellow"/>
                <w:lang w:bidi="ar"/>
              </w:rPr>
              <w:t>张</w:t>
            </w:r>
          </w:p>
        </w:tc>
        <w:tc>
          <w:tcPr>
            <w:tcW w:w="33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3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4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4</w:t>
            </w:r>
          </w:p>
        </w:tc>
        <w:tc>
          <w:tcPr>
            <w:tcW w:w="792"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0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写字桌</w:t>
            </w:r>
          </w:p>
        </w:tc>
        <w:tc>
          <w:tcPr>
            <w:tcW w:w="325"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hint="eastAsia" w:ascii="宋体" w:hAnsi="宋体" w:eastAsia="宋体" w:cs="宋体"/>
                <w:i w:val="0"/>
                <w:color w:val="000000"/>
                <w:sz w:val="22"/>
                <w:szCs w:val="22"/>
                <w:highlight w:val="yellow"/>
                <w:u w:val="none"/>
              </w:rPr>
            </w:pPr>
            <w:r>
              <w:rPr>
                <w:rFonts w:hint="eastAsia" w:ascii="宋体" w:hAnsi="宋体" w:cs="宋体"/>
                <w:color w:val="000000"/>
                <w:kern w:val="0"/>
                <w:sz w:val="24"/>
                <w:highlight w:val="yellow"/>
                <w:lang w:bidi="ar"/>
              </w:rPr>
              <w:t>42</w:t>
            </w:r>
          </w:p>
        </w:tc>
        <w:tc>
          <w:tcPr>
            <w:tcW w:w="54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hint="eastAsia" w:ascii="宋体" w:hAnsi="宋体" w:eastAsia="宋体" w:cs="宋体"/>
                <w:i w:val="0"/>
                <w:color w:val="000000"/>
                <w:sz w:val="22"/>
                <w:szCs w:val="22"/>
                <w:highlight w:val="yellow"/>
                <w:u w:val="none"/>
              </w:rPr>
            </w:pPr>
            <w:r>
              <w:rPr>
                <w:rFonts w:hint="eastAsia" w:ascii="宋体" w:hAnsi="宋体" w:cs="宋体"/>
                <w:color w:val="000000"/>
                <w:kern w:val="0"/>
                <w:sz w:val="22"/>
                <w:szCs w:val="22"/>
                <w:highlight w:val="yellow"/>
                <w:lang w:bidi="ar"/>
              </w:rPr>
              <w:t>张</w:t>
            </w:r>
          </w:p>
        </w:tc>
        <w:tc>
          <w:tcPr>
            <w:tcW w:w="33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3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4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5</w:t>
            </w:r>
          </w:p>
        </w:tc>
        <w:tc>
          <w:tcPr>
            <w:tcW w:w="792"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0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折叠椅</w:t>
            </w:r>
          </w:p>
        </w:tc>
        <w:tc>
          <w:tcPr>
            <w:tcW w:w="325"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hint="eastAsia" w:ascii="宋体" w:hAnsi="宋体" w:eastAsia="宋体" w:cs="宋体"/>
                <w:i w:val="0"/>
                <w:color w:val="000000"/>
                <w:sz w:val="22"/>
                <w:szCs w:val="22"/>
                <w:highlight w:val="yellow"/>
                <w:u w:val="none"/>
              </w:rPr>
            </w:pPr>
            <w:r>
              <w:rPr>
                <w:rFonts w:hint="eastAsia" w:ascii="宋体" w:hAnsi="宋体" w:cs="宋体"/>
                <w:color w:val="000000"/>
                <w:kern w:val="0"/>
                <w:sz w:val="24"/>
                <w:highlight w:val="yellow"/>
                <w:lang w:bidi="ar"/>
              </w:rPr>
              <w:t>42</w:t>
            </w:r>
          </w:p>
        </w:tc>
        <w:tc>
          <w:tcPr>
            <w:tcW w:w="54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hint="eastAsia" w:ascii="宋体" w:hAnsi="宋体" w:eastAsia="宋体" w:cs="宋体"/>
                <w:i w:val="0"/>
                <w:color w:val="000000"/>
                <w:sz w:val="22"/>
                <w:szCs w:val="22"/>
                <w:highlight w:val="yellow"/>
                <w:u w:val="none"/>
              </w:rPr>
            </w:pPr>
            <w:r>
              <w:rPr>
                <w:rFonts w:hint="eastAsia" w:ascii="宋体" w:hAnsi="宋体" w:cs="宋体"/>
                <w:color w:val="000000"/>
                <w:kern w:val="0"/>
                <w:sz w:val="22"/>
                <w:szCs w:val="22"/>
                <w:highlight w:val="yellow"/>
                <w:lang w:bidi="ar"/>
              </w:rPr>
              <w:t>张</w:t>
            </w:r>
          </w:p>
        </w:tc>
        <w:tc>
          <w:tcPr>
            <w:tcW w:w="33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3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4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6</w:t>
            </w:r>
          </w:p>
        </w:tc>
        <w:tc>
          <w:tcPr>
            <w:tcW w:w="792"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0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窗帘</w:t>
            </w:r>
          </w:p>
        </w:tc>
        <w:tc>
          <w:tcPr>
            <w:tcW w:w="325"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hint="eastAsia" w:ascii="宋体" w:hAnsi="宋体" w:eastAsia="宋体" w:cs="宋体"/>
                <w:i w:val="0"/>
                <w:color w:val="000000"/>
                <w:sz w:val="22"/>
                <w:szCs w:val="22"/>
                <w:highlight w:val="yellow"/>
                <w:u w:val="none"/>
              </w:rPr>
            </w:pPr>
            <w:r>
              <w:rPr>
                <w:rFonts w:hint="eastAsia" w:ascii="宋体" w:hAnsi="宋体" w:cs="宋体"/>
                <w:color w:val="000000"/>
                <w:kern w:val="0"/>
                <w:sz w:val="24"/>
                <w:highlight w:val="yellow"/>
                <w:lang w:bidi="ar"/>
              </w:rPr>
              <w:t>128</w:t>
            </w:r>
          </w:p>
        </w:tc>
        <w:tc>
          <w:tcPr>
            <w:tcW w:w="54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hint="eastAsia" w:ascii="宋体" w:hAnsi="宋体" w:eastAsia="宋体" w:cs="宋体"/>
                <w:i w:val="0"/>
                <w:color w:val="000000"/>
                <w:sz w:val="22"/>
                <w:szCs w:val="22"/>
                <w:highlight w:val="yellow"/>
                <w:u w:val="none"/>
              </w:rPr>
            </w:pPr>
            <w:r>
              <w:rPr>
                <w:rFonts w:hint="eastAsia" w:ascii="宋体" w:hAnsi="宋体" w:cs="宋体"/>
                <w:color w:val="000000"/>
                <w:kern w:val="0"/>
                <w:sz w:val="22"/>
                <w:szCs w:val="22"/>
                <w:highlight w:val="yellow"/>
                <w:lang w:bidi="ar"/>
              </w:rPr>
              <w:t>米</w:t>
            </w:r>
          </w:p>
        </w:tc>
        <w:tc>
          <w:tcPr>
            <w:tcW w:w="33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3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4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7</w:t>
            </w:r>
          </w:p>
        </w:tc>
        <w:tc>
          <w:tcPr>
            <w:tcW w:w="792"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0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洗衣机</w:t>
            </w:r>
          </w:p>
        </w:tc>
        <w:tc>
          <w:tcPr>
            <w:tcW w:w="325"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hint="eastAsia" w:ascii="宋体" w:hAnsi="宋体" w:eastAsia="宋体" w:cs="宋体"/>
                <w:i w:val="0"/>
                <w:color w:val="000000"/>
                <w:sz w:val="22"/>
                <w:szCs w:val="22"/>
                <w:highlight w:val="yellow"/>
                <w:u w:val="none"/>
              </w:rPr>
            </w:pPr>
            <w:r>
              <w:rPr>
                <w:rFonts w:hint="eastAsia" w:ascii="宋体" w:hAnsi="宋体" w:cs="宋体"/>
                <w:color w:val="000000"/>
                <w:kern w:val="0"/>
                <w:sz w:val="24"/>
                <w:highlight w:val="yellow"/>
                <w:lang w:bidi="ar"/>
              </w:rPr>
              <w:t>42</w:t>
            </w:r>
          </w:p>
        </w:tc>
        <w:tc>
          <w:tcPr>
            <w:tcW w:w="54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hint="eastAsia" w:ascii="宋体" w:hAnsi="宋体" w:eastAsia="宋体" w:cs="宋体"/>
                <w:i w:val="0"/>
                <w:color w:val="000000"/>
                <w:sz w:val="22"/>
                <w:szCs w:val="22"/>
                <w:highlight w:val="yellow"/>
                <w:u w:val="none"/>
              </w:rPr>
            </w:pPr>
            <w:r>
              <w:rPr>
                <w:rFonts w:hint="eastAsia" w:ascii="宋体" w:hAnsi="宋体" w:cs="宋体"/>
                <w:color w:val="000000"/>
                <w:kern w:val="0"/>
                <w:sz w:val="22"/>
                <w:szCs w:val="22"/>
                <w:highlight w:val="yellow"/>
                <w:lang w:bidi="ar"/>
              </w:rPr>
              <w:t>台</w:t>
            </w:r>
          </w:p>
        </w:tc>
        <w:tc>
          <w:tcPr>
            <w:tcW w:w="33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3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4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8</w:t>
            </w:r>
          </w:p>
        </w:tc>
        <w:tc>
          <w:tcPr>
            <w:tcW w:w="792"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0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衣柜</w:t>
            </w:r>
          </w:p>
        </w:tc>
        <w:tc>
          <w:tcPr>
            <w:tcW w:w="325"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hint="eastAsia" w:ascii="宋体" w:hAnsi="宋体" w:eastAsia="宋体" w:cs="宋体"/>
                <w:i w:val="0"/>
                <w:color w:val="000000"/>
                <w:sz w:val="22"/>
                <w:szCs w:val="22"/>
                <w:highlight w:val="yellow"/>
                <w:u w:val="none"/>
              </w:rPr>
            </w:pPr>
            <w:r>
              <w:rPr>
                <w:rFonts w:hint="eastAsia" w:ascii="宋体" w:hAnsi="宋体" w:cs="宋体"/>
                <w:color w:val="000000"/>
                <w:kern w:val="0"/>
                <w:sz w:val="24"/>
                <w:highlight w:val="yellow"/>
                <w:lang w:bidi="ar"/>
              </w:rPr>
              <w:t>41</w:t>
            </w:r>
          </w:p>
        </w:tc>
        <w:tc>
          <w:tcPr>
            <w:tcW w:w="54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hint="eastAsia" w:ascii="宋体" w:hAnsi="宋体" w:eastAsia="宋体" w:cs="宋体"/>
                <w:i w:val="0"/>
                <w:color w:val="000000"/>
                <w:sz w:val="22"/>
                <w:szCs w:val="22"/>
                <w:highlight w:val="yellow"/>
                <w:u w:val="none"/>
              </w:rPr>
            </w:pPr>
            <w:r>
              <w:rPr>
                <w:rFonts w:hint="eastAsia" w:ascii="宋体" w:hAnsi="宋体" w:cs="宋体"/>
                <w:color w:val="000000"/>
                <w:kern w:val="0"/>
                <w:sz w:val="22"/>
                <w:szCs w:val="22"/>
                <w:highlight w:val="yellow"/>
                <w:lang w:bidi="ar"/>
              </w:rPr>
              <w:t>个</w:t>
            </w:r>
          </w:p>
        </w:tc>
        <w:tc>
          <w:tcPr>
            <w:tcW w:w="33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3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4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9</w:t>
            </w:r>
          </w:p>
        </w:tc>
        <w:tc>
          <w:tcPr>
            <w:tcW w:w="792"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0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过道时钟</w:t>
            </w:r>
          </w:p>
        </w:tc>
        <w:tc>
          <w:tcPr>
            <w:tcW w:w="325"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hint="eastAsia" w:ascii="宋体" w:hAnsi="宋体" w:eastAsia="宋体" w:cs="宋体"/>
                <w:i w:val="0"/>
                <w:color w:val="000000"/>
                <w:sz w:val="22"/>
                <w:szCs w:val="22"/>
                <w:highlight w:val="yellow"/>
                <w:u w:val="none"/>
              </w:rPr>
            </w:pPr>
            <w:r>
              <w:rPr>
                <w:rFonts w:hint="eastAsia" w:ascii="宋体" w:hAnsi="宋体" w:cs="宋体"/>
                <w:color w:val="000000"/>
                <w:kern w:val="0"/>
                <w:sz w:val="22"/>
                <w:szCs w:val="22"/>
                <w:highlight w:val="yellow"/>
                <w:lang w:bidi="ar"/>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hint="eastAsia" w:ascii="宋体" w:hAnsi="宋体" w:eastAsia="宋体" w:cs="宋体"/>
                <w:i w:val="0"/>
                <w:color w:val="000000"/>
                <w:sz w:val="22"/>
                <w:szCs w:val="22"/>
                <w:highlight w:val="yellow"/>
                <w:u w:val="none"/>
              </w:rPr>
            </w:pPr>
            <w:r>
              <w:rPr>
                <w:rFonts w:hint="eastAsia" w:ascii="宋体" w:hAnsi="宋体" w:cs="宋体"/>
                <w:color w:val="000000"/>
                <w:kern w:val="0"/>
                <w:sz w:val="22"/>
                <w:szCs w:val="22"/>
                <w:highlight w:val="yellow"/>
                <w:lang w:bidi="ar"/>
              </w:rPr>
              <w:t>台</w:t>
            </w:r>
          </w:p>
        </w:tc>
        <w:tc>
          <w:tcPr>
            <w:tcW w:w="33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3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4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10</w:t>
            </w:r>
          </w:p>
        </w:tc>
        <w:tc>
          <w:tcPr>
            <w:tcW w:w="792"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c>
          <w:tcPr>
            <w:tcW w:w="801"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yellow"/>
                <w:u w:val="none"/>
              </w:rPr>
            </w:pPr>
            <w:r>
              <w:rPr>
                <w:rFonts w:hint="eastAsia" w:ascii="宋体" w:hAnsi="宋体" w:eastAsia="宋体" w:cs="宋体"/>
                <w:i w:val="0"/>
                <w:color w:val="000000"/>
                <w:kern w:val="0"/>
                <w:sz w:val="22"/>
                <w:szCs w:val="22"/>
                <w:highlight w:val="yellow"/>
                <w:u w:val="none"/>
                <w:lang w:val="en-US" w:eastAsia="zh-CN" w:bidi="ar"/>
              </w:rPr>
              <w:t>空气消毒机</w:t>
            </w:r>
          </w:p>
        </w:tc>
        <w:tc>
          <w:tcPr>
            <w:tcW w:w="325"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2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hint="eastAsia" w:ascii="宋体" w:hAnsi="宋体" w:eastAsia="宋体" w:cs="宋体"/>
                <w:i w:val="0"/>
                <w:color w:val="000000"/>
                <w:sz w:val="22"/>
                <w:szCs w:val="22"/>
                <w:highlight w:val="yellow"/>
                <w:u w:val="none"/>
              </w:rPr>
            </w:pPr>
            <w:r>
              <w:rPr>
                <w:rFonts w:hint="eastAsia" w:ascii="宋体" w:hAnsi="宋体" w:cs="宋体"/>
                <w:color w:val="000000"/>
                <w:kern w:val="0"/>
                <w:sz w:val="22"/>
                <w:szCs w:val="22"/>
                <w:highlight w:val="yellow"/>
                <w:lang w:bidi="ar"/>
              </w:rPr>
              <w:t>1</w:t>
            </w:r>
          </w:p>
        </w:tc>
        <w:tc>
          <w:tcPr>
            <w:tcW w:w="54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hint="eastAsia" w:ascii="宋体" w:hAnsi="宋体" w:eastAsia="宋体" w:cs="宋体"/>
                <w:i w:val="0"/>
                <w:color w:val="000000"/>
                <w:sz w:val="22"/>
                <w:szCs w:val="22"/>
                <w:highlight w:val="yellow"/>
                <w:u w:val="none"/>
              </w:rPr>
            </w:pPr>
            <w:r>
              <w:rPr>
                <w:rFonts w:hint="eastAsia" w:ascii="宋体" w:hAnsi="宋体" w:cs="宋体"/>
                <w:color w:val="000000"/>
                <w:kern w:val="0"/>
                <w:sz w:val="22"/>
                <w:szCs w:val="22"/>
                <w:highlight w:val="yellow"/>
                <w:lang w:bidi="ar"/>
              </w:rPr>
              <w:t>台</w:t>
            </w:r>
          </w:p>
        </w:tc>
        <w:tc>
          <w:tcPr>
            <w:tcW w:w="33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33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hint="eastAsia" w:ascii="宋体" w:hAnsi="宋体" w:eastAsia="宋体" w:cs="宋体"/>
                <w:i w:val="0"/>
                <w:color w:val="000000"/>
                <w:sz w:val="22"/>
                <w:szCs w:val="22"/>
                <w:highlight w:val="yellow"/>
                <w:u w:val="none"/>
              </w:rPr>
            </w:pPr>
          </w:p>
        </w:tc>
        <w:tc>
          <w:tcPr>
            <w:tcW w:w="451"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5000" w:type="pct"/>
            <w:gridSpan w:val="1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highlight w:val="yellow"/>
                <w:u w:val="none"/>
              </w:rPr>
            </w:pPr>
            <w:r>
              <w:rPr>
                <w:rFonts w:hint="eastAsia" w:ascii="宋体" w:hAnsi="宋体" w:eastAsia="宋体" w:cs="宋体"/>
                <w:i w:val="0"/>
                <w:color w:val="000000"/>
                <w:kern w:val="0"/>
                <w:sz w:val="21"/>
                <w:szCs w:val="21"/>
                <w:highlight w:val="yellow"/>
                <w:u w:val="none"/>
                <w:lang w:val="en-US" w:eastAsia="zh-CN" w:bidi="ar"/>
              </w:rPr>
              <w:t>合计（即投标总价；币种：人民币；单位：元） 小写：            大写：</w:t>
            </w:r>
          </w:p>
        </w:tc>
      </w:tr>
    </w:tbl>
    <w:p>
      <w:pPr>
        <w:ind w:firstLine="482" w:firstLineChars="200"/>
        <w:rPr>
          <w:rFonts w:hint="eastAsia" w:ascii="宋体" w:hAnsi="宋体"/>
          <w:b/>
          <w:sz w:val="24"/>
        </w:rPr>
      </w:pPr>
    </w:p>
    <w:p>
      <w:pPr>
        <w:ind w:firstLine="482" w:firstLineChars="200"/>
        <w:rPr>
          <w:rFonts w:ascii="宋体" w:hAnsi="宋体"/>
          <w:b/>
          <w:sz w:val="24"/>
        </w:rPr>
      </w:pPr>
      <w:r>
        <w:rPr>
          <w:rFonts w:hint="eastAsia" w:ascii="宋体" w:hAnsi="宋体"/>
          <w:b/>
          <w:sz w:val="24"/>
        </w:rPr>
        <w:t>注：1.本表可按同样格式扩展。</w:t>
      </w:r>
    </w:p>
    <w:p>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58"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58"/>
    </w:p>
    <w:p>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pPr>
        <w:ind w:firstLine="482" w:firstLineChars="200"/>
        <w:rPr>
          <w:rFonts w:ascii="宋体" w:hAnsi="宋体"/>
          <w:b/>
          <w:color w:val="FF0000"/>
          <w:sz w:val="24"/>
        </w:rPr>
      </w:pPr>
    </w:p>
    <w:p>
      <w:pPr>
        <w:ind w:firstLine="482" w:firstLineChars="200"/>
        <w:rPr>
          <w:rFonts w:ascii="宋体" w:hAnsi="宋体"/>
          <w:b/>
          <w:color w:val="FF0000"/>
          <w:sz w:val="24"/>
        </w:rPr>
      </w:pPr>
    </w:p>
    <w:p>
      <w:pPr>
        <w:tabs>
          <w:tab w:val="left" w:pos="720"/>
        </w:tabs>
        <w:jc w:val="center"/>
        <w:rPr>
          <w:b/>
          <w:sz w:val="24"/>
        </w:rPr>
      </w:pPr>
      <w:r>
        <w:rPr>
          <w:rFonts w:hint="eastAsia"/>
          <w:b/>
          <w:sz w:val="24"/>
        </w:rPr>
        <w:t>（二）核心产品品牌</w:t>
      </w:r>
    </w:p>
    <w:p>
      <w:pPr>
        <w:ind w:firstLine="482" w:firstLineChars="200"/>
        <w:rPr>
          <w:rFonts w:ascii="宋体" w:hAnsi="宋体"/>
          <w:b/>
          <w:color w:val="FF0000"/>
          <w:sz w:val="24"/>
        </w:rPr>
      </w:pPr>
    </w:p>
    <w:p>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pPr>
        <w:ind w:firstLine="482" w:firstLineChars="200"/>
        <w:rPr>
          <w:rFonts w:ascii="宋体" w:hAnsi="宋体"/>
          <w:b/>
          <w:color w:val="FF0000"/>
          <w:sz w:val="24"/>
        </w:rPr>
      </w:pPr>
    </w:p>
    <w:p>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pPr>
        <w:ind w:firstLine="482" w:firstLineChars="200"/>
        <w:rPr>
          <w:rFonts w:ascii="宋体" w:hAnsi="宋体"/>
          <w:b/>
          <w:color w:val="FF0000"/>
          <w:sz w:val="24"/>
        </w:rPr>
      </w:pPr>
    </w:p>
    <w:p>
      <w:pPr>
        <w:ind w:firstLine="482" w:firstLineChars="200"/>
        <w:rPr>
          <w:rFonts w:ascii="宋体" w:hAnsi="宋体"/>
          <w:b/>
          <w:color w:val="FF0000"/>
          <w:sz w:val="24"/>
        </w:rPr>
      </w:pPr>
    </w:p>
    <w:p>
      <w:pPr>
        <w:rPr>
          <w:b/>
          <w:sz w:val="24"/>
        </w:rPr>
      </w:pPr>
    </w:p>
    <w:p>
      <w:pPr>
        <w:tabs>
          <w:tab w:val="left" w:pos="720"/>
        </w:tabs>
        <w:ind w:firstLine="1928" w:firstLineChars="800"/>
        <w:rPr>
          <w:b/>
          <w:sz w:val="24"/>
        </w:rPr>
      </w:pPr>
      <w:r>
        <w:rPr>
          <w:rFonts w:hint="eastAsia"/>
          <w:b/>
          <w:sz w:val="24"/>
        </w:rPr>
        <w:t>（三）可选配件报价清单（不包括在总报价内）</w:t>
      </w:r>
    </w:p>
    <w:p>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pPr>
        <w:ind w:firstLine="482" w:firstLineChars="200"/>
        <w:rPr>
          <w:rFonts w:hAnsi="宋体"/>
          <w:b/>
          <w:bCs/>
          <w:sz w:val="24"/>
        </w:rPr>
      </w:pPr>
    </w:p>
    <w:p>
      <w:pPr>
        <w:ind w:firstLine="482" w:firstLineChars="200"/>
        <w:rPr>
          <w:rFonts w:hAnsi="宋体"/>
          <w:b/>
          <w:bCs/>
          <w:sz w:val="24"/>
        </w:rPr>
      </w:pPr>
    </w:p>
    <w:p>
      <w:pPr>
        <w:tabs>
          <w:tab w:val="left" w:pos="720"/>
        </w:tabs>
        <w:jc w:val="center"/>
        <w:rPr>
          <w:b/>
          <w:sz w:val="24"/>
        </w:rPr>
      </w:pPr>
      <w:r>
        <w:rPr>
          <w:rFonts w:hint="eastAsia"/>
          <w:b/>
          <w:sz w:val="24"/>
        </w:rPr>
        <w:t>（四）</w:t>
      </w:r>
      <w:bookmarkStart w:id="59" w:name="_Hlk72073235"/>
      <w:r>
        <w:rPr>
          <w:rFonts w:hint="eastAsia"/>
          <w:b/>
          <w:sz w:val="24"/>
        </w:rPr>
        <w:t>投标人认为需要涉及的其他内容报价清单</w:t>
      </w:r>
      <w:bookmarkEnd w:id="59"/>
    </w:p>
    <w:p>
      <w:pPr>
        <w:rPr>
          <w:b/>
          <w:bCs/>
        </w:rPr>
      </w:pPr>
    </w:p>
    <w:p/>
    <w:p>
      <w:r>
        <w:rPr>
          <w:rFonts w:hint="eastAsia"/>
        </w:rPr>
        <w:t xml:space="preserve"> </w:t>
      </w:r>
      <w:r>
        <w:t xml:space="preserve">    </w:t>
      </w:r>
    </w:p>
    <w:p/>
    <w:p>
      <w:pPr>
        <w:ind w:firstLine="723" w:firstLineChars="300"/>
        <w:rPr>
          <w:b/>
          <w:color w:val="FF0000"/>
          <w:sz w:val="24"/>
        </w:rPr>
      </w:pPr>
      <w:r>
        <w:rPr>
          <w:rFonts w:hint="eastAsia"/>
          <w:b/>
          <w:color w:val="FF0000"/>
          <w:sz w:val="24"/>
        </w:rPr>
        <w:t>（信息公开部分的内容到此为止！以下为信息不公开部分。）</w:t>
      </w:r>
    </w:p>
    <w:bookmarkEnd w:id="57"/>
    <w:p>
      <w:r>
        <w:br w:type="page"/>
      </w:r>
    </w:p>
    <w:p>
      <w:pPr>
        <w:outlineLvl w:val="1"/>
        <w:rPr>
          <w:rFonts w:ascii="宋体" w:hAnsi="宋体"/>
          <w:b/>
          <w:color w:val="FF0000"/>
          <w:sz w:val="28"/>
          <w:szCs w:val="28"/>
        </w:rPr>
      </w:pPr>
      <w:bookmarkStart w:id="60" w:name="_Hlk72260530"/>
      <w:r>
        <w:rPr>
          <w:rFonts w:hint="eastAsia" w:ascii="宋体" w:hAnsi="宋体"/>
          <w:b/>
          <w:color w:val="FF0000"/>
          <w:sz w:val="28"/>
          <w:szCs w:val="28"/>
        </w:rPr>
        <w:t>投标文件附件（信息不公开部分）</w:t>
      </w:r>
    </w:p>
    <w:p>
      <w:pPr>
        <w:pStyle w:val="4"/>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9"/>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pPr>
        <w:rPr>
          <w:rFonts w:hint="eastAsia" w:ascii="黑体" w:eastAsia="黑体"/>
          <w:b w:val="0"/>
          <w:sz w:val="24"/>
        </w:rPr>
      </w:pPr>
      <w:r>
        <w:rPr>
          <w:rFonts w:hint="eastAsia" w:ascii="黑体" w:eastAsia="黑体"/>
          <w:b w:val="0"/>
          <w:sz w:val="24"/>
        </w:rPr>
        <w:br w:type="page"/>
      </w:r>
    </w:p>
    <w:p>
      <w:pPr>
        <w:pStyle w:val="4"/>
        <w:spacing w:before="120" w:after="120"/>
        <w:jc w:val="center"/>
        <w:rPr>
          <w:rFonts w:ascii="黑体" w:eastAsia="黑体"/>
          <w:b w:val="0"/>
          <w:sz w:val="24"/>
        </w:rPr>
      </w:pPr>
      <w:r>
        <w:rPr>
          <w:rFonts w:hint="eastAsia" w:ascii="黑体" w:eastAsia="黑体"/>
          <w:b w:val="0"/>
          <w:sz w:val="24"/>
        </w:rPr>
        <w:t>二、</w:t>
      </w:r>
      <w:bookmarkStart w:id="61" w:name="_Hlk72092499"/>
      <w:r>
        <w:rPr>
          <w:rFonts w:hint="eastAsia" w:ascii="黑体" w:eastAsia="黑体"/>
          <w:b w:val="0"/>
          <w:sz w:val="24"/>
        </w:rPr>
        <w:t>法定代表人（负责人）证明书</w:t>
      </w:r>
      <w:bookmarkEnd w:id="61"/>
    </w:p>
    <w:p>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pPr>
        <w:spacing w:line="360" w:lineRule="auto"/>
        <w:ind w:firstLine="420" w:firstLineChars="200"/>
        <w:rPr>
          <w:szCs w:val="21"/>
        </w:rPr>
      </w:pPr>
      <w:r>
        <w:rPr>
          <w:rFonts w:hint="eastAsia"/>
          <w:szCs w:val="21"/>
        </w:rPr>
        <w:t>特此证明。</w:t>
      </w:r>
    </w:p>
    <w:p>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pPr>
        <w:numPr>
          <w:ilvl w:val="0"/>
          <w:numId w:val="9"/>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pPr>
        <w:numPr>
          <w:ilvl w:val="0"/>
          <w:numId w:val="9"/>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pPr>
        <w:numPr>
          <w:ilvl w:val="0"/>
          <w:numId w:val="9"/>
        </w:numPr>
        <w:spacing w:line="360" w:lineRule="auto"/>
        <w:ind w:firstLine="420" w:firstLineChars="200"/>
        <w:rPr>
          <w:szCs w:val="21"/>
        </w:rPr>
      </w:pPr>
      <w:r>
        <w:rPr>
          <w:rFonts w:hint="eastAsia"/>
          <w:szCs w:val="21"/>
        </w:rPr>
        <w:t>内容必须填写真实、清楚，涂改无效，不得转让、买卖。</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lang w:val="en-US" w:eastAsia="zh-CN"/>
              </w:rPr>
              <w:t>证件扫描件正面</w:t>
            </w:r>
          </w:p>
          <w:p>
            <w:pPr>
              <w:pStyle w:val="8"/>
              <w:jc w:val="center"/>
              <w:rPr>
                <w:rFonts w:hint="eastAsia"/>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tc>
        <w:tc>
          <w:tcPr>
            <w:tcW w:w="4265" w:type="dxa"/>
            <w:vAlign w:val="top"/>
          </w:tcPr>
          <w:p>
            <w:pPr>
              <w:jc w:val="center"/>
              <w:rPr>
                <w:rFonts w:hint="eastAsia"/>
                <w:lang w:val="en-US" w:eastAsia="zh-CN"/>
              </w:rPr>
            </w:pPr>
            <w:r>
              <w:rPr>
                <w:rFonts w:hint="eastAsia"/>
                <w:lang w:val="en-US" w:eastAsia="zh-CN"/>
              </w:rPr>
              <w:t>证件扫描件反面</w:t>
            </w:r>
          </w:p>
          <w:p>
            <w:pPr>
              <w:pStyle w:val="8"/>
              <w:jc w:val="center"/>
              <w:rPr>
                <w:rFonts w:hint="eastAsia"/>
                <w:lang w:val="en-US" w:eastAsia="zh-CN"/>
              </w:rPr>
            </w:pPr>
          </w:p>
          <w:p>
            <w:pPr>
              <w:pStyle w:val="15"/>
              <w:jc w:val="center"/>
              <w:rPr>
                <w:rFonts w:hint="eastAsia"/>
                <w:sz w:val="24"/>
                <w:vertAlign w:val="baseline"/>
                <w:lang w:val="en-US" w:eastAsia="zh-CN"/>
              </w:rPr>
            </w:pPr>
          </w:p>
        </w:tc>
      </w:tr>
    </w:tbl>
    <w:p>
      <w:pPr>
        <w:rPr>
          <w:sz w:val="24"/>
        </w:rPr>
      </w:pPr>
    </w:p>
    <w:p>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Pr>
        <w:rPr>
          <w:rFonts w:hint="eastAsia" w:ascii="黑体" w:eastAsia="黑体"/>
          <w:b w:val="0"/>
          <w:kern w:val="0"/>
          <w:sz w:val="24"/>
          <w:szCs w:val="24"/>
        </w:rPr>
      </w:pPr>
      <w:r>
        <w:rPr>
          <w:rFonts w:hint="eastAsia" w:ascii="黑体" w:eastAsia="黑体"/>
          <w:b w:val="0"/>
          <w:kern w:val="0"/>
          <w:sz w:val="24"/>
          <w:szCs w:val="24"/>
        </w:rPr>
        <w:br w:type="page"/>
      </w:r>
    </w:p>
    <w:p>
      <w:pPr>
        <w:pStyle w:val="4"/>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pPr>
        <w:ind w:firstLine="482" w:firstLineChars="200"/>
        <w:rPr>
          <w:b/>
          <w:sz w:val="24"/>
          <w:szCs w:val="22"/>
        </w:rPr>
      </w:pPr>
    </w:p>
    <w:bookmarkEnd w:id="60"/>
    <w:p>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rFonts w:hint="eastAsia"/>
          <w:szCs w:val="21"/>
        </w:rPr>
      </w:pPr>
      <w:r>
        <w:rPr>
          <w:rFonts w:hint="eastAsia"/>
          <w:szCs w:val="21"/>
        </w:rPr>
        <w:t>代理人无转委托权，特此委托。</w:t>
      </w:r>
    </w:p>
    <w:p>
      <w:pPr>
        <w:spacing w:line="360" w:lineRule="auto"/>
        <w:ind w:firstLine="420" w:firstLineChars="200"/>
        <w:rPr>
          <w:rFonts w:hint="eastAsia"/>
          <w:szCs w:val="21"/>
        </w:rPr>
      </w:pPr>
    </w:p>
    <w:p>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ascii="Times New Roman" w:eastAsia="宋体"/>
                <w:lang w:val="en-US" w:eastAsia="zh-CN"/>
              </w:rPr>
              <w:t>证件扫描件正面</w:t>
            </w:r>
          </w:p>
          <w:p>
            <w:pPr>
              <w:pStyle w:val="8"/>
              <w:jc w:val="center"/>
              <w:rPr>
                <w:rFonts w:hint="eastAsia"/>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tc>
        <w:tc>
          <w:tcPr>
            <w:tcW w:w="4265" w:type="dxa"/>
            <w:vAlign w:val="top"/>
          </w:tcPr>
          <w:p>
            <w:pPr>
              <w:jc w:val="center"/>
              <w:rPr>
                <w:rFonts w:hint="eastAsia"/>
                <w:lang w:val="en-US" w:eastAsia="zh-CN"/>
              </w:rPr>
            </w:pPr>
            <w:r>
              <w:rPr>
                <w:rFonts w:hint="eastAsia" w:ascii="Times New Roman" w:eastAsia="宋体"/>
                <w:lang w:val="en-US" w:eastAsia="zh-CN"/>
              </w:rPr>
              <w:t>证件扫描件反面</w:t>
            </w:r>
          </w:p>
          <w:p>
            <w:pPr>
              <w:pStyle w:val="8"/>
              <w:jc w:val="center"/>
              <w:rPr>
                <w:rFonts w:hint="eastAsia"/>
                <w:lang w:val="en-US" w:eastAsia="zh-CN"/>
              </w:rPr>
            </w:pPr>
          </w:p>
          <w:p>
            <w:pPr>
              <w:pStyle w:val="15"/>
              <w:jc w:val="center"/>
              <w:rPr>
                <w:rFonts w:hint="eastAsia"/>
                <w:sz w:val="24"/>
                <w:vertAlign w:val="baseline"/>
                <w:lang w:val="en-US" w:eastAsia="zh-CN"/>
              </w:rPr>
            </w:pPr>
          </w:p>
        </w:tc>
      </w:tr>
    </w:tbl>
    <w:p>
      <w:pPr>
        <w:widowControl w:val="0"/>
        <w:jc w:val="both"/>
        <w:rPr>
          <w:rFonts w:hint="eastAsia" w:ascii="黑体" w:hAnsi="黑体" w:eastAsia="黑体" w:cs="黑体"/>
          <w:b/>
          <w:bCs/>
          <w:color w:val="auto"/>
          <w:kern w:val="2"/>
          <w:sz w:val="24"/>
          <w:szCs w:val="24"/>
          <w:u w:val="none"/>
          <w:lang w:val="en-US" w:eastAsia="zh-CN" w:bidi="ar-SA"/>
        </w:rPr>
      </w:pPr>
    </w:p>
    <w:p>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pPr>
        <w:pStyle w:val="9"/>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8"/>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ascii="宋体" w:hAnsi="宋体"/>
                <w:kern w:val="0"/>
                <w:szCs w:val="21"/>
              </w:rPr>
            </w:pPr>
            <w:bookmarkStart w:id="62" w:name="_Hlk72092651"/>
            <w:r>
              <w:rPr>
                <w:rFonts w:hint="eastAsia" w:ascii="宋体" w:hAnsi="宋体"/>
                <w:kern w:val="0"/>
                <w:szCs w:val="21"/>
              </w:rPr>
              <w:t>序号</w:t>
            </w:r>
          </w:p>
        </w:tc>
        <w:tc>
          <w:tcPr>
            <w:tcW w:w="2664"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ascii="宋体" w:hAnsi="宋体"/>
                <w:kern w:val="0"/>
                <w:szCs w:val="21"/>
              </w:rPr>
            </w:pPr>
            <w:r>
              <w:rPr>
                <w:rFonts w:hint="eastAsia"/>
              </w:rPr>
              <w:t>说明</w:t>
            </w:r>
          </w:p>
        </w:tc>
      </w:tr>
      <w:bookmarkEnd w:id="6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pPr>
              <w:adjustRightInd w:val="0"/>
              <w:snapToGrid w:val="0"/>
              <w:spacing w:line="360" w:lineRule="auto"/>
              <w:rPr>
                <w:rFonts w:ascii="宋体" w:hAnsi="宋体"/>
                <w:kern w:val="0"/>
                <w:szCs w:val="21"/>
              </w:rPr>
            </w:pPr>
          </w:p>
        </w:tc>
        <w:tc>
          <w:tcPr>
            <w:tcW w:w="1842" w:type="dxa"/>
          </w:tcPr>
          <w:p>
            <w:pPr>
              <w:adjustRightInd w:val="0"/>
              <w:snapToGrid w:val="0"/>
              <w:spacing w:line="360" w:lineRule="auto"/>
              <w:rPr>
                <w:rFonts w:ascii="宋体" w:hAnsi="宋体"/>
                <w:kern w:val="0"/>
                <w:szCs w:val="21"/>
              </w:rPr>
            </w:pPr>
          </w:p>
        </w:tc>
        <w:tc>
          <w:tcPr>
            <w:tcW w:w="1418" w:type="dxa"/>
          </w:tcPr>
          <w:p>
            <w:pPr>
              <w:adjustRightInd w:val="0"/>
              <w:snapToGrid w:val="0"/>
              <w:spacing w:line="360" w:lineRule="auto"/>
              <w:rPr>
                <w:rFonts w:ascii="宋体" w:hAnsi="宋体"/>
                <w:kern w:val="0"/>
                <w:szCs w:val="21"/>
              </w:rPr>
            </w:pPr>
          </w:p>
        </w:tc>
      </w:tr>
    </w:tbl>
    <w:p>
      <w:pPr>
        <w:ind w:firstLine="482" w:firstLineChars="200"/>
        <w:rPr>
          <w:b/>
          <w:sz w:val="24"/>
          <w:szCs w:val="22"/>
        </w:rPr>
      </w:pPr>
    </w:p>
    <w:p>
      <w:pPr>
        <w:ind w:firstLine="482" w:firstLineChars="200"/>
        <w:rPr>
          <w:b/>
          <w:sz w:val="24"/>
          <w:szCs w:val="22"/>
        </w:rPr>
      </w:pPr>
      <w:r>
        <w:rPr>
          <w:rFonts w:hint="eastAsia"/>
          <w:b/>
          <w:sz w:val="24"/>
          <w:szCs w:val="22"/>
        </w:rPr>
        <w:t>注：1.上表所列各项均为不可负偏离条款。</w:t>
      </w:r>
    </w:p>
    <w:p>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pPr>
        <w:pStyle w:val="4"/>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55"/>
        <w:gridCol w:w="756"/>
        <w:gridCol w:w="4407"/>
        <w:gridCol w:w="756"/>
        <w:gridCol w:w="900"/>
        <w:gridCol w:w="7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468"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序号</w:t>
            </w:r>
          </w:p>
        </w:tc>
        <w:tc>
          <w:tcPr>
            <w:tcW w:w="468"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设备名称</w:t>
            </w:r>
          </w:p>
        </w:tc>
        <w:tc>
          <w:tcPr>
            <w:tcW w:w="265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技术参数要求</w:t>
            </w:r>
          </w:p>
        </w:tc>
        <w:tc>
          <w:tcPr>
            <w:tcW w:w="468"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投标技术响应</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偏离情况</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468"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468"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吧台</w:t>
            </w:r>
          </w:p>
        </w:tc>
        <w:tc>
          <w:tcPr>
            <w:tcW w:w="265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top"/>
          </w:tcPr>
          <w:p>
            <w:pPr>
              <w:keepNext w:val="0"/>
              <w:keepLines w:val="0"/>
              <w:widowControl/>
              <w:suppressLineNumbers w:val="0"/>
              <w:jc w:val="left"/>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1.尺寸：1400mmW*400mmD(±10%mm)</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265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top"/>
          </w:tcPr>
          <w:p>
            <w:pPr>
              <w:keepNext w:val="0"/>
              <w:keepLines w:val="0"/>
              <w:widowControl/>
              <w:suppressLineNumbers w:val="0"/>
              <w:jc w:val="left"/>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2.基材：采用22mm指接板制作，经防潮、防虫、防腐处理，抗弯力强，不易变形。</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468"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468"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实木单人床</w:t>
            </w:r>
          </w:p>
        </w:tc>
        <w:tc>
          <w:tcPr>
            <w:tcW w:w="265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top"/>
          </w:tcPr>
          <w:p>
            <w:pPr>
              <w:keepNext w:val="0"/>
              <w:keepLines w:val="0"/>
              <w:widowControl/>
              <w:suppressLineNumbers w:val="0"/>
              <w:jc w:val="left"/>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1.尺寸：2100mmW*1500mmD*950mmH(±10%mm)</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265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top"/>
          </w:tcPr>
          <w:p>
            <w:pPr>
              <w:keepNext w:val="0"/>
              <w:keepLines w:val="0"/>
              <w:widowControl/>
              <w:suppressLineNumbers w:val="0"/>
              <w:jc w:val="left"/>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2.基材：采用22mm指接板制作，经防潮、防虫、防腐处理，抗弯力强，不易变形；</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265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top"/>
          </w:tcPr>
          <w:p>
            <w:pPr>
              <w:keepNext w:val="0"/>
              <w:keepLines w:val="0"/>
              <w:widowControl/>
              <w:suppressLineNumbers w:val="0"/>
              <w:jc w:val="left"/>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3.清漆：采用开放油漆工艺；</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265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top"/>
          </w:tcPr>
          <w:p>
            <w:pPr>
              <w:keepNext w:val="0"/>
              <w:keepLines w:val="0"/>
              <w:widowControl/>
              <w:suppressLineNumbers w:val="0"/>
              <w:jc w:val="left"/>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r>
              <w:rPr>
                <w:rFonts w:ascii="Arial Narrow" w:hAnsi="Arial Narrow" w:eastAsia="Arial Narrow" w:cs="Arial Narrow"/>
                <w:i w:val="0"/>
                <w:color w:val="000000"/>
                <w:kern w:val="0"/>
                <w:sz w:val="21"/>
                <w:szCs w:val="21"/>
                <w:u w:val="none"/>
                <w:lang w:val="en-US" w:eastAsia="zh-CN" w:bidi="ar"/>
              </w:rPr>
              <w:t>4.</w:t>
            </w:r>
            <w:r>
              <w:rPr>
                <w:rFonts w:hint="eastAsia" w:ascii="宋体" w:hAnsi="宋体" w:eastAsia="宋体" w:cs="宋体"/>
                <w:i w:val="0"/>
                <w:color w:val="000000"/>
                <w:kern w:val="0"/>
                <w:sz w:val="21"/>
                <w:szCs w:val="21"/>
                <w:u w:val="none"/>
                <w:lang w:val="en-US" w:eastAsia="zh-CN" w:bidi="ar"/>
              </w:rPr>
              <w:t>实木床检测依据</w:t>
            </w:r>
            <w:r>
              <w:rPr>
                <w:rFonts w:ascii="Arial Narrow" w:hAnsi="Arial Narrow" w:eastAsia="Arial Narrow" w:cs="Arial Narrow"/>
                <w:i w:val="0"/>
                <w:color w:val="000000"/>
                <w:kern w:val="0"/>
                <w:sz w:val="21"/>
                <w:szCs w:val="21"/>
                <w:u w:val="none"/>
                <w:lang w:val="en-US" w:eastAsia="zh-CN" w:bidi="ar"/>
              </w:rPr>
              <w:t>GB/T35607-2017</w:t>
            </w:r>
            <w:r>
              <w:rPr>
                <w:rFonts w:hint="eastAsia" w:ascii="宋体" w:hAnsi="宋体" w:eastAsia="宋体" w:cs="宋体"/>
                <w:i w:val="0"/>
                <w:color w:val="000000"/>
                <w:kern w:val="0"/>
                <w:sz w:val="21"/>
                <w:szCs w:val="21"/>
                <w:u w:val="none"/>
                <w:lang w:val="en-US" w:eastAsia="zh-CN" w:bidi="ar"/>
              </w:rPr>
              <w:t>或</w:t>
            </w:r>
            <w:r>
              <w:rPr>
                <w:rFonts w:ascii="Arial Narrow" w:hAnsi="Arial Narrow" w:eastAsia="Arial Narrow" w:cs="Arial Narrow"/>
                <w:i w:val="0"/>
                <w:color w:val="000000"/>
                <w:kern w:val="0"/>
                <w:sz w:val="21"/>
                <w:szCs w:val="21"/>
                <w:u w:val="none"/>
                <w:lang w:val="en-US" w:eastAsia="zh-CN" w:bidi="ar"/>
              </w:rPr>
              <w:t>GB/T35607-2024</w:t>
            </w:r>
            <w:r>
              <w:rPr>
                <w:rFonts w:hint="eastAsia" w:ascii="宋体" w:hAnsi="宋体" w:eastAsia="宋体" w:cs="宋体"/>
                <w:i w:val="0"/>
                <w:color w:val="000000"/>
                <w:kern w:val="0"/>
                <w:sz w:val="21"/>
                <w:szCs w:val="21"/>
                <w:u w:val="none"/>
                <w:lang w:val="en-US" w:eastAsia="zh-CN" w:bidi="ar"/>
              </w:rPr>
              <w:t>；检测要求：涂层可迁移元素（铅（</w:t>
            </w:r>
            <w:r>
              <w:rPr>
                <w:rFonts w:ascii="Arial Narrow" w:hAnsi="Arial Narrow" w:eastAsia="Arial Narrow" w:cs="Arial Narrow"/>
                <w:i w:val="0"/>
                <w:color w:val="000000"/>
                <w:kern w:val="0"/>
                <w:sz w:val="21"/>
                <w:szCs w:val="21"/>
                <w:u w:val="none"/>
                <w:lang w:val="en-US" w:eastAsia="zh-CN" w:bidi="ar"/>
              </w:rPr>
              <w:t>Pb</w:t>
            </w:r>
            <w:r>
              <w:rPr>
                <w:rFonts w:hint="eastAsia" w:ascii="宋体" w:hAnsi="宋体" w:eastAsia="宋体" w:cs="宋体"/>
                <w:i w:val="0"/>
                <w:color w:val="000000"/>
                <w:kern w:val="0"/>
                <w:sz w:val="21"/>
                <w:szCs w:val="21"/>
                <w:u w:val="none"/>
                <w:lang w:val="en-US" w:eastAsia="zh-CN" w:bidi="ar"/>
              </w:rPr>
              <w:t>）、镉（</w:t>
            </w:r>
            <w:r>
              <w:rPr>
                <w:rFonts w:ascii="Arial Narrow" w:hAnsi="Arial Narrow" w:eastAsia="Arial Narrow" w:cs="Arial Narrow"/>
                <w:i w:val="0"/>
                <w:color w:val="000000"/>
                <w:kern w:val="0"/>
                <w:sz w:val="21"/>
                <w:szCs w:val="21"/>
                <w:u w:val="none"/>
                <w:lang w:val="en-US" w:eastAsia="zh-CN" w:bidi="ar"/>
              </w:rPr>
              <w:t>Cd</w:t>
            </w:r>
            <w:r>
              <w:rPr>
                <w:rFonts w:hint="eastAsia" w:ascii="宋体" w:hAnsi="宋体" w:eastAsia="宋体" w:cs="宋体"/>
                <w:i w:val="0"/>
                <w:color w:val="000000"/>
                <w:kern w:val="0"/>
                <w:sz w:val="21"/>
                <w:szCs w:val="21"/>
                <w:u w:val="none"/>
                <w:lang w:val="en-US" w:eastAsia="zh-CN" w:bidi="ar"/>
              </w:rPr>
              <w:t>）、铬（</w:t>
            </w:r>
            <w:r>
              <w:rPr>
                <w:rFonts w:ascii="Arial Narrow" w:hAnsi="Arial Narrow" w:eastAsia="Arial Narrow" w:cs="Arial Narrow"/>
                <w:i w:val="0"/>
                <w:color w:val="000000"/>
                <w:kern w:val="0"/>
                <w:sz w:val="21"/>
                <w:szCs w:val="21"/>
                <w:u w:val="none"/>
                <w:lang w:val="en-US" w:eastAsia="zh-CN" w:bidi="ar"/>
              </w:rPr>
              <w:t>Cr</w:t>
            </w:r>
            <w:r>
              <w:rPr>
                <w:rFonts w:hint="eastAsia" w:ascii="宋体" w:hAnsi="宋体" w:eastAsia="宋体" w:cs="宋体"/>
                <w:i w:val="0"/>
                <w:color w:val="000000"/>
                <w:kern w:val="0"/>
                <w:sz w:val="21"/>
                <w:szCs w:val="21"/>
                <w:u w:val="none"/>
                <w:lang w:val="en-US" w:eastAsia="zh-CN" w:bidi="ar"/>
              </w:rPr>
              <w:t>）、汞（</w:t>
            </w:r>
            <w:r>
              <w:rPr>
                <w:rFonts w:ascii="Arial Narrow" w:hAnsi="Arial Narrow" w:eastAsia="Arial Narrow" w:cs="Arial Narrow"/>
                <w:i w:val="0"/>
                <w:color w:val="000000"/>
                <w:kern w:val="0"/>
                <w:sz w:val="21"/>
                <w:szCs w:val="21"/>
                <w:u w:val="none"/>
                <w:lang w:val="en-US" w:eastAsia="zh-CN" w:bidi="ar"/>
              </w:rPr>
              <w:t>Hg</w:t>
            </w:r>
            <w:r>
              <w:rPr>
                <w:rFonts w:hint="eastAsia" w:ascii="宋体" w:hAnsi="宋体" w:eastAsia="宋体" w:cs="宋体"/>
                <w:i w:val="0"/>
                <w:color w:val="000000"/>
                <w:kern w:val="0"/>
                <w:sz w:val="21"/>
                <w:szCs w:val="21"/>
                <w:u w:val="none"/>
                <w:lang w:val="en-US" w:eastAsia="zh-CN" w:bidi="ar"/>
              </w:rPr>
              <w:t>）、锑（</w:t>
            </w:r>
            <w:r>
              <w:rPr>
                <w:rFonts w:ascii="Arial Narrow" w:hAnsi="Arial Narrow" w:eastAsia="Arial Narrow" w:cs="Arial Narrow"/>
                <w:i w:val="0"/>
                <w:color w:val="000000"/>
                <w:kern w:val="0"/>
                <w:sz w:val="21"/>
                <w:szCs w:val="21"/>
                <w:u w:val="none"/>
                <w:lang w:val="en-US" w:eastAsia="zh-CN" w:bidi="ar"/>
              </w:rPr>
              <w:t>Sb</w:t>
            </w:r>
            <w:r>
              <w:rPr>
                <w:rFonts w:hint="eastAsia" w:ascii="宋体" w:hAnsi="宋体" w:eastAsia="宋体" w:cs="宋体"/>
                <w:i w:val="0"/>
                <w:color w:val="000000"/>
                <w:kern w:val="0"/>
                <w:sz w:val="21"/>
                <w:szCs w:val="21"/>
                <w:u w:val="none"/>
                <w:lang w:val="en-US" w:eastAsia="zh-CN" w:bidi="ar"/>
              </w:rPr>
              <w:t>）、钡（</w:t>
            </w:r>
            <w:r>
              <w:rPr>
                <w:rFonts w:ascii="Arial Narrow" w:hAnsi="Arial Narrow" w:eastAsia="Arial Narrow" w:cs="Arial Narrow"/>
                <w:i w:val="0"/>
                <w:color w:val="000000"/>
                <w:kern w:val="0"/>
                <w:sz w:val="21"/>
                <w:szCs w:val="21"/>
                <w:u w:val="none"/>
                <w:lang w:val="en-US" w:eastAsia="zh-CN" w:bidi="ar"/>
              </w:rPr>
              <w:t>Ba</w:t>
            </w:r>
            <w:r>
              <w:rPr>
                <w:rFonts w:hint="eastAsia" w:ascii="宋体" w:hAnsi="宋体" w:eastAsia="宋体" w:cs="宋体"/>
                <w:i w:val="0"/>
                <w:color w:val="000000"/>
                <w:kern w:val="0"/>
                <w:sz w:val="21"/>
                <w:szCs w:val="21"/>
                <w:u w:val="none"/>
                <w:lang w:val="en-US" w:eastAsia="zh-CN" w:bidi="ar"/>
              </w:rPr>
              <w:t>）、硒（</w:t>
            </w:r>
            <w:r>
              <w:rPr>
                <w:rFonts w:ascii="Arial Narrow" w:hAnsi="Arial Narrow" w:eastAsia="Arial Narrow" w:cs="Arial Narrow"/>
                <w:i w:val="0"/>
                <w:color w:val="000000"/>
                <w:kern w:val="0"/>
                <w:sz w:val="21"/>
                <w:szCs w:val="21"/>
                <w:u w:val="none"/>
                <w:lang w:val="en-US" w:eastAsia="zh-CN" w:bidi="ar"/>
              </w:rPr>
              <w:t>Se</w:t>
            </w:r>
            <w:r>
              <w:rPr>
                <w:rFonts w:hint="eastAsia" w:ascii="宋体" w:hAnsi="宋体" w:eastAsia="宋体" w:cs="宋体"/>
                <w:i w:val="0"/>
                <w:color w:val="000000"/>
                <w:kern w:val="0"/>
                <w:sz w:val="21"/>
                <w:szCs w:val="21"/>
                <w:u w:val="none"/>
                <w:lang w:val="en-US" w:eastAsia="zh-CN" w:bidi="ar"/>
              </w:rPr>
              <w:t>）、砷（</w:t>
            </w:r>
            <w:r>
              <w:rPr>
                <w:rFonts w:ascii="Arial Narrow" w:hAnsi="Arial Narrow" w:eastAsia="Arial Narrow" w:cs="Arial Narrow"/>
                <w:i w:val="0"/>
                <w:color w:val="000000"/>
                <w:kern w:val="0"/>
                <w:sz w:val="21"/>
                <w:szCs w:val="21"/>
                <w:u w:val="none"/>
                <w:lang w:val="en-US" w:eastAsia="zh-CN" w:bidi="ar"/>
              </w:rPr>
              <w:t>As</w:t>
            </w:r>
            <w:r>
              <w:rPr>
                <w:rFonts w:hint="eastAsia" w:ascii="宋体" w:hAnsi="宋体" w:eastAsia="宋体" w:cs="宋体"/>
                <w:i w:val="0"/>
                <w:color w:val="000000"/>
                <w:kern w:val="0"/>
                <w:sz w:val="21"/>
                <w:szCs w:val="21"/>
                <w:u w:val="none"/>
                <w:lang w:val="en-US" w:eastAsia="zh-CN" w:bidi="ar"/>
              </w:rPr>
              <w:t>））、单项结论均符合；挥发性有机化合物：苯≤</w:t>
            </w:r>
            <w:r>
              <w:rPr>
                <w:rFonts w:ascii="Arial Narrow" w:hAnsi="Arial Narrow" w:eastAsia="Arial Narrow" w:cs="Arial Narrow"/>
                <w:i w:val="0"/>
                <w:color w:val="000000"/>
                <w:kern w:val="0"/>
                <w:sz w:val="21"/>
                <w:szCs w:val="21"/>
                <w:u w:val="none"/>
                <w:lang w:val="en-US" w:eastAsia="zh-CN" w:bidi="ar"/>
              </w:rPr>
              <w:t>0.005mg/m</w:t>
            </w:r>
            <w:r>
              <w:rPr>
                <w:rFonts w:hint="eastAsia" w:ascii="宋体" w:hAnsi="宋体" w:eastAsia="宋体" w:cs="宋体"/>
                <w:i w:val="0"/>
                <w:color w:val="000000"/>
                <w:kern w:val="0"/>
                <w:sz w:val="21"/>
                <w:szCs w:val="21"/>
                <w:u w:val="none"/>
                <w:lang w:val="en-US" w:eastAsia="zh-CN" w:bidi="ar"/>
              </w:rPr>
              <w:t>³、甲苯≤</w:t>
            </w:r>
            <w:r>
              <w:rPr>
                <w:rFonts w:ascii="Arial Narrow" w:hAnsi="Arial Narrow" w:eastAsia="Arial Narrow" w:cs="Arial Narrow"/>
                <w:i w:val="0"/>
                <w:color w:val="000000"/>
                <w:kern w:val="0"/>
                <w:sz w:val="21"/>
                <w:szCs w:val="21"/>
                <w:u w:val="none"/>
                <w:lang w:val="en-US" w:eastAsia="zh-CN" w:bidi="ar"/>
              </w:rPr>
              <w:t>0.005mg/m</w:t>
            </w:r>
            <w:r>
              <w:rPr>
                <w:rFonts w:hint="eastAsia" w:ascii="宋体" w:hAnsi="宋体" w:eastAsia="宋体" w:cs="宋体"/>
                <w:i w:val="0"/>
                <w:color w:val="000000"/>
                <w:kern w:val="0"/>
                <w:sz w:val="21"/>
                <w:szCs w:val="21"/>
                <w:u w:val="none"/>
                <w:lang w:val="en-US" w:eastAsia="zh-CN" w:bidi="ar"/>
              </w:rPr>
              <w:t>³、二甲苯≤</w:t>
            </w:r>
            <w:r>
              <w:rPr>
                <w:rFonts w:ascii="Arial Narrow" w:hAnsi="Arial Narrow" w:eastAsia="Arial Narrow" w:cs="Arial Narrow"/>
                <w:i w:val="0"/>
                <w:color w:val="000000"/>
                <w:kern w:val="0"/>
                <w:sz w:val="21"/>
                <w:szCs w:val="21"/>
                <w:u w:val="none"/>
                <w:lang w:val="en-US" w:eastAsia="zh-CN" w:bidi="ar"/>
              </w:rPr>
              <w:t>0.005mg/m</w:t>
            </w:r>
            <w:r>
              <w:rPr>
                <w:rFonts w:hint="eastAsia" w:ascii="宋体" w:hAnsi="宋体" w:eastAsia="宋体" w:cs="宋体"/>
                <w:i w:val="0"/>
                <w:color w:val="000000"/>
                <w:kern w:val="0"/>
                <w:sz w:val="21"/>
                <w:szCs w:val="21"/>
                <w:u w:val="none"/>
                <w:lang w:val="en-US" w:eastAsia="zh-CN" w:bidi="ar"/>
              </w:rPr>
              <w:t>³、</w:t>
            </w:r>
            <w:r>
              <w:rPr>
                <w:rFonts w:ascii="Arial Narrow" w:hAnsi="Arial Narrow" w:eastAsia="Arial Narrow" w:cs="Arial Narrow"/>
                <w:i w:val="0"/>
                <w:color w:val="000000"/>
                <w:kern w:val="0"/>
                <w:sz w:val="21"/>
                <w:szCs w:val="21"/>
                <w:u w:val="none"/>
                <w:lang w:val="en-US" w:eastAsia="zh-CN" w:bidi="ar"/>
              </w:rPr>
              <w:t>TVOC</w:t>
            </w:r>
            <w:r>
              <w:rPr>
                <w:rFonts w:hint="eastAsia" w:ascii="宋体" w:hAnsi="宋体" w:eastAsia="宋体" w:cs="宋体"/>
                <w:i w:val="0"/>
                <w:color w:val="000000"/>
                <w:kern w:val="0"/>
                <w:sz w:val="21"/>
                <w:szCs w:val="21"/>
                <w:u w:val="none"/>
                <w:lang w:val="en-US" w:eastAsia="zh-CN" w:bidi="ar"/>
              </w:rPr>
              <w:t>≤</w:t>
            </w:r>
            <w:r>
              <w:rPr>
                <w:rFonts w:ascii="Arial Narrow" w:hAnsi="Arial Narrow" w:eastAsia="Arial Narrow" w:cs="Arial Narrow"/>
                <w:i w:val="0"/>
                <w:color w:val="000000"/>
                <w:kern w:val="0"/>
                <w:sz w:val="21"/>
                <w:szCs w:val="21"/>
                <w:u w:val="none"/>
                <w:lang w:val="en-US" w:eastAsia="zh-CN" w:bidi="ar"/>
              </w:rPr>
              <w:t>0.08mg/m</w:t>
            </w:r>
            <w:r>
              <w:rPr>
                <w:rFonts w:hint="eastAsia" w:ascii="宋体" w:hAnsi="宋体" w:eastAsia="宋体" w:cs="宋体"/>
                <w:i w:val="0"/>
                <w:color w:val="000000"/>
                <w:kern w:val="0"/>
                <w:sz w:val="21"/>
                <w:szCs w:val="21"/>
                <w:u w:val="none"/>
                <w:lang w:val="en-US" w:eastAsia="zh-CN" w:bidi="ar"/>
              </w:rPr>
              <w:t>³；甲醛释放量≤</w:t>
            </w:r>
            <w:r>
              <w:rPr>
                <w:rFonts w:ascii="Arial Narrow" w:hAnsi="Arial Narrow" w:eastAsia="Arial Narrow" w:cs="Arial Narrow"/>
                <w:i w:val="0"/>
                <w:color w:val="000000"/>
                <w:kern w:val="0"/>
                <w:sz w:val="21"/>
                <w:szCs w:val="21"/>
                <w:u w:val="none"/>
                <w:lang w:val="en-US" w:eastAsia="zh-CN" w:bidi="ar"/>
              </w:rPr>
              <w:t>0.01mg/m</w:t>
            </w:r>
            <w:r>
              <w:rPr>
                <w:rFonts w:hint="eastAsia" w:ascii="宋体" w:hAnsi="宋体" w:eastAsia="宋体" w:cs="宋体"/>
                <w:i w:val="0"/>
                <w:color w:val="000000"/>
                <w:kern w:val="0"/>
                <w:sz w:val="21"/>
                <w:szCs w:val="21"/>
                <w:u w:val="none"/>
                <w:lang w:val="en-US" w:eastAsia="zh-CN" w:bidi="ar"/>
              </w:rPr>
              <w:t>³。【</w:t>
            </w:r>
            <w:r>
              <w:rPr>
                <w:rFonts w:hint="eastAsia" w:ascii="宋体" w:hAnsi="宋体" w:eastAsia="宋体" w:cs="宋体"/>
                <w:i w:val="0"/>
                <w:color w:val="0000FF"/>
                <w:kern w:val="0"/>
                <w:sz w:val="21"/>
                <w:szCs w:val="21"/>
                <w:u w:val="none"/>
                <w:lang w:val="en-US" w:eastAsia="zh-CN" w:bidi="ar"/>
              </w:rPr>
              <w:t>投标时同时提供：①由第三方检验检测机构出具并加盖（或带有）</w:t>
            </w:r>
            <w:r>
              <w:rPr>
                <w:rFonts w:hint="default" w:ascii="Arial Narrow" w:hAnsi="Arial Narrow" w:eastAsia="Arial Narrow" w:cs="Arial Narrow"/>
                <w:i w:val="0"/>
                <w:color w:val="0000FF"/>
                <w:kern w:val="0"/>
                <w:sz w:val="21"/>
                <w:szCs w:val="21"/>
                <w:u w:val="none"/>
                <w:lang w:val="en-US" w:eastAsia="zh-CN" w:bidi="ar"/>
              </w:rPr>
              <w:t>CMA</w:t>
            </w:r>
            <w:r>
              <w:rPr>
                <w:rFonts w:hint="eastAsia" w:ascii="宋体" w:hAnsi="宋体" w:eastAsia="宋体" w:cs="宋体"/>
                <w:i w:val="0"/>
                <w:color w:val="0000FF"/>
                <w:kern w:val="0"/>
                <w:sz w:val="21"/>
                <w:szCs w:val="21"/>
                <w:u w:val="none"/>
                <w:lang w:val="en-US" w:eastAsia="zh-CN" w:bidi="ar"/>
              </w:rPr>
              <w:t>及</w:t>
            </w:r>
            <w:r>
              <w:rPr>
                <w:rFonts w:hint="default" w:ascii="Arial Narrow" w:hAnsi="Arial Narrow" w:eastAsia="Arial Narrow" w:cs="Arial Narrow"/>
                <w:i w:val="0"/>
                <w:color w:val="0000FF"/>
                <w:kern w:val="0"/>
                <w:sz w:val="21"/>
                <w:szCs w:val="21"/>
                <w:u w:val="none"/>
                <w:lang w:val="en-US" w:eastAsia="zh-CN" w:bidi="ar"/>
              </w:rPr>
              <w:t>CNAS</w:t>
            </w:r>
            <w:r>
              <w:rPr>
                <w:rFonts w:hint="eastAsia" w:ascii="宋体" w:hAnsi="宋体" w:eastAsia="宋体" w:cs="宋体"/>
                <w:i w:val="0"/>
                <w:color w:val="0000FF"/>
                <w:kern w:val="0"/>
                <w:sz w:val="21"/>
                <w:szCs w:val="21"/>
                <w:u w:val="none"/>
                <w:lang w:val="en-US" w:eastAsia="zh-CN" w:bidi="ar"/>
              </w:rPr>
              <w:t>标志的检验检测报告扫描件，原件备查；②上述检验检测报告在全国认证认可信息公共服务平台（认</w:t>
            </w:r>
            <w:r>
              <w:rPr>
                <w:rFonts w:hint="default" w:ascii="Arial Narrow" w:hAnsi="Arial Narrow" w:eastAsia="Arial Narrow" w:cs="Arial Narrow"/>
                <w:i w:val="0"/>
                <w:color w:val="0000FF"/>
                <w:kern w:val="0"/>
                <w:sz w:val="21"/>
                <w:szCs w:val="21"/>
                <w:u w:val="none"/>
                <w:lang w:val="en-US" w:eastAsia="zh-CN" w:bidi="ar"/>
              </w:rPr>
              <w:t>e</w:t>
            </w:r>
            <w:r>
              <w:rPr>
                <w:rFonts w:hint="eastAsia" w:ascii="宋体" w:hAnsi="宋体" w:eastAsia="宋体" w:cs="宋体"/>
                <w:i w:val="0"/>
                <w:color w:val="0000FF"/>
                <w:kern w:val="0"/>
                <w:sz w:val="21"/>
                <w:szCs w:val="21"/>
                <w:u w:val="none"/>
                <w:lang w:val="en-US" w:eastAsia="zh-CN" w:bidi="ar"/>
              </w:rPr>
              <w:t>云）（</w:t>
            </w:r>
            <w:r>
              <w:rPr>
                <w:rFonts w:hint="default" w:ascii="Arial Narrow" w:hAnsi="Arial Narrow" w:eastAsia="Arial Narrow" w:cs="Arial Narrow"/>
                <w:i w:val="0"/>
                <w:color w:val="0000FF"/>
                <w:kern w:val="0"/>
                <w:sz w:val="21"/>
                <w:szCs w:val="21"/>
                <w:u w:val="none"/>
                <w:lang w:val="en-US" w:eastAsia="zh-CN" w:bidi="ar"/>
              </w:rPr>
              <w:t>http://cx.cnca.cn/</w:t>
            </w:r>
            <w:r>
              <w:rPr>
                <w:rFonts w:hint="eastAsia" w:ascii="宋体" w:hAnsi="宋体" w:eastAsia="宋体" w:cs="宋体"/>
                <w:i w:val="0"/>
                <w:color w:val="0000FF"/>
                <w:kern w:val="0"/>
                <w:sz w:val="21"/>
                <w:szCs w:val="21"/>
                <w:u w:val="none"/>
                <w:lang w:val="en-US" w:eastAsia="zh-CN" w:bidi="ar"/>
              </w:rPr>
              <w:t>）的信息查询记录截图。注：对应参数（检验检测项）在检验检测报告中进行标注；检验检测报告出具的时间应在本项目投标截止日前3年内；如检验检测报告中明确备注说明相关检验检测项不在检验检测机构</w:t>
            </w:r>
            <w:r>
              <w:rPr>
                <w:rFonts w:hint="default" w:ascii="Arial Narrow" w:hAnsi="Arial Narrow" w:eastAsia="Arial Narrow" w:cs="Arial Narrow"/>
                <w:i w:val="0"/>
                <w:color w:val="0000FF"/>
                <w:kern w:val="0"/>
                <w:sz w:val="21"/>
                <w:szCs w:val="21"/>
                <w:u w:val="none"/>
                <w:lang w:val="en-US" w:eastAsia="zh-CN" w:bidi="ar"/>
              </w:rPr>
              <w:t>CMA</w:t>
            </w:r>
            <w:r>
              <w:rPr>
                <w:rFonts w:hint="eastAsia" w:ascii="宋体" w:hAnsi="宋体" w:eastAsia="宋体" w:cs="宋体"/>
                <w:i w:val="0"/>
                <w:color w:val="0000FF"/>
                <w:kern w:val="0"/>
                <w:sz w:val="21"/>
                <w:szCs w:val="21"/>
                <w:u w:val="none"/>
                <w:lang w:val="en-US" w:eastAsia="zh-CN" w:bidi="ar"/>
              </w:rPr>
              <w:t>或</w:t>
            </w:r>
            <w:r>
              <w:rPr>
                <w:rFonts w:hint="default" w:ascii="Arial Narrow" w:hAnsi="Arial Narrow" w:eastAsia="Arial Narrow" w:cs="Arial Narrow"/>
                <w:i w:val="0"/>
                <w:color w:val="0000FF"/>
                <w:kern w:val="0"/>
                <w:sz w:val="21"/>
                <w:szCs w:val="21"/>
                <w:u w:val="none"/>
                <w:lang w:val="en-US" w:eastAsia="zh-CN" w:bidi="ar"/>
              </w:rPr>
              <w:t>CNAS</w:t>
            </w:r>
            <w:r>
              <w:rPr>
                <w:rFonts w:hint="eastAsia" w:ascii="宋体" w:hAnsi="宋体" w:eastAsia="宋体" w:cs="宋体"/>
                <w:i w:val="0"/>
                <w:color w:val="0000FF"/>
                <w:kern w:val="0"/>
                <w:sz w:val="21"/>
                <w:szCs w:val="21"/>
                <w:u w:val="none"/>
                <w:lang w:val="en-US" w:eastAsia="zh-CN" w:bidi="ar"/>
              </w:rPr>
              <w:t>资质许可（认定）范围内的，不符合招标文件要求。</w:t>
            </w:r>
            <w:r>
              <w:rPr>
                <w:rFonts w:hint="eastAsia" w:ascii="宋体" w:hAnsi="宋体" w:eastAsia="宋体" w:cs="宋体"/>
                <w:i w:val="0"/>
                <w:color w:val="000000"/>
                <w:kern w:val="0"/>
                <w:sz w:val="21"/>
                <w:szCs w:val="21"/>
                <w:u w:val="none"/>
                <w:lang w:val="en-US" w:eastAsia="zh-CN" w:bidi="ar"/>
              </w:rPr>
              <w:t>】</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468"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468"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床垫</w:t>
            </w:r>
          </w:p>
        </w:tc>
        <w:tc>
          <w:tcPr>
            <w:tcW w:w="265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1.尺寸：2000mmW*1500mmD*200mmH(±10%mm)</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265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2.面料：提取棉、麻、竹纺织而成；</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265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3.床垫：弹簧针织面料；</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265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▲4.床垫检测依据：QB/T1952.2-2011或QB/T1952.2-2023《软体家具 弹簧软床垫》；检测要求：尺寸偏差、床垫铺面对角线偏差，面料，铺面、边面缝纫，缝边，单项评价合格；面料物理性能：面料耐干摩擦色牢度≥4级；铺垫料物理性能毡垫：化纤（棉）毡强度≥10N/cm；铺垫料物理性能软质聚氨酯泡沫塑料：其他回弹率≥36%；其他拉伸强度≥115KPa；卫生、安全，弹簧，耐久性，标志，使用说明单项评价合格。【</w:t>
            </w:r>
            <w:r>
              <w:rPr>
                <w:rFonts w:hint="eastAsia" w:ascii="宋体" w:hAnsi="宋体" w:eastAsia="宋体" w:cs="宋体"/>
                <w:i w:val="0"/>
                <w:color w:val="0000FF"/>
                <w:kern w:val="0"/>
                <w:sz w:val="21"/>
                <w:szCs w:val="21"/>
                <w:u w:val="none"/>
                <w:lang w:val="en-US" w:eastAsia="zh-CN" w:bidi="ar"/>
              </w:rPr>
              <w:t>投标时同时提供：①由第三方检验检测机构出具并加盖（或带有）</w:t>
            </w:r>
            <w:r>
              <w:rPr>
                <w:rFonts w:hint="default" w:ascii="Times New Roman" w:hAnsi="Times New Roman" w:eastAsia="宋体" w:cs="Times New Roman"/>
                <w:i w:val="0"/>
                <w:color w:val="0000FF"/>
                <w:kern w:val="0"/>
                <w:sz w:val="21"/>
                <w:szCs w:val="21"/>
                <w:u w:val="none"/>
                <w:lang w:val="en-US" w:eastAsia="zh-CN" w:bidi="ar"/>
              </w:rPr>
              <w:t>CMA</w:t>
            </w:r>
            <w:r>
              <w:rPr>
                <w:rFonts w:hint="eastAsia" w:ascii="宋体" w:hAnsi="宋体" w:eastAsia="宋体" w:cs="宋体"/>
                <w:i w:val="0"/>
                <w:color w:val="0000FF"/>
                <w:kern w:val="0"/>
                <w:sz w:val="21"/>
                <w:szCs w:val="21"/>
                <w:u w:val="none"/>
                <w:lang w:val="en-US" w:eastAsia="zh-CN" w:bidi="ar"/>
              </w:rPr>
              <w:t>及</w:t>
            </w:r>
            <w:r>
              <w:rPr>
                <w:rFonts w:hint="default" w:ascii="Times New Roman" w:hAnsi="Times New Roman" w:eastAsia="宋体" w:cs="Times New Roman"/>
                <w:i w:val="0"/>
                <w:color w:val="0000FF"/>
                <w:kern w:val="0"/>
                <w:sz w:val="21"/>
                <w:szCs w:val="21"/>
                <w:u w:val="none"/>
                <w:lang w:val="en-US" w:eastAsia="zh-CN" w:bidi="ar"/>
              </w:rPr>
              <w:t>CNAS</w:t>
            </w:r>
            <w:r>
              <w:rPr>
                <w:rFonts w:hint="eastAsia" w:ascii="宋体" w:hAnsi="宋体" w:eastAsia="宋体" w:cs="宋体"/>
                <w:i w:val="0"/>
                <w:color w:val="0000FF"/>
                <w:kern w:val="0"/>
                <w:sz w:val="21"/>
                <w:szCs w:val="21"/>
                <w:u w:val="none"/>
                <w:lang w:val="en-US" w:eastAsia="zh-CN" w:bidi="ar"/>
              </w:rPr>
              <w:t>标志的检验检测报告扫描件，原件备查；②上述检验检测报告在全国认证认可信息公共服务平台（认</w:t>
            </w:r>
            <w:r>
              <w:rPr>
                <w:rFonts w:hint="default" w:ascii="Times New Roman" w:hAnsi="Times New Roman" w:eastAsia="宋体" w:cs="Times New Roman"/>
                <w:i w:val="0"/>
                <w:color w:val="0000FF"/>
                <w:kern w:val="0"/>
                <w:sz w:val="21"/>
                <w:szCs w:val="21"/>
                <w:u w:val="none"/>
                <w:lang w:val="en-US" w:eastAsia="zh-CN" w:bidi="ar"/>
              </w:rPr>
              <w:t>e</w:t>
            </w:r>
            <w:r>
              <w:rPr>
                <w:rFonts w:hint="eastAsia" w:ascii="宋体" w:hAnsi="宋体" w:eastAsia="宋体" w:cs="宋体"/>
                <w:i w:val="0"/>
                <w:color w:val="0000FF"/>
                <w:kern w:val="0"/>
                <w:sz w:val="21"/>
                <w:szCs w:val="21"/>
                <w:u w:val="none"/>
                <w:lang w:val="en-US" w:eastAsia="zh-CN" w:bidi="ar"/>
              </w:rPr>
              <w:t>云）（</w:t>
            </w:r>
            <w:r>
              <w:rPr>
                <w:rFonts w:hint="default" w:ascii="Times New Roman" w:hAnsi="Times New Roman" w:eastAsia="宋体" w:cs="Times New Roman"/>
                <w:i w:val="0"/>
                <w:color w:val="0000FF"/>
                <w:kern w:val="0"/>
                <w:sz w:val="21"/>
                <w:szCs w:val="21"/>
                <w:u w:val="none"/>
                <w:lang w:val="en-US" w:eastAsia="zh-CN" w:bidi="ar"/>
              </w:rPr>
              <w:t>http://cx.cnca.cn/</w:t>
            </w:r>
            <w:r>
              <w:rPr>
                <w:rFonts w:hint="eastAsia" w:ascii="宋体" w:hAnsi="宋体" w:eastAsia="宋体" w:cs="宋体"/>
                <w:i w:val="0"/>
                <w:color w:val="0000FF"/>
                <w:kern w:val="0"/>
                <w:sz w:val="21"/>
                <w:szCs w:val="21"/>
                <w:u w:val="none"/>
                <w:lang w:val="en-US" w:eastAsia="zh-CN" w:bidi="ar"/>
              </w:rPr>
              <w:t>）的信息查询记录截图。注：对应参数（检验检测项）在检验检测报告中进行标注；检验检测报告出具的时间应在本项目投标截止日前1年内；如检验检测报告中明确备注说明相关检验检测项不在检验检测机构</w:t>
            </w:r>
            <w:r>
              <w:rPr>
                <w:rFonts w:hint="default" w:ascii="Times New Roman" w:hAnsi="Times New Roman" w:eastAsia="宋体" w:cs="Times New Roman"/>
                <w:i w:val="0"/>
                <w:color w:val="0000FF"/>
                <w:kern w:val="0"/>
                <w:sz w:val="21"/>
                <w:szCs w:val="21"/>
                <w:u w:val="none"/>
                <w:lang w:val="en-US" w:eastAsia="zh-CN" w:bidi="ar"/>
              </w:rPr>
              <w:t>CMA</w:t>
            </w:r>
            <w:r>
              <w:rPr>
                <w:rFonts w:hint="eastAsia" w:ascii="宋体" w:hAnsi="宋体" w:eastAsia="宋体" w:cs="宋体"/>
                <w:i w:val="0"/>
                <w:color w:val="0000FF"/>
                <w:kern w:val="0"/>
                <w:sz w:val="21"/>
                <w:szCs w:val="21"/>
                <w:u w:val="none"/>
                <w:lang w:val="en-US" w:eastAsia="zh-CN" w:bidi="ar"/>
              </w:rPr>
              <w:t>或</w:t>
            </w:r>
            <w:r>
              <w:rPr>
                <w:rFonts w:hint="default" w:ascii="Times New Roman" w:hAnsi="Times New Roman" w:eastAsia="宋体" w:cs="Times New Roman"/>
                <w:i w:val="0"/>
                <w:color w:val="0000FF"/>
                <w:kern w:val="0"/>
                <w:sz w:val="21"/>
                <w:szCs w:val="21"/>
                <w:u w:val="none"/>
                <w:lang w:val="en-US" w:eastAsia="zh-CN" w:bidi="ar"/>
              </w:rPr>
              <w:t>CNAS</w:t>
            </w:r>
            <w:r>
              <w:rPr>
                <w:rFonts w:hint="eastAsia" w:ascii="宋体" w:hAnsi="宋体" w:eastAsia="宋体" w:cs="宋体"/>
                <w:i w:val="0"/>
                <w:color w:val="0000FF"/>
                <w:kern w:val="0"/>
                <w:sz w:val="21"/>
                <w:szCs w:val="21"/>
                <w:u w:val="none"/>
                <w:lang w:val="en-US" w:eastAsia="zh-CN" w:bidi="ar"/>
              </w:rPr>
              <w:t>资质许可（认定）范围内的，不符合招标文件要求。】</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468"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468"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写字桌</w:t>
            </w:r>
          </w:p>
        </w:tc>
        <w:tc>
          <w:tcPr>
            <w:tcW w:w="265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1.尺寸：900mmW*600mmD*730mmH(±10%mm)</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265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2.基材：采用22mm指接板制作，经防潮、防虫、防腐处理，抗弯力强，不易变形；</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468"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468"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折叠椅</w:t>
            </w:r>
          </w:p>
        </w:tc>
        <w:tc>
          <w:tcPr>
            <w:tcW w:w="265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1.尺寸：450mmw*500mmD*700mmH(±10%mm)</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265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2.椅架：实木，经防潮、防虫、防腐处理，抗弯力强，不易变形；</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265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3.油漆：环保油漆，开放油漆工艺，色泽一致，厚度均匀，交货时，表面油漆干透。</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265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4.坐垫：采用麻绒坐垫。</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468"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468"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窗帘</w:t>
            </w:r>
          </w:p>
        </w:tc>
        <w:tc>
          <w:tcPr>
            <w:tcW w:w="265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1.面料：由棉麻、棉、绦组成，遮光静音隔热，不缩水，不褪色，颜色由学校选定。</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265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2.含窗帘杆.布头勾等安装铺材</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468"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468"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洗衣机</w:t>
            </w:r>
          </w:p>
        </w:tc>
        <w:tc>
          <w:tcPr>
            <w:tcW w:w="265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1.尺寸：500mmw*500mmD*850mmH(±10%mm)</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265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2.基材：镀锌钢板、内桶不锈钢，颜色由学校选定。</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468"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468"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衣柜</w:t>
            </w:r>
          </w:p>
        </w:tc>
        <w:tc>
          <w:tcPr>
            <w:tcW w:w="265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1.尺寸：1400mmW*600mmD*2800(±10%mm)</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265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2.基材：采用18mm多层板，经防潮、防虫、防腐处理，抗弯力强，不易变形。</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265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实木多层板检测依据：GB/T34722-2017浸渍胶膜纸饰面胶合板和细木工板；检测要求：含水率8~10%、表面胶合强度≥1.20MPa、表面耐划痕:≥1.5N表面无大于90%的连续划痕、表面耐磨：磨耗值≤80mg/100r，表面情况：磨350r以后应无露底现象；表面耐冷热循环：无裂纹、鼓泡、变色、起皱等、表面耐龟裂≥5级，表面耐水蒸气≥4级。甲醛释放限量≤0.02mg/m³。【</w:t>
            </w:r>
            <w:r>
              <w:rPr>
                <w:rFonts w:hint="eastAsia" w:ascii="宋体" w:hAnsi="宋体" w:eastAsia="宋体" w:cs="宋体"/>
                <w:i w:val="0"/>
                <w:color w:val="0000FF"/>
                <w:kern w:val="0"/>
                <w:sz w:val="21"/>
                <w:szCs w:val="21"/>
                <w:u w:val="none"/>
                <w:lang w:val="en-US" w:eastAsia="zh-CN" w:bidi="ar"/>
              </w:rPr>
              <w:t>投标时同时提供：①由第三方检验检测机构出具并加盖（或带有）</w:t>
            </w:r>
            <w:r>
              <w:rPr>
                <w:rFonts w:hint="default" w:ascii="Times New Roman" w:hAnsi="Times New Roman" w:eastAsia="宋体" w:cs="Times New Roman"/>
                <w:i w:val="0"/>
                <w:color w:val="0000FF"/>
                <w:kern w:val="0"/>
                <w:sz w:val="21"/>
                <w:szCs w:val="21"/>
                <w:u w:val="none"/>
                <w:lang w:val="en-US" w:eastAsia="zh-CN" w:bidi="ar"/>
              </w:rPr>
              <w:t>CMA</w:t>
            </w:r>
            <w:r>
              <w:rPr>
                <w:rFonts w:hint="eastAsia" w:ascii="宋体" w:hAnsi="宋体" w:eastAsia="宋体" w:cs="宋体"/>
                <w:i w:val="0"/>
                <w:color w:val="0000FF"/>
                <w:kern w:val="0"/>
                <w:sz w:val="21"/>
                <w:szCs w:val="21"/>
                <w:u w:val="none"/>
                <w:lang w:val="en-US" w:eastAsia="zh-CN" w:bidi="ar"/>
              </w:rPr>
              <w:t>及</w:t>
            </w:r>
            <w:r>
              <w:rPr>
                <w:rFonts w:hint="default" w:ascii="Times New Roman" w:hAnsi="Times New Roman" w:eastAsia="宋体" w:cs="Times New Roman"/>
                <w:i w:val="0"/>
                <w:color w:val="0000FF"/>
                <w:kern w:val="0"/>
                <w:sz w:val="21"/>
                <w:szCs w:val="21"/>
                <w:u w:val="none"/>
                <w:lang w:val="en-US" w:eastAsia="zh-CN" w:bidi="ar"/>
              </w:rPr>
              <w:t>CNAS</w:t>
            </w:r>
            <w:r>
              <w:rPr>
                <w:rFonts w:hint="eastAsia" w:ascii="宋体" w:hAnsi="宋体" w:eastAsia="宋体" w:cs="宋体"/>
                <w:i w:val="0"/>
                <w:color w:val="0000FF"/>
                <w:kern w:val="0"/>
                <w:sz w:val="21"/>
                <w:szCs w:val="21"/>
                <w:u w:val="none"/>
                <w:lang w:val="en-US" w:eastAsia="zh-CN" w:bidi="ar"/>
              </w:rPr>
              <w:t>标志的检验检测报告扫描件，原件备查；②上述检验检测报告在全国认证认可信息公共服务平台（认</w:t>
            </w:r>
            <w:r>
              <w:rPr>
                <w:rFonts w:hint="default" w:ascii="Times New Roman" w:hAnsi="Times New Roman" w:eastAsia="宋体" w:cs="Times New Roman"/>
                <w:i w:val="0"/>
                <w:color w:val="0000FF"/>
                <w:kern w:val="0"/>
                <w:sz w:val="21"/>
                <w:szCs w:val="21"/>
                <w:u w:val="none"/>
                <w:lang w:val="en-US" w:eastAsia="zh-CN" w:bidi="ar"/>
              </w:rPr>
              <w:t>e</w:t>
            </w:r>
            <w:r>
              <w:rPr>
                <w:rFonts w:hint="eastAsia" w:ascii="宋体" w:hAnsi="宋体" w:eastAsia="宋体" w:cs="宋体"/>
                <w:i w:val="0"/>
                <w:color w:val="0000FF"/>
                <w:kern w:val="0"/>
                <w:sz w:val="21"/>
                <w:szCs w:val="21"/>
                <w:u w:val="none"/>
                <w:lang w:val="en-US" w:eastAsia="zh-CN" w:bidi="ar"/>
              </w:rPr>
              <w:t>云）（</w:t>
            </w:r>
            <w:r>
              <w:rPr>
                <w:rFonts w:hint="default" w:ascii="Times New Roman" w:hAnsi="Times New Roman" w:eastAsia="宋体" w:cs="Times New Roman"/>
                <w:i w:val="0"/>
                <w:color w:val="0000FF"/>
                <w:kern w:val="0"/>
                <w:sz w:val="21"/>
                <w:szCs w:val="21"/>
                <w:u w:val="none"/>
                <w:lang w:val="en-US" w:eastAsia="zh-CN" w:bidi="ar"/>
              </w:rPr>
              <w:t>http://cx.cnca.cn/</w:t>
            </w:r>
            <w:r>
              <w:rPr>
                <w:rFonts w:hint="eastAsia" w:ascii="宋体" w:hAnsi="宋体" w:eastAsia="宋体" w:cs="宋体"/>
                <w:i w:val="0"/>
                <w:color w:val="0000FF"/>
                <w:kern w:val="0"/>
                <w:sz w:val="21"/>
                <w:szCs w:val="21"/>
                <w:u w:val="none"/>
                <w:lang w:val="en-US" w:eastAsia="zh-CN" w:bidi="ar"/>
              </w:rPr>
              <w:t>）的信息查询记录截图。注：对应参数（检验检测项）在检验检测报告中进行标注；检验检测报告出具的时间应在本项目投标截止日前1年内；如检验检测报告中明确备注说明相关检验检测项不在检验检测机构</w:t>
            </w:r>
            <w:r>
              <w:rPr>
                <w:rFonts w:hint="default" w:ascii="Times New Roman" w:hAnsi="Times New Roman" w:eastAsia="宋体" w:cs="Times New Roman"/>
                <w:i w:val="0"/>
                <w:color w:val="0000FF"/>
                <w:kern w:val="0"/>
                <w:sz w:val="21"/>
                <w:szCs w:val="21"/>
                <w:u w:val="none"/>
                <w:lang w:val="en-US" w:eastAsia="zh-CN" w:bidi="ar"/>
              </w:rPr>
              <w:t>CMA</w:t>
            </w:r>
            <w:r>
              <w:rPr>
                <w:rFonts w:hint="eastAsia" w:ascii="宋体" w:hAnsi="宋体" w:eastAsia="宋体" w:cs="宋体"/>
                <w:i w:val="0"/>
                <w:color w:val="0000FF"/>
                <w:kern w:val="0"/>
                <w:sz w:val="21"/>
                <w:szCs w:val="21"/>
                <w:u w:val="none"/>
                <w:lang w:val="en-US" w:eastAsia="zh-CN" w:bidi="ar"/>
              </w:rPr>
              <w:t>或</w:t>
            </w:r>
            <w:r>
              <w:rPr>
                <w:rFonts w:hint="default" w:ascii="Times New Roman" w:hAnsi="Times New Roman" w:eastAsia="宋体" w:cs="Times New Roman"/>
                <w:i w:val="0"/>
                <w:color w:val="0000FF"/>
                <w:kern w:val="0"/>
                <w:sz w:val="21"/>
                <w:szCs w:val="21"/>
                <w:u w:val="none"/>
                <w:lang w:val="en-US" w:eastAsia="zh-CN" w:bidi="ar"/>
              </w:rPr>
              <w:t>CNAS</w:t>
            </w:r>
            <w:r>
              <w:rPr>
                <w:rFonts w:hint="eastAsia" w:ascii="宋体" w:hAnsi="宋体" w:eastAsia="宋体" w:cs="宋体"/>
                <w:i w:val="0"/>
                <w:color w:val="0000FF"/>
                <w:kern w:val="0"/>
                <w:sz w:val="21"/>
                <w:szCs w:val="21"/>
                <w:u w:val="none"/>
                <w:lang w:val="en-US" w:eastAsia="zh-CN" w:bidi="ar"/>
              </w:rPr>
              <w:t>资质许可（认定）范围内的，不符合招标文件要求。】</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265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▲4.衣柜检测依据</w:t>
            </w:r>
            <w:r>
              <w:rPr>
                <w:rFonts w:ascii="Arial Narrow" w:hAnsi="Arial Narrow" w:eastAsia="Arial Narrow" w:cs="Arial Narrow"/>
                <w:i w:val="0"/>
                <w:color w:val="000000"/>
                <w:kern w:val="0"/>
                <w:sz w:val="21"/>
                <w:szCs w:val="21"/>
                <w:u w:val="none"/>
                <w:lang w:val="en-US" w:eastAsia="zh-CN" w:bidi="ar"/>
              </w:rPr>
              <w:t>GB/T35607-2017</w:t>
            </w:r>
            <w:r>
              <w:rPr>
                <w:rFonts w:hint="eastAsia" w:ascii="宋体" w:hAnsi="宋体" w:eastAsia="宋体" w:cs="宋体"/>
                <w:i w:val="0"/>
                <w:color w:val="000000"/>
                <w:kern w:val="0"/>
                <w:sz w:val="21"/>
                <w:szCs w:val="21"/>
                <w:u w:val="none"/>
                <w:lang w:val="en-US" w:eastAsia="zh-CN" w:bidi="ar"/>
              </w:rPr>
              <w:t>或</w:t>
            </w:r>
            <w:r>
              <w:rPr>
                <w:rFonts w:ascii="Arial Narrow" w:hAnsi="Arial Narrow" w:eastAsia="Arial Narrow" w:cs="Arial Narrow"/>
                <w:i w:val="0"/>
                <w:color w:val="000000"/>
                <w:kern w:val="0"/>
                <w:sz w:val="21"/>
                <w:szCs w:val="21"/>
                <w:u w:val="none"/>
                <w:lang w:val="en-US" w:eastAsia="zh-CN" w:bidi="ar"/>
              </w:rPr>
              <w:t>GB/T35607-2024</w:t>
            </w:r>
            <w:r>
              <w:rPr>
                <w:rFonts w:hint="eastAsia" w:ascii="宋体" w:hAnsi="宋体" w:eastAsia="宋体" w:cs="宋体"/>
                <w:i w:val="0"/>
                <w:color w:val="000000"/>
                <w:kern w:val="0"/>
                <w:sz w:val="21"/>
                <w:szCs w:val="21"/>
                <w:u w:val="none"/>
                <w:lang w:val="en-US" w:eastAsia="zh-CN" w:bidi="ar"/>
              </w:rPr>
              <w:t>；检测要求：外观要求：漆膜外观、涂层可迁移元素、单项检测结果符合要求；挥发性有机化合物：苯≤</w:t>
            </w:r>
            <w:r>
              <w:rPr>
                <w:rFonts w:ascii="Arial Narrow" w:hAnsi="Arial Narrow" w:eastAsia="Arial Narrow" w:cs="Arial Narrow"/>
                <w:i w:val="0"/>
                <w:color w:val="000000"/>
                <w:kern w:val="0"/>
                <w:sz w:val="21"/>
                <w:szCs w:val="21"/>
                <w:u w:val="none"/>
                <w:lang w:val="en-US" w:eastAsia="zh-CN" w:bidi="ar"/>
              </w:rPr>
              <w:t>0.005mg/m</w:t>
            </w:r>
            <w:r>
              <w:rPr>
                <w:rFonts w:hint="eastAsia" w:ascii="宋体" w:hAnsi="宋体" w:eastAsia="宋体" w:cs="宋体"/>
                <w:i w:val="0"/>
                <w:color w:val="000000"/>
                <w:kern w:val="0"/>
                <w:sz w:val="21"/>
                <w:szCs w:val="21"/>
                <w:u w:val="none"/>
                <w:lang w:val="en-US" w:eastAsia="zh-CN" w:bidi="ar"/>
              </w:rPr>
              <w:t>³、甲苯≤</w:t>
            </w:r>
            <w:r>
              <w:rPr>
                <w:rFonts w:ascii="Arial Narrow" w:hAnsi="Arial Narrow" w:eastAsia="Arial Narrow" w:cs="Arial Narrow"/>
                <w:i w:val="0"/>
                <w:color w:val="000000"/>
                <w:kern w:val="0"/>
                <w:sz w:val="21"/>
                <w:szCs w:val="21"/>
                <w:u w:val="none"/>
                <w:lang w:val="en-US" w:eastAsia="zh-CN" w:bidi="ar"/>
              </w:rPr>
              <w:t>0.005mg/m</w:t>
            </w:r>
            <w:r>
              <w:rPr>
                <w:rFonts w:hint="eastAsia" w:ascii="宋体" w:hAnsi="宋体" w:eastAsia="宋体" w:cs="宋体"/>
                <w:i w:val="0"/>
                <w:color w:val="000000"/>
                <w:kern w:val="0"/>
                <w:sz w:val="21"/>
                <w:szCs w:val="21"/>
                <w:u w:val="none"/>
                <w:lang w:val="en-US" w:eastAsia="zh-CN" w:bidi="ar"/>
              </w:rPr>
              <w:t>³、二甲苯≤</w:t>
            </w:r>
            <w:r>
              <w:rPr>
                <w:rFonts w:ascii="Arial Narrow" w:hAnsi="Arial Narrow" w:eastAsia="Arial Narrow" w:cs="Arial Narrow"/>
                <w:i w:val="0"/>
                <w:color w:val="000000"/>
                <w:kern w:val="0"/>
                <w:sz w:val="21"/>
                <w:szCs w:val="21"/>
                <w:u w:val="none"/>
                <w:lang w:val="en-US" w:eastAsia="zh-CN" w:bidi="ar"/>
              </w:rPr>
              <w:t>0.005mg/m</w:t>
            </w:r>
            <w:r>
              <w:rPr>
                <w:rFonts w:hint="eastAsia" w:ascii="宋体" w:hAnsi="宋体" w:eastAsia="宋体" w:cs="宋体"/>
                <w:i w:val="0"/>
                <w:color w:val="000000"/>
                <w:kern w:val="0"/>
                <w:sz w:val="21"/>
                <w:szCs w:val="21"/>
                <w:u w:val="none"/>
                <w:lang w:val="en-US" w:eastAsia="zh-CN" w:bidi="ar"/>
              </w:rPr>
              <w:t>³、</w:t>
            </w:r>
            <w:r>
              <w:rPr>
                <w:rFonts w:ascii="Arial Narrow" w:hAnsi="Arial Narrow" w:eastAsia="Arial Narrow" w:cs="Arial Narrow"/>
                <w:i w:val="0"/>
                <w:color w:val="000000"/>
                <w:kern w:val="0"/>
                <w:sz w:val="21"/>
                <w:szCs w:val="21"/>
                <w:u w:val="none"/>
                <w:lang w:val="en-US" w:eastAsia="zh-CN" w:bidi="ar"/>
              </w:rPr>
              <w:t>TVOC</w:t>
            </w:r>
            <w:r>
              <w:rPr>
                <w:rFonts w:hint="eastAsia" w:ascii="宋体" w:hAnsi="宋体" w:eastAsia="宋体" w:cs="宋体"/>
                <w:i w:val="0"/>
                <w:color w:val="000000"/>
                <w:kern w:val="0"/>
                <w:sz w:val="21"/>
                <w:szCs w:val="21"/>
                <w:u w:val="none"/>
                <w:lang w:val="en-US" w:eastAsia="zh-CN" w:bidi="ar"/>
              </w:rPr>
              <w:t>≤</w:t>
            </w:r>
            <w:r>
              <w:rPr>
                <w:rFonts w:ascii="Arial Narrow" w:hAnsi="Arial Narrow" w:eastAsia="Arial Narrow" w:cs="Arial Narrow"/>
                <w:i w:val="0"/>
                <w:color w:val="000000"/>
                <w:kern w:val="0"/>
                <w:sz w:val="21"/>
                <w:szCs w:val="21"/>
                <w:u w:val="none"/>
                <w:lang w:val="en-US" w:eastAsia="zh-CN" w:bidi="ar"/>
              </w:rPr>
              <w:t>0.08mg/m</w:t>
            </w:r>
            <w:r>
              <w:rPr>
                <w:rFonts w:hint="eastAsia" w:ascii="宋体" w:hAnsi="宋体" w:eastAsia="宋体" w:cs="宋体"/>
                <w:i w:val="0"/>
                <w:color w:val="000000"/>
                <w:kern w:val="0"/>
                <w:sz w:val="21"/>
                <w:szCs w:val="21"/>
                <w:u w:val="none"/>
                <w:lang w:val="en-US" w:eastAsia="zh-CN" w:bidi="ar"/>
              </w:rPr>
              <w:t>³；甲醛释放量≤</w:t>
            </w:r>
            <w:r>
              <w:rPr>
                <w:rFonts w:ascii="Arial Narrow" w:hAnsi="Arial Narrow" w:eastAsia="Arial Narrow" w:cs="Arial Narrow"/>
                <w:i w:val="0"/>
                <w:color w:val="000000"/>
                <w:kern w:val="0"/>
                <w:sz w:val="21"/>
                <w:szCs w:val="21"/>
                <w:u w:val="none"/>
                <w:lang w:val="en-US" w:eastAsia="zh-CN" w:bidi="ar"/>
              </w:rPr>
              <w:t>0.03mg/m</w:t>
            </w:r>
            <w:r>
              <w:rPr>
                <w:rFonts w:hint="eastAsia" w:ascii="宋体" w:hAnsi="宋体" w:eastAsia="宋体" w:cs="宋体"/>
                <w:i w:val="0"/>
                <w:color w:val="000000"/>
                <w:kern w:val="0"/>
                <w:sz w:val="21"/>
                <w:szCs w:val="21"/>
                <w:u w:val="none"/>
                <w:lang w:val="en-US" w:eastAsia="zh-CN" w:bidi="ar"/>
              </w:rPr>
              <w:t>³。【</w:t>
            </w:r>
            <w:r>
              <w:rPr>
                <w:rFonts w:hint="eastAsia" w:ascii="宋体" w:hAnsi="宋体" w:eastAsia="宋体" w:cs="宋体"/>
                <w:i w:val="0"/>
                <w:color w:val="0000FF"/>
                <w:kern w:val="0"/>
                <w:sz w:val="21"/>
                <w:szCs w:val="21"/>
                <w:u w:val="none"/>
                <w:lang w:val="en-US" w:eastAsia="zh-CN" w:bidi="ar"/>
              </w:rPr>
              <w:t>投标时同时提供：①由第三方检验检测机构出具并加盖（或带有）</w:t>
            </w:r>
            <w:r>
              <w:rPr>
                <w:rFonts w:hint="default" w:ascii="Arial Narrow" w:hAnsi="Arial Narrow" w:eastAsia="Arial Narrow" w:cs="Arial Narrow"/>
                <w:i w:val="0"/>
                <w:color w:val="0000FF"/>
                <w:kern w:val="0"/>
                <w:sz w:val="21"/>
                <w:szCs w:val="21"/>
                <w:u w:val="none"/>
                <w:lang w:val="en-US" w:eastAsia="zh-CN" w:bidi="ar"/>
              </w:rPr>
              <w:t>CMA</w:t>
            </w:r>
            <w:r>
              <w:rPr>
                <w:rFonts w:hint="eastAsia" w:ascii="宋体" w:hAnsi="宋体" w:eastAsia="宋体" w:cs="宋体"/>
                <w:i w:val="0"/>
                <w:color w:val="0000FF"/>
                <w:kern w:val="0"/>
                <w:sz w:val="21"/>
                <w:szCs w:val="21"/>
                <w:u w:val="none"/>
                <w:lang w:val="en-US" w:eastAsia="zh-CN" w:bidi="ar"/>
              </w:rPr>
              <w:t>及</w:t>
            </w:r>
            <w:r>
              <w:rPr>
                <w:rFonts w:hint="default" w:ascii="Arial Narrow" w:hAnsi="Arial Narrow" w:eastAsia="Arial Narrow" w:cs="Arial Narrow"/>
                <w:i w:val="0"/>
                <w:color w:val="0000FF"/>
                <w:kern w:val="0"/>
                <w:sz w:val="21"/>
                <w:szCs w:val="21"/>
                <w:u w:val="none"/>
                <w:lang w:val="en-US" w:eastAsia="zh-CN" w:bidi="ar"/>
              </w:rPr>
              <w:t>CNAS</w:t>
            </w:r>
            <w:r>
              <w:rPr>
                <w:rFonts w:hint="eastAsia" w:ascii="宋体" w:hAnsi="宋体" w:eastAsia="宋体" w:cs="宋体"/>
                <w:i w:val="0"/>
                <w:color w:val="0000FF"/>
                <w:kern w:val="0"/>
                <w:sz w:val="21"/>
                <w:szCs w:val="21"/>
                <w:u w:val="none"/>
                <w:lang w:val="en-US" w:eastAsia="zh-CN" w:bidi="ar"/>
              </w:rPr>
              <w:t>标志的检验检测报告扫描件，原件备查；②上述检验检测报告在全国认证认可信息公共服务平台（认</w:t>
            </w:r>
            <w:r>
              <w:rPr>
                <w:rFonts w:hint="default" w:ascii="Arial Narrow" w:hAnsi="Arial Narrow" w:eastAsia="Arial Narrow" w:cs="Arial Narrow"/>
                <w:i w:val="0"/>
                <w:color w:val="0000FF"/>
                <w:kern w:val="0"/>
                <w:sz w:val="21"/>
                <w:szCs w:val="21"/>
                <w:u w:val="none"/>
                <w:lang w:val="en-US" w:eastAsia="zh-CN" w:bidi="ar"/>
              </w:rPr>
              <w:t>e</w:t>
            </w:r>
            <w:r>
              <w:rPr>
                <w:rFonts w:hint="eastAsia" w:ascii="宋体" w:hAnsi="宋体" w:eastAsia="宋体" w:cs="宋体"/>
                <w:i w:val="0"/>
                <w:color w:val="0000FF"/>
                <w:kern w:val="0"/>
                <w:sz w:val="21"/>
                <w:szCs w:val="21"/>
                <w:u w:val="none"/>
                <w:lang w:val="en-US" w:eastAsia="zh-CN" w:bidi="ar"/>
              </w:rPr>
              <w:t>云）（</w:t>
            </w:r>
            <w:r>
              <w:rPr>
                <w:rFonts w:hint="default" w:ascii="Arial Narrow" w:hAnsi="Arial Narrow" w:eastAsia="Arial Narrow" w:cs="Arial Narrow"/>
                <w:i w:val="0"/>
                <w:color w:val="0000FF"/>
                <w:kern w:val="0"/>
                <w:sz w:val="21"/>
                <w:szCs w:val="21"/>
                <w:u w:val="none"/>
                <w:lang w:val="en-US" w:eastAsia="zh-CN" w:bidi="ar"/>
              </w:rPr>
              <w:t>http://cx.cnca.cn/</w:t>
            </w:r>
            <w:r>
              <w:rPr>
                <w:rFonts w:hint="eastAsia" w:ascii="宋体" w:hAnsi="宋体" w:eastAsia="宋体" w:cs="宋体"/>
                <w:i w:val="0"/>
                <w:color w:val="0000FF"/>
                <w:kern w:val="0"/>
                <w:sz w:val="21"/>
                <w:szCs w:val="21"/>
                <w:u w:val="none"/>
                <w:lang w:val="en-US" w:eastAsia="zh-CN" w:bidi="ar"/>
              </w:rPr>
              <w:t>）的信息查询记录截图。注：对应参数（检验检测项）在检验检测报告中进行标注；检验检测报告出具的时间应在本项目投标截止日前3年内；如检验检测报告中明确备注说明相关检验检测项不在检验检测机构</w:t>
            </w:r>
            <w:r>
              <w:rPr>
                <w:rFonts w:hint="default" w:ascii="Arial Narrow" w:hAnsi="Arial Narrow" w:eastAsia="Arial Narrow" w:cs="Arial Narrow"/>
                <w:i w:val="0"/>
                <w:color w:val="0000FF"/>
                <w:kern w:val="0"/>
                <w:sz w:val="21"/>
                <w:szCs w:val="21"/>
                <w:u w:val="none"/>
                <w:lang w:val="en-US" w:eastAsia="zh-CN" w:bidi="ar"/>
              </w:rPr>
              <w:t>CMA</w:t>
            </w:r>
            <w:r>
              <w:rPr>
                <w:rFonts w:hint="eastAsia" w:ascii="宋体" w:hAnsi="宋体" w:eastAsia="宋体" w:cs="宋体"/>
                <w:i w:val="0"/>
                <w:color w:val="0000FF"/>
                <w:kern w:val="0"/>
                <w:sz w:val="21"/>
                <w:szCs w:val="21"/>
                <w:u w:val="none"/>
                <w:lang w:val="en-US" w:eastAsia="zh-CN" w:bidi="ar"/>
              </w:rPr>
              <w:t>或</w:t>
            </w:r>
            <w:r>
              <w:rPr>
                <w:rFonts w:hint="default" w:ascii="Arial Narrow" w:hAnsi="Arial Narrow" w:eastAsia="Arial Narrow" w:cs="Arial Narrow"/>
                <w:i w:val="0"/>
                <w:color w:val="0000FF"/>
                <w:kern w:val="0"/>
                <w:sz w:val="21"/>
                <w:szCs w:val="21"/>
                <w:u w:val="none"/>
                <w:lang w:val="en-US" w:eastAsia="zh-CN" w:bidi="ar"/>
              </w:rPr>
              <w:t>CNAS</w:t>
            </w:r>
            <w:r>
              <w:rPr>
                <w:rFonts w:hint="eastAsia" w:ascii="宋体" w:hAnsi="宋体" w:eastAsia="宋体" w:cs="宋体"/>
                <w:i w:val="0"/>
                <w:color w:val="0000FF"/>
                <w:kern w:val="0"/>
                <w:sz w:val="21"/>
                <w:szCs w:val="21"/>
                <w:u w:val="none"/>
                <w:lang w:val="en-US" w:eastAsia="zh-CN" w:bidi="ar"/>
              </w:rPr>
              <w:t>资质许可（认定）范围内的，不符合招标文件要求。</w:t>
            </w:r>
            <w:r>
              <w:rPr>
                <w:rFonts w:hint="eastAsia" w:ascii="宋体" w:hAnsi="宋体" w:eastAsia="宋体" w:cs="宋体"/>
                <w:i w:val="0"/>
                <w:color w:val="000000"/>
                <w:kern w:val="0"/>
                <w:sz w:val="21"/>
                <w:szCs w:val="21"/>
                <w:u w:val="none"/>
                <w:lang w:val="en-US" w:eastAsia="zh-CN" w:bidi="ar"/>
              </w:rPr>
              <w:t>】</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468"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w:t>
            </w:r>
          </w:p>
        </w:tc>
        <w:tc>
          <w:tcPr>
            <w:tcW w:w="468"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过道时钟</w:t>
            </w:r>
          </w:p>
        </w:tc>
        <w:tc>
          <w:tcPr>
            <w:tcW w:w="265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1.一体化外观设计，采用TFT LCD显示屏，显示分辨率为：2560*800，显示尺寸为：43cm*13cm。</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265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2.具备1个千兆以太网口，支持POE/DC受电；具备一个USB接口。</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265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▲3.提供多个时钟显示模板，支持个性化时钟显示。配合系统平台可实现手动或定时息屏和亮屏、图文信息发布等功能。</w:t>
            </w:r>
            <w:r>
              <w:rPr>
                <w:rFonts w:hint="eastAsia" w:ascii="宋体" w:hAnsi="宋体" w:eastAsia="宋体" w:cs="宋体"/>
                <w:i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265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▲4.支持通过NTP协议自动校准日期和时间，支持时区配置。</w:t>
            </w:r>
            <w:r>
              <w:rPr>
                <w:rFonts w:hint="eastAsia" w:ascii="宋体" w:hAnsi="宋体" w:eastAsia="宋体" w:cs="宋体"/>
                <w:i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265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5.支持在线升级功能，可直接联网升级新版软件。</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468"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468"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空气消毒机</w:t>
            </w:r>
          </w:p>
        </w:tc>
        <w:tc>
          <w:tcPr>
            <w:tcW w:w="265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1、尺寸：440*245*140±5mm，额定电压：AC 220V/50Hz，额定功率: ≤20W，待机功率：≤2W。</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265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2、循环风量：≥400m³/h，噪声：≤60dB(A)，寿命：≥30000小时，重量：≤3.5kg。</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265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▲3、整机采用等离子体技术。</w:t>
            </w:r>
            <w:r>
              <w:rPr>
                <w:rFonts w:hint="eastAsia" w:ascii="宋体" w:hAnsi="宋体" w:eastAsia="宋体" w:cs="宋体"/>
                <w:i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265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4、等离子体电子密度：≥5.80×1019-1.35×1020m-3。等离子体电子能量：≥1.2电子伏特。</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265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甲型流感病毒（H1N1）去除率：＞99.99%。甲型流感病毒（H3N2）去除率：＞99.99%。肠道病毒（EV71）去除率：＞99.99%。冠状病毒（HCoV-229E）去除率：＞99.99%。产品开启“最大档”消毒作用2小时，肺炎克雷伯氏菌的杀灭率3次试验结果均＞99.90%。</w:t>
            </w:r>
            <w:r>
              <w:rPr>
                <w:rFonts w:hint="eastAsia" w:ascii="宋体" w:hAnsi="宋体" w:eastAsia="宋体" w:cs="宋体"/>
                <w:i w:val="0"/>
                <w:color w:val="0000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265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6、方便清洁：初级滤网水洗清洁，等离子体气枪吹扫。</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265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7、产品使用期间不产生任何耗材。</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265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8、可对空间场景进行静态和动态消毒；可实现24小时“人机共存”健康消毒模式：在有人的情况下使用，持续对环境空气进行动态消毒净化，不会对人体产生危害，又可以有效防止空气中的细菌繁殖再生。</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265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9、支持壁挂安装或吊装，并且配有专门壁挂和吊装配件。</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46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hint="eastAsia" w:ascii="宋体" w:hAnsi="宋体" w:eastAsia="宋体" w:cs="宋体"/>
                <w:i w:val="0"/>
                <w:color w:val="000000"/>
                <w:sz w:val="22"/>
                <w:szCs w:val="22"/>
                <w:u w:val="none"/>
              </w:rPr>
            </w:pPr>
          </w:p>
        </w:tc>
        <w:tc>
          <w:tcPr>
            <w:tcW w:w="265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10、可配置遥控器，支持433无线协议配对模式，可支持对多台空气消毒机进行操作。</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hint="eastAsia" w:ascii="宋体" w:hAnsi="宋体" w:eastAsia="宋体" w:cs="宋体"/>
                <w:i w:val="0"/>
                <w:color w:val="000000"/>
                <w:sz w:val="22"/>
                <w:szCs w:val="22"/>
                <w:u w:val="none"/>
              </w:rPr>
            </w:pPr>
          </w:p>
        </w:tc>
      </w:tr>
    </w:tbl>
    <w:p>
      <w:pPr>
        <w:rPr>
          <w:sz w:val="24"/>
        </w:rPr>
      </w:pPr>
    </w:p>
    <w:p>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3" w:name="_Hlk72095977"/>
      <w:r>
        <w:rPr>
          <w:rFonts w:hint="eastAsia"/>
          <w:sz w:val="21"/>
          <w:szCs w:val="21"/>
        </w:rPr>
        <w:t>证明资料【如有的话，提供的证明资料应统一编号（排序），格式自定】</w:t>
      </w:r>
      <w:bookmarkEnd w:id="63"/>
      <w:r>
        <w:rPr>
          <w:rFonts w:hint="eastAsia"/>
          <w:sz w:val="21"/>
          <w:szCs w:val="21"/>
        </w:rPr>
        <w:t>：</w:t>
      </w: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4" w:name="_Hlk72094407"/>
      <w:r>
        <w:rPr>
          <w:rFonts w:hint="eastAsia"/>
          <w:b w:val="0"/>
          <w:bCs/>
          <w:sz w:val="21"/>
          <w:szCs w:val="21"/>
        </w:rPr>
        <w:t>对应“用户需求书”中的“技术要求”章节</w:t>
      </w:r>
      <w:bookmarkEnd w:id="64"/>
      <w:r>
        <w:rPr>
          <w:rFonts w:hint="eastAsia"/>
          <w:b w:val="0"/>
          <w:bCs/>
          <w:sz w:val="21"/>
          <w:szCs w:val="21"/>
        </w:rPr>
        <w:t>相关内容。</w:t>
      </w:r>
    </w:p>
    <w:p>
      <w:pPr>
        <w:pStyle w:val="16"/>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5" w:name="_Hlk72158270"/>
      <w:r>
        <w:rPr>
          <w:rFonts w:hint="eastAsia"/>
          <w:b w:val="0"/>
          <w:bCs/>
          <w:sz w:val="21"/>
          <w:szCs w:val="21"/>
        </w:rPr>
        <w:t>“偏离情况”</w:t>
      </w:r>
      <w:bookmarkEnd w:id="65"/>
      <w:r>
        <w:rPr>
          <w:rFonts w:hint="eastAsia"/>
          <w:b w:val="0"/>
          <w:bCs/>
          <w:sz w:val="21"/>
          <w:szCs w:val="21"/>
        </w:rPr>
        <w:t>一栏填写如实填写“正偏离”、“负偏离”或“无偏离”，其中：</w:t>
      </w:r>
      <w:bookmarkStart w:id="66" w:name="_Hlk72093866"/>
      <w:r>
        <w:rPr>
          <w:rFonts w:hint="eastAsia"/>
          <w:b w:val="0"/>
          <w:bCs/>
          <w:sz w:val="21"/>
          <w:szCs w:val="21"/>
        </w:rPr>
        <w:t>“正偏离”表示“投标响应优于招标技术要求”，“负偏离”表示“投标响应不满足招标技术要求”，“无偏离”表示“投标响应与招标技术要求一致”</w:t>
      </w:r>
      <w:bookmarkEnd w:id="66"/>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pPr>
        <w:ind w:firstLine="420" w:firstLineChars="200"/>
        <w:rPr>
          <w:b w:val="0"/>
          <w:bCs/>
          <w:sz w:val="21"/>
          <w:szCs w:val="21"/>
        </w:rPr>
      </w:pPr>
      <w:r>
        <w:rPr>
          <w:rFonts w:hint="eastAsia"/>
          <w:b w:val="0"/>
          <w:bCs/>
          <w:sz w:val="21"/>
          <w:szCs w:val="21"/>
        </w:rPr>
        <w:t>5、</w:t>
      </w:r>
      <w:bookmarkStart w:id="67" w:name="_Hlk72096106"/>
      <w:r>
        <w:rPr>
          <w:rFonts w:hint="eastAsia"/>
          <w:b w:val="0"/>
          <w:bCs/>
          <w:sz w:val="21"/>
          <w:szCs w:val="21"/>
        </w:rPr>
        <w:t>证明资料条款响应要求</w:t>
      </w:r>
      <w:bookmarkEnd w:id="67"/>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68"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69" w:name="_Hlk73558164"/>
      <w:r>
        <w:rPr>
          <w:rFonts w:hint="eastAsia"/>
          <w:b w:val="0"/>
          <w:bCs/>
          <w:sz w:val="21"/>
          <w:szCs w:val="21"/>
        </w:rPr>
        <w:t>且投标人在“偏离情况”一栏响应为“正偏离”或“无偏离”的，经评审委员会认定，将判定为负偏离。</w:t>
      </w:r>
      <w:bookmarkEnd w:id="68"/>
      <w:bookmarkEnd w:id="69"/>
    </w:p>
    <w:p>
      <w:pPr>
        <w:ind w:firstLine="420" w:firstLineChars="200"/>
        <w:rPr>
          <w:b w:val="0"/>
          <w:bCs/>
          <w:sz w:val="21"/>
          <w:szCs w:val="21"/>
        </w:rPr>
      </w:pPr>
      <w:r>
        <w:rPr>
          <w:rFonts w:hint="eastAsia"/>
          <w:b w:val="0"/>
          <w:bCs/>
          <w:sz w:val="21"/>
          <w:szCs w:val="21"/>
        </w:rPr>
        <w:t>6、</w:t>
      </w:r>
      <w:bookmarkStart w:id="70" w:name="_Hlk72096137"/>
      <w:r>
        <w:rPr>
          <w:rFonts w:hint="eastAsia"/>
          <w:b w:val="0"/>
          <w:bCs/>
          <w:sz w:val="21"/>
          <w:szCs w:val="21"/>
        </w:rPr>
        <w:t>表后“证明资料”部分内容的编制</w:t>
      </w:r>
      <w:bookmarkEnd w:id="70"/>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1" w:name="_Hlk73558180"/>
      <w:r>
        <w:rPr>
          <w:rFonts w:hint="eastAsia"/>
          <w:b w:val="0"/>
          <w:bCs/>
          <w:sz w:val="21"/>
          <w:szCs w:val="21"/>
        </w:rPr>
        <w:t>未按照招标文件要求在表后放置证明材料的供应商将承担不利后果，经评审委员会认定，相关技术要求将判定为负偏离。</w:t>
      </w:r>
      <w:bookmarkEnd w:id="71"/>
    </w:p>
    <w:p>
      <w:pPr>
        <w:ind w:firstLine="420" w:firstLineChars="200"/>
        <w:rPr>
          <w:b w:val="0"/>
          <w:bCs/>
          <w:sz w:val="21"/>
          <w:szCs w:val="21"/>
        </w:rPr>
      </w:pPr>
      <w:r>
        <w:rPr>
          <w:rFonts w:hint="eastAsia"/>
          <w:b w:val="0"/>
          <w:bCs/>
          <w:sz w:val="21"/>
          <w:szCs w:val="21"/>
        </w:rPr>
        <w:t>7、</w:t>
      </w:r>
      <w:bookmarkStart w:id="72" w:name="_Hlk72096176"/>
      <w:r>
        <w:rPr>
          <w:rFonts w:hint="eastAsia"/>
          <w:b w:val="0"/>
          <w:bCs/>
          <w:sz w:val="21"/>
          <w:szCs w:val="21"/>
        </w:rPr>
        <w:t>证明资料的形式及其它具体要求</w:t>
      </w:r>
      <w:bookmarkEnd w:id="72"/>
      <w:r>
        <w:rPr>
          <w:rFonts w:hint="eastAsia"/>
          <w:b w:val="0"/>
          <w:bCs/>
          <w:sz w:val="21"/>
          <w:szCs w:val="21"/>
        </w:rPr>
        <w:t>：</w:t>
      </w:r>
    </w:p>
    <w:p>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pPr>
        <w:ind w:firstLine="420" w:firstLineChars="200"/>
        <w:rPr>
          <w:b w:val="0"/>
          <w:bCs/>
          <w:sz w:val="21"/>
          <w:szCs w:val="21"/>
        </w:rPr>
      </w:pPr>
      <w:r>
        <w:rPr>
          <w:rFonts w:hint="eastAsia"/>
          <w:b w:val="0"/>
          <w:bCs/>
          <w:sz w:val="21"/>
          <w:szCs w:val="21"/>
        </w:rPr>
        <w:t>其它证明资料的形式要求参照以上要求执行；</w:t>
      </w:r>
    </w:p>
    <w:p>
      <w:pPr>
        <w:ind w:firstLine="420" w:firstLineChars="200"/>
        <w:rPr>
          <w:b w:val="0"/>
          <w:bCs/>
          <w:sz w:val="21"/>
          <w:szCs w:val="21"/>
        </w:rPr>
      </w:pPr>
      <w:r>
        <w:rPr>
          <w:rFonts w:hint="eastAsia"/>
          <w:b w:val="0"/>
          <w:bCs/>
          <w:sz w:val="21"/>
          <w:szCs w:val="21"/>
        </w:rPr>
        <w:t>（4）证明资料均要求原件备查。</w:t>
      </w:r>
    </w:p>
    <w:p>
      <w:pPr>
        <w:ind w:firstLine="420" w:firstLineChars="200"/>
        <w:rPr>
          <w:b w:val="0"/>
          <w:bCs/>
          <w:sz w:val="21"/>
          <w:szCs w:val="21"/>
        </w:rPr>
      </w:pPr>
      <w:r>
        <w:rPr>
          <w:rFonts w:hint="eastAsia"/>
          <w:b w:val="0"/>
          <w:bCs/>
          <w:sz w:val="21"/>
          <w:szCs w:val="21"/>
        </w:rPr>
        <w:t>8、其它注意事项：</w:t>
      </w:r>
    </w:p>
    <w:p>
      <w:pPr>
        <w:ind w:firstLine="420" w:firstLineChars="200"/>
        <w:rPr>
          <w:b w:val="0"/>
          <w:bCs/>
          <w:sz w:val="21"/>
          <w:szCs w:val="21"/>
        </w:rPr>
      </w:pPr>
      <w:r>
        <w:rPr>
          <w:rFonts w:hint="eastAsia"/>
          <w:b w:val="0"/>
          <w:bCs/>
          <w:sz w:val="21"/>
          <w:szCs w:val="21"/>
        </w:rPr>
        <w:t>（1）评审委员会有权对投标人的响应情况作出判断（评审结论）；</w:t>
      </w:r>
    </w:p>
    <w:p>
      <w:pPr>
        <w:ind w:firstLine="420" w:firstLineChars="200"/>
        <w:rPr>
          <w:b w:val="0"/>
          <w:bCs/>
          <w:sz w:val="21"/>
          <w:szCs w:val="21"/>
        </w:rPr>
      </w:pPr>
      <w:r>
        <w:rPr>
          <w:rFonts w:hint="eastAsia"/>
          <w:b w:val="0"/>
          <w:bCs/>
          <w:sz w:val="21"/>
          <w:szCs w:val="21"/>
        </w:rPr>
        <w:t>（2）</w:t>
      </w:r>
      <w:bookmarkStart w:id="73"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3"/>
    </w:p>
    <w:p>
      <w:pPr>
        <w:ind w:firstLine="482" w:firstLineChars="200"/>
        <w:rPr>
          <w:b/>
          <w:sz w:val="24"/>
        </w:rPr>
      </w:pPr>
    </w:p>
    <w:p>
      <w:pPr>
        <w:rPr>
          <w:sz w:val="24"/>
        </w:rPr>
      </w:pPr>
    </w:p>
    <w:p>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pPr>
        <w:widowControl/>
        <w:jc w:val="center"/>
        <w:rPr>
          <w:rFonts w:ascii="黑体" w:hAnsi="宋体" w:eastAsia="黑体"/>
          <w:kern w:val="0"/>
          <w:sz w:val="24"/>
          <w:szCs w:val="20"/>
        </w:rPr>
      </w:pPr>
    </w:p>
    <w:p>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pPr>
        <w:spacing w:beforeLines="0" w:line="380" w:lineRule="exact"/>
        <w:ind w:firstLine="420" w:firstLineChars="200"/>
        <w:rPr>
          <w:color w:val="auto"/>
        </w:rPr>
      </w:pPr>
      <w:r>
        <w:rPr>
          <w:rFonts w:hint="eastAsia"/>
          <w:color w:val="auto"/>
        </w:rPr>
        <w:t>（三）项目负责人或者主要技术人员不是本单位人员的。</w:t>
      </w:r>
    </w:p>
    <w:p>
      <w:pPr>
        <w:spacing w:beforeLines="0" w:line="380" w:lineRule="exact"/>
        <w:ind w:firstLine="420" w:firstLineChars="200"/>
        <w:rPr>
          <w:color w:val="auto"/>
        </w:rPr>
      </w:pPr>
      <w:r>
        <w:rPr>
          <w:rFonts w:hint="eastAsia"/>
          <w:color w:val="auto"/>
        </w:rPr>
        <w:t>（四）投标保证金不是从投标供应商基本账户转出的。</w:t>
      </w:r>
    </w:p>
    <w:p>
      <w:pPr>
        <w:spacing w:beforeLines="0" w:line="380" w:lineRule="exact"/>
        <w:ind w:firstLine="420" w:firstLineChars="200"/>
        <w:rPr>
          <w:color w:val="auto"/>
        </w:rPr>
      </w:pPr>
      <w:r>
        <w:rPr>
          <w:rFonts w:hint="eastAsia"/>
          <w:color w:val="auto"/>
        </w:rPr>
        <w:t>（五）其他隐瞒真实情况、提供虚假资料的行为。</w:t>
      </w:r>
    </w:p>
    <w:p>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pPr>
        <w:spacing w:beforeLines="0" w:line="380" w:lineRule="exact"/>
        <w:ind w:firstLine="420" w:firstLineChars="200"/>
        <w:rPr>
          <w:color w:val="auto"/>
        </w:rPr>
      </w:pPr>
      <w:r>
        <w:rPr>
          <w:rFonts w:hint="eastAsia"/>
          <w:color w:val="auto"/>
        </w:rPr>
        <w:t>（一）投标供应商之间相互约定给予未中标的供应商利益补偿。</w:t>
      </w:r>
    </w:p>
    <w:p>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pPr>
        <w:spacing w:beforeLines="0" w:line="340" w:lineRule="exact"/>
        <w:ind w:firstLine="420" w:firstLineChars="200"/>
        <w:rPr>
          <w:color w:val="auto"/>
        </w:rPr>
      </w:pPr>
      <w:r>
        <w:rPr>
          <w:rFonts w:hint="eastAsia"/>
          <w:color w:val="auto"/>
        </w:rPr>
        <w:t>（四）不同投标供应商的投标文件或部分投标文件相互混装。</w:t>
      </w:r>
    </w:p>
    <w:p>
      <w:pPr>
        <w:spacing w:beforeLines="0" w:line="340" w:lineRule="exact"/>
        <w:ind w:firstLine="420" w:firstLineChars="200"/>
        <w:rPr>
          <w:color w:val="auto"/>
        </w:rPr>
      </w:pPr>
      <w:r>
        <w:rPr>
          <w:rFonts w:hint="eastAsia"/>
          <w:color w:val="auto"/>
        </w:rPr>
        <w:t>（五）不同投标供应商的投标文件内容存在非正常一致。</w:t>
      </w:r>
    </w:p>
    <w:p>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pPr>
        <w:spacing w:beforeLines="0" w:line="340" w:lineRule="exact"/>
        <w:ind w:firstLine="420" w:firstLineChars="200"/>
        <w:rPr>
          <w:color w:val="auto"/>
        </w:rPr>
      </w:pPr>
      <w:r>
        <w:rPr>
          <w:rFonts w:hint="eastAsia"/>
          <w:color w:val="auto"/>
        </w:rPr>
        <w:t>（七）不同投标人的投标报价呈规律性差异。</w:t>
      </w:r>
    </w:p>
    <w:p>
      <w:pPr>
        <w:spacing w:beforeLines="0" w:line="340" w:lineRule="exact"/>
        <w:ind w:firstLine="420" w:firstLineChars="200"/>
        <w:rPr>
          <w:color w:val="auto"/>
        </w:rPr>
      </w:pPr>
      <w:r>
        <w:rPr>
          <w:rFonts w:hint="eastAsia"/>
          <w:color w:val="auto"/>
        </w:rPr>
        <w:t>（八）不同投标人的投标保证金从同一单位或者个人的账户转出。</w:t>
      </w:r>
    </w:p>
    <w:p>
      <w:pPr>
        <w:spacing w:beforeLines="0" w:line="340" w:lineRule="exact"/>
        <w:ind w:firstLine="420" w:firstLineChars="200"/>
        <w:rPr>
          <w:color w:val="auto"/>
        </w:rPr>
      </w:pPr>
      <w:r>
        <w:rPr>
          <w:rFonts w:hint="eastAsia"/>
          <w:color w:val="auto"/>
        </w:rPr>
        <w:t>（九）主管部门依照法律、法规认定的其他情形。</w:t>
      </w:r>
    </w:p>
    <w:p>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ascii="宋体" w:hAnsi="宋体" w:eastAsiaTheme="minorEastAsia"/>
                <w:spacing w:val="-4"/>
                <w:kern w:val="0"/>
                <w:szCs w:val="21"/>
              </w:rPr>
            </w:pPr>
          </w:p>
        </w:tc>
      </w:tr>
    </w:tbl>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pPr>
        <w:widowControl/>
        <w:wordWrap/>
        <w:autoSpaceDE w:val="0"/>
        <w:autoSpaceDN w:val="0"/>
        <w:spacing w:line="400" w:lineRule="exact"/>
        <w:ind w:right="1414" w:firstLine="480" w:firstLineChars="200"/>
        <w:jc w:val="right"/>
        <w:rPr>
          <w:rFonts w:eastAsiaTheme="minorEastAsia"/>
          <w:kern w:val="0"/>
          <w:sz w:val="24"/>
        </w:rPr>
      </w:pPr>
    </w:p>
    <w:p>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pPr>
        <w:pStyle w:val="8"/>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pPr>
        <w:ind w:left="420" w:leftChars="200" w:firstLine="210" w:firstLineChars="100"/>
        <w:rPr>
          <w:rFonts w:hint="eastAsia"/>
          <w:szCs w:val="21"/>
          <w:u w:val="none"/>
          <w:lang w:eastAsia="zh-CN"/>
        </w:rPr>
      </w:pPr>
    </w:p>
    <w:p>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pPr>
        <w:widowControl/>
        <w:wordWrap/>
        <w:autoSpaceDE w:val="0"/>
        <w:autoSpaceDN w:val="0"/>
        <w:spacing w:line="400" w:lineRule="exact"/>
        <w:ind w:right="1414" w:firstLine="480" w:firstLineChars="200"/>
        <w:jc w:val="right"/>
        <w:rPr>
          <w:rFonts w:eastAsiaTheme="minorEastAsia"/>
          <w:kern w:val="0"/>
          <w:sz w:val="24"/>
        </w:rPr>
      </w:pPr>
    </w:p>
    <w:p>
      <w:pPr>
        <w:ind w:firstLine="720" w:firstLineChars="300"/>
        <w:rPr>
          <w:sz w:val="24"/>
        </w:rPr>
      </w:pPr>
    </w:p>
    <w:p>
      <w:pPr>
        <w:widowControl/>
        <w:spacing w:line="360" w:lineRule="auto"/>
        <w:jc w:val="left"/>
        <w:rPr>
          <w:rFonts w:eastAsiaTheme="minorEastAsia"/>
          <w:b/>
          <w:bCs/>
          <w:kern w:val="0"/>
          <w:sz w:val="24"/>
        </w:rPr>
      </w:pPr>
    </w:p>
    <w:p>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pPr>
        <w:jc w:val="center"/>
        <w:rPr>
          <w:b/>
          <w:sz w:val="32"/>
          <w:szCs w:val="32"/>
        </w:rPr>
      </w:pPr>
    </w:p>
    <w:p>
      <w:pPr>
        <w:ind w:firstLine="424" w:firstLineChars="202"/>
        <w:rPr>
          <w:rFonts w:ascii="宋体" w:hAnsi="宋体"/>
          <w:szCs w:val="21"/>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pPr>
        <w:pStyle w:val="6"/>
        <w:jc w:val="center"/>
      </w:pPr>
      <w:r>
        <w:rPr>
          <w:rFonts w:hint="eastAsia"/>
        </w:rPr>
        <w:t>第五章  合同条款及格式</w:t>
      </w:r>
    </w:p>
    <w:p/>
    <w:p>
      <w:pPr>
        <w:jc w:val="center"/>
        <w:outlineLvl w:val="9"/>
      </w:pPr>
      <w:bookmarkStart w:id="74" w:name="_Toc3995"/>
      <w:r>
        <w:rPr>
          <w:rFonts w:hint="eastAsia"/>
          <w:b/>
          <w:sz w:val="24"/>
        </w:rPr>
        <w:t>（仅供参考，具体以项目需求及采购结果为准）</w:t>
      </w:r>
    </w:p>
    <w:p>
      <w:pPr>
        <w:widowControl w:val="0"/>
        <w:spacing w:after="0"/>
        <w:jc w:val="center"/>
        <w:rPr>
          <w:rFonts w:ascii="宋体" w:hAnsi="宋体" w:eastAsia="宋体" w:cs="宋体"/>
          <w:b/>
          <w:bCs/>
          <w:spacing w:val="-20"/>
          <w:kern w:val="44"/>
          <w:sz w:val="48"/>
          <w:szCs w:val="48"/>
          <w:lang w:val="en-US" w:eastAsia="zh-CN" w:bidi="ar-SA"/>
        </w:rPr>
      </w:pPr>
    </w:p>
    <w:p>
      <w:pPr>
        <w:widowControl w:val="0"/>
        <w:spacing w:after="0"/>
        <w:jc w:val="center"/>
        <w:rPr>
          <w:rFonts w:ascii="宋体" w:hAnsi="宋体" w:eastAsia="宋体" w:cs="宋体"/>
          <w:b/>
          <w:bCs/>
          <w:spacing w:val="-20"/>
          <w:kern w:val="44"/>
          <w:sz w:val="48"/>
          <w:szCs w:val="48"/>
          <w:lang w:val="en-US" w:eastAsia="zh-CN" w:bidi="ar-SA"/>
        </w:rPr>
      </w:pPr>
    </w:p>
    <w:p>
      <w:pPr>
        <w:pStyle w:val="8"/>
        <w:rPr>
          <w:lang w:val="en-US" w:eastAsia="zh-CN"/>
        </w:rPr>
      </w:pP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pPr>
        <w:rPr>
          <w:rFonts w:eastAsia="宋体"/>
        </w:rPr>
      </w:pPr>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pPr>
        <w:ind w:firstLine="640" w:firstLineChars="200"/>
        <w:rPr>
          <w:rFonts w:hint="eastAsia" w:ascii="仿宋_GB2312" w:hAnsi="仿宋_GB2312" w:eastAsia="仿宋_GB2312" w:cs="仿宋_GB2312"/>
          <w:sz w:val="32"/>
          <w:szCs w:val="32"/>
          <w:lang w:val="en-US" w:eastAsia="zh-CN"/>
        </w:rPr>
      </w:pP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4"/>
    <w:p>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5" w:name="_Toc22209"/>
    </w:p>
    <w:p>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5"/>
    </w:p>
    <w:p>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spacing w:beforeLines="0" w:line="400" w:lineRule="exact"/>
        <w:rPr>
          <w:rFonts w:hint="default" w:eastAsia="宋体"/>
          <w:lang w:val="en-US" w:eastAsia="zh-CN"/>
        </w:rPr>
      </w:pP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pPr>
        <w:numPr>
          <w:ilvl w:val="0"/>
          <w:numId w:val="10"/>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pPr>
        <w:widowControl w:val="0"/>
        <w:numPr>
          <w:ilvl w:val="0"/>
          <w:numId w:val="11"/>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pPr>
        <w:numPr>
          <w:ilvl w:val="0"/>
          <w:numId w:val="10"/>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pPr>
        <w:numPr>
          <w:ilvl w:val="0"/>
          <w:numId w:val="10"/>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pPr>
        <w:numPr>
          <w:ilvl w:val="0"/>
          <w:numId w:val="10"/>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pPr>
        <w:numPr>
          <w:ilvl w:val="0"/>
          <w:numId w:val="12"/>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pPr>
        <w:numPr>
          <w:ilvl w:val="0"/>
          <w:numId w:val="10"/>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pPr>
        <w:numPr>
          <w:ilvl w:val="0"/>
          <w:numId w:val="10"/>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pPr>
        <w:numPr>
          <w:ilvl w:val="0"/>
          <w:numId w:val="10"/>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pPr>
        <w:rPr>
          <w:rFonts w:hint="eastAsia" w:eastAsia="宋体"/>
        </w:rPr>
      </w:pPr>
      <w:r>
        <w:rPr>
          <w:rFonts w:hint="eastAsia" w:eastAsia="宋体"/>
        </w:rPr>
        <w:br w:type="page"/>
      </w:r>
    </w:p>
    <w:p>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8"/>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76" w:name="_Toc27624"/>
      <w:r>
        <w:rPr>
          <w:rFonts w:hint="eastAsia" w:ascii="黑体" w:hAnsi="黑体" w:eastAsia="黑体" w:cs="Times New Roman"/>
          <w:b w:val="0"/>
          <w:bCs w:val="0"/>
          <w:kern w:val="2"/>
          <w:sz w:val="28"/>
          <w:szCs w:val="28"/>
          <w:lang w:val="en-US" w:eastAsia="zh-CN" w:bidi="ar-SA"/>
        </w:rPr>
        <w:t>第二节 政府采购合同通用条款</w:t>
      </w:r>
      <w:bookmarkEnd w:id="76"/>
    </w:p>
    <w:p>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numPr>
          <w:ilvl w:val="0"/>
          <w:numId w:val="13"/>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pPr>
        <w:numPr>
          <w:ilvl w:val="0"/>
          <w:numId w:val="14"/>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77"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77"/>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pPr>
        <w:numPr>
          <w:ilvl w:val="0"/>
          <w:numId w:val="15"/>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pPr>
        <w:numPr>
          <w:ilvl w:val="0"/>
          <w:numId w:val="16"/>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78" w:name="_Toc20313"/>
    </w:p>
    <w:p>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78"/>
    </w:p>
    <w:tbl>
      <w:tblPr>
        <w:tblStyle w:val="18"/>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宋体" w:hAnsi="宋体" w:eastAsia="宋体"/>
                <w:szCs w:val="21"/>
              </w:rPr>
            </w:pP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pPr>
              <w:autoSpaceDE w:val="0"/>
              <w:autoSpaceDN w:val="0"/>
              <w:adjustRightInd w:val="0"/>
              <w:snapToGrid w:val="0"/>
              <w:ind w:firstLine="420" w:firstLineChars="20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pPr>
              <w:adjustRightInd w:val="0"/>
              <w:snapToGrid w:val="0"/>
              <w:jc w:val="left"/>
              <w:rPr>
                <w:rFonts w:hint="default" w:ascii="宋体" w:hAnsi="宋体" w:eastAsia="宋体"/>
                <w:szCs w:val="21"/>
                <w:lang w:val="en-US" w:eastAsia="zh-CN"/>
              </w:rPr>
            </w:pPr>
          </w:p>
        </w:tc>
      </w:tr>
    </w:tbl>
    <w:p>
      <w:pPr>
        <w:rPr>
          <w:rFonts w:eastAsia="宋体"/>
        </w:rPr>
      </w:pPr>
    </w:p>
    <w:p>
      <w:pPr>
        <w:rPr>
          <w:rFonts w:eastAsia="宋体"/>
        </w:rPr>
      </w:pPr>
    </w:p>
    <w:p>
      <w:pPr>
        <w:widowControl/>
        <w:jc w:val="left"/>
        <w:rPr>
          <w:rFonts w:ascii="宋体" w:hAnsi="宋体"/>
          <w:szCs w:val="21"/>
        </w:rPr>
      </w:pPr>
      <w:r>
        <w:rPr>
          <w:rFonts w:ascii="宋体" w:hAnsi="宋体"/>
          <w:szCs w:val="21"/>
        </w:rPr>
        <w:br w:type="page"/>
      </w:r>
    </w:p>
    <w:p>
      <w:pPr>
        <w:widowControl/>
        <w:jc w:val="left"/>
        <w:rPr>
          <w:rFonts w:ascii="宋体" w:hAnsi="宋体"/>
          <w:szCs w:val="21"/>
        </w:rPr>
      </w:pPr>
    </w:p>
    <w:p>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pPr>
        <w:pStyle w:val="31"/>
        <w:keepNext/>
        <w:keepLines/>
        <w:numPr>
          <w:ilvl w:val="0"/>
          <w:numId w:val="1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79" w:name="_Hlk72399513"/>
      <w:bookmarkStart w:id="80" w:name="_Hlk72439706"/>
      <w:r>
        <w:rPr>
          <w:rFonts w:hint="eastAsia" w:asciiTheme="majorHAnsi" w:hAnsiTheme="majorHAnsi" w:eastAsiaTheme="majorEastAsia" w:cstheme="majorBidi"/>
          <w:b/>
          <w:bCs/>
          <w:sz w:val="28"/>
          <w:szCs w:val="28"/>
        </w:rPr>
        <w:t>总则</w:t>
      </w:r>
    </w:p>
    <w:bookmarkEnd w:id="79"/>
    <w:p>
      <w:pPr>
        <w:ind w:firstLine="420" w:firstLineChars="200"/>
        <w:rPr>
          <w:rFonts w:ascii="黑体" w:hAnsi="宋体" w:eastAsia="黑体"/>
          <w:szCs w:val="21"/>
        </w:rPr>
      </w:pPr>
      <w:r>
        <w:rPr>
          <w:rFonts w:hint="eastAsia" w:ascii="黑体" w:hAnsi="宋体" w:eastAsia="黑体"/>
          <w:szCs w:val="21"/>
        </w:rPr>
        <w:t>1. 通用条款说明</w:t>
      </w:r>
    </w:p>
    <w:p>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1" w:name="_Hlk72399729"/>
      <w:r>
        <w:rPr>
          <w:rFonts w:hint="eastAsia" w:ascii="宋体" w:hAnsi="宋体"/>
          <w:szCs w:val="21"/>
        </w:rPr>
        <w:t>如有需要，政府集中采购机构可以对通用条款的内容进行补充。</w:t>
      </w:r>
      <w:bookmarkEnd w:id="81"/>
    </w:p>
    <w:p>
      <w:pPr>
        <w:ind w:firstLine="420" w:firstLineChars="200"/>
        <w:rPr>
          <w:rFonts w:ascii="宋体" w:hAnsi="宋体"/>
          <w:szCs w:val="21"/>
        </w:rPr>
      </w:pPr>
      <w:r>
        <w:rPr>
          <w:rFonts w:hint="eastAsia" w:ascii="宋体" w:hAnsi="宋体"/>
          <w:szCs w:val="21"/>
        </w:rPr>
        <w:t>1.2招标文件分为第一册“专用条款”和第二册“通用条款”。</w:t>
      </w:r>
    </w:p>
    <w:p>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ascii="宋体" w:hAnsi="宋体"/>
          <w:szCs w:val="21"/>
        </w:rPr>
      </w:pPr>
      <w:r>
        <w:rPr>
          <w:rFonts w:hint="eastAsia" w:ascii="宋体" w:hAnsi="宋体"/>
          <w:szCs w:val="21"/>
        </w:rPr>
        <w:t>1.5 “专用条款”和“通用条款”表述不一致或有冲突时，以“专用条款”为准。</w:t>
      </w:r>
    </w:p>
    <w:p>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ascii="黑体" w:hAnsi="宋体" w:eastAsia="黑体"/>
          <w:szCs w:val="21"/>
        </w:rPr>
      </w:pPr>
      <w:r>
        <w:rPr>
          <w:rFonts w:hint="eastAsia" w:ascii="黑体" w:hAnsi="宋体" w:eastAsia="黑体"/>
          <w:szCs w:val="21"/>
        </w:rPr>
        <w:t>3．定义</w:t>
      </w:r>
    </w:p>
    <w:p>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ascii="宋体" w:hAnsi="宋体"/>
          <w:szCs w:val="21"/>
        </w:rPr>
      </w:pPr>
      <w:r>
        <w:rPr>
          <w:rFonts w:hint="eastAsia" w:ascii="宋体" w:hAnsi="宋体"/>
          <w:szCs w:val="21"/>
        </w:rPr>
        <w:t>3.6“合同”指由本次招标所产生的合同或合约文件；</w:t>
      </w:r>
    </w:p>
    <w:p>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ascii="黑体" w:hAnsi="宋体" w:eastAsia="黑体"/>
          <w:szCs w:val="21"/>
        </w:rPr>
      </w:pPr>
      <w:r>
        <w:rPr>
          <w:rFonts w:hint="eastAsia" w:ascii="黑体" w:hAnsi="宋体" w:eastAsia="黑体"/>
          <w:szCs w:val="21"/>
        </w:rPr>
        <w:t xml:space="preserve">4. </w:t>
      </w:r>
      <w:bookmarkStart w:id="82" w:name="_Hlk72398643"/>
      <w:r>
        <w:rPr>
          <w:rFonts w:hint="eastAsia" w:ascii="黑体" w:hAnsi="宋体" w:eastAsia="黑体"/>
          <w:szCs w:val="21"/>
        </w:rPr>
        <w:t>自行采购供应商责任</w:t>
      </w:r>
    </w:p>
    <w:p>
      <w:pPr>
        <w:ind w:firstLine="420" w:firstLineChars="200"/>
        <w:rPr>
          <w:rFonts w:ascii="宋体" w:hAnsi="宋体"/>
          <w:szCs w:val="21"/>
        </w:rPr>
      </w:pPr>
      <w:r>
        <w:rPr>
          <w:rFonts w:hint="eastAsia" w:ascii="宋体" w:hAnsi="宋体"/>
          <w:szCs w:val="21"/>
        </w:rPr>
        <w:t>4.1欢迎诚信、有实力和有社会责任心的供应商参与自行采购事业。</w:t>
      </w:r>
    </w:p>
    <w:p>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ascii="黑体" w:hAnsi="宋体" w:eastAsia="黑体"/>
          <w:szCs w:val="21"/>
        </w:rPr>
      </w:pPr>
      <w:r>
        <w:rPr>
          <w:rFonts w:hint="eastAsia" w:ascii="黑体" w:hAnsi="宋体" w:eastAsia="黑体"/>
          <w:szCs w:val="21"/>
        </w:rPr>
        <w:t>5．投标人参加自行采购的条件</w:t>
      </w:r>
    </w:p>
    <w:p>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pPr>
        <w:ind w:firstLine="420" w:firstLineChars="200"/>
        <w:rPr>
          <w:rFonts w:ascii="宋体" w:hAnsi="宋体"/>
          <w:szCs w:val="21"/>
        </w:rPr>
      </w:pPr>
      <w:r>
        <w:rPr>
          <w:rFonts w:hint="eastAsia" w:ascii="宋体" w:hAnsi="宋体"/>
          <w:szCs w:val="21"/>
        </w:rPr>
        <w:t>5.2投标人资格要求</w:t>
      </w:r>
    </w:p>
    <w:p>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ascii="宋体" w:hAnsi="宋体"/>
          <w:szCs w:val="21"/>
        </w:rPr>
      </w:pPr>
      <w:r>
        <w:rPr>
          <w:rFonts w:hint="eastAsia" w:ascii="宋体" w:hAnsi="宋体"/>
          <w:szCs w:val="21"/>
        </w:rPr>
        <w:t>5.3联合体投标</w:t>
      </w:r>
    </w:p>
    <w:p>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ascii="黑体" w:hAnsi="宋体" w:eastAsia="黑体"/>
          <w:szCs w:val="21"/>
        </w:rPr>
      </w:pPr>
      <w:r>
        <w:rPr>
          <w:rFonts w:hint="eastAsia" w:ascii="黑体" w:hAnsi="宋体" w:eastAsia="黑体"/>
          <w:szCs w:val="21"/>
        </w:rPr>
        <w:t>6．政策导向</w:t>
      </w:r>
    </w:p>
    <w:p>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3"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3"/>
    </w:p>
    <w:p>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ascii="黑体" w:hAnsi="宋体" w:eastAsia="黑体"/>
          <w:szCs w:val="21"/>
        </w:rPr>
      </w:pPr>
      <w:r>
        <w:rPr>
          <w:rFonts w:hint="eastAsia" w:ascii="黑体" w:hAnsi="宋体" w:eastAsia="黑体"/>
          <w:szCs w:val="21"/>
        </w:rPr>
        <w:t>8．投标费用</w:t>
      </w:r>
    </w:p>
    <w:p>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ascii="黑体" w:hAnsi="宋体" w:eastAsia="黑体"/>
          <w:szCs w:val="21"/>
        </w:rPr>
      </w:pPr>
      <w:r>
        <w:rPr>
          <w:rFonts w:hint="eastAsia" w:ascii="黑体" w:hAnsi="宋体" w:eastAsia="黑体"/>
          <w:szCs w:val="21"/>
        </w:rPr>
        <w:t>9．踏勘现场</w:t>
      </w:r>
    </w:p>
    <w:p>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2"/>
    <w:p>
      <w:pPr>
        <w:ind w:firstLine="411" w:firstLineChars="196"/>
        <w:rPr>
          <w:rFonts w:ascii="宋体" w:hAnsi="宋体"/>
        </w:rPr>
      </w:pPr>
    </w:p>
    <w:p>
      <w:pPr>
        <w:pStyle w:val="31"/>
        <w:keepNext/>
        <w:keepLines/>
        <w:numPr>
          <w:ilvl w:val="0"/>
          <w:numId w:val="1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4" w:name="_Hlk72399819"/>
      <w:r>
        <w:rPr>
          <w:rFonts w:hint="eastAsia" w:ascii="黑体" w:hAnsi="宋体" w:eastAsia="黑体"/>
          <w:szCs w:val="21"/>
        </w:rPr>
        <w:t>招标文件的编制与组成</w:t>
      </w:r>
    </w:p>
    <w:p>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ascii="宋体" w:hAnsi="宋体"/>
          <w:szCs w:val="21"/>
        </w:rPr>
      </w:pPr>
      <w:r>
        <w:rPr>
          <w:rFonts w:hint="eastAsia" w:ascii="宋体" w:hAnsi="宋体"/>
          <w:szCs w:val="21"/>
        </w:rPr>
        <w:t>招标文件包括下列内容：</w:t>
      </w:r>
    </w:p>
    <w:p>
      <w:pPr>
        <w:ind w:firstLine="422" w:firstLineChars="200"/>
        <w:rPr>
          <w:rFonts w:ascii="宋体" w:hAnsi="宋体"/>
          <w:b/>
          <w:szCs w:val="21"/>
        </w:rPr>
      </w:pPr>
      <w:r>
        <w:rPr>
          <w:rFonts w:hint="eastAsia" w:ascii="宋体" w:hAnsi="宋体"/>
          <w:b/>
          <w:szCs w:val="21"/>
        </w:rPr>
        <w:t>第一册  专用条款</w:t>
      </w:r>
    </w:p>
    <w:p>
      <w:pPr>
        <w:ind w:firstLine="422" w:firstLineChars="200"/>
        <w:rPr>
          <w:rFonts w:ascii="宋体" w:hAnsi="宋体"/>
          <w:b/>
          <w:szCs w:val="21"/>
        </w:rPr>
      </w:pPr>
      <w:r>
        <w:rPr>
          <w:rFonts w:hint="eastAsia" w:ascii="宋体" w:hAnsi="宋体"/>
          <w:b/>
          <w:szCs w:val="21"/>
        </w:rPr>
        <w:t>关键信息</w:t>
      </w:r>
    </w:p>
    <w:p>
      <w:pPr>
        <w:ind w:firstLine="420" w:firstLineChars="200"/>
        <w:rPr>
          <w:rFonts w:ascii="宋体" w:hAnsi="宋体"/>
          <w:szCs w:val="21"/>
        </w:rPr>
      </w:pPr>
      <w:r>
        <w:rPr>
          <w:rFonts w:hint="eastAsia" w:ascii="宋体" w:hAnsi="宋体"/>
          <w:szCs w:val="21"/>
        </w:rPr>
        <w:t>第一章  招标公告</w:t>
      </w:r>
    </w:p>
    <w:p>
      <w:pPr>
        <w:ind w:firstLine="420" w:firstLineChars="200"/>
        <w:rPr>
          <w:rFonts w:ascii="宋体" w:hAnsi="宋体"/>
          <w:szCs w:val="21"/>
        </w:rPr>
      </w:pPr>
      <w:r>
        <w:rPr>
          <w:rFonts w:hint="eastAsia" w:ascii="宋体" w:hAnsi="宋体"/>
          <w:szCs w:val="21"/>
        </w:rPr>
        <w:t>第二章  对通用条款的补充内容及其他关键信息</w:t>
      </w:r>
    </w:p>
    <w:p>
      <w:pPr>
        <w:ind w:firstLine="420" w:firstLineChars="200"/>
        <w:rPr>
          <w:rFonts w:ascii="宋体" w:hAnsi="宋体"/>
          <w:szCs w:val="21"/>
        </w:rPr>
      </w:pPr>
      <w:r>
        <w:rPr>
          <w:rFonts w:hint="eastAsia" w:ascii="宋体" w:hAnsi="宋体"/>
          <w:szCs w:val="21"/>
        </w:rPr>
        <w:t>第三章  用户需求书</w:t>
      </w:r>
    </w:p>
    <w:p>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ascii="宋体" w:hAnsi="宋体"/>
          <w:szCs w:val="21"/>
        </w:rPr>
      </w:pPr>
      <w:r>
        <w:rPr>
          <w:rFonts w:hint="eastAsia" w:ascii="宋体" w:hAnsi="宋体"/>
          <w:szCs w:val="21"/>
        </w:rPr>
        <w:t>第五章  合同条款及格式</w:t>
      </w:r>
    </w:p>
    <w:p>
      <w:pPr>
        <w:ind w:firstLine="422" w:firstLineChars="200"/>
        <w:rPr>
          <w:rFonts w:ascii="宋体" w:hAnsi="宋体"/>
          <w:b/>
          <w:szCs w:val="21"/>
        </w:rPr>
      </w:pPr>
      <w:r>
        <w:rPr>
          <w:rFonts w:hint="eastAsia" w:ascii="宋体" w:hAnsi="宋体"/>
          <w:b/>
          <w:szCs w:val="21"/>
        </w:rPr>
        <w:t>第二册  通用条款</w:t>
      </w:r>
    </w:p>
    <w:p>
      <w:pPr>
        <w:ind w:firstLine="420" w:firstLineChars="200"/>
        <w:rPr>
          <w:rFonts w:ascii="宋体" w:hAnsi="宋体"/>
          <w:szCs w:val="21"/>
        </w:rPr>
      </w:pPr>
      <w:r>
        <w:rPr>
          <w:rFonts w:hint="eastAsia" w:ascii="宋体" w:hAnsi="宋体"/>
          <w:szCs w:val="21"/>
        </w:rPr>
        <w:t>第一章  总则</w:t>
      </w:r>
    </w:p>
    <w:p>
      <w:pPr>
        <w:ind w:firstLine="420" w:firstLineChars="200"/>
        <w:rPr>
          <w:rFonts w:ascii="宋体" w:hAnsi="宋体"/>
          <w:szCs w:val="21"/>
        </w:rPr>
      </w:pPr>
      <w:r>
        <w:rPr>
          <w:rFonts w:hint="eastAsia" w:ascii="宋体" w:hAnsi="宋体"/>
          <w:szCs w:val="21"/>
        </w:rPr>
        <w:t>第二章  招标文件</w:t>
      </w:r>
    </w:p>
    <w:p>
      <w:pPr>
        <w:ind w:firstLine="420" w:firstLineChars="200"/>
        <w:rPr>
          <w:rFonts w:ascii="宋体" w:hAnsi="宋体"/>
          <w:szCs w:val="21"/>
        </w:rPr>
      </w:pPr>
      <w:r>
        <w:rPr>
          <w:rFonts w:hint="eastAsia" w:ascii="宋体" w:hAnsi="宋体"/>
          <w:szCs w:val="21"/>
        </w:rPr>
        <w:t>第三章  投标文件的编制</w:t>
      </w:r>
    </w:p>
    <w:p>
      <w:pPr>
        <w:ind w:firstLine="420" w:firstLineChars="200"/>
        <w:rPr>
          <w:rFonts w:ascii="宋体" w:hAnsi="宋体"/>
          <w:szCs w:val="21"/>
        </w:rPr>
      </w:pPr>
      <w:r>
        <w:rPr>
          <w:rFonts w:hint="eastAsia" w:ascii="宋体" w:hAnsi="宋体"/>
          <w:szCs w:val="21"/>
        </w:rPr>
        <w:t>第四章  投标文件的递交</w:t>
      </w:r>
    </w:p>
    <w:p>
      <w:pPr>
        <w:ind w:firstLine="420" w:firstLineChars="200"/>
        <w:rPr>
          <w:rFonts w:ascii="宋体" w:hAnsi="宋体"/>
          <w:szCs w:val="21"/>
        </w:rPr>
      </w:pPr>
      <w:r>
        <w:rPr>
          <w:rFonts w:hint="eastAsia" w:ascii="宋体" w:hAnsi="宋体"/>
          <w:szCs w:val="21"/>
        </w:rPr>
        <w:t>第五章  开标</w:t>
      </w:r>
    </w:p>
    <w:p>
      <w:pPr>
        <w:ind w:firstLine="420" w:firstLineChars="200"/>
        <w:rPr>
          <w:rFonts w:ascii="宋体" w:hAnsi="宋体"/>
          <w:szCs w:val="21"/>
        </w:rPr>
      </w:pPr>
      <w:r>
        <w:rPr>
          <w:rFonts w:hint="eastAsia" w:ascii="宋体" w:hAnsi="宋体"/>
          <w:szCs w:val="21"/>
        </w:rPr>
        <w:t>第六章  评审要求</w:t>
      </w:r>
    </w:p>
    <w:p>
      <w:pPr>
        <w:ind w:firstLine="420" w:firstLineChars="200"/>
        <w:rPr>
          <w:rFonts w:ascii="宋体" w:hAnsi="宋体"/>
          <w:szCs w:val="21"/>
        </w:rPr>
      </w:pPr>
      <w:r>
        <w:rPr>
          <w:rFonts w:hint="eastAsia" w:ascii="宋体" w:hAnsi="宋体"/>
          <w:szCs w:val="21"/>
        </w:rPr>
        <w:t>第七章  评审程序及评审方法</w:t>
      </w:r>
    </w:p>
    <w:p>
      <w:pPr>
        <w:ind w:firstLine="420" w:firstLineChars="200"/>
        <w:rPr>
          <w:rFonts w:ascii="宋体" w:hAnsi="宋体"/>
          <w:szCs w:val="21"/>
        </w:rPr>
      </w:pPr>
      <w:r>
        <w:rPr>
          <w:rFonts w:hint="eastAsia" w:ascii="宋体" w:hAnsi="宋体"/>
          <w:szCs w:val="21"/>
        </w:rPr>
        <w:t>第八章  定标及公示</w:t>
      </w:r>
    </w:p>
    <w:p>
      <w:pPr>
        <w:ind w:firstLine="420" w:firstLineChars="200"/>
        <w:rPr>
          <w:rFonts w:ascii="宋体" w:hAnsi="宋体"/>
          <w:szCs w:val="21"/>
        </w:rPr>
      </w:pPr>
      <w:r>
        <w:rPr>
          <w:rFonts w:hint="eastAsia" w:ascii="宋体" w:hAnsi="宋体"/>
          <w:szCs w:val="21"/>
        </w:rPr>
        <w:t>第九章  公开招标失败的后续处理</w:t>
      </w:r>
    </w:p>
    <w:p>
      <w:pPr>
        <w:ind w:firstLine="420" w:firstLineChars="200"/>
        <w:rPr>
          <w:rFonts w:ascii="宋体" w:hAnsi="宋体"/>
          <w:szCs w:val="21"/>
        </w:rPr>
      </w:pPr>
      <w:r>
        <w:rPr>
          <w:rFonts w:hint="eastAsia" w:ascii="宋体" w:hAnsi="宋体"/>
          <w:szCs w:val="21"/>
        </w:rPr>
        <w:t>第十章  合同的授予与备案</w:t>
      </w:r>
    </w:p>
    <w:p>
      <w:pPr>
        <w:ind w:firstLine="420" w:firstLineChars="200"/>
        <w:rPr>
          <w:rFonts w:ascii="宋体" w:hAnsi="宋体"/>
          <w:szCs w:val="21"/>
        </w:rPr>
      </w:pPr>
      <w:r>
        <w:rPr>
          <w:rFonts w:hint="eastAsia" w:ascii="宋体" w:hAnsi="宋体"/>
          <w:szCs w:val="21"/>
        </w:rPr>
        <w:t>第十一章  质疑处理</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4"/>
    </w:p>
    <w:p>
      <w:pPr>
        <w:rPr>
          <w:rFonts w:ascii="宋体" w:hAnsi="宋体"/>
          <w:szCs w:val="21"/>
        </w:rPr>
      </w:pPr>
    </w:p>
    <w:p>
      <w:pPr>
        <w:pStyle w:val="31"/>
        <w:keepNext/>
        <w:keepLines/>
        <w:numPr>
          <w:ilvl w:val="0"/>
          <w:numId w:val="1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ascii="黑体" w:hAnsi="宋体" w:eastAsia="黑体"/>
          <w:szCs w:val="21"/>
        </w:rPr>
      </w:pPr>
      <w:r>
        <w:rPr>
          <w:rFonts w:hint="eastAsia" w:ascii="黑体" w:hAnsi="宋体" w:eastAsia="黑体"/>
          <w:szCs w:val="21"/>
        </w:rPr>
        <w:t>14．</w:t>
      </w:r>
      <w:bookmarkStart w:id="85" w:name="_Hlk72400236"/>
      <w:r>
        <w:rPr>
          <w:rFonts w:hint="eastAsia" w:ascii="黑体" w:hAnsi="宋体" w:eastAsia="黑体"/>
          <w:szCs w:val="21"/>
        </w:rPr>
        <w:t>投标文件的语言及度量单位</w:t>
      </w:r>
    </w:p>
    <w:p>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5"/>
    <w:p>
      <w:pPr>
        <w:ind w:firstLine="420" w:firstLineChars="200"/>
        <w:rPr>
          <w:rFonts w:ascii="黑体" w:hAnsi="宋体" w:eastAsia="黑体"/>
          <w:szCs w:val="21"/>
        </w:rPr>
      </w:pPr>
      <w:r>
        <w:rPr>
          <w:rFonts w:hint="eastAsia" w:ascii="黑体" w:hAnsi="宋体" w:eastAsia="黑体"/>
          <w:szCs w:val="21"/>
        </w:rPr>
        <w:t>15．</w:t>
      </w:r>
      <w:bookmarkStart w:id="86" w:name="_Hlk72401567"/>
      <w:r>
        <w:rPr>
          <w:rFonts w:hint="eastAsia" w:ascii="黑体" w:hAnsi="宋体" w:eastAsia="黑体"/>
          <w:szCs w:val="21"/>
        </w:rPr>
        <w:t>投标文件的组成</w:t>
      </w:r>
    </w:p>
    <w:p>
      <w:pPr>
        <w:ind w:firstLine="420" w:firstLineChars="200"/>
        <w:rPr>
          <w:rFonts w:ascii="宋体" w:hAnsi="宋体"/>
          <w:szCs w:val="21"/>
        </w:rPr>
      </w:pPr>
      <w:r>
        <w:rPr>
          <w:rFonts w:hint="eastAsia" w:ascii="宋体" w:hAnsi="宋体"/>
          <w:szCs w:val="21"/>
        </w:rPr>
        <w:t>具体内容在招标文件专用条款中进行规定。</w:t>
      </w:r>
    </w:p>
    <w:p>
      <w:pPr>
        <w:ind w:firstLine="420" w:firstLineChars="200"/>
        <w:rPr>
          <w:rFonts w:ascii="黑体" w:hAnsi="宋体" w:eastAsia="黑体"/>
          <w:szCs w:val="21"/>
        </w:rPr>
      </w:pPr>
      <w:r>
        <w:rPr>
          <w:rFonts w:ascii="黑体" w:hAnsi="宋体" w:eastAsia="黑体"/>
          <w:szCs w:val="21"/>
        </w:rPr>
        <w:t>16．投标文件格式</w:t>
      </w:r>
    </w:p>
    <w:p>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ascii="黑体" w:hAnsi="宋体" w:eastAsia="黑体"/>
          <w:szCs w:val="21"/>
        </w:rPr>
      </w:pPr>
      <w:r>
        <w:rPr>
          <w:rFonts w:hint="eastAsia" w:ascii="黑体" w:hAnsi="宋体" w:eastAsia="黑体"/>
          <w:szCs w:val="21"/>
        </w:rPr>
        <w:t>17．投标货币</w:t>
      </w:r>
    </w:p>
    <w:p>
      <w:pPr>
        <w:ind w:firstLine="420" w:firstLineChars="200"/>
        <w:rPr>
          <w:rFonts w:ascii="宋体" w:hAnsi="宋体"/>
          <w:szCs w:val="21"/>
        </w:rPr>
      </w:pPr>
      <w:r>
        <w:rPr>
          <w:rFonts w:hint="eastAsia" w:ascii="宋体" w:hAnsi="宋体"/>
          <w:szCs w:val="21"/>
        </w:rPr>
        <w:t>本项目的投标报价应以人民币计。</w:t>
      </w:r>
    </w:p>
    <w:bookmarkEnd w:id="86"/>
    <w:p>
      <w:pPr>
        <w:ind w:firstLine="420" w:firstLineChars="200"/>
        <w:rPr>
          <w:rFonts w:ascii="黑体" w:hAnsi="宋体" w:eastAsia="黑体"/>
          <w:szCs w:val="21"/>
        </w:rPr>
      </w:pPr>
      <w:r>
        <w:rPr>
          <w:rFonts w:hint="eastAsia" w:ascii="黑体" w:hAnsi="宋体" w:eastAsia="黑体"/>
          <w:szCs w:val="21"/>
        </w:rPr>
        <w:t>18．</w:t>
      </w:r>
      <w:bookmarkStart w:id="87" w:name="_Hlk72401735"/>
      <w:r>
        <w:rPr>
          <w:rFonts w:hint="eastAsia" w:ascii="黑体" w:hAnsi="宋体" w:eastAsia="黑体"/>
          <w:szCs w:val="21"/>
        </w:rPr>
        <w:t>证明投标文件投标技术方案的合格性和符合招标文件规定的文件要求</w:t>
      </w:r>
    </w:p>
    <w:p>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ascii="宋体" w:hAnsi="宋体"/>
          <w:szCs w:val="21"/>
        </w:rPr>
      </w:pPr>
      <w:r>
        <w:rPr>
          <w:rFonts w:hint="eastAsia" w:ascii="宋体" w:hAnsi="宋体"/>
          <w:szCs w:val="21"/>
        </w:rPr>
        <w:t>18.2.1主要技术指标和性能的详细说明。</w:t>
      </w:r>
    </w:p>
    <w:p>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87"/>
    <w:p>
      <w:pPr>
        <w:ind w:firstLine="420" w:firstLineChars="200"/>
        <w:rPr>
          <w:rFonts w:ascii="黑体" w:hAnsi="宋体" w:eastAsia="黑体"/>
          <w:szCs w:val="21"/>
        </w:rPr>
      </w:pPr>
      <w:r>
        <w:rPr>
          <w:rFonts w:hint="eastAsia" w:ascii="黑体" w:hAnsi="宋体" w:eastAsia="黑体"/>
          <w:szCs w:val="21"/>
        </w:rPr>
        <w:t>19．</w:t>
      </w:r>
      <w:bookmarkStart w:id="88" w:name="_Hlk72402034"/>
      <w:r>
        <w:rPr>
          <w:rFonts w:hint="eastAsia" w:ascii="黑体" w:hAnsi="宋体" w:eastAsia="黑体"/>
          <w:szCs w:val="21"/>
        </w:rPr>
        <w:t>投标文件其他证明文件的要求</w:t>
      </w:r>
    </w:p>
    <w:p>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89" w:name="_Hlk71407299"/>
    </w:p>
    <w:bookmarkEnd w:id="89"/>
    <w:p>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ascii="黑体" w:hAnsi="宋体" w:eastAsia="黑体"/>
          <w:szCs w:val="21"/>
        </w:rPr>
      </w:pPr>
      <w:r>
        <w:rPr>
          <w:rFonts w:hint="eastAsia" w:ascii="黑体" w:hAnsi="宋体" w:eastAsia="黑体"/>
          <w:szCs w:val="21"/>
        </w:rPr>
        <w:t>20．投标有效期</w:t>
      </w:r>
    </w:p>
    <w:bookmarkEnd w:id="88"/>
    <w:p>
      <w:pPr>
        <w:ind w:firstLine="420" w:firstLineChars="200"/>
        <w:rPr>
          <w:rFonts w:ascii="宋体" w:hAnsi="宋体"/>
          <w:szCs w:val="21"/>
        </w:rPr>
      </w:pPr>
      <w:bookmarkStart w:id="90"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0"/>
    <w:p>
      <w:pPr>
        <w:ind w:firstLine="420" w:firstLineChars="200"/>
        <w:rPr>
          <w:rFonts w:ascii="黑体" w:hAnsi="宋体" w:eastAsia="黑体"/>
          <w:szCs w:val="21"/>
        </w:rPr>
      </w:pPr>
      <w:r>
        <w:rPr>
          <w:rFonts w:hint="eastAsia" w:ascii="黑体" w:hAnsi="宋体" w:eastAsia="黑体"/>
          <w:szCs w:val="21"/>
        </w:rPr>
        <w:t>21．</w:t>
      </w:r>
      <w:bookmarkStart w:id="91" w:name="_Hlk72402325"/>
      <w:r>
        <w:rPr>
          <w:rFonts w:hint="eastAsia" w:ascii="黑体" w:hAnsi="宋体" w:eastAsia="黑体"/>
          <w:szCs w:val="21"/>
        </w:rPr>
        <w:t xml:space="preserve">关于投标保证金 </w:t>
      </w:r>
    </w:p>
    <w:p>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ascii="黑体" w:hAnsi="宋体" w:eastAsia="黑体"/>
          <w:szCs w:val="21"/>
        </w:rPr>
      </w:pPr>
      <w:r>
        <w:rPr>
          <w:rFonts w:hint="eastAsia" w:ascii="黑体" w:hAnsi="宋体" w:eastAsia="黑体"/>
          <w:szCs w:val="21"/>
        </w:rPr>
        <w:t>22．投标人的替代方案</w:t>
      </w:r>
    </w:p>
    <w:p>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1"/>
    <w:p>
      <w:pPr>
        <w:ind w:firstLine="420" w:firstLineChars="200"/>
        <w:rPr>
          <w:rFonts w:ascii="黑体" w:hAnsi="宋体" w:eastAsia="黑体"/>
          <w:szCs w:val="21"/>
        </w:rPr>
      </w:pPr>
      <w:r>
        <w:rPr>
          <w:rFonts w:hint="eastAsia" w:ascii="黑体" w:hAnsi="宋体" w:eastAsia="黑体"/>
          <w:szCs w:val="21"/>
        </w:rPr>
        <w:t>23．</w:t>
      </w:r>
      <w:bookmarkStart w:id="92"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ascii="宋体" w:hAnsi="宋体"/>
          <w:szCs w:val="21"/>
        </w:rPr>
      </w:pPr>
      <w:r>
        <w:rPr>
          <w:rFonts w:hint="eastAsia" w:ascii="宋体" w:hAnsi="宋体"/>
          <w:szCs w:val="21"/>
        </w:rPr>
        <w:t>23.1投标人应准备所投项目的电子投标文件一份。</w:t>
      </w:r>
    </w:p>
    <w:p>
      <w:pPr>
        <w:ind w:firstLine="420" w:firstLineChars="200"/>
        <w:rPr>
          <w:rFonts w:ascii="宋体" w:hAnsi="宋体"/>
          <w:szCs w:val="21"/>
        </w:rPr>
      </w:pPr>
      <w:r>
        <w:rPr>
          <w:rFonts w:hint="eastAsia" w:ascii="宋体" w:hAnsi="宋体"/>
          <w:szCs w:val="21"/>
        </w:rPr>
        <w:t>23.2投标人在使用《投标书编制软件》编制投标书时须注意：</w:t>
      </w:r>
    </w:p>
    <w:p>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pPr>
        <w:ind w:firstLine="420" w:firstLineChars="200"/>
        <w:rPr>
          <w:rFonts w:ascii="宋体" w:hAnsi="宋体"/>
          <w:szCs w:val="21"/>
        </w:rPr>
      </w:pPr>
      <w:r>
        <w:rPr>
          <w:rFonts w:hint="eastAsia" w:ascii="宋体" w:hAnsi="宋体"/>
          <w:szCs w:val="21"/>
        </w:rPr>
        <w:t>23.3电报、电话、传真形式的投标概不接受。</w:t>
      </w:r>
    </w:p>
    <w:p>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2"/>
    </w:p>
    <w:p>
      <w:pPr>
        <w:ind w:firstLine="411" w:firstLineChars="196"/>
        <w:rPr>
          <w:rFonts w:ascii="宋体" w:hAnsi="宋体"/>
          <w:szCs w:val="21"/>
        </w:rPr>
      </w:pPr>
    </w:p>
    <w:p>
      <w:pPr>
        <w:pStyle w:val="31"/>
        <w:keepNext/>
        <w:keepLines/>
        <w:numPr>
          <w:ilvl w:val="0"/>
          <w:numId w:val="1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ascii="黑体" w:hAnsi="宋体" w:eastAsia="黑体"/>
          <w:szCs w:val="21"/>
        </w:rPr>
      </w:pPr>
      <w:bookmarkStart w:id="93" w:name="_Hlk72405459"/>
      <w:r>
        <w:rPr>
          <w:rFonts w:hint="eastAsia" w:ascii="黑体" w:hAnsi="宋体" w:eastAsia="黑体"/>
          <w:szCs w:val="21"/>
        </w:rPr>
        <w:t>24．投标文件的保密</w:t>
      </w:r>
    </w:p>
    <w:p>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ascii="宋体" w:hAnsi="宋体"/>
          <w:b/>
          <w:szCs w:val="21"/>
        </w:rPr>
      </w:pPr>
      <w:r>
        <w:rPr>
          <w:rFonts w:hint="eastAsia" w:ascii="宋体" w:hAnsi="宋体"/>
          <w:b/>
          <w:szCs w:val="21"/>
        </w:rPr>
        <w:t>24.2若采购项目出现延期情况：</w:t>
      </w:r>
    </w:p>
    <w:p>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ascii="黑体" w:hAnsi="宋体" w:eastAsia="黑体"/>
          <w:szCs w:val="21"/>
        </w:rPr>
      </w:pPr>
      <w:r>
        <w:rPr>
          <w:rFonts w:hint="eastAsia" w:ascii="黑体" w:hAnsi="宋体" w:eastAsia="黑体"/>
          <w:szCs w:val="21"/>
        </w:rPr>
        <w:t>25．上传投标文件及投标截止日期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3"/>
    <w:p>
      <w:pPr>
        <w:ind w:firstLine="420" w:firstLineChars="200"/>
        <w:rPr>
          <w:rFonts w:ascii="黑体" w:hAnsi="宋体" w:eastAsia="黑体"/>
          <w:szCs w:val="21"/>
        </w:rPr>
      </w:pPr>
      <w:r>
        <w:rPr>
          <w:rFonts w:hint="eastAsia" w:ascii="黑体" w:hAnsi="宋体" w:eastAsia="黑体"/>
          <w:szCs w:val="21"/>
        </w:rPr>
        <w:t>26. 样品、现场演示、方案讲解</w:t>
      </w:r>
    </w:p>
    <w:p>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ascii="黑体" w:hAnsi="宋体" w:eastAsia="黑体"/>
          <w:szCs w:val="21"/>
        </w:rPr>
      </w:pPr>
      <w:bookmarkStart w:id="94"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4"/>
    <w:p>
      <w:pPr>
        <w:pStyle w:val="31"/>
        <w:keepNext/>
        <w:keepLines/>
        <w:numPr>
          <w:ilvl w:val="0"/>
          <w:numId w:val="1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ascii="黑体" w:hAnsi="宋体" w:eastAsia="黑体"/>
          <w:szCs w:val="21"/>
        </w:rPr>
      </w:pPr>
      <w:r>
        <w:rPr>
          <w:rFonts w:hint="eastAsia" w:ascii="黑体" w:hAnsi="宋体" w:eastAsia="黑体"/>
          <w:szCs w:val="21"/>
        </w:rPr>
        <w:t>28．开标</w:t>
      </w:r>
    </w:p>
    <w:p>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ascii="宋体" w:hAnsi="宋体"/>
          <w:szCs w:val="21"/>
        </w:rPr>
      </w:pPr>
    </w:p>
    <w:p>
      <w:pPr>
        <w:pStyle w:val="31"/>
        <w:keepNext/>
        <w:keepLines/>
        <w:numPr>
          <w:ilvl w:val="0"/>
          <w:numId w:val="1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ascii="黑体" w:hAnsi="宋体" w:eastAsia="黑体"/>
          <w:szCs w:val="21"/>
        </w:rPr>
      </w:pPr>
      <w:r>
        <w:rPr>
          <w:rFonts w:hint="eastAsia" w:ascii="黑体" w:hAnsi="宋体" w:eastAsia="黑体"/>
          <w:szCs w:val="21"/>
        </w:rPr>
        <w:t>29．评审委员会组成</w:t>
      </w:r>
    </w:p>
    <w:p>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ascii="宋体" w:hAnsi="宋体"/>
          <w:szCs w:val="21"/>
        </w:rPr>
      </w:pPr>
      <w:bookmarkStart w:id="95"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5"/>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ascii="宋体" w:hAnsi="宋体"/>
          <w:szCs w:val="21"/>
        </w:rPr>
      </w:pPr>
      <w:r>
        <w:rPr>
          <w:rFonts w:hint="eastAsia" w:ascii="宋体" w:hAnsi="宋体"/>
          <w:szCs w:val="21"/>
        </w:rPr>
        <w:t>29.2评审定标应当遵循公平、公正、科学、择优的原则。</w:t>
      </w:r>
    </w:p>
    <w:p>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ascii="黑体" w:hAnsi="宋体" w:eastAsia="黑体"/>
          <w:szCs w:val="21"/>
        </w:rPr>
      </w:pPr>
      <w:r>
        <w:rPr>
          <w:rFonts w:hint="eastAsia" w:ascii="黑体" w:hAnsi="宋体" w:eastAsia="黑体"/>
          <w:szCs w:val="21"/>
        </w:rPr>
        <w:t>30．向评审委员会提供的资料</w:t>
      </w:r>
    </w:p>
    <w:p>
      <w:pPr>
        <w:ind w:firstLine="420" w:firstLineChars="200"/>
        <w:rPr>
          <w:rFonts w:ascii="宋体" w:hAnsi="宋体"/>
          <w:szCs w:val="21"/>
        </w:rPr>
      </w:pPr>
      <w:r>
        <w:rPr>
          <w:rFonts w:hint="eastAsia" w:ascii="宋体" w:hAnsi="宋体"/>
          <w:szCs w:val="21"/>
        </w:rPr>
        <w:t>30.1公开发布的招标文件，包括图纸、服务清单、答疑文件等；</w:t>
      </w:r>
    </w:p>
    <w:p>
      <w:pPr>
        <w:ind w:firstLine="420" w:firstLineChars="200"/>
        <w:rPr>
          <w:rFonts w:ascii="宋体" w:hAnsi="宋体"/>
          <w:szCs w:val="21"/>
        </w:rPr>
      </w:pPr>
      <w:r>
        <w:rPr>
          <w:rFonts w:hint="eastAsia" w:ascii="宋体" w:hAnsi="宋体"/>
          <w:szCs w:val="21"/>
        </w:rPr>
        <w:t>30.2其他评标必须的资料。</w:t>
      </w:r>
    </w:p>
    <w:p>
      <w:pPr>
        <w:ind w:firstLine="420" w:firstLineChars="200"/>
        <w:rPr>
          <w:rFonts w:ascii="宋体" w:hAnsi="宋体"/>
          <w:szCs w:val="21"/>
        </w:rPr>
      </w:pPr>
      <w:r>
        <w:rPr>
          <w:rFonts w:hint="eastAsia" w:ascii="宋体" w:hAnsi="宋体"/>
          <w:szCs w:val="21"/>
        </w:rPr>
        <w:t>30.3评审委员会应当认真研究招标文件，至少应了解熟悉以下内容：</w:t>
      </w:r>
    </w:p>
    <w:p>
      <w:pPr>
        <w:ind w:firstLine="420" w:firstLineChars="200"/>
        <w:rPr>
          <w:rFonts w:ascii="宋体" w:hAnsi="宋体"/>
          <w:szCs w:val="21"/>
        </w:rPr>
      </w:pPr>
      <w:r>
        <w:rPr>
          <w:rFonts w:hint="eastAsia" w:ascii="宋体" w:hAnsi="宋体"/>
          <w:szCs w:val="21"/>
        </w:rPr>
        <w:t>（1）招标的目的；</w:t>
      </w:r>
    </w:p>
    <w:p>
      <w:pPr>
        <w:ind w:firstLine="420" w:firstLineChars="200"/>
        <w:rPr>
          <w:rFonts w:ascii="宋体" w:hAnsi="宋体"/>
          <w:szCs w:val="21"/>
        </w:rPr>
      </w:pPr>
      <w:r>
        <w:rPr>
          <w:rFonts w:hint="eastAsia" w:ascii="宋体" w:hAnsi="宋体"/>
          <w:szCs w:val="21"/>
        </w:rPr>
        <w:t>（2）招标项目需求的范围和性质；</w:t>
      </w:r>
    </w:p>
    <w:p>
      <w:pPr>
        <w:ind w:firstLine="420" w:firstLineChars="200"/>
        <w:rPr>
          <w:rFonts w:ascii="宋体" w:hAnsi="宋体"/>
          <w:szCs w:val="21"/>
        </w:rPr>
      </w:pPr>
      <w:r>
        <w:rPr>
          <w:rFonts w:hint="eastAsia" w:ascii="宋体" w:hAnsi="宋体"/>
          <w:szCs w:val="21"/>
        </w:rPr>
        <w:t>（3）招标文件规定的投标人的资格、财政预算限额、商务条款；</w:t>
      </w:r>
    </w:p>
    <w:p>
      <w:pPr>
        <w:ind w:firstLine="420" w:firstLineChars="200"/>
        <w:rPr>
          <w:rFonts w:ascii="宋体" w:hAnsi="宋体"/>
          <w:szCs w:val="21"/>
        </w:rPr>
      </w:pPr>
      <w:r>
        <w:rPr>
          <w:rFonts w:hint="eastAsia" w:ascii="宋体" w:hAnsi="宋体"/>
          <w:szCs w:val="21"/>
        </w:rPr>
        <w:t>（4）招标文件规定的评标程序、评标方法和评标因素；</w:t>
      </w:r>
    </w:p>
    <w:p>
      <w:pPr>
        <w:ind w:firstLine="420" w:firstLineChars="200"/>
        <w:rPr>
          <w:rFonts w:ascii="宋体" w:hAnsi="宋体"/>
          <w:szCs w:val="21"/>
        </w:rPr>
      </w:pPr>
      <w:r>
        <w:rPr>
          <w:rFonts w:hint="eastAsia" w:ascii="宋体" w:hAnsi="宋体"/>
          <w:szCs w:val="21"/>
        </w:rPr>
        <w:t>（5）招标文件所列示的资格性审查表及符合性审查表。</w:t>
      </w:r>
    </w:p>
    <w:p>
      <w:pPr>
        <w:ind w:firstLine="420" w:firstLineChars="200"/>
        <w:rPr>
          <w:rFonts w:ascii="黑体" w:hAnsi="宋体" w:eastAsia="黑体"/>
          <w:szCs w:val="21"/>
        </w:rPr>
      </w:pPr>
      <w:r>
        <w:rPr>
          <w:rFonts w:hint="eastAsia" w:ascii="黑体" w:hAnsi="宋体" w:eastAsia="黑体"/>
          <w:szCs w:val="21"/>
        </w:rPr>
        <w:t>31．独立评审</w:t>
      </w:r>
    </w:p>
    <w:p>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ascii="宋体" w:hAnsi="宋体"/>
          <w:bCs/>
          <w:szCs w:val="21"/>
        </w:rPr>
      </w:pPr>
    </w:p>
    <w:p>
      <w:pPr>
        <w:pStyle w:val="31"/>
        <w:keepNext/>
        <w:keepLines/>
        <w:numPr>
          <w:ilvl w:val="0"/>
          <w:numId w:val="1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ascii="黑体" w:hAnsi="宋体" w:eastAsia="黑体"/>
          <w:szCs w:val="21"/>
        </w:rPr>
      </w:pPr>
      <w:r>
        <w:rPr>
          <w:rFonts w:hint="eastAsia" w:ascii="黑体" w:hAnsi="宋体" w:eastAsia="黑体"/>
          <w:szCs w:val="21"/>
        </w:rPr>
        <w:t>32．投标文件初审</w:t>
      </w:r>
    </w:p>
    <w:p>
      <w:pPr>
        <w:ind w:firstLine="420" w:firstLineChars="200"/>
        <w:rPr>
          <w:rFonts w:ascii="宋体" w:hAnsi="宋体"/>
          <w:szCs w:val="21"/>
        </w:rPr>
      </w:pPr>
      <w:r>
        <w:rPr>
          <w:rFonts w:hint="eastAsia" w:ascii="宋体" w:hAnsi="宋体"/>
          <w:szCs w:val="21"/>
        </w:rPr>
        <w:t>32.1投标文件初审包括资格性审查和符合性审查。</w:t>
      </w:r>
    </w:p>
    <w:p>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ascii="宋体" w:hAnsi="宋体"/>
          <w:bCs/>
          <w:szCs w:val="21"/>
        </w:rPr>
      </w:pPr>
      <w:r>
        <w:rPr>
          <w:rFonts w:hint="eastAsia" w:ascii="宋体" w:hAnsi="宋体"/>
          <w:bCs/>
          <w:szCs w:val="21"/>
        </w:rPr>
        <w:t>32.3 投标文件初审中关于供应商家数的计算:</w:t>
      </w:r>
    </w:p>
    <w:p>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ascii="宋体" w:hAnsi="宋体"/>
          <w:szCs w:val="21"/>
        </w:rPr>
      </w:pPr>
      <w:r>
        <w:rPr>
          <w:rFonts w:hint="eastAsia" w:ascii="宋体" w:hAnsi="宋体"/>
          <w:szCs w:val="21"/>
        </w:rPr>
        <w:t>32.4.4不同投标人的投标文件异常一致或者投标报价呈规律性差异；</w:t>
      </w:r>
    </w:p>
    <w:p>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ascii="宋体" w:hAnsi="宋体"/>
          <w:szCs w:val="21"/>
        </w:rPr>
      </w:pPr>
      <w:r>
        <w:rPr>
          <w:rFonts w:hint="eastAsia" w:ascii="宋体" w:hAnsi="宋体"/>
          <w:szCs w:val="21"/>
        </w:rPr>
        <w:t>32.4.6投标供应商之间相互约定给予未中标的供应商利益补偿；</w:t>
      </w:r>
    </w:p>
    <w:p>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ascii="宋体" w:hAnsi="宋体"/>
          <w:szCs w:val="21"/>
        </w:rPr>
      </w:pPr>
      <w:r>
        <w:rPr>
          <w:rFonts w:hint="eastAsia" w:ascii="宋体" w:hAnsi="宋体"/>
          <w:szCs w:val="21"/>
        </w:rPr>
        <w:t>32.4.8不同投标供应商的投标文件内容存在非正常一致；</w:t>
      </w:r>
    </w:p>
    <w:p>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ascii="宋体" w:hAnsi="宋体"/>
          <w:szCs w:val="21"/>
        </w:rPr>
      </w:pPr>
      <w:r>
        <w:rPr>
          <w:rFonts w:hint="eastAsia" w:ascii="宋体" w:hAnsi="宋体"/>
          <w:szCs w:val="21"/>
        </w:rPr>
        <w:t>32.4.10主管部门依照法律、法规认定的其他情形。</w:t>
      </w:r>
    </w:p>
    <w:p>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ascii="黑体" w:hAnsi="宋体" w:eastAsia="黑体"/>
          <w:szCs w:val="21"/>
        </w:rPr>
      </w:pPr>
      <w:r>
        <w:rPr>
          <w:rFonts w:hint="eastAsia" w:ascii="黑体" w:hAnsi="宋体" w:eastAsia="黑体"/>
          <w:szCs w:val="21"/>
        </w:rPr>
        <w:t>33．澄清有关问题</w:t>
      </w:r>
    </w:p>
    <w:p>
      <w:pPr>
        <w:ind w:firstLine="420" w:firstLineChars="200"/>
        <w:rPr>
          <w:rFonts w:ascii="宋体" w:hAnsi="宋体"/>
          <w:szCs w:val="21"/>
        </w:rPr>
      </w:pPr>
      <w:bookmarkStart w:id="96"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96"/>
    </w:p>
    <w:p>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ascii="黑体" w:hAnsi="宋体" w:eastAsia="黑体"/>
          <w:szCs w:val="21"/>
        </w:rPr>
      </w:pPr>
      <w:bookmarkStart w:id="97" w:name="_Toc73521669"/>
      <w:bookmarkStart w:id="98" w:name="_Toc73517673"/>
      <w:bookmarkStart w:id="99" w:name="_Toc73518151"/>
      <w:bookmarkStart w:id="100" w:name="_Toc100052400"/>
      <w:bookmarkStart w:id="101" w:name="_Toc73521581"/>
      <w:r>
        <w:rPr>
          <w:rFonts w:hint="eastAsia" w:ascii="黑体" w:hAnsi="宋体" w:eastAsia="黑体"/>
          <w:szCs w:val="21"/>
        </w:rPr>
        <w:t>34．错误的修正</w:t>
      </w:r>
      <w:bookmarkEnd w:id="97"/>
      <w:bookmarkEnd w:id="98"/>
      <w:bookmarkEnd w:id="99"/>
      <w:bookmarkEnd w:id="100"/>
      <w:bookmarkEnd w:id="101"/>
    </w:p>
    <w:p>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ascii="宋体" w:hAnsi="宋体"/>
          <w:szCs w:val="21"/>
        </w:rPr>
      </w:pPr>
      <w:r>
        <w:rPr>
          <w:rFonts w:hint="eastAsia" w:ascii="宋体" w:hAnsi="宋体"/>
          <w:szCs w:val="21"/>
        </w:rPr>
        <w:t>34.2大写金额和小写金额不一致的，以大写金额为准；</w:t>
      </w:r>
    </w:p>
    <w:p>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ascii="宋体" w:hAnsi="宋体"/>
          <w:szCs w:val="21"/>
        </w:rPr>
      </w:pPr>
      <w:r>
        <w:rPr>
          <w:rFonts w:hint="eastAsia" w:ascii="宋体" w:hAnsi="宋体"/>
          <w:szCs w:val="21"/>
        </w:rPr>
        <w:t>34.4总价金额与按单价汇总金额不一致的，以单价金额计算结果为准。</w:t>
      </w:r>
    </w:p>
    <w:p>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ascii="黑体" w:hAnsi="宋体" w:eastAsia="黑体"/>
          <w:szCs w:val="21"/>
        </w:rPr>
      </w:pPr>
      <w:r>
        <w:rPr>
          <w:rFonts w:hint="eastAsia" w:ascii="黑体" w:hAnsi="宋体" w:eastAsia="黑体"/>
          <w:szCs w:val="21"/>
        </w:rPr>
        <w:t>35．投标文件的比较与评价</w:t>
      </w:r>
    </w:p>
    <w:p>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ascii="黑体" w:hAnsi="宋体" w:eastAsia="黑体"/>
          <w:szCs w:val="21"/>
        </w:rPr>
      </w:pPr>
      <w:r>
        <w:rPr>
          <w:rFonts w:hint="eastAsia" w:ascii="黑体" w:hAnsi="宋体" w:eastAsia="黑体"/>
          <w:szCs w:val="21"/>
        </w:rPr>
        <w:t>36. 实地考察或资料查验</w:t>
      </w:r>
    </w:p>
    <w:p>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ascii="黑体" w:hAnsi="宋体" w:eastAsia="黑体"/>
          <w:szCs w:val="21"/>
        </w:rPr>
      </w:pPr>
      <w:r>
        <w:rPr>
          <w:rFonts w:hint="eastAsia" w:ascii="黑体" w:hAnsi="宋体" w:eastAsia="黑体"/>
          <w:szCs w:val="21"/>
        </w:rPr>
        <w:t>37．评审方法</w:t>
      </w:r>
    </w:p>
    <w:p>
      <w:pPr>
        <w:ind w:firstLine="422" w:firstLineChars="200"/>
        <w:rPr>
          <w:rFonts w:ascii="宋体" w:hAnsi="宋体"/>
          <w:b/>
          <w:bCs/>
          <w:szCs w:val="21"/>
        </w:rPr>
      </w:pPr>
      <w:r>
        <w:rPr>
          <w:rFonts w:hint="eastAsia" w:ascii="宋体" w:hAnsi="宋体"/>
          <w:b/>
          <w:bCs/>
          <w:szCs w:val="21"/>
        </w:rPr>
        <w:t>37.1.1最低价法</w:t>
      </w:r>
    </w:p>
    <w:p>
      <w:pPr>
        <w:ind w:firstLine="420" w:firstLineChars="200"/>
        <w:rPr>
          <w:rFonts w:ascii="ˎ̥" w:hAnsi="ˎ̥"/>
          <w:szCs w:val="21"/>
        </w:rPr>
      </w:pPr>
      <w:bookmarkStart w:id="102"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ascii="宋体" w:hAnsi="宋体"/>
          <w:b/>
          <w:bCs/>
          <w:szCs w:val="21"/>
        </w:rPr>
      </w:pPr>
      <w:r>
        <w:rPr>
          <w:rFonts w:hint="eastAsia" w:ascii="宋体" w:hAnsi="宋体"/>
          <w:b/>
          <w:bCs/>
          <w:szCs w:val="21"/>
        </w:rPr>
        <w:t>37.1.2综合评分法</w:t>
      </w:r>
    </w:p>
    <w:p>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2"/>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ascii="宋体" w:hAnsi="宋体"/>
          <w:b/>
          <w:bCs/>
          <w:szCs w:val="21"/>
        </w:rPr>
      </w:pPr>
      <w:r>
        <w:rPr>
          <w:rFonts w:hint="eastAsia" w:ascii="宋体" w:hAnsi="宋体"/>
          <w:b/>
          <w:bCs/>
          <w:szCs w:val="21"/>
        </w:rPr>
        <w:t>37.3重新评审的情形</w:t>
      </w:r>
    </w:p>
    <w:p>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ascii="宋体" w:hAnsi="宋体" w:cs="宋体"/>
          <w:kern w:val="0"/>
          <w:szCs w:val="21"/>
        </w:rPr>
      </w:pPr>
      <w:r>
        <w:rPr>
          <w:rFonts w:hint="eastAsia" w:ascii="宋体" w:hAnsi="宋体" w:cs="宋体"/>
          <w:kern w:val="0"/>
          <w:szCs w:val="21"/>
        </w:rPr>
        <w:t>37.3.1分值汇总计算错误的；</w:t>
      </w:r>
    </w:p>
    <w:p>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ascii="宋体" w:hAnsi="宋体"/>
          <w:b/>
          <w:bCs/>
          <w:szCs w:val="21"/>
        </w:rPr>
      </w:pPr>
      <w:r>
        <w:rPr>
          <w:rFonts w:hint="eastAsia" w:ascii="宋体" w:hAnsi="宋体"/>
          <w:b/>
          <w:bCs/>
          <w:szCs w:val="21"/>
        </w:rPr>
        <w:t xml:space="preserve"> 37.4重新组建评审委员会的情形</w:t>
      </w:r>
    </w:p>
    <w:p>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ascii="宋体" w:hAnsi="宋体"/>
          <w:szCs w:val="21"/>
        </w:rPr>
      </w:pPr>
    </w:p>
    <w:p>
      <w:pPr>
        <w:pStyle w:val="31"/>
        <w:keepNext/>
        <w:keepLines/>
        <w:numPr>
          <w:ilvl w:val="0"/>
          <w:numId w:val="1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ascii="黑体" w:hAnsi="宋体" w:eastAsia="黑体"/>
          <w:szCs w:val="21"/>
        </w:rPr>
      </w:pPr>
      <w:r>
        <w:rPr>
          <w:rFonts w:hint="eastAsia" w:ascii="黑体" w:hAnsi="宋体" w:eastAsia="黑体"/>
          <w:szCs w:val="21"/>
        </w:rPr>
        <w:t>38．定标方法</w:t>
      </w:r>
    </w:p>
    <w:p>
      <w:pPr>
        <w:ind w:firstLine="420" w:firstLineChars="200"/>
        <w:rPr>
          <w:rFonts w:ascii="宋体" w:hAnsi="宋体"/>
          <w:szCs w:val="21"/>
        </w:rPr>
      </w:pPr>
      <w:bookmarkStart w:id="103" w:name="_Hlk73782795"/>
      <w:r>
        <w:rPr>
          <w:rFonts w:hint="eastAsia" w:ascii="宋体" w:hAnsi="宋体"/>
          <w:szCs w:val="21"/>
        </w:rPr>
        <w:t>38.1非评定分离项目定标方法</w:t>
      </w:r>
    </w:p>
    <w:p>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4" w:name="_Hlk73821177"/>
      <w:r>
        <w:rPr>
          <w:rFonts w:hint="eastAsia" w:ascii="ˎ̥" w:hAnsi="ˎ̥"/>
          <w:szCs w:val="21"/>
        </w:rPr>
        <w:t>唯一候选中标供应商</w:t>
      </w:r>
      <w:bookmarkEnd w:id="104"/>
      <w:r>
        <w:rPr>
          <w:rFonts w:ascii="ˎ̥" w:hAnsi="ˎ̥"/>
          <w:szCs w:val="21"/>
        </w:rPr>
        <w:t>。</w:t>
      </w:r>
    </w:p>
    <w:p>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ascii="宋体" w:hAnsi="宋体"/>
          <w:szCs w:val="21"/>
        </w:rPr>
      </w:pPr>
      <w:r>
        <w:rPr>
          <w:rFonts w:hint="eastAsia" w:ascii="宋体" w:hAnsi="宋体"/>
          <w:szCs w:val="21"/>
        </w:rPr>
        <w:t>38.2评定分离项目定标方法</w:t>
      </w:r>
    </w:p>
    <w:p>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105"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ascii="宋体" w:hAnsi="宋体"/>
          <w:szCs w:val="21"/>
        </w:rPr>
      </w:pPr>
      <w:r>
        <w:rPr>
          <w:rFonts w:hint="eastAsia" w:ascii="宋体" w:hAnsi="宋体"/>
          <w:szCs w:val="21"/>
        </w:rPr>
        <w:t>38.2.3</w:t>
      </w:r>
      <w:bookmarkStart w:id="106"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5"/>
      <w:bookmarkEnd w:id="106"/>
    </w:p>
    <w:p>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ascii="宋体" w:hAnsi="宋体"/>
          <w:szCs w:val="21"/>
        </w:rPr>
      </w:pPr>
      <w:r>
        <w:rPr>
          <w:rFonts w:hint="eastAsia" w:ascii="宋体" w:hAnsi="宋体"/>
          <w:szCs w:val="21"/>
        </w:rPr>
        <w:t>说明：采购人及投标供应商应按照上述方法提前做好相关准备。</w:t>
      </w:r>
    </w:p>
    <w:p>
      <w:pPr>
        <w:ind w:firstLine="420" w:firstLineChars="200"/>
        <w:rPr>
          <w:rFonts w:ascii="宋体" w:hAnsi="宋体"/>
          <w:szCs w:val="21"/>
        </w:rPr>
      </w:pPr>
      <w:r>
        <w:rPr>
          <w:rFonts w:hint="eastAsia" w:ascii="宋体" w:hAnsi="宋体"/>
          <w:szCs w:val="21"/>
        </w:rPr>
        <w:t>38.3专用条款另有规定的，按专用条款相关要求定标。</w:t>
      </w:r>
      <w:bookmarkEnd w:id="103"/>
    </w:p>
    <w:p>
      <w:pPr>
        <w:ind w:firstLine="420" w:firstLineChars="200"/>
        <w:rPr>
          <w:rFonts w:ascii="黑体" w:hAnsi="宋体" w:eastAsia="黑体"/>
          <w:szCs w:val="21"/>
        </w:rPr>
      </w:pPr>
      <w:r>
        <w:rPr>
          <w:rFonts w:hint="eastAsia" w:ascii="黑体" w:hAnsi="宋体" w:eastAsia="黑体"/>
          <w:szCs w:val="21"/>
        </w:rPr>
        <w:t>39．编写评审报告</w:t>
      </w:r>
    </w:p>
    <w:p>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ascii="黑体" w:hAnsi="宋体" w:eastAsia="黑体"/>
          <w:szCs w:val="21"/>
        </w:rPr>
      </w:pPr>
      <w:r>
        <w:rPr>
          <w:rFonts w:hint="eastAsia" w:ascii="黑体" w:hAnsi="宋体" w:eastAsia="黑体"/>
          <w:szCs w:val="21"/>
        </w:rPr>
        <w:t>40．中标（成交）公告</w:t>
      </w:r>
    </w:p>
    <w:p>
      <w:pPr>
        <w:ind w:firstLine="420" w:firstLineChars="200"/>
        <w:rPr>
          <w:rFonts w:ascii="宋体" w:hAnsi="宋体"/>
          <w:szCs w:val="21"/>
        </w:rPr>
      </w:pPr>
      <w:r>
        <w:rPr>
          <w:rFonts w:hint="eastAsia" w:ascii="宋体" w:hAnsi="宋体"/>
          <w:szCs w:val="21"/>
        </w:rPr>
        <w:t>40.1</w:t>
      </w:r>
      <w:bookmarkStart w:id="107"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07"/>
      <w:bookmarkStart w:id="108"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08"/>
    <w:p>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ascii="黑体" w:hAnsi="宋体" w:eastAsia="黑体"/>
          <w:szCs w:val="21"/>
        </w:rPr>
      </w:pPr>
      <w:r>
        <w:rPr>
          <w:rFonts w:hint="eastAsia" w:ascii="黑体" w:hAnsi="宋体" w:eastAsia="黑体"/>
          <w:szCs w:val="21"/>
        </w:rPr>
        <w:t>41．中标通知书</w:t>
      </w:r>
    </w:p>
    <w:p>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09"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09"/>
    </w:p>
    <w:p>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ascii="宋体" w:hAnsi="宋体"/>
          <w:szCs w:val="21"/>
        </w:rPr>
      </w:pPr>
      <w:bookmarkStart w:id="110" w:name="_Hlk71407340"/>
      <w:r>
        <w:rPr>
          <w:rFonts w:hint="eastAsia" w:ascii="宋体" w:hAnsi="宋体"/>
          <w:szCs w:val="21"/>
        </w:rPr>
        <w:t>41.3因质疑投诉或其他原因导致项目结果变更或采购终止的，政府集中采购机构有权吊销中标通知书。</w:t>
      </w:r>
    </w:p>
    <w:bookmarkEnd w:id="110"/>
    <w:p>
      <w:pPr>
        <w:ind w:firstLine="411" w:firstLineChars="196"/>
        <w:rPr>
          <w:rFonts w:ascii="宋体" w:hAnsi="宋体"/>
          <w:szCs w:val="21"/>
        </w:rPr>
      </w:pPr>
    </w:p>
    <w:p>
      <w:pPr>
        <w:pStyle w:val="31"/>
        <w:keepNext/>
        <w:keepLines/>
        <w:numPr>
          <w:ilvl w:val="0"/>
          <w:numId w:val="1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ascii="黑体" w:hAnsi="宋体" w:eastAsia="黑体"/>
          <w:szCs w:val="21"/>
        </w:rPr>
      </w:pPr>
      <w:r>
        <w:rPr>
          <w:rFonts w:hint="eastAsia" w:ascii="黑体" w:hAnsi="宋体" w:eastAsia="黑体"/>
          <w:szCs w:val="21"/>
        </w:rPr>
        <w:t>42．公开招标失败的处理</w:t>
      </w:r>
    </w:p>
    <w:p>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ascii="宋体" w:hAnsi="宋体"/>
          <w:szCs w:val="21"/>
        </w:rPr>
      </w:pPr>
      <w:r>
        <w:rPr>
          <w:rFonts w:hint="eastAsia" w:ascii="宋体" w:hAnsi="宋体"/>
          <w:szCs w:val="21"/>
        </w:rPr>
        <w:t>42.3重新组织采购有以下两种组织形式：</w:t>
      </w:r>
    </w:p>
    <w:p>
      <w:pPr>
        <w:ind w:firstLine="411" w:firstLineChars="196"/>
        <w:rPr>
          <w:rFonts w:ascii="宋体" w:hAnsi="宋体"/>
        </w:rPr>
      </w:pPr>
      <w:r>
        <w:rPr>
          <w:rFonts w:hint="eastAsia" w:ascii="宋体" w:hAnsi="宋体"/>
        </w:rPr>
        <w:t>（1）由政府集中采购机构重新组织公开招标；</w:t>
      </w:r>
    </w:p>
    <w:p>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ascii="宋体" w:hAnsi="宋体"/>
          <w:szCs w:val="21"/>
        </w:rPr>
      </w:pPr>
    </w:p>
    <w:p>
      <w:pPr>
        <w:rPr>
          <w:rFonts w:ascii="黑体" w:hAnsi="宋体" w:eastAsia="黑体"/>
          <w:sz w:val="24"/>
        </w:rPr>
      </w:pPr>
    </w:p>
    <w:p>
      <w:pPr>
        <w:pStyle w:val="31"/>
        <w:keepNext/>
        <w:keepLines/>
        <w:numPr>
          <w:ilvl w:val="0"/>
          <w:numId w:val="1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1" w:name="_Hlk72439043"/>
      <w:r>
        <w:rPr>
          <w:rFonts w:hint="eastAsia" w:asciiTheme="majorHAnsi" w:hAnsiTheme="majorHAnsi" w:eastAsiaTheme="majorEastAsia" w:cstheme="majorBidi"/>
          <w:b/>
          <w:bCs/>
          <w:sz w:val="28"/>
          <w:szCs w:val="28"/>
        </w:rPr>
        <w:t>合同的授予与备案</w:t>
      </w:r>
      <w:bookmarkEnd w:id="111"/>
    </w:p>
    <w:p>
      <w:pPr>
        <w:ind w:firstLine="420" w:firstLineChars="200"/>
        <w:rPr>
          <w:rFonts w:ascii="黑体" w:hAnsi="宋体" w:eastAsia="黑体"/>
          <w:szCs w:val="21"/>
        </w:rPr>
      </w:pPr>
      <w:bookmarkStart w:id="112" w:name="_Toc73521586"/>
      <w:bookmarkStart w:id="113" w:name="_Toc73518157"/>
      <w:bookmarkStart w:id="114" w:name="_Toc100052408"/>
      <w:bookmarkStart w:id="115" w:name="_Toc73521674"/>
      <w:bookmarkStart w:id="116" w:name="_Toc73517679"/>
      <w:bookmarkStart w:id="117" w:name="_Hlk72439088"/>
      <w:r>
        <w:rPr>
          <w:rFonts w:hint="eastAsia" w:ascii="黑体" w:hAnsi="宋体" w:eastAsia="黑体"/>
          <w:szCs w:val="21"/>
        </w:rPr>
        <w:t>43．合同授予标准</w:t>
      </w:r>
      <w:bookmarkEnd w:id="112"/>
      <w:bookmarkEnd w:id="113"/>
      <w:bookmarkEnd w:id="114"/>
      <w:bookmarkEnd w:id="115"/>
      <w:bookmarkEnd w:id="116"/>
    </w:p>
    <w:p>
      <w:pPr>
        <w:ind w:firstLine="420" w:firstLineChars="200"/>
        <w:rPr>
          <w:rFonts w:ascii="宋体" w:hAnsi="宋体"/>
          <w:szCs w:val="21"/>
        </w:rPr>
      </w:pPr>
      <w:r>
        <w:rPr>
          <w:rFonts w:hint="eastAsia" w:ascii="宋体" w:hAnsi="宋体"/>
          <w:szCs w:val="21"/>
        </w:rPr>
        <w:t>本项目的合同将授予经本招标文件规定评审确定的中标供应商。</w:t>
      </w:r>
    </w:p>
    <w:p>
      <w:pPr>
        <w:ind w:firstLine="420" w:firstLineChars="200"/>
        <w:rPr>
          <w:rFonts w:ascii="黑体" w:hAnsi="宋体" w:eastAsia="黑体"/>
          <w:szCs w:val="21"/>
        </w:rPr>
      </w:pPr>
      <w:bookmarkStart w:id="118" w:name="_Toc73521675"/>
      <w:bookmarkStart w:id="119" w:name="_Toc73517680"/>
      <w:bookmarkStart w:id="120" w:name="_Toc73518158"/>
      <w:bookmarkStart w:id="121" w:name="_Toc100052409"/>
      <w:bookmarkStart w:id="122" w:name="_Toc73521587"/>
      <w:r>
        <w:rPr>
          <w:rFonts w:hint="eastAsia" w:ascii="黑体" w:hAnsi="宋体" w:eastAsia="黑体"/>
          <w:szCs w:val="21"/>
        </w:rPr>
        <w:t>44．</w:t>
      </w:r>
      <w:bookmarkEnd w:id="118"/>
      <w:bookmarkEnd w:id="119"/>
      <w:bookmarkEnd w:id="120"/>
      <w:bookmarkEnd w:id="121"/>
      <w:bookmarkEnd w:id="122"/>
      <w:r>
        <w:rPr>
          <w:rFonts w:hint="eastAsia" w:ascii="黑体" w:hAnsi="宋体" w:eastAsia="黑体"/>
          <w:szCs w:val="21"/>
        </w:rPr>
        <w:t>接受和拒绝任何或所有投标的权力</w:t>
      </w:r>
    </w:p>
    <w:p>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ascii="黑体" w:hAnsi="宋体" w:eastAsia="黑体"/>
          <w:szCs w:val="21"/>
        </w:rPr>
      </w:pPr>
      <w:bookmarkStart w:id="123" w:name="_Toc73517682"/>
      <w:bookmarkStart w:id="124" w:name="_Toc73518160"/>
      <w:bookmarkStart w:id="125" w:name="_Toc100052410"/>
      <w:bookmarkStart w:id="126" w:name="_Toc73521677"/>
      <w:bookmarkStart w:id="127" w:name="_Toc73521589"/>
      <w:r>
        <w:rPr>
          <w:rFonts w:hint="eastAsia" w:ascii="黑体" w:hAnsi="宋体" w:eastAsia="黑体"/>
          <w:szCs w:val="21"/>
        </w:rPr>
        <w:t>45．合同的签订</w:t>
      </w:r>
      <w:bookmarkEnd w:id="123"/>
      <w:bookmarkEnd w:id="124"/>
      <w:bookmarkEnd w:id="125"/>
      <w:bookmarkEnd w:id="126"/>
      <w:bookmarkEnd w:id="127"/>
    </w:p>
    <w:p>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pPr>
        <w:ind w:firstLine="420" w:firstLineChars="200"/>
        <w:rPr>
          <w:rFonts w:ascii="黑体" w:hAnsi="宋体" w:eastAsia="黑体"/>
          <w:szCs w:val="21"/>
        </w:rPr>
      </w:pPr>
      <w:bookmarkStart w:id="128" w:name="_Toc100052411"/>
      <w:bookmarkStart w:id="129" w:name="_Toc73518161"/>
      <w:bookmarkStart w:id="130" w:name="_Toc73517683"/>
      <w:bookmarkStart w:id="131" w:name="_Toc73521590"/>
      <w:bookmarkStart w:id="132" w:name="_Toc73521678"/>
      <w:r>
        <w:rPr>
          <w:rFonts w:hint="eastAsia" w:ascii="黑体" w:hAnsi="宋体" w:eastAsia="黑体"/>
          <w:szCs w:val="21"/>
        </w:rPr>
        <w:t>46．履约担保</w:t>
      </w:r>
      <w:bookmarkEnd w:id="128"/>
      <w:bookmarkEnd w:id="129"/>
      <w:bookmarkEnd w:id="130"/>
      <w:bookmarkEnd w:id="131"/>
      <w:bookmarkEnd w:id="132"/>
    </w:p>
    <w:p>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ascii="黑体" w:hAnsi="宋体" w:eastAsia="黑体"/>
          <w:szCs w:val="21"/>
        </w:rPr>
      </w:pPr>
      <w:r>
        <w:rPr>
          <w:rFonts w:hint="eastAsia" w:ascii="黑体" w:hAnsi="宋体" w:eastAsia="黑体"/>
          <w:szCs w:val="21"/>
        </w:rPr>
        <w:t>47. 合同备案</w:t>
      </w:r>
    </w:p>
    <w:p>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ascii="黑体" w:hAnsi="宋体" w:eastAsia="黑体"/>
          <w:szCs w:val="21"/>
        </w:rPr>
      </w:pPr>
      <w:r>
        <w:rPr>
          <w:rFonts w:hint="eastAsia" w:ascii="黑体" w:hAnsi="宋体" w:eastAsia="黑体"/>
          <w:szCs w:val="21"/>
        </w:rPr>
        <w:t>48. 合同变更</w:t>
      </w:r>
    </w:p>
    <w:p>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ascii="黑体" w:hAnsi="宋体" w:eastAsia="黑体"/>
          <w:szCs w:val="21"/>
        </w:rPr>
      </w:pPr>
      <w:r>
        <w:rPr>
          <w:rFonts w:hint="eastAsia" w:ascii="黑体" w:hAnsi="宋体" w:eastAsia="黑体"/>
          <w:szCs w:val="21"/>
        </w:rPr>
        <w:t>49. 项目验收</w:t>
      </w:r>
    </w:p>
    <w:p>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ascii="黑体" w:hAnsi="宋体" w:eastAsia="黑体"/>
          <w:szCs w:val="21"/>
        </w:rPr>
      </w:pPr>
      <w:r>
        <w:rPr>
          <w:rFonts w:hint="eastAsia" w:ascii="黑体" w:hAnsi="宋体" w:eastAsia="黑体"/>
          <w:szCs w:val="21"/>
        </w:rPr>
        <w:t>50. 宣传</w:t>
      </w:r>
    </w:p>
    <w:p>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ascii="宋体" w:hAnsi="宋体"/>
          <w:szCs w:val="21"/>
        </w:rPr>
      </w:pPr>
      <w:r>
        <w:rPr>
          <w:rFonts w:hint="eastAsia" w:ascii="宋体" w:hAnsi="宋体"/>
          <w:szCs w:val="21"/>
        </w:rPr>
        <w:t>a.名片、宣传册、广告标语等；</w:t>
      </w:r>
    </w:p>
    <w:p>
      <w:pPr>
        <w:ind w:firstLine="420" w:firstLineChars="200"/>
        <w:rPr>
          <w:rFonts w:ascii="宋体" w:hAnsi="宋体"/>
          <w:szCs w:val="21"/>
        </w:rPr>
      </w:pPr>
      <w:r>
        <w:rPr>
          <w:rFonts w:hint="eastAsia" w:ascii="宋体" w:hAnsi="宋体"/>
          <w:szCs w:val="21"/>
        </w:rPr>
        <w:t>b.案例介绍、推广等；</w:t>
      </w:r>
    </w:p>
    <w:p>
      <w:pPr>
        <w:ind w:firstLine="420" w:firstLineChars="200"/>
        <w:rPr>
          <w:rFonts w:ascii="宋体" w:hAnsi="宋体"/>
          <w:szCs w:val="21"/>
        </w:rPr>
      </w:pPr>
      <w:r>
        <w:rPr>
          <w:rFonts w:hint="eastAsia" w:ascii="宋体" w:hAnsi="宋体"/>
          <w:szCs w:val="21"/>
        </w:rPr>
        <w:t>c.工作人员向其他消费群体宣传。</w:t>
      </w:r>
    </w:p>
    <w:p>
      <w:pPr>
        <w:ind w:firstLine="420" w:firstLineChars="200"/>
        <w:rPr>
          <w:rFonts w:ascii="黑体" w:hAnsi="宋体" w:eastAsia="黑体"/>
          <w:szCs w:val="21"/>
        </w:rPr>
      </w:pPr>
      <w:r>
        <w:rPr>
          <w:rFonts w:hint="eastAsia" w:ascii="黑体" w:hAnsi="宋体" w:eastAsia="黑体"/>
          <w:szCs w:val="21"/>
        </w:rPr>
        <w:t>51. 供应商违法责任</w:t>
      </w:r>
    </w:p>
    <w:p>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ascii="宋体" w:hAnsi="宋体"/>
          <w:szCs w:val="21"/>
        </w:rPr>
      </w:pPr>
      <w:r>
        <w:rPr>
          <w:rFonts w:hint="eastAsia" w:ascii="宋体" w:hAnsi="宋体"/>
          <w:szCs w:val="21"/>
        </w:rPr>
        <w:t>（1）在采购活动中应当回避而未回避的；</w:t>
      </w:r>
    </w:p>
    <w:p>
      <w:pPr>
        <w:ind w:firstLine="420" w:firstLineChars="200"/>
        <w:rPr>
          <w:rFonts w:ascii="宋体" w:hAnsi="宋体"/>
          <w:szCs w:val="21"/>
        </w:rPr>
      </w:pPr>
      <w:r>
        <w:rPr>
          <w:rFonts w:hint="eastAsia" w:ascii="宋体" w:hAnsi="宋体"/>
          <w:szCs w:val="21"/>
        </w:rPr>
        <w:t>（2）未按本条例规定签订、履行采购合同，造成严重后果的；</w:t>
      </w:r>
    </w:p>
    <w:p>
      <w:pPr>
        <w:ind w:firstLine="420" w:firstLineChars="200"/>
        <w:rPr>
          <w:rFonts w:ascii="宋体" w:hAnsi="宋体"/>
          <w:szCs w:val="21"/>
        </w:rPr>
      </w:pPr>
      <w:r>
        <w:rPr>
          <w:rFonts w:hint="eastAsia" w:ascii="宋体" w:hAnsi="宋体"/>
          <w:szCs w:val="21"/>
        </w:rPr>
        <w:t>（3）隐瞒真实情况，提供虚假资料的；</w:t>
      </w:r>
    </w:p>
    <w:p>
      <w:pPr>
        <w:ind w:firstLine="420" w:firstLineChars="200"/>
        <w:rPr>
          <w:rFonts w:ascii="宋体" w:hAnsi="宋体"/>
          <w:szCs w:val="21"/>
        </w:rPr>
      </w:pPr>
      <w:r>
        <w:rPr>
          <w:rFonts w:hint="eastAsia" w:ascii="宋体" w:hAnsi="宋体"/>
          <w:szCs w:val="21"/>
        </w:rPr>
        <w:t>（4）以非法手段排斥其他供应商参与竞争的；</w:t>
      </w:r>
    </w:p>
    <w:p>
      <w:pPr>
        <w:ind w:firstLine="420" w:firstLineChars="200"/>
        <w:rPr>
          <w:rFonts w:ascii="宋体" w:hAnsi="宋体"/>
          <w:szCs w:val="21"/>
        </w:rPr>
      </w:pPr>
      <w:r>
        <w:rPr>
          <w:rFonts w:hint="eastAsia" w:ascii="宋体" w:hAnsi="宋体"/>
          <w:szCs w:val="21"/>
        </w:rPr>
        <w:t>（5）与其他采购参加人串通投标的；</w:t>
      </w:r>
    </w:p>
    <w:p>
      <w:pPr>
        <w:ind w:firstLine="420" w:firstLineChars="200"/>
        <w:rPr>
          <w:rFonts w:ascii="宋体" w:hAnsi="宋体"/>
          <w:szCs w:val="21"/>
        </w:rPr>
      </w:pPr>
      <w:r>
        <w:rPr>
          <w:rFonts w:hint="eastAsia" w:ascii="宋体" w:hAnsi="宋体"/>
          <w:szCs w:val="21"/>
        </w:rPr>
        <w:t>（6）恶意投诉的；</w:t>
      </w:r>
    </w:p>
    <w:p>
      <w:pPr>
        <w:ind w:firstLine="420" w:firstLineChars="200"/>
        <w:rPr>
          <w:rFonts w:ascii="宋体" w:hAnsi="宋体"/>
          <w:szCs w:val="21"/>
        </w:rPr>
      </w:pPr>
      <w:r>
        <w:rPr>
          <w:rFonts w:hint="eastAsia" w:ascii="宋体" w:hAnsi="宋体"/>
          <w:szCs w:val="21"/>
        </w:rPr>
        <w:t>（7）向采购项目相关人行贿或者提供其他不当利益的；</w:t>
      </w:r>
    </w:p>
    <w:p>
      <w:pPr>
        <w:ind w:firstLine="420" w:firstLineChars="200"/>
        <w:rPr>
          <w:rFonts w:ascii="宋体" w:hAnsi="宋体"/>
          <w:szCs w:val="21"/>
        </w:rPr>
      </w:pPr>
      <w:r>
        <w:rPr>
          <w:rFonts w:hint="eastAsia" w:ascii="宋体" w:hAnsi="宋体"/>
          <w:szCs w:val="21"/>
        </w:rPr>
        <w:t>（8）阻碍、抗拒主管部门监督检查的；</w:t>
      </w:r>
    </w:p>
    <w:p>
      <w:pPr>
        <w:ind w:firstLine="420" w:firstLineChars="200"/>
        <w:rPr>
          <w:rFonts w:ascii="宋体" w:hAnsi="宋体"/>
          <w:szCs w:val="21"/>
        </w:rPr>
      </w:pPr>
      <w:r>
        <w:rPr>
          <w:rFonts w:hint="eastAsia" w:ascii="宋体" w:hAnsi="宋体"/>
          <w:szCs w:val="21"/>
        </w:rPr>
        <w:t>（9）其他违反本条例规定的行为。</w:t>
      </w:r>
    </w:p>
    <w:p>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3" w:name="_Hlk72440769"/>
      <w:r>
        <w:rPr>
          <w:rFonts w:hint="eastAsia" w:ascii="宋体" w:hAnsi="宋体"/>
          <w:szCs w:val="21"/>
        </w:rPr>
        <w:t>政府集中采购机构或采购人不予退还其交纳的谈判保证金，情节严重的，并由主管部门</w:t>
      </w:r>
      <w:bookmarkEnd w:id="133"/>
      <w:r>
        <w:rPr>
          <w:rFonts w:hint="eastAsia" w:ascii="宋体" w:hAnsi="宋体"/>
          <w:szCs w:val="21"/>
        </w:rPr>
        <w:t>记入供应商诚信档案，予以通报：</w:t>
      </w:r>
    </w:p>
    <w:p>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8"/>
      </w:pPr>
    </w:p>
    <w:bookmarkEnd w:id="117"/>
    <w:p>
      <w:pPr>
        <w:pStyle w:val="31"/>
        <w:keepNext/>
        <w:keepLines/>
        <w:numPr>
          <w:ilvl w:val="0"/>
          <w:numId w:val="1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ascii="黑体" w:hAnsi="宋体" w:eastAsia="黑体"/>
          <w:szCs w:val="21"/>
        </w:rPr>
      </w:pPr>
      <w:r>
        <w:rPr>
          <w:rFonts w:hint="eastAsia" w:ascii="黑体" w:hAnsi="宋体" w:eastAsia="黑体"/>
          <w:szCs w:val="21"/>
        </w:rPr>
        <w:t>52.质疑提出与答复</w:t>
      </w:r>
    </w:p>
    <w:p>
      <w:pPr>
        <w:ind w:firstLine="420" w:firstLineChars="200"/>
        <w:rPr>
          <w:rFonts w:ascii="宋体" w:hAnsi="宋体"/>
          <w:szCs w:val="21"/>
        </w:rPr>
      </w:pPr>
      <w:r>
        <w:rPr>
          <w:rFonts w:hint="eastAsia" w:ascii="宋体" w:hAnsi="宋体"/>
          <w:szCs w:val="21"/>
        </w:rPr>
        <w:t>52.1提出质疑</w:t>
      </w:r>
    </w:p>
    <w:p>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ascii="宋体" w:hAnsi="宋体"/>
          <w:szCs w:val="21"/>
        </w:rPr>
      </w:pPr>
      <w:r>
        <w:rPr>
          <w:rFonts w:hint="eastAsia" w:ascii="宋体" w:hAnsi="宋体"/>
          <w:szCs w:val="21"/>
        </w:rPr>
        <w:t>52.2</w:t>
      </w:r>
      <w:r>
        <w:rPr>
          <w:rFonts w:ascii="宋体" w:hAnsi="宋体"/>
          <w:szCs w:val="21"/>
        </w:rPr>
        <w:t>法律依据</w:t>
      </w:r>
    </w:p>
    <w:p>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ascii="宋体" w:hAnsi="宋体"/>
          <w:szCs w:val="21"/>
        </w:rPr>
      </w:pPr>
      <w:r>
        <w:rPr>
          <w:rFonts w:hint="eastAsia" w:ascii="宋体" w:hAnsi="宋体"/>
          <w:szCs w:val="21"/>
        </w:rPr>
        <w:t>52.3质疑条件</w:t>
      </w:r>
    </w:p>
    <w:p>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4" w:name="_Hlk75374941"/>
      <w:r>
        <w:rPr>
          <w:rFonts w:hint="eastAsia" w:ascii="宋体" w:hAnsi="宋体"/>
          <w:szCs w:val="21"/>
        </w:rPr>
        <w:t>以联合体形式参与的，质疑应当由组成联合体的所有成员共同提出</w:t>
      </w:r>
      <w:bookmarkEnd w:id="134"/>
      <w:r>
        <w:rPr>
          <w:rFonts w:hint="eastAsia" w:ascii="宋体" w:hAnsi="宋体"/>
          <w:szCs w:val="21"/>
        </w:rPr>
        <w:t>；</w:t>
      </w:r>
    </w:p>
    <w:p>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（1）供应商的名称（或者姓名）、地址、邮编、邮箱、联系人及联系电话；</w:t>
      </w:r>
    </w:p>
    <w:p>
      <w:pPr>
        <w:ind w:firstLine="420" w:firstLineChars="200"/>
        <w:rPr>
          <w:rFonts w:ascii="宋体" w:hAnsi="宋体"/>
          <w:szCs w:val="21"/>
        </w:rPr>
      </w:pPr>
      <w:r>
        <w:rPr>
          <w:rFonts w:hint="eastAsia" w:ascii="宋体" w:hAnsi="宋体"/>
          <w:szCs w:val="21"/>
        </w:rPr>
        <w:t>（2）质疑项目的名称、编号；</w:t>
      </w:r>
    </w:p>
    <w:p>
      <w:pPr>
        <w:ind w:firstLine="420" w:firstLineChars="200"/>
        <w:rPr>
          <w:rFonts w:ascii="宋体" w:hAnsi="宋体"/>
          <w:szCs w:val="21"/>
        </w:rPr>
      </w:pPr>
      <w:r>
        <w:rPr>
          <w:rFonts w:hint="eastAsia" w:ascii="宋体" w:hAnsi="宋体"/>
          <w:szCs w:val="21"/>
        </w:rPr>
        <w:t>（3）具体、明确的质疑对象、质疑事项和质疑请求；</w:t>
      </w:r>
    </w:p>
    <w:p>
      <w:pPr>
        <w:ind w:firstLine="420" w:firstLineChars="200"/>
        <w:rPr>
          <w:rFonts w:ascii="宋体" w:hAnsi="宋体"/>
          <w:szCs w:val="21"/>
        </w:rPr>
      </w:pPr>
      <w:r>
        <w:rPr>
          <w:rFonts w:hint="eastAsia" w:ascii="宋体" w:hAnsi="宋体"/>
          <w:szCs w:val="21"/>
        </w:rPr>
        <w:t>（4）因质疑事项而受损害的权益；</w:t>
      </w:r>
    </w:p>
    <w:p>
      <w:pPr>
        <w:ind w:firstLine="420" w:firstLineChars="200"/>
        <w:rPr>
          <w:rFonts w:ascii="宋体" w:hAnsi="宋体"/>
          <w:szCs w:val="21"/>
        </w:rPr>
      </w:pPr>
      <w:r>
        <w:rPr>
          <w:rFonts w:hint="eastAsia" w:ascii="宋体" w:hAnsi="宋体"/>
          <w:szCs w:val="21"/>
        </w:rPr>
        <w:t>（5）事实依据；</w:t>
      </w:r>
    </w:p>
    <w:p>
      <w:pPr>
        <w:ind w:firstLine="420" w:firstLineChars="200"/>
        <w:rPr>
          <w:rFonts w:ascii="宋体" w:hAnsi="宋体"/>
          <w:szCs w:val="21"/>
        </w:rPr>
      </w:pPr>
      <w:r>
        <w:rPr>
          <w:rFonts w:hint="eastAsia" w:ascii="宋体" w:hAnsi="宋体"/>
          <w:szCs w:val="21"/>
        </w:rPr>
        <w:t>（6）必要的法律依据；</w:t>
      </w:r>
    </w:p>
    <w:p>
      <w:pPr>
        <w:ind w:firstLine="420" w:firstLineChars="200"/>
        <w:rPr>
          <w:rFonts w:ascii="宋体" w:hAnsi="宋体"/>
          <w:szCs w:val="21"/>
        </w:rPr>
      </w:pPr>
      <w:r>
        <w:rPr>
          <w:rFonts w:hint="eastAsia" w:ascii="宋体" w:hAnsi="宋体"/>
          <w:szCs w:val="21"/>
        </w:rPr>
        <w:t>（7）提出质疑的日期。</w:t>
      </w:r>
    </w:p>
    <w:p>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ascii="宋体" w:hAnsi="宋体"/>
          <w:szCs w:val="21"/>
        </w:rPr>
      </w:pPr>
      <w:r>
        <w:rPr>
          <w:rFonts w:hint="eastAsia" w:ascii="宋体" w:hAnsi="宋体"/>
          <w:szCs w:val="21"/>
        </w:rPr>
        <w:t>52.4提交</w:t>
      </w:r>
      <w:r>
        <w:rPr>
          <w:rFonts w:ascii="宋体" w:hAnsi="宋体"/>
          <w:szCs w:val="21"/>
        </w:rPr>
        <w:t>材料</w:t>
      </w:r>
    </w:p>
    <w:p>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ascii="宋体" w:hAnsi="宋体"/>
          <w:szCs w:val="21"/>
        </w:rPr>
      </w:pPr>
      <w:r>
        <w:rPr>
          <w:rFonts w:hint="eastAsia" w:ascii="宋体" w:hAnsi="宋体"/>
          <w:szCs w:val="21"/>
        </w:rPr>
        <w:t>52.5收文地点</w:t>
      </w:r>
    </w:p>
    <w:p>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ascii="宋体" w:hAnsi="宋体"/>
          <w:szCs w:val="21"/>
        </w:rPr>
      </w:pPr>
      <w:r>
        <w:rPr>
          <w:rFonts w:hint="eastAsia" w:ascii="宋体" w:hAnsi="宋体"/>
          <w:szCs w:val="21"/>
        </w:rPr>
        <w:t>供应商提交的质疑存在下列情形之一的，不予受理：</w:t>
      </w:r>
    </w:p>
    <w:p>
      <w:pPr>
        <w:ind w:firstLine="420" w:firstLineChars="200"/>
        <w:rPr>
          <w:rFonts w:ascii="宋体" w:hAnsi="宋体"/>
          <w:szCs w:val="21"/>
        </w:rPr>
      </w:pPr>
      <w:r>
        <w:rPr>
          <w:rFonts w:hint="eastAsia" w:ascii="宋体" w:hAnsi="宋体"/>
          <w:szCs w:val="21"/>
        </w:rPr>
        <w:t>（1）质疑主体不满足要求的；</w:t>
      </w:r>
    </w:p>
    <w:p>
      <w:pPr>
        <w:ind w:firstLine="420" w:firstLineChars="200"/>
        <w:rPr>
          <w:rFonts w:ascii="宋体" w:hAnsi="宋体"/>
          <w:szCs w:val="21"/>
        </w:rPr>
      </w:pPr>
      <w:r>
        <w:rPr>
          <w:rFonts w:hint="eastAsia" w:ascii="宋体" w:hAnsi="宋体"/>
          <w:szCs w:val="21"/>
        </w:rPr>
        <w:t>（2）供应商自身权益未受到损害的；</w:t>
      </w:r>
    </w:p>
    <w:p>
      <w:pPr>
        <w:ind w:firstLine="420" w:firstLineChars="200"/>
        <w:rPr>
          <w:rFonts w:ascii="宋体" w:hAnsi="宋体"/>
          <w:szCs w:val="21"/>
        </w:rPr>
      </w:pPr>
      <w:r>
        <w:rPr>
          <w:rFonts w:hint="eastAsia" w:ascii="宋体" w:hAnsi="宋体"/>
          <w:szCs w:val="21"/>
        </w:rPr>
        <w:t>（3）供应商未在法定质疑期限内提出质疑的；</w:t>
      </w:r>
    </w:p>
    <w:p>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ascii="宋体" w:hAnsi="宋体"/>
          <w:szCs w:val="21"/>
        </w:rPr>
      </w:pPr>
      <w:r>
        <w:rPr>
          <w:rFonts w:hint="eastAsia" w:ascii="宋体" w:hAnsi="宋体"/>
          <w:szCs w:val="21"/>
        </w:rPr>
        <w:t>（5）其他不符合受理条件情形的。</w:t>
      </w:r>
    </w:p>
    <w:p>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ascii="宋体" w:hAnsi="宋体"/>
          <w:szCs w:val="21"/>
        </w:rPr>
      </w:pPr>
      <w:r>
        <w:rPr>
          <w:rFonts w:hint="eastAsia" w:ascii="宋体" w:hAnsi="宋体"/>
          <w:szCs w:val="21"/>
        </w:rPr>
        <w:t>52.7质疑答复时限</w:t>
      </w:r>
    </w:p>
    <w:p>
      <w:pPr>
        <w:ind w:firstLine="420" w:firstLineChars="200"/>
        <w:rPr>
          <w:rFonts w:ascii="宋体" w:hAnsi="宋体"/>
          <w:szCs w:val="21"/>
        </w:rPr>
      </w:pPr>
      <w:r>
        <w:rPr>
          <w:rFonts w:hint="eastAsia" w:ascii="宋体" w:hAnsi="宋体"/>
          <w:szCs w:val="21"/>
        </w:rPr>
        <w:t>自收文之日起七个工作日内。</w:t>
      </w:r>
    </w:p>
    <w:p>
      <w:pPr>
        <w:ind w:firstLine="420" w:firstLineChars="200"/>
        <w:rPr>
          <w:rFonts w:ascii="宋体" w:hAnsi="宋体"/>
          <w:szCs w:val="21"/>
        </w:rPr>
      </w:pPr>
      <w:r>
        <w:rPr>
          <w:rFonts w:hint="eastAsia" w:ascii="宋体" w:hAnsi="宋体"/>
          <w:szCs w:val="21"/>
        </w:rPr>
        <w:t>52.8争议（投诉）</w:t>
      </w:r>
    </w:p>
    <w:p>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ascii="黑体" w:hAnsi="宋体" w:eastAsia="黑体"/>
          <w:szCs w:val="21"/>
        </w:rPr>
      </w:pPr>
      <w:r>
        <w:rPr>
          <w:rFonts w:hint="eastAsia" w:ascii="黑体" w:hAnsi="宋体" w:eastAsia="黑体"/>
          <w:szCs w:val="21"/>
        </w:rPr>
        <w:t>53. 质疑后续处理</w:t>
      </w:r>
    </w:p>
    <w:p>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80"/>
    </w:p>
    <w:p/>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B61651F-D604-4935-81AE-473769749A42}"/>
  </w:font>
  <w:font w:name="Arial">
    <w:panose1 w:val="020B0604020202020204"/>
    <w:charset w:val="01"/>
    <w:family w:val="swiss"/>
    <w:pitch w:val="default"/>
    <w:sig w:usb0="E0002EFF" w:usb1="C000785B" w:usb2="00000009" w:usb3="00000000" w:csb0="400001FF" w:csb1="FFFF0000"/>
    <w:embedRegular r:id="rId2" w:fontKey="{D1CF0847-AECD-474E-8904-898C250C566E}"/>
  </w:font>
  <w:font w:name="黑体">
    <w:panose1 w:val="02010609060101010101"/>
    <w:charset w:val="86"/>
    <w:family w:val="auto"/>
    <w:pitch w:val="default"/>
    <w:sig w:usb0="800002BF" w:usb1="38CF7CFA" w:usb2="00000016" w:usb3="00000000" w:csb0="00040001" w:csb1="00000000"/>
    <w:embedRegular r:id="rId3" w:fontKey="{421D4CFB-C673-46D9-9FEA-B20883DD1ED8}"/>
  </w:font>
  <w:font w:name="Courier New">
    <w:panose1 w:val="02070309020205020404"/>
    <w:charset w:val="01"/>
    <w:family w:val="modern"/>
    <w:pitch w:val="default"/>
    <w:sig w:usb0="E0002EFF" w:usb1="C0007843" w:usb2="00000009" w:usb3="00000000" w:csb0="400001FF" w:csb1="FFFF0000"/>
    <w:embedRegular r:id="rId4" w:fontKey="{C2349960-CD4B-422B-8C2D-92D387C3278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8C755214-C9AD-421B-8F14-7E2F556415EF}"/>
  </w:font>
  <w:font w:name="Cambria">
    <w:panose1 w:val="02040503050406030204"/>
    <w:charset w:val="00"/>
    <w:family w:val="roman"/>
    <w:pitch w:val="default"/>
    <w:sig w:usb0="E00006FF" w:usb1="420024FF" w:usb2="02000000" w:usb3="00000000" w:csb0="2000019F" w:csb1="00000000"/>
    <w:embedRegular r:id="rId6" w:fontKey="{228607F1-444D-43EC-9A03-322E29C394B6}"/>
  </w:font>
  <w:font w:name="隶书">
    <w:panose1 w:val="02010509060101010101"/>
    <w:charset w:val="86"/>
    <w:family w:val="modern"/>
    <w:pitch w:val="default"/>
    <w:sig w:usb0="00000001" w:usb1="080E0000" w:usb2="00000000" w:usb3="00000000" w:csb0="00040000" w:csb1="00000000"/>
  </w:font>
  <w:font w:name="Arial Narrow">
    <w:panose1 w:val="020B0606020202030204"/>
    <w:charset w:val="00"/>
    <w:family w:val="auto"/>
    <w:pitch w:val="default"/>
    <w:sig w:usb0="00000287" w:usb1="00000800" w:usb2="00000000" w:usb3="00000000" w:csb0="2000009F" w:csb1="DFD70000"/>
    <w:embedRegular r:id="rId7" w:fontKey="{9BAD628B-A364-4F3D-A6CA-4BA07ECA0AE4}"/>
  </w:font>
  <w:font w:name="新宋体">
    <w:panose1 w:val="02010609030101010101"/>
    <w:charset w:val="86"/>
    <w:family w:val="modern"/>
    <w:pitch w:val="default"/>
    <w:sig w:usb0="00000203" w:usb1="288F0000" w:usb2="00000006" w:usb3="00000000" w:csb0="00040001" w:csb1="00000000"/>
    <w:embedRegular r:id="rId8" w:fontKey="{350DBA64-B0A6-47AD-B44F-4680F19925D5}"/>
  </w:font>
  <w:font w:name="仿宋_GB2312">
    <w:panose1 w:val="02010609030101010101"/>
    <w:charset w:val="86"/>
    <w:family w:val="auto"/>
    <w:pitch w:val="default"/>
    <w:sig w:usb0="00000001" w:usb1="080E0000" w:usb2="00000000" w:usb3="00000000" w:csb0="00040000" w:csb1="00000000"/>
    <w:embedRegular r:id="rId9" w:fontKey="{6AA980BE-BF56-42DD-AAA8-A3470E8B8284}"/>
  </w:font>
  <w:font w:name="方正仿宋_GBK">
    <w:panose1 w:val="02000000000000000000"/>
    <w:charset w:val="86"/>
    <w:family w:val="auto"/>
    <w:pitch w:val="default"/>
    <w:sig w:usb0="00000000" w:usb1="00000000" w:usb2="00000000" w:usb3="00000000" w:csb0="00000000" w:csb1="00000000"/>
    <w:embedRegular r:id="rId10" w:fontKey="{2AE14EE9-5E71-4C41-ABC7-95B3773BCA8B}"/>
  </w:font>
  <w:font w:name="华文中宋">
    <w:panose1 w:val="02010600040101010101"/>
    <w:charset w:val="86"/>
    <w:family w:val="auto"/>
    <w:pitch w:val="default"/>
    <w:sig w:usb0="00000287" w:usb1="080F0000" w:usb2="00000000" w:usb3="00000000" w:csb0="0004009F" w:csb1="DFD70000"/>
    <w:embedRegular r:id="rId11" w:fontKey="{4CEE2825-33B9-44B1-AB73-CB61772E091F}"/>
  </w:font>
  <w:font w:name="汉仪书宋二S">
    <w:altName w:val="宋体"/>
    <w:panose1 w:val="00000000000000000000"/>
    <w:charset w:val="00"/>
    <w:family w:val="auto"/>
    <w:pitch w:val="default"/>
    <w:sig w:usb0="00000000" w:usb1="00000000" w:usb2="00000000" w:usb3="00000000" w:csb0="00000000" w:csb1="00000000"/>
  </w:font>
  <w:font w:name="华文楷体">
    <w:panose1 w:val="02010600040101010101"/>
    <w:charset w:val="86"/>
    <w:family w:val="auto"/>
    <w:pitch w:val="default"/>
    <w:sig w:usb0="00000287" w:usb1="080F0000" w:usb2="00000000" w:usb3="00000000" w:csb0="0004009F" w:csb1="DFD70000"/>
    <w:embedRegular r:id="rId12" w:fontKey="{754A18B1-3B2A-4546-8EA5-3EF0F984F01D}"/>
  </w:font>
  <w:font w:name="ˎ̥">
    <w:altName w:val="Times New Roman"/>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embedRegular r:id="rId13" w:fontKey="{14AA2137-0893-45FF-A0B0-7319164C01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2"/>
      </w:rPr>
    </w:pPr>
    <w:r>
      <w:t xml:space="preserve">- </w:t>
    </w:r>
    <w:r>
      <w:fldChar w:fldCharType="begin"/>
    </w:r>
    <w:r>
      <w:instrText xml:space="preserve"> PAGE </w:instrText>
    </w:r>
    <w:r>
      <w:fldChar w:fldCharType="separate"/>
    </w:r>
    <w:r>
      <w:t>32</w:t>
    </w:r>
    <w:r>
      <w:fldChar w:fldCharType="end"/>
    </w:r>
    <w:r>
      <w:t xml:space="preserve"> -</w:t>
    </w: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2"/>
      </w:rPr>
    </w:pPr>
    <w:r>
      <w:rPr>
        <w:rStyle w:val="22"/>
      </w:rPr>
      <w:fldChar w:fldCharType="begin"/>
    </w:r>
    <w:r>
      <w:rPr>
        <w:rStyle w:val="22"/>
      </w:rPr>
      <w:instrText xml:space="preserve">PAGE  </w:instrText>
    </w:r>
    <w:r>
      <w:rPr>
        <w:rStyle w:val="22"/>
      </w:rPr>
      <w:fldChar w:fldCharType="end"/>
    </w:r>
  </w:p>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pPr>
          <w:pStyle w:val="13"/>
          <w:jc w:val="center"/>
        </w:pPr>
        <w:r>
          <w:fldChar w:fldCharType="begin"/>
        </w:r>
        <w:r>
          <w:instrText xml:space="preserve"> PAGE   \* MERGEFORMAT </w:instrText>
        </w:r>
        <w:r>
          <w:fldChar w:fldCharType="separate"/>
        </w:r>
        <w:r>
          <w:rPr>
            <w:lang w:val="zh-CN"/>
          </w:rPr>
          <w:t>6</w:t>
        </w:r>
        <w:r>
          <w:rPr>
            <w:lang w:val="zh-CN"/>
          </w:rPr>
          <w:fldChar w:fldCharType="end"/>
        </w:r>
      </w:p>
    </w:sdtContent>
  </w:sdt>
  <w:p>
    <w:pPr>
      <w:pStyle w:val="13"/>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0CD7FB5"/>
    <w:multiLevelType w:val="singleLevel"/>
    <w:tmpl w:val="A0CD7FB5"/>
    <w:lvl w:ilvl="0" w:tentative="0">
      <w:start w:val="1"/>
      <w:numFmt w:val="chineseCounting"/>
      <w:suff w:val="nothing"/>
      <w:lvlText w:val="（%1）"/>
      <w:lvlJc w:val="left"/>
      <w:rPr>
        <w:rFonts w:hint="eastAsia"/>
      </w:rPr>
    </w:lvl>
  </w:abstractNum>
  <w:abstractNum w:abstractNumId="1">
    <w:nsid w:val="B609221C"/>
    <w:multiLevelType w:val="singleLevel"/>
    <w:tmpl w:val="B609221C"/>
    <w:lvl w:ilvl="0" w:tentative="0">
      <w:start w:val="1"/>
      <w:numFmt w:val="decimal"/>
      <w:suff w:val="nothing"/>
      <w:lvlText w:val="%1、"/>
      <w:lvlJc w:val="left"/>
    </w:lvl>
  </w:abstractNum>
  <w:abstractNum w:abstractNumId="2">
    <w:nsid w:val="B9358C2E"/>
    <w:multiLevelType w:val="singleLevel"/>
    <w:tmpl w:val="B9358C2E"/>
    <w:lvl w:ilvl="0" w:tentative="0">
      <w:start w:val="2"/>
      <w:numFmt w:val="decimal"/>
      <w:suff w:val="nothing"/>
      <w:lvlText w:val="%1、"/>
      <w:lvlJc w:val="left"/>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104A2CC"/>
    <w:multiLevelType w:val="singleLevel"/>
    <w:tmpl w:val="D104A2CC"/>
    <w:lvl w:ilvl="0" w:tentative="0">
      <w:start w:val="1"/>
      <w:numFmt w:val="decimal"/>
      <w:lvlText w:val="(%1)"/>
      <w:lvlJc w:val="left"/>
      <w:pPr>
        <w:tabs>
          <w:tab w:val="left" w:pos="312"/>
        </w:tabs>
        <w:ind w:left="105" w:firstLine="0"/>
      </w:pPr>
    </w:lvl>
  </w:abstractNum>
  <w:abstractNum w:abstractNumId="6">
    <w:nsid w:val="DDECD3BC"/>
    <w:multiLevelType w:val="singleLevel"/>
    <w:tmpl w:val="DDECD3BC"/>
    <w:lvl w:ilvl="0" w:tentative="0">
      <w:start w:val="6"/>
      <w:numFmt w:val="decimal"/>
      <w:suff w:val="space"/>
      <w:lvlText w:val="%1."/>
      <w:lvlJc w:val="left"/>
    </w:lvl>
  </w:abstractNum>
  <w:abstractNum w:abstractNumId="7">
    <w:nsid w:val="DE759F4B"/>
    <w:multiLevelType w:val="singleLevel"/>
    <w:tmpl w:val="DE759F4B"/>
    <w:lvl w:ilvl="0" w:tentative="0">
      <w:start w:val="2"/>
      <w:numFmt w:val="decimal"/>
      <w:suff w:val="space"/>
      <w:lvlText w:val="%1."/>
      <w:lvlJc w:val="left"/>
    </w:lvl>
  </w:abstractNum>
  <w:abstractNum w:abstractNumId="8">
    <w:nsid w:val="DEABE1DB"/>
    <w:multiLevelType w:val="singleLevel"/>
    <w:tmpl w:val="DEABE1DB"/>
    <w:lvl w:ilvl="0" w:tentative="0">
      <w:start w:val="23"/>
      <w:numFmt w:val="decimal"/>
      <w:suff w:val="space"/>
      <w:lvlText w:val="%1."/>
      <w:lvlJc w:val="left"/>
    </w:lvl>
  </w:abstractNum>
  <w:abstractNum w:abstractNumId="9">
    <w:nsid w:val="E94AAA60"/>
    <w:multiLevelType w:val="singleLevel"/>
    <w:tmpl w:val="E94AAA60"/>
    <w:lvl w:ilvl="0" w:tentative="0">
      <w:start w:val="2"/>
      <w:numFmt w:val="decimal"/>
      <w:suff w:val="nothing"/>
      <w:lvlText w:val="%1、"/>
      <w:lvlJc w:val="left"/>
    </w:lvl>
  </w:abstractNum>
  <w:abstractNum w:abstractNumId="10">
    <w:nsid w:val="FFEFC674"/>
    <w:multiLevelType w:val="singleLevel"/>
    <w:tmpl w:val="FFEFC674"/>
    <w:lvl w:ilvl="0" w:tentative="0">
      <w:start w:val="1"/>
      <w:numFmt w:val="decimal"/>
      <w:suff w:val="nothing"/>
      <w:lvlText w:val="（%1）"/>
      <w:lvlJc w:val="left"/>
    </w:lvl>
  </w:abstractNum>
  <w:abstractNum w:abstractNumId="11">
    <w:nsid w:val="04112FAC"/>
    <w:multiLevelType w:val="singleLevel"/>
    <w:tmpl w:val="04112FAC"/>
    <w:lvl w:ilvl="0" w:tentative="0">
      <w:start w:val="1"/>
      <w:numFmt w:val="decimal"/>
      <w:lvlText w:val="(%1)"/>
      <w:lvlJc w:val="left"/>
      <w:pPr>
        <w:ind w:left="425" w:hanging="425"/>
      </w:pPr>
      <w:rPr>
        <w:rFonts w:hint="default"/>
      </w:rPr>
    </w:lvl>
  </w:abstractNum>
  <w:abstractNum w:abstractNumId="12">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65A66753"/>
    <w:multiLevelType w:val="singleLevel"/>
    <w:tmpl w:val="65A66753"/>
    <w:lvl w:ilvl="0" w:tentative="0">
      <w:start w:val="1"/>
      <w:numFmt w:val="decimal"/>
      <w:suff w:val="nothing"/>
      <w:lvlText w:val="%1、"/>
      <w:lvlJc w:val="left"/>
    </w:lvl>
  </w:abstractNum>
  <w:abstractNum w:abstractNumId="14">
    <w:nsid w:val="6701B77A"/>
    <w:multiLevelType w:val="singleLevel"/>
    <w:tmpl w:val="6701B77A"/>
    <w:lvl w:ilvl="0" w:tentative="0">
      <w:start w:val="1"/>
      <w:numFmt w:val="decimal"/>
      <w:suff w:val="nothing"/>
      <w:lvlText w:val="%1、"/>
      <w:lvlJc w:val="left"/>
    </w:lvl>
  </w:abstractNum>
  <w:abstractNum w:abstractNumId="15">
    <w:nsid w:val="7972A297"/>
    <w:multiLevelType w:val="singleLevel"/>
    <w:tmpl w:val="7972A297"/>
    <w:lvl w:ilvl="0" w:tentative="0">
      <w:start w:val="1"/>
      <w:numFmt w:val="chineseCounting"/>
      <w:suff w:val="nothing"/>
      <w:lvlText w:val="（%1）"/>
      <w:lvlJc w:val="left"/>
      <w:rPr>
        <w:rFonts w:hint="eastAsia"/>
      </w:rPr>
    </w:lvl>
  </w:abstractNum>
  <w:abstractNum w:abstractNumId="16">
    <w:nsid w:val="7A0F6431"/>
    <w:multiLevelType w:val="singleLevel"/>
    <w:tmpl w:val="7A0F6431"/>
    <w:lvl w:ilvl="0" w:tentative="0">
      <w:start w:val="1"/>
      <w:numFmt w:val="decimal"/>
      <w:suff w:val="space"/>
      <w:lvlText w:val="%1."/>
      <w:lvlJc w:val="left"/>
    </w:lvl>
  </w:abstractNum>
  <w:num w:numId="1">
    <w:abstractNumId w:val="15"/>
  </w:num>
  <w:num w:numId="2">
    <w:abstractNumId w:val="14"/>
  </w:num>
  <w:num w:numId="3">
    <w:abstractNumId w:val="0"/>
  </w:num>
  <w:num w:numId="4">
    <w:abstractNumId w:val="13"/>
  </w:num>
  <w:num w:numId="5">
    <w:abstractNumId w:val="5"/>
  </w:num>
  <w:num w:numId="6">
    <w:abstractNumId w:val="11"/>
  </w:num>
  <w:num w:numId="7">
    <w:abstractNumId w:val="9"/>
  </w:num>
  <w:num w:numId="8">
    <w:abstractNumId w:val="1"/>
  </w:num>
  <w:num w:numId="9">
    <w:abstractNumId w:val="2"/>
  </w:num>
  <w:num w:numId="10">
    <w:abstractNumId w:val="16"/>
  </w:num>
  <w:num w:numId="11">
    <w:abstractNumId w:val="4"/>
  </w:num>
  <w:num w:numId="12">
    <w:abstractNumId w:val="10"/>
  </w:num>
  <w:num w:numId="13">
    <w:abstractNumId w:val="7"/>
  </w:num>
  <w:num w:numId="14">
    <w:abstractNumId w:val="6"/>
  </w:num>
  <w:num w:numId="15">
    <w:abstractNumId w:val="3"/>
  </w:num>
  <w:num w:numId="16">
    <w:abstractNumId w:val="8"/>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E25F12"/>
    <w:rsid w:val="02FC0E89"/>
    <w:rsid w:val="030516AD"/>
    <w:rsid w:val="038A3F97"/>
    <w:rsid w:val="03993BA4"/>
    <w:rsid w:val="03A66B69"/>
    <w:rsid w:val="03E017D2"/>
    <w:rsid w:val="042C4F6C"/>
    <w:rsid w:val="04446205"/>
    <w:rsid w:val="047255F5"/>
    <w:rsid w:val="048C54B6"/>
    <w:rsid w:val="049A4077"/>
    <w:rsid w:val="05130EC4"/>
    <w:rsid w:val="05452235"/>
    <w:rsid w:val="05A21435"/>
    <w:rsid w:val="06127C3D"/>
    <w:rsid w:val="06215480"/>
    <w:rsid w:val="062E1176"/>
    <w:rsid w:val="063E255E"/>
    <w:rsid w:val="065D710A"/>
    <w:rsid w:val="069468A4"/>
    <w:rsid w:val="06D86E6E"/>
    <w:rsid w:val="06E710CA"/>
    <w:rsid w:val="06E94E42"/>
    <w:rsid w:val="07101435"/>
    <w:rsid w:val="072B0FB7"/>
    <w:rsid w:val="07724E37"/>
    <w:rsid w:val="07B37245"/>
    <w:rsid w:val="07EC1177"/>
    <w:rsid w:val="08A54D99"/>
    <w:rsid w:val="08E33B14"/>
    <w:rsid w:val="097A64AA"/>
    <w:rsid w:val="09B4074E"/>
    <w:rsid w:val="09B47989"/>
    <w:rsid w:val="09CB6A81"/>
    <w:rsid w:val="0A0106F5"/>
    <w:rsid w:val="0A4426BD"/>
    <w:rsid w:val="0A522CFE"/>
    <w:rsid w:val="0A537E82"/>
    <w:rsid w:val="0A670558"/>
    <w:rsid w:val="0A87085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607F86"/>
    <w:rsid w:val="0E8A0CB9"/>
    <w:rsid w:val="0E9C279A"/>
    <w:rsid w:val="0EB421D9"/>
    <w:rsid w:val="0F142273"/>
    <w:rsid w:val="0F5B4403"/>
    <w:rsid w:val="0F5D008C"/>
    <w:rsid w:val="0FD3114F"/>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F3EF7"/>
    <w:rsid w:val="144E2788"/>
    <w:rsid w:val="14806439"/>
    <w:rsid w:val="149C1746"/>
    <w:rsid w:val="14E4477F"/>
    <w:rsid w:val="15BD1BCA"/>
    <w:rsid w:val="16105DC5"/>
    <w:rsid w:val="16730284"/>
    <w:rsid w:val="16753FFC"/>
    <w:rsid w:val="169A5359"/>
    <w:rsid w:val="16B965DF"/>
    <w:rsid w:val="1741793A"/>
    <w:rsid w:val="1743234C"/>
    <w:rsid w:val="17933E49"/>
    <w:rsid w:val="17966F3F"/>
    <w:rsid w:val="179901BE"/>
    <w:rsid w:val="17C24EE1"/>
    <w:rsid w:val="17C27715"/>
    <w:rsid w:val="17C57205"/>
    <w:rsid w:val="17E4768B"/>
    <w:rsid w:val="17FC3BA5"/>
    <w:rsid w:val="182513C0"/>
    <w:rsid w:val="18397E11"/>
    <w:rsid w:val="184B6C59"/>
    <w:rsid w:val="194505FE"/>
    <w:rsid w:val="19635BBC"/>
    <w:rsid w:val="19687E48"/>
    <w:rsid w:val="196B1CEA"/>
    <w:rsid w:val="198E1EAE"/>
    <w:rsid w:val="1A24288D"/>
    <w:rsid w:val="1A620D3B"/>
    <w:rsid w:val="1B1B5294"/>
    <w:rsid w:val="1B356450"/>
    <w:rsid w:val="1B434F04"/>
    <w:rsid w:val="1B9C14FB"/>
    <w:rsid w:val="1BEB4F4B"/>
    <w:rsid w:val="1BEF4851"/>
    <w:rsid w:val="1BFE3C79"/>
    <w:rsid w:val="1C2C01A7"/>
    <w:rsid w:val="1C4F3541"/>
    <w:rsid w:val="1C584649"/>
    <w:rsid w:val="1C792E22"/>
    <w:rsid w:val="1CB57848"/>
    <w:rsid w:val="1CBF2475"/>
    <w:rsid w:val="1D2D5631"/>
    <w:rsid w:val="1D345E0F"/>
    <w:rsid w:val="1D880AB9"/>
    <w:rsid w:val="1DB9452C"/>
    <w:rsid w:val="1DE33F41"/>
    <w:rsid w:val="1DE71C83"/>
    <w:rsid w:val="1E206809"/>
    <w:rsid w:val="1E5A29B0"/>
    <w:rsid w:val="1E71779F"/>
    <w:rsid w:val="1E8A6AB3"/>
    <w:rsid w:val="1EFB3211"/>
    <w:rsid w:val="1F103EA9"/>
    <w:rsid w:val="1F1D7927"/>
    <w:rsid w:val="1F784B5D"/>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3290736"/>
    <w:rsid w:val="23362D65"/>
    <w:rsid w:val="236E5E5F"/>
    <w:rsid w:val="2378337E"/>
    <w:rsid w:val="239A32F4"/>
    <w:rsid w:val="23A61C99"/>
    <w:rsid w:val="23C5440E"/>
    <w:rsid w:val="23F30C56"/>
    <w:rsid w:val="24266C7C"/>
    <w:rsid w:val="244A2F6C"/>
    <w:rsid w:val="24621304"/>
    <w:rsid w:val="246A64EC"/>
    <w:rsid w:val="248E0882"/>
    <w:rsid w:val="24AB04CD"/>
    <w:rsid w:val="24B85FE4"/>
    <w:rsid w:val="24D67678"/>
    <w:rsid w:val="252E63EA"/>
    <w:rsid w:val="25493224"/>
    <w:rsid w:val="256533FF"/>
    <w:rsid w:val="25E847EB"/>
    <w:rsid w:val="267047E0"/>
    <w:rsid w:val="270F7B55"/>
    <w:rsid w:val="273B6B9C"/>
    <w:rsid w:val="27427F2B"/>
    <w:rsid w:val="27857F9B"/>
    <w:rsid w:val="2795721C"/>
    <w:rsid w:val="27A641C3"/>
    <w:rsid w:val="27A6670B"/>
    <w:rsid w:val="27C546B8"/>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D417E1"/>
    <w:rsid w:val="2B065713"/>
    <w:rsid w:val="2B2871E7"/>
    <w:rsid w:val="2BA9299F"/>
    <w:rsid w:val="2BF832AE"/>
    <w:rsid w:val="2BFE65C2"/>
    <w:rsid w:val="2C02412C"/>
    <w:rsid w:val="2C1665B8"/>
    <w:rsid w:val="2C295297"/>
    <w:rsid w:val="2C6E17C2"/>
    <w:rsid w:val="2D7F69DE"/>
    <w:rsid w:val="2DB16F26"/>
    <w:rsid w:val="2DB3388B"/>
    <w:rsid w:val="2DCA6ECC"/>
    <w:rsid w:val="2E815E80"/>
    <w:rsid w:val="2E954277"/>
    <w:rsid w:val="2EDF69A7"/>
    <w:rsid w:val="2F1A79DF"/>
    <w:rsid w:val="2F2A413F"/>
    <w:rsid w:val="2F363171"/>
    <w:rsid w:val="30311375"/>
    <w:rsid w:val="30473F91"/>
    <w:rsid w:val="306058C5"/>
    <w:rsid w:val="30610607"/>
    <w:rsid w:val="30B023A9"/>
    <w:rsid w:val="30C714A1"/>
    <w:rsid w:val="311772A4"/>
    <w:rsid w:val="31B92B8B"/>
    <w:rsid w:val="324D032D"/>
    <w:rsid w:val="3257574A"/>
    <w:rsid w:val="32FB3683"/>
    <w:rsid w:val="32FD564D"/>
    <w:rsid w:val="3328091C"/>
    <w:rsid w:val="338F3097"/>
    <w:rsid w:val="33A51F6D"/>
    <w:rsid w:val="33C06DA7"/>
    <w:rsid w:val="342509B8"/>
    <w:rsid w:val="34297F29"/>
    <w:rsid w:val="34AE6BFF"/>
    <w:rsid w:val="34CA3E45"/>
    <w:rsid w:val="34D34153"/>
    <w:rsid w:val="359758E5"/>
    <w:rsid w:val="359D5EEA"/>
    <w:rsid w:val="35BA1D81"/>
    <w:rsid w:val="35D02BA5"/>
    <w:rsid w:val="35E8637E"/>
    <w:rsid w:val="35FC7E3E"/>
    <w:rsid w:val="363C3B17"/>
    <w:rsid w:val="36474247"/>
    <w:rsid w:val="365612FD"/>
    <w:rsid w:val="3677309A"/>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C15930"/>
    <w:rsid w:val="3A173499"/>
    <w:rsid w:val="3A1B305A"/>
    <w:rsid w:val="3A30022F"/>
    <w:rsid w:val="3A371445"/>
    <w:rsid w:val="3A886145"/>
    <w:rsid w:val="3A8D72B7"/>
    <w:rsid w:val="3AB900AC"/>
    <w:rsid w:val="3AC52EF5"/>
    <w:rsid w:val="3B007A89"/>
    <w:rsid w:val="3B027CA5"/>
    <w:rsid w:val="3B2E2848"/>
    <w:rsid w:val="3B397034"/>
    <w:rsid w:val="3B5D4EDB"/>
    <w:rsid w:val="3B7170FB"/>
    <w:rsid w:val="3B81506E"/>
    <w:rsid w:val="3BA6272A"/>
    <w:rsid w:val="3BB22833"/>
    <w:rsid w:val="3BE27C97"/>
    <w:rsid w:val="3BE473AB"/>
    <w:rsid w:val="3C9A513B"/>
    <w:rsid w:val="3CCD2793"/>
    <w:rsid w:val="3CFA57E4"/>
    <w:rsid w:val="3D0221DE"/>
    <w:rsid w:val="3D1E60DF"/>
    <w:rsid w:val="3DE2791A"/>
    <w:rsid w:val="3E151A9D"/>
    <w:rsid w:val="3E375EB7"/>
    <w:rsid w:val="3E38205E"/>
    <w:rsid w:val="3EA47C68"/>
    <w:rsid w:val="3ED03C16"/>
    <w:rsid w:val="3EEB27FE"/>
    <w:rsid w:val="3F3423F7"/>
    <w:rsid w:val="3F8E1B07"/>
    <w:rsid w:val="40161AFD"/>
    <w:rsid w:val="403326AF"/>
    <w:rsid w:val="40712158"/>
    <w:rsid w:val="408B6047"/>
    <w:rsid w:val="40AF442B"/>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51A75"/>
    <w:rsid w:val="47762C36"/>
    <w:rsid w:val="477C0DDF"/>
    <w:rsid w:val="47D17F22"/>
    <w:rsid w:val="480212E4"/>
    <w:rsid w:val="482B73A4"/>
    <w:rsid w:val="48C04CFB"/>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CA26BF2"/>
    <w:rsid w:val="4CEE1E37"/>
    <w:rsid w:val="4CF64AB0"/>
    <w:rsid w:val="4D145F92"/>
    <w:rsid w:val="4D330192"/>
    <w:rsid w:val="4D461C73"/>
    <w:rsid w:val="4E021C55"/>
    <w:rsid w:val="4E092CA1"/>
    <w:rsid w:val="4E4156DB"/>
    <w:rsid w:val="4E93713A"/>
    <w:rsid w:val="4F1456D4"/>
    <w:rsid w:val="4F9905AE"/>
    <w:rsid w:val="4FC33F25"/>
    <w:rsid w:val="4FD001C7"/>
    <w:rsid w:val="4FFF6109"/>
    <w:rsid w:val="500B71A4"/>
    <w:rsid w:val="502E60F8"/>
    <w:rsid w:val="50334005"/>
    <w:rsid w:val="505E4B9C"/>
    <w:rsid w:val="50A30487"/>
    <w:rsid w:val="50DD1804"/>
    <w:rsid w:val="50FB1449"/>
    <w:rsid w:val="51A52CE0"/>
    <w:rsid w:val="52195EFA"/>
    <w:rsid w:val="529674E9"/>
    <w:rsid w:val="535D3873"/>
    <w:rsid w:val="53876B42"/>
    <w:rsid w:val="54153BAB"/>
    <w:rsid w:val="543E18F6"/>
    <w:rsid w:val="546B1FBF"/>
    <w:rsid w:val="54996B2C"/>
    <w:rsid w:val="54F5352B"/>
    <w:rsid w:val="550A7A2A"/>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776655"/>
    <w:rsid w:val="58B74216"/>
    <w:rsid w:val="58C16652"/>
    <w:rsid w:val="590752B6"/>
    <w:rsid w:val="591F15CA"/>
    <w:rsid w:val="596D67DA"/>
    <w:rsid w:val="59760D08"/>
    <w:rsid w:val="599E6993"/>
    <w:rsid w:val="59AC5554"/>
    <w:rsid w:val="5A564466"/>
    <w:rsid w:val="5A902780"/>
    <w:rsid w:val="5A9F4737"/>
    <w:rsid w:val="5AAE2C06"/>
    <w:rsid w:val="5AE8436A"/>
    <w:rsid w:val="5AF80325"/>
    <w:rsid w:val="5B6339F0"/>
    <w:rsid w:val="5BF6561B"/>
    <w:rsid w:val="5BFA4C14"/>
    <w:rsid w:val="5C2A6C04"/>
    <w:rsid w:val="5C3543D2"/>
    <w:rsid w:val="5CE36031"/>
    <w:rsid w:val="5D9C1AF9"/>
    <w:rsid w:val="5DB26EB1"/>
    <w:rsid w:val="5DBA559D"/>
    <w:rsid w:val="5DFE3EA4"/>
    <w:rsid w:val="5E465887"/>
    <w:rsid w:val="5E473A9D"/>
    <w:rsid w:val="5E5E5C0A"/>
    <w:rsid w:val="5E8425FB"/>
    <w:rsid w:val="5EE50BC0"/>
    <w:rsid w:val="5F181B76"/>
    <w:rsid w:val="5F463D55"/>
    <w:rsid w:val="5FD4389C"/>
    <w:rsid w:val="5FEC48FC"/>
    <w:rsid w:val="6013374F"/>
    <w:rsid w:val="60545FFD"/>
    <w:rsid w:val="60B116A2"/>
    <w:rsid w:val="60B42F40"/>
    <w:rsid w:val="60B7767B"/>
    <w:rsid w:val="61696F59"/>
    <w:rsid w:val="61D672CA"/>
    <w:rsid w:val="61E63AF5"/>
    <w:rsid w:val="626A2DAC"/>
    <w:rsid w:val="62784498"/>
    <w:rsid w:val="63293771"/>
    <w:rsid w:val="637C7D45"/>
    <w:rsid w:val="639808F7"/>
    <w:rsid w:val="645F2960"/>
    <w:rsid w:val="64654C7D"/>
    <w:rsid w:val="64BD496D"/>
    <w:rsid w:val="64BE25DF"/>
    <w:rsid w:val="64DB5DF9"/>
    <w:rsid w:val="64F93617"/>
    <w:rsid w:val="655D3BA6"/>
    <w:rsid w:val="65655387"/>
    <w:rsid w:val="659A6BA8"/>
    <w:rsid w:val="65FE7BFD"/>
    <w:rsid w:val="66EC6F90"/>
    <w:rsid w:val="66F2031E"/>
    <w:rsid w:val="67AA7E58"/>
    <w:rsid w:val="67AB0BF9"/>
    <w:rsid w:val="67EA0511"/>
    <w:rsid w:val="68077DF9"/>
    <w:rsid w:val="68382663"/>
    <w:rsid w:val="686314D3"/>
    <w:rsid w:val="6888718C"/>
    <w:rsid w:val="68A629A9"/>
    <w:rsid w:val="68E5527F"/>
    <w:rsid w:val="69A578CA"/>
    <w:rsid w:val="69EA0620"/>
    <w:rsid w:val="6A204BF3"/>
    <w:rsid w:val="6A691ED2"/>
    <w:rsid w:val="6A7343B6"/>
    <w:rsid w:val="6AB029CA"/>
    <w:rsid w:val="6AB40090"/>
    <w:rsid w:val="6ADE7537"/>
    <w:rsid w:val="6AE34B4E"/>
    <w:rsid w:val="6AF208ED"/>
    <w:rsid w:val="6B1F6200"/>
    <w:rsid w:val="6B4A3375"/>
    <w:rsid w:val="6B825FC3"/>
    <w:rsid w:val="6B8359E9"/>
    <w:rsid w:val="6C062CD8"/>
    <w:rsid w:val="6C174E18"/>
    <w:rsid w:val="6C613F7C"/>
    <w:rsid w:val="6C806253"/>
    <w:rsid w:val="6CCB5899"/>
    <w:rsid w:val="6CF748E0"/>
    <w:rsid w:val="6D15191A"/>
    <w:rsid w:val="6D7D3037"/>
    <w:rsid w:val="6D934609"/>
    <w:rsid w:val="6DAE50AD"/>
    <w:rsid w:val="6DDA2238"/>
    <w:rsid w:val="6E0E1EE1"/>
    <w:rsid w:val="6E5A21EA"/>
    <w:rsid w:val="6EB8009F"/>
    <w:rsid w:val="6EC72090"/>
    <w:rsid w:val="6F834B73"/>
    <w:rsid w:val="6F857F81"/>
    <w:rsid w:val="6FC62348"/>
    <w:rsid w:val="6FE10E18"/>
    <w:rsid w:val="6FEC14A9"/>
    <w:rsid w:val="6FEC6252"/>
    <w:rsid w:val="702E23C7"/>
    <w:rsid w:val="706B487A"/>
    <w:rsid w:val="70A15EF2"/>
    <w:rsid w:val="70CB230C"/>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61422D"/>
    <w:rsid w:val="76707B96"/>
    <w:rsid w:val="76726D86"/>
    <w:rsid w:val="768D36C7"/>
    <w:rsid w:val="76C3504D"/>
    <w:rsid w:val="770422FE"/>
    <w:rsid w:val="7746449A"/>
    <w:rsid w:val="775546DD"/>
    <w:rsid w:val="778C3E77"/>
    <w:rsid w:val="77E31CE9"/>
    <w:rsid w:val="78376C25"/>
    <w:rsid w:val="78746DE5"/>
    <w:rsid w:val="78A72AF0"/>
    <w:rsid w:val="790F6B0E"/>
    <w:rsid w:val="79134850"/>
    <w:rsid w:val="79200163"/>
    <w:rsid w:val="79261AEA"/>
    <w:rsid w:val="7956473D"/>
    <w:rsid w:val="798661F3"/>
    <w:rsid w:val="799314ED"/>
    <w:rsid w:val="79EE2C15"/>
    <w:rsid w:val="7AA46F38"/>
    <w:rsid w:val="7B467F1D"/>
    <w:rsid w:val="7BA7772C"/>
    <w:rsid w:val="7C0924C9"/>
    <w:rsid w:val="7C507B69"/>
    <w:rsid w:val="7C711A95"/>
    <w:rsid w:val="7C8D4919"/>
    <w:rsid w:val="7CBA4FE2"/>
    <w:rsid w:val="7CD24A22"/>
    <w:rsid w:val="7D2F777E"/>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6">
    <w:name w:val="heading 2"/>
    <w:basedOn w:val="4"/>
    <w:next w:val="5"/>
    <w:link w:val="33"/>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4">
    <w:name w:val="heading 3"/>
    <w:basedOn w:val="5"/>
    <w:next w:val="1"/>
    <w:qFormat/>
    <w:uiPriority w:val="9"/>
    <w:pPr>
      <w:spacing w:before="260" w:after="260" w:line="240" w:lineRule="auto"/>
      <w:outlineLvl w:val="2"/>
    </w:pPr>
    <w:rPr>
      <w:rFonts w:ascii="宋体" w:hAnsi="宋体" w:eastAsia="宋体"/>
      <w:szCs w:val="32"/>
    </w:rPr>
  </w:style>
  <w:style w:type="paragraph" w:styleId="5">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paragraph" w:styleId="7">
    <w:name w:val="Normal Indent"/>
    <w:basedOn w:val="1"/>
    <w:next w:val="8"/>
    <w:qFormat/>
    <w:uiPriority w:val="0"/>
    <w:pPr>
      <w:ind w:firstLine="420"/>
    </w:pPr>
    <w:rPr>
      <w:szCs w:val="20"/>
    </w:rPr>
  </w:style>
  <w:style w:type="paragraph" w:styleId="8">
    <w:name w:val="Body Text"/>
    <w:basedOn w:val="1"/>
    <w:next w:val="9"/>
    <w:qFormat/>
    <w:uiPriority w:val="0"/>
    <w:pPr>
      <w:spacing w:line="360" w:lineRule="auto"/>
    </w:pPr>
    <w:rPr>
      <w:b/>
      <w:bCs/>
      <w:sz w:val="24"/>
    </w:rPr>
  </w:style>
  <w:style w:type="paragraph" w:styleId="9">
    <w:name w:val="Title"/>
    <w:basedOn w:val="1"/>
    <w:qFormat/>
    <w:uiPriority w:val="0"/>
    <w:pPr>
      <w:spacing w:before="240" w:after="60"/>
      <w:jc w:val="center"/>
      <w:outlineLvl w:val="0"/>
    </w:pPr>
    <w:rPr>
      <w:rFonts w:ascii="Arial" w:hAnsi="Arial" w:eastAsia="隶书" w:cs="Arial"/>
      <w:b/>
      <w:bCs/>
      <w:sz w:val="32"/>
      <w:szCs w:val="32"/>
    </w:rPr>
  </w:style>
  <w:style w:type="paragraph" w:styleId="10">
    <w:name w:val="Document Map"/>
    <w:basedOn w:val="1"/>
    <w:link w:val="32"/>
    <w:semiHidden/>
    <w:unhideWhenUsed/>
    <w:qFormat/>
    <w:uiPriority w:val="99"/>
    <w:rPr>
      <w:rFonts w:ascii="宋体" w:eastAsia="宋体"/>
      <w:sz w:val="18"/>
      <w:szCs w:val="18"/>
    </w:rPr>
  </w:style>
  <w:style w:type="paragraph" w:styleId="11">
    <w:name w:val="annotation text"/>
    <w:basedOn w:val="1"/>
    <w:link w:val="34"/>
    <w:unhideWhenUsed/>
    <w:qFormat/>
    <w:uiPriority w:val="99"/>
    <w:pPr>
      <w:jc w:val="left"/>
    </w:pPr>
  </w:style>
  <w:style w:type="paragraph" w:styleId="12">
    <w:name w:val="Balloon Text"/>
    <w:basedOn w:val="1"/>
    <w:link w:val="28"/>
    <w:semiHidden/>
    <w:unhideWhenUsed/>
    <w:qFormat/>
    <w:uiPriority w:val="99"/>
    <w:rPr>
      <w:sz w:val="18"/>
      <w:szCs w:val="18"/>
    </w:rPr>
  </w:style>
  <w:style w:type="paragraph" w:styleId="13">
    <w:name w:val="footer"/>
    <w:basedOn w:val="1"/>
    <w:link w:val="27"/>
    <w:unhideWhenUsed/>
    <w:qFormat/>
    <w:uiPriority w:val="99"/>
    <w:pPr>
      <w:tabs>
        <w:tab w:val="center" w:pos="4153"/>
        <w:tab w:val="right" w:pos="8306"/>
      </w:tabs>
      <w:snapToGrid w:val="0"/>
      <w:jc w:val="left"/>
    </w:pPr>
    <w:rPr>
      <w:sz w:val="18"/>
      <w:szCs w:val="18"/>
    </w:rPr>
  </w:style>
  <w:style w:type="paragraph" w:styleId="14">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Body Text 2"/>
    <w:basedOn w:val="1"/>
    <w:qFormat/>
    <w:uiPriority w:val="0"/>
    <w:pPr>
      <w:spacing w:line="360" w:lineRule="auto"/>
    </w:pPr>
    <w:rPr>
      <w:sz w:val="24"/>
    </w:rPr>
  </w:style>
  <w:style w:type="paragraph" w:styleId="16">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7">
    <w:name w:val="annotation subject"/>
    <w:basedOn w:val="11"/>
    <w:next w:val="11"/>
    <w:link w:val="36"/>
    <w:semiHidden/>
    <w:unhideWhenUsed/>
    <w:qFormat/>
    <w:uiPriority w:val="99"/>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qFormat/>
    <w:uiPriority w:val="0"/>
    <w:rPr>
      <w:b/>
      <w:bCs/>
    </w:rPr>
  </w:style>
  <w:style w:type="character" w:styleId="22">
    <w:name w:val="page number"/>
    <w:basedOn w:val="20"/>
    <w:qFormat/>
    <w:uiPriority w:val="0"/>
  </w:style>
  <w:style w:type="character" w:styleId="23">
    <w:name w:val="FollowedHyperlink"/>
    <w:basedOn w:val="20"/>
    <w:semiHidden/>
    <w:unhideWhenUsed/>
    <w:qFormat/>
    <w:uiPriority w:val="99"/>
    <w:rPr>
      <w:color w:val="800080" w:themeColor="followedHyperlink"/>
      <w:u w:val="single"/>
    </w:rPr>
  </w:style>
  <w:style w:type="character" w:styleId="24">
    <w:name w:val="Hyperlink"/>
    <w:basedOn w:val="20"/>
    <w:unhideWhenUsed/>
    <w:qFormat/>
    <w:uiPriority w:val="99"/>
    <w:rPr>
      <w:color w:val="0000FF" w:themeColor="hyperlink"/>
      <w:u w:val="single"/>
    </w:rPr>
  </w:style>
  <w:style w:type="character" w:styleId="25">
    <w:name w:val="annotation reference"/>
    <w:basedOn w:val="20"/>
    <w:semiHidden/>
    <w:unhideWhenUsed/>
    <w:qFormat/>
    <w:uiPriority w:val="99"/>
    <w:rPr>
      <w:sz w:val="21"/>
      <w:szCs w:val="21"/>
    </w:rPr>
  </w:style>
  <w:style w:type="character" w:customStyle="1" w:styleId="26">
    <w:name w:val="页眉 Char"/>
    <w:basedOn w:val="20"/>
    <w:link w:val="14"/>
    <w:semiHidden/>
    <w:qFormat/>
    <w:uiPriority w:val="99"/>
    <w:rPr>
      <w:sz w:val="18"/>
      <w:szCs w:val="18"/>
    </w:rPr>
  </w:style>
  <w:style w:type="character" w:customStyle="1" w:styleId="27">
    <w:name w:val="页脚 Char"/>
    <w:basedOn w:val="20"/>
    <w:link w:val="13"/>
    <w:qFormat/>
    <w:uiPriority w:val="99"/>
    <w:rPr>
      <w:sz w:val="18"/>
      <w:szCs w:val="18"/>
    </w:rPr>
  </w:style>
  <w:style w:type="character" w:customStyle="1" w:styleId="28">
    <w:name w:val="批注框文本 Char"/>
    <w:basedOn w:val="20"/>
    <w:link w:val="12"/>
    <w:semiHidden/>
    <w:qFormat/>
    <w:uiPriority w:val="99"/>
    <w:rPr>
      <w:sz w:val="18"/>
      <w:szCs w:val="18"/>
    </w:rPr>
  </w:style>
  <w:style w:type="character" w:customStyle="1" w:styleId="29">
    <w:name w:val="普通(网站) Char"/>
    <w:link w:val="16"/>
    <w:qFormat/>
    <w:uiPriority w:val="99"/>
    <w:rPr>
      <w:rFonts w:ascii="宋体" w:hAnsi="宋体"/>
      <w:sz w:val="24"/>
      <w:szCs w:val="24"/>
    </w:rPr>
  </w:style>
  <w:style w:type="character" w:customStyle="1" w:styleId="30">
    <w:name w:val="标题 1 Char"/>
    <w:basedOn w:val="20"/>
    <w:link w:val="3"/>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20"/>
    <w:link w:val="10"/>
    <w:semiHidden/>
    <w:qFormat/>
    <w:uiPriority w:val="99"/>
    <w:rPr>
      <w:rFonts w:ascii="宋体" w:eastAsia="宋体"/>
      <w:sz w:val="18"/>
      <w:szCs w:val="18"/>
    </w:rPr>
  </w:style>
  <w:style w:type="character" w:customStyle="1" w:styleId="33">
    <w:name w:val="标题 2 Char"/>
    <w:basedOn w:val="20"/>
    <w:link w:val="6"/>
    <w:semiHidden/>
    <w:qFormat/>
    <w:uiPriority w:val="9"/>
    <w:rPr>
      <w:rFonts w:asciiTheme="majorHAnsi" w:hAnsiTheme="majorHAnsi" w:eastAsiaTheme="majorEastAsia" w:cstheme="majorBidi"/>
      <w:b/>
      <w:bCs/>
      <w:sz w:val="32"/>
      <w:szCs w:val="32"/>
    </w:rPr>
  </w:style>
  <w:style w:type="character" w:customStyle="1" w:styleId="34">
    <w:name w:val="批注文字 Char"/>
    <w:basedOn w:val="20"/>
    <w:link w:val="11"/>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7"/>
    <w:semiHidden/>
    <w:qFormat/>
    <w:uiPriority w:val="99"/>
    <w:rPr>
      <w:b/>
      <w:bCs/>
    </w:rPr>
  </w:style>
  <w:style w:type="table" w:customStyle="1" w:styleId="37">
    <w:name w:val="网格型1"/>
    <w:basedOn w:val="18"/>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font51"/>
    <w:basedOn w:val="20"/>
    <w:qFormat/>
    <w:uiPriority w:val="0"/>
    <w:rPr>
      <w:rFonts w:ascii="Arial Narrow" w:hAnsi="Arial Narrow" w:eastAsia="Arial Narrow" w:cs="Arial Narrow"/>
      <w:color w:val="000000"/>
      <w:sz w:val="21"/>
      <w:szCs w:val="21"/>
      <w:u w:val="none"/>
    </w:rPr>
  </w:style>
  <w:style w:type="character" w:customStyle="1" w:styleId="39">
    <w:name w:val="font81"/>
    <w:basedOn w:val="20"/>
    <w:uiPriority w:val="0"/>
    <w:rPr>
      <w:rFonts w:hint="eastAsia" w:ascii="宋体" w:hAnsi="宋体" w:eastAsia="宋体" w:cs="宋体"/>
      <w:color w:val="000000"/>
      <w:sz w:val="21"/>
      <w:szCs w:val="21"/>
      <w:u w:val="none"/>
    </w:rPr>
  </w:style>
  <w:style w:type="character" w:customStyle="1" w:styleId="40">
    <w:name w:val="font11"/>
    <w:basedOn w:val="20"/>
    <w:uiPriority w:val="0"/>
    <w:rPr>
      <w:rFonts w:hint="eastAsia" w:ascii="宋体" w:hAnsi="宋体" w:eastAsia="宋体" w:cs="宋体"/>
      <w:color w:val="0000FF"/>
      <w:sz w:val="21"/>
      <w:szCs w:val="21"/>
      <w:u w:val="none"/>
    </w:rPr>
  </w:style>
  <w:style w:type="character" w:customStyle="1" w:styleId="41">
    <w:name w:val="font21"/>
    <w:basedOn w:val="20"/>
    <w:qFormat/>
    <w:uiPriority w:val="0"/>
    <w:rPr>
      <w:rFonts w:hint="default" w:ascii="Arial Narrow" w:hAnsi="Arial Narrow" w:eastAsia="Arial Narrow" w:cs="Arial Narrow"/>
      <w:color w:val="0000FF"/>
      <w:sz w:val="21"/>
      <w:szCs w:val="21"/>
      <w:u w:val="none"/>
    </w:rPr>
  </w:style>
  <w:style w:type="character" w:customStyle="1" w:styleId="42">
    <w:name w:val="font71"/>
    <w:basedOn w:val="20"/>
    <w:uiPriority w:val="0"/>
    <w:rPr>
      <w:rFonts w:hint="eastAsia" w:ascii="宋体" w:hAnsi="宋体" w:eastAsia="宋体" w:cs="宋体"/>
      <w:color w:val="000000"/>
      <w:sz w:val="21"/>
      <w:szCs w:val="21"/>
      <w:u w:val="none"/>
    </w:rPr>
  </w:style>
  <w:style w:type="character" w:customStyle="1" w:styleId="43">
    <w:name w:val="font31"/>
    <w:basedOn w:val="20"/>
    <w:qFormat/>
    <w:uiPriority w:val="0"/>
    <w:rPr>
      <w:rFonts w:hint="default" w:ascii="Times New Roman" w:hAnsi="Times New Roman" w:cs="Times New Roman"/>
      <w:color w:val="0000FF"/>
      <w:sz w:val="21"/>
      <w:szCs w:val="21"/>
      <w:u w:val="none"/>
    </w:rPr>
  </w:style>
  <w:style w:type="character" w:customStyle="1" w:styleId="44">
    <w:name w:val="font41"/>
    <w:basedOn w:val="20"/>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73</Pages>
  <Words>9526</Words>
  <Characters>10184</Characters>
  <Lines>316</Lines>
  <Paragraphs>88</Paragraphs>
  <TotalTime>1</TotalTime>
  <ScaleCrop>false</ScaleCrop>
  <LinksUpToDate>false</LinksUpToDate>
  <CharactersWithSpaces>10286</CharactersWithSpaces>
  <Application>WPS Office_11.8.2.9015_F1E327BC-269C-435d-A152-05C5408002CA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覃普</cp:lastModifiedBy>
  <cp:lastPrinted>2021-01-15T01:17:00Z</cp:lastPrinted>
  <dcterms:modified xsi:type="dcterms:W3CDTF">2025-07-21T08:34:18Z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y fmtid="{D5CDD505-2E9C-101B-9397-08002B2CF9AE}" pid="3" name="ICV">
    <vt:lpwstr>1D35441E0ED44CDAA276D758760C3890_12</vt:lpwstr>
  </property>
  <property fmtid="{D5CDD505-2E9C-101B-9397-08002B2CF9AE}" pid="4" name="KSOTemplateDocerSaveRecord">
    <vt:lpwstr>eyJoZGlkIjoiNGE3ZjU2M2NjZmFlYmQwYTc0ZDZkMjFmM2ExNmI5ZTQiLCJ1c2VySWQiOiIyMjQxNTg5MDcifQ==</vt:lpwstr>
  </property>
</Properties>
</file>