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1B8C38">
      <w:pPr>
        <w:ind w:firstLine="3654" w:firstLineChars="1300"/>
        <w:rPr>
          <w:rFonts w:hint="eastAsia" w:ascii="宋体" w:hAnsi="宋体"/>
          <w:color w:val="FF0000"/>
          <w:szCs w:val="21"/>
        </w:rPr>
      </w:pPr>
      <w:r>
        <w:rPr>
          <w:rFonts w:hint="eastAsia" w:ascii="宋体" w:hAnsi="宋体" w:eastAsia="黑体"/>
          <w:b/>
          <w:bCs/>
          <w:color w:val="FF0000"/>
          <w:kern w:val="44"/>
          <w:sz w:val="28"/>
          <w:szCs w:val="44"/>
        </w:rPr>
        <w:t>特别警示条款</w:t>
      </w:r>
    </w:p>
    <w:p w14:paraId="0F4B0235">
      <w:pPr>
        <w:pBdr>
          <w:top w:val="none" w:color="auto" w:sz="0" w:space="1"/>
          <w:left w:val="none" w:color="auto" w:sz="0" w:space="4"/>
          <w:bottom w:val="none" w:color="auto" w:sz="0" w:space="1"/>
          <w:right w:val="none" w:color="auto" w:sz="0" w:space="4"/>
        </w:pBdr>
        <w:spacing w:after="240" w:afterLines="100" w:line="400" w:lineRule="exact"/>
        <w:ind w:firstLine="422" w:firstLineChars="200"/>
        <w:rPr>
          <w:rFonts w:hint="eastAsia" w:ascii="宋体" w:hAnsi="宋体" w:eastAsia="宋体" w:cs="宋体"/>
          <w:b/>
          <w:bCs/>
          <w:color w:val="FF0000"/>
          <w:szCs w:val="21"/>
          <w:highlight w:val="yellow"/>
        </w:rPr>
      </w:pPr>
      <w:r>
        <w:rPr>
          <w:rFonts w:hint="eastAsia" w:ascii="宋体" w:hAnsi="宋体" w:eastAsia="宋体" w:cs="宋体"/>
          <w:b/>
          <w:bCs/>
          <w:color w:val="FF0000"/>
          <w:szCs w:val="21"/>
          <w:highlight w:val="yellow"/>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14:paraId="5494F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1" w:type="dxa"/>
            <w:tcBorders>
              <w:tl2br w:val="nil"/>
              <w:tr2bl w:val="nil"/>
            </w:tcBorders>
            <w:vAlign w:val="center"/>
          </w:tcPr>
          <w:p w14:paraId="61958356">
            <w:pPr>
              <w:pBdr>
                <w:top w:val="none" w:color="auto" w:sz="0" w:space="1"/>
                <w:left w:val="none" w:color="auto" w:sz="0" w:space="4"/>
                <w:bottom w:val="none" w:color="auto" w:sz="0" w:space="1"/>
                <w:right w:val="none" w:color="auto" w:sz="0" w:space="4"/>
              </w:pBdr>
              <w:spacing w:line="400" w:lineRule="exact"/>
              <w:jc w:val="center"/>
              <w:rPr>
                <w:rFonts w:hint="eastAsia" w:ascii="宋体" w:hAnsi="宋体" w:eastAsia="宋体" w:cs="宋体"/>
                <w:color w:val="FF0000"/>
                <w:szCs w:val="21"/>
              </w:rPr>
            </w:pPr>
            <w:r>
              <w:rPr>
                <w:rFonts w:hint="eastAsia" w:ascii="宋体" w:hAnsi="宋体" w:eastAsia="宋体" w:cs="宋体"/>
                <w:color w:val="FF0000"/>
                <w:szCs w:val="21"/>
              </w:rPr>
              <w:t>序号</w:t>
            </w:r>
          </w:p>
        </w:tc>
        <w:tc>
          <w:tcPr>
            <w:tcW w:w="7711" w:type="dxa"/>
            <w:tcBorders>
              <w:tl2br w:val="nil"/>
              <w:tr2bl w:val="nil"/>
            </w:tcBorders>
            <w:vAlign w:val="center"/>
          </w:tcPr>
          <w:p w14:paraId="3A65E5DB">
            <w:pPr>
              <w:pBdr>
                <w:top w:val="none" w:color="auto" w:sz="0" w:space="1"/>
                <w:left w:val="none" w:color="auto" w:sz="0" w:space="4"/>
                <w:bottom w:val="none" w:color="auto" w:sz="0" w:space="1"/>
                <w:right w:val="none" w:color="auto" w:sz="0" w:space="4"/>
              </w:pBdr>
              <w:spacing w:line="400" w:lineRule="exact"/>
              <w:jc w:val="center"/>
              <w:rPr>
                <w:rFonts w:hint="eastAsia" w:ascii="宋体" w:hAnsi="宋体" w:eastAsia="宋体" w:cs="宋体"/>
                <w:color w:val="FF0000"/>
                <w:szCs w:val="21"/>
              </w:rPr>
            </w:pPr>
            <w:r>
              <w:rPr>
                <w:rFonts w:hint="eastAsia" w:ascii="宋体" w:hAnsi="宋体" w:eastAsia="宋体" w:cs="宋体"/>
                <w:b/>
                <w:bCs/>
                <w:color w:val="FF0000"/>
                <w:szCs w:val="21"/>
              </w:rPr>
              <w:t>供应商参与投标禁止情形</w:t>
            </w:r>
          </w:p>
        </w:tc>
      </w:tr>
      <w:tr w14:paraId="375C7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vAlign w:val="center"/>
          </w:tcPr>
          <w:p w14:paraId="0DEF0956">
            <w:pPr>
              <w:pBdr>
                <w:top w:val="none" w:color="auto" w:sz="0" w:space="1"/>
                <w:left w:val="none" w:color="auto" w:sz="0" w:space="4"/>
                <w:bottom w:val="none" w:color="auto" w:sz="0" w:space="1"/>
                <w:right w:val="none" w:color="auto" w:sz="0" w:space="4"/>
              </w:pBdr>
              <w:spacing w:line="400" w:lineRule="exact"/>
              <w:jc w:val="center"/>
              <w:rPr>
                <w:rFonts w:hint="eastAsia" w:ascii="宋体" w:hAnsi="宋体" w:eastAsia="宋体" w:cs="宋体"/>
                <w:color w:val="FF0000"/>
                <w:szCs w:val="21"/>
              </w:rPr>
            </w:pPr>
            <w:r>
              <w:rPr>
                <w:rFonts w:hint="eastAsia" w:ascii="宋体" w:hAnsi="宋体" w:eastAsia="宋体" w:cs="宋体"/>
                <w:color w:val="FF0000"/>
                <w:szCs w:val="21"/>
              </w:rPr>
              <w:t>1</w:t>
            </w:r>
          </w:p>
        </w:tc>
        <w:tc>
          <w:tcPr>
            <w:tcW w:w="7711" w:type="dxa"/>
            <w:tcBorders>
              <w:tl2br w:val="nil"/>
              <w:tr2bl w:val="nil"/>
            </w:tcBorders>
            <w:vAlign w:val="center"/>
          </w:tcPr>
          <w:p w14:paraId="6EEEFCFC">
            <w:pPr>
              <w:pBdr>
                <w:top w:val="none" w:color="auto" w:sz="0" w:space="1"/>
                <w:left w:val="none" w:color="auto" w:sz="0" w:space="4"/>
                <w:bottom w:val="none" w:color="auto" w:sz="0" w:space="1"/>
                <w:right w:val="none" w:color="auto" w:sz="0" w:space="4"/>
              </w:pBdr>
              <w:spacing w:line="400" w:lineRule="exact"/>
              <w:jc w:val="left"/>
              <w:rPr>
                <w:rFonts w:hint="eastAsia" w:ascii="宋体" w:hAnsi="宋体" w:eastAsia="宋体" w:cs="宋体"/>
                <w:color w:val="FF0000"/>
                <w:szCs w:val="21"/>
              </w:rPr>
            </w:pPr>
            <w:r>
              <w:rPr>
                <w:rFonts w:hint="eastAsia" w:ascii="宋体" w:hAnsi="宋体" w:eastAsia="宋体" w:cs="宋体"/>
                <w:color w:val="FF0000"/>
                <w:szCs w:val="21"/>
              </w:rPr>
              <w:t>与其他投标供应商的法定代表人、主要经营负责人、投标授权代表人、项目负责人、主要技术人员为</w:t>
            </w:r>
            <w:r>
              <w:rPr>
                <w:rFonts w:hint="eastAsia" w:ascii="宋体" w:hAnsi="宋体" w:eastAsia="宋体" w:cs="宋体"/>
                <w:b/>
                <w:bCs/>
                <w:color w:val="FF0000"/>
                <w:szCs w:val="21"/>
              </w:rPr>
              <w:t>同一人、属同一单位或者在同一单位缴纳社会保险</w:t>
            </w:r>
            <w:r>
              <w:rPr>
                <w:rFonts w:hint="eastAsia" w:ascii="宋体" w:hAnsi="宋体" w:eastAsia="宋体" w:cs="宋体"/>
                <w:color w:val="FF0000"/>
                <w:szCs w:val="21"/>
              </w:rPr>
              <w:t>。</w:t>
            </w:r>
          </w:p>
        </w:tc>
      </w:tr>
      <w:tr w14:paraId="730DA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vAlign w:val="center"/>
          </w:tcPr>
          <w:p w14:paraId="5A5736BD">
            <w:pPr>
              <w:pBdr>
                <w:top w:val="none" w:color="auto" w:sz="0" w:space="1"/>
                <w:left w:val="none" w:color="auto" w:sz="0" w:space="4"/>
                <w:bottom w:val="none" w:color="auto" w:sz="0" w:space="1"/>
                <w:right w:val="none" w:color="auto" w:sz="0" w:space="4"/>
              </w:pBdr>
              <w:spacing w:line="400" w:lineRule="exact"/>
              <w:jc w:val="center"/>
              <w:rPr>
                <w:rFonts w:hint="eastAsia" w:ascii="宋体" w:hAnsi="宋体" w:eastAsia="宋体" w:cs="宋体"/>
                <w:color w:val="FF0000"/>
                <w:szCs w:val="21"/>
              </w:rPr>
            </w:pPr>
            <w:r>
              <w:rPr>
                <w:rFonts w:hint="eastAsia" w:ascii="宋体" w:hAnsi="宋体" w:eastAsia="宋体" w:cs="宋体"/>
                <w:color w:val="FF0000"/>
                <w:szCs w:val="21"/>
              </w:rPr>
              <w:t>2</w:t>
            </w:r>
          </w:p>
        </w:tc>
        <w:tc>
          <w:tcPr>
            <w:tcW w:w="7711" w:type="dxa"/>
            <w:tcBorders>
              <w:tl2br w:val="nil"/>
              <w:tr2bl w:val="nil"/>
            </w:tcBorders>
            <w:vAlign w:val="center"/>
          </w:tcPr>
          <w:p w14:paraId="68B1C1CA">
            <w:pPr>
              <w:pBdr>
                <w:top w:val="none" w:color="auto" w:sz="0" w:space="1"/>
                <w:left w:val="none" w:color="auto" w:sz="0" w:space="4"/>
                <w:bottom w:val="none" w:color="auto" w:sz="0" w:space="1"/>
                <w:right w:val="none" w:color="auto" w:sz="0" w:space="4"/>
              </w:pBdr>
              <w:spacing w:line="400" w:lineRule="exact"/>
              <w:jc w:val="left"/>
              <w:rPr>
                <w:rFonts w:hint="eastAsia" w:ascii="宋体" w:hAnsi="宋体" w:eastAsia="宋体" w:cs="宋体"/>
                <w:color w:val="FF0000"/>
                <w:szCs w:val="21"/>
              </w:rPr>
            </w:pPr>
            <w:r>
              <w:rPr>
                <w:rFonts w:hint="eastAsia" w:ascii="宋体" w:hAnsi="宋体" w:eastAsia="宋体" w:cs="宋体"/>
                <w:color w:val="FF0000"/>
                <w:szCs w:val="21"/>
              </w:rPr>
              <w:t>参与本项目政府采购活动时，与其他投标供应商存在单位负责人为</w:t>
            </w:r>
            <w:r>
              <w:rPr>
                <w:rFonts w:hint="eastAsia" w:ascii="宋体" w:hAnsi="宋体" w:eastAsia="宋体" w:cs="宋体"/>
                <w:b/>
                <w:bCs/>
                <w:color w:val="FF0000"/>
                <w:szCs w:val="21"/>
              </w:rPr>
              <w:t>同一人或直接控股、管理关系</w:t>
            </w:r>
            <w:r>
              <w:rPr>
                <w:rFonts w:hint="eastAsia" w:ascii="宋体" w:hAnsi="宋体" w:eastAsia="宋体" w:cs="宋体"/>
                <w:color w:val="FF0000"/>
                <w:szCs w:val="21"/>
              </w:rPr>
              <w:t>。</w:t>
            </w:r>
          </w:p>
        </w:tc>
      </w:tr>
      <w:tr w14:paraId="2AA87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vAlign w:val="center"/>
          </w:tcPr>
          <w:p w14:paraId="4937F248">
            <w:pPr>
              <w:pBdr>
                <w:top w:val="none" w:color="auto" w:sz="0" w:space="1"/>
                <w:left w:val="none" w:color="auto" w:sz="0" w:space="4"/>
                <w:bottom w:val="none" w:color="auto" w:sz="0" w:space="1"/>
                <w:right w:val="none" w:color="auto" w:sz="0" w:space="4"/>
              </w:pBdr>
              <w:spacing w:line="400" w:lineRule="exact"/>
              <w:jc w:val="center"/>
              <w:rPr>
                <w:rFonts w:hint="eastAsia" w:ascii="宋体" w:hAnsi="宋体" w:eastAsia="宋体" w:cs="宋体"/>
                <w:color w:val="FF0000"/>
                <w:szCs w:val="21"/>
              </w:rPr>
            </w:pPr>
            <w:r>
              <w:rPr>
                <w:rFonts w:hint="eastAsia" w:ascii="宋体" w:hAnsi="宋体" w:eastAsia="宋体" w:cs="宋体"/>
                <w:color w:val="FF0000"/>
                <w:szCs w:val="21"/>
              </w:rPr>
              <w:t>3</w:t>
            </w:r>
          </w:p>
        </w:tc>
        <w:tc>
          <w:tcPr>
            <w:tcW w:w="7711" w:type="dxa"/>
            <w:tcBorders>
              <w:tl2br w:val="nil"/>
              <w:tr2bl w:val="nil"/>
            </w:tcBorders>
            <w:vAlign w:val="center"/>
          </w:tcPr>
          <w:p w14:paraId="5E4B3EA0">
            <w:pPr>
              <w:pBdr>
                <w:top w:val="none" w:color="auto" w:sz="0" w:space="1"/>
                <w:left w:val="none" w:color="auto" w:sz="0" w:space="4"/>
                <w:bottom w:val="none" w:color="auto" w:sz="0" w:space="1"/>
                <w:right w:val="none" w:color="auto" w:sz="0" w:space="4"/>
              </w:pBdr>
              <w:spacing w:line="400" w:lineRule="exact"/>
              <w:jc w:val="left"/>
              <w:rPr>
                <w:rFonts w:hint="eastAsia" w:ascii="宋体" w:hAnsi="宋体" w:eastAsia="宋体" w:cs="宋体"/>
                <w:color w:val="FF0000"/>
                <w:szCs w:val="21"/>
              </w:rPr>
            </w:pPr>
            <w:r>
              <w:rPr>
                <w:rFonts w:hint="eastAsia" w:ascii="宋体" w:hAnsi="宋体" w:eastAsia="宋体" w:cs="宋体"/>
                <w:color w:val="FF0000"/>
                <w:szCs w:val="21"/>
              </w:rPr>
              <w:t>与其他投标供应商的投标文件或部分投标文件</w:t>
            </w:r>
            <w:r>
              <w:rPr>
                <w:rFonts w:hint="eastAsia" w:ascii="宋体" w:hAnsi="宋体" w:eastAsia="宋体" w:cs="宋体"/>
                <w:b/>
                <w:bCs/>
                <w:color w:val="FF0000"/>
                <w:szCs w:val="21"/>
              </w:rPr>
              <w:t>相互混装或存在非正常一致</w:t>
            </w:r>
            <w:r>
              <w:rPr>
                <w:rFonts w:hint="eastAsia" w:ascii="宋体" w:hAnsi="宋体" w:eastAsia="宋体" w:cs="宋体"/>
                <w:color w:val="FF0000"/>
                <w:szCs w:val="21"/>
              </w:rPr>
              <w:t>。</w:t>
            </w:r>
          </w:p>
        </w:tc>
      </w:tr>
      <w:tr w14:paraId="0B34F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811" w:type="dxa"/>
            <w:tcBorders>
              <w:tl2br w:val="nil"/>
              <w:tr2bl w:val="nil"/>
            </w:tcBorders>
            <w:vAlign w:val="center"/>
          </w:tcPr>
          <w:p w14:paraId="5D168E7C">
            <w:pPr>
              <w:pBdr>
                <w:top w:val="none" w:color="auto" w:sz="0" w:space="1"/>
                <w:left w:val="none" w:color="auto" w:sz="0" w:space="4"/>
                <w:bottom w:val="none" w:color="auto" w:sz="0" w:space="1"/>
                <w:right w:val="none" w:color="auto" w:sz="0" w:space="4"/>
              </w:pBdr>
              <w:spacing w:line="400" w:lineRule="exact"/>
              <w:jc w:val="center"/>
              <w:rPr>
                <w:rFonts w:hint="eastAsia" w:ascii="宋体" w:hAnsi="宋体" w:eastAsia="宋体" w:cs="宋体"/>
                <w:color w:val="FF0000"/>
                <w:szCs w:val="21"/>
              </w:rPr>
            </w:pPr>
            <w:r>
              <w:rPr>
                <w:rFonts w:hint="eastAsia" w:ascii="宋体" w:hAnsi="宋体" w:eastAsia="宋体" w:cs="宋体"/>
                <w:color w:val="FF0000"/>
                <w:szCs w:val="21"/>
              </w:rPr>
              <w:t>4</w:t>
            </w:r>
          </w:p>
        </w:tc>
        <w:tc>
          <w:tcPr>
            <w:tcW w:w="7711" w:type="dxa"/>
            <w:tcBorders>
              <w:tl2br w:val="nil"/>
              <w:tr2bl w:val="nil"/>
            </w:tcBorders>
            <w:vAlign w:val="center"/>
          </w:tcPr>
          <w:p w14:paraId="015CA757">
            <w:pPr>
              <w:pBdr>
                <w:top w:val="none" w:color="auto" w:sz="0" w:space="1"/>
                <w:left w:val="none" w:color="auto" w:sz="0" w:space="4"/>
                <w:bottom w:val="none" w:color="auto" w:sz="0" w:space="1"/>
                <w:right w:val="none" w:color="auto" w:sz="0" w:space="4"/>
              </w:pBdr>
              <w:spacing w:line="400" w:lineRule="exact"/>
              <w:jc w:val="left"/>
              <w:rPr>
                <w:rFonts w:hint="eastAsia" w:ascii="宋体" w:hAnsi="宋体" w:eastAsia="宋体" w:cs="宋体"/>
                <w:color w:val="FF0000"/>
                <w:szCs w:val="21"/>
              </w:rPr>
            </w:pPr>
            <w:r>
              <w:rPr>
                <w:rFonts w:hint="eastAsia" w:ascii="宋体" w:hAnsi="宋体" w:eastAsia="宋体" w:cs="宋体"/>
                <w:color w:val="FF0000"/>
                <w:szCs w:val="21"/>
              </w:rPr>
              <w:t>与其他投标供应商的投标文件由</w:t>
            </w:r>
            <w:r>
              <w:rPr>
                <w:rFonts w:hint="eastAsia" w:ascii="宋体" w:hAnsi="宋体" w:eastAsia="宋体" w:cs="宋体"/>
                <w:b/>
                <w:bCs/>
                <w:color w:val="FF0000"/>
                <w:szCs w:val="21"/>
              </w:rPr>
              <w:t>同一单位或者同一人编制</w:t>
            </w:r>
            <w:r>
              <w:rPr>
                <w:rFonts w:hint="eastAsia" w:ascii="宋体" w:hAnsi="宋体" w:eastAsia="宋体" w:cs="宋体"/>
                <w:color w:val="FF0000"/>
                <w:szCs w:val="21"/>
              </w:rPr>
              <w:t>，或者使用</w:t>
            </w:r>
            <w:r>
              <w:rPr>
                <w:rFonts w:hint="eastAsia" w:ascii="宋体" w:hAnsi="宋体" w:eastAsia="宋体" w:cs="宋体"/>
                <w:b/>
                <w:bCs/>
                <w:color w:val="FF0000"/>
                <w:szCs w:val="21"/>
              </w:rPr>
              <w:t>同一设备编制</w:t>
            </w:r>
            <w:r>
              <w:rPr>
                <w:rFonts w:hint="eastAsia" w:ascii="宋体" w:hAnsi="宋体" w:eastAsia="宋体" w:cs="宋体"/>
                <w:color w:val="FF0000"/>
                <w:szCs w:val="21"/>
              </w:rPr>
              <w:t>（“文件制作机器码”“文件创建标识码”一致）。</w:t>
            </w:r>
          </w:p>
        </w:tc>
      </w:tr>
      <w:tr w14:paraId="5E696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tcBorders>
              <w:tl2br w:val="nil"/>
              <w:tr2bl w:val="nil"/>
            </w:tcBorders>
            <w:vAlign w:val="center"/>
          </w:tcPr>
          <w:p w14:paraId="705DC58D">
            <w:pPr>
              <w:pBdr>
                <w:top w:val="none" w:color="auto" w:sz="0" w:space="1"/>
                <w:left w:val="none" w:color="auto" w:sz="0" w:space="4"/>
                <w:bottom w:val="none" w:color="auto" w:sz="0" w:space="1"/>
                <w:right w:val="none" w:color="auto" w:sz="0" w:space="4"/>
              </w:pBdr>
              <w:spacing w:line="400" w:lineRule="exact"/>
              <w:jc w:val="center"/>
              <w:rPr>
                <w:rFonts w:hint="eastAsia" w:ascii="宋体" w:hAnsi="宋体" w:eastAsia="宋体" w:cs="宋体"/>
                <w:color w:val="FF0000"/>
                <w:szCs w:val="21"/>
              </w:rPr>
            </w:pPr>
            <w:r>
              <w:rPr>
                <w:rFonts w:hint="eastAsia" w:ascii="宋体" w:hAnsi="宋体" w:eastAsia="宋体" w:cs="宋体"/>
                <w:color w:val="FF0000"/>
                <w:szCs w:val="21"/>
              </w:rPr>
              <w:t>5</w:t>
            </w:r>
          </w:p>
        </w:tc>
        <w:tc>
          <w:tcPr>
            <w:tcW w:w="7711" w:type="dxa"/>
            <w:tcBorders>
              <w:tl2br w:val="nil"/>
              <w:tr2bl w:val="nil"/>
            </w:tcBorders>
            <w:vAlign w:val="center"/>
          </w:tcPr>
          <w:p w14:paraId="0B9036FE">
            <w:pPr>
              <w:pBdr>
                <w:top w:val="none" w:color="auto" w:sz="0" w:space="1"/>
                <w:left w:val="none" w:color="auto" w:sz="0" w:space="4"/>
                <w:bottom w:val="none" w:color="auto" w:sz="0" w:space="1"/>
                <w:right w:val="none" w:color="auto" w:sz="0" w:space="4"/>
              </w:pBdr>
              <w:spacing w:line="400" w:lineRule="exact"/>
              <w:jc w:val="left"/>
              <w:rPr>
                <w:rFonts w:hint="eastAsia" w:ascii="宋体" w:hAnsi="宋体" w:eastAsia="宋体" w:cs="宋体"/>
                <w:color w:val="FF0000"/>
                <w:szCs w:val="21"/>
              </w:rPr>
            </w:pPr>
            <w:r>
              <w:rPr>
                <w:rFonts w:hint="eastAsia" w:ascii="宋体" w:hAnsi="宋体" w:eastAsia="宋体" w:cs="宋体"/>
                <w:color w:val="FF0000"/>
                <w:szCs w:val="21"/>
              </w:rPr>
              <w:t>提供</w:t>
            </w:r>
            <w:r>
              <w:rPr>
                <w:rFonts w:hint="eastAsia" w:ascii="宋体" w:hAnsi="宋体" w:eastAsia="宋体" w:cs="宋体"/>
                <w:b/>
                <w:bCs/>
                <w:color w:val="FF0000"/>
                <w:szCs w:val="21"/>
              </w:rPr>
              <w:t>未经出具机构核实</w:t>
            </w:r>
            <w:r>
              <w:rPr>
                <w:rFonts w:hint="eastAsia" w:ascii="宋体" w:hAnsi="宋体" w:eastAsia="宋体" w:cs="宋体"/>
                <w:color w:val="FF0000"/>
                <w:szCs w:val="21"/>
              </w:rPr>
              <w:t>的虚假的检验检测报告、业绩材料、社保缴纳证明、学历学位证书、职称认证证书等材料。</w:t>
            </w:r>
          </w:p>
        </w:tc>
      </w:tr>
      <w:tr w14:paraId="25921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1" w:type="dxa"/>
            <w:tcBorders>
              <w:tl2br w:val="nil"/>
              <w:tr2bl w:val="nil"/>
            </w:tcBorders>
            <w:vAlign w:val="center"/>
          </w:tcPr>
          <w:p w14:paraId="0D16869C">
            <w:pPr>
              <w:pBdr>
                <w:top w:val="none" w:color="auto" w:sz="0" w:space="1"/>
                <w:left w:val="none" w:color="auto" w:sz="0" w:space="4"/>
                <w:bottom w:val="none" w:color="auto" w:sz="0" w:space="1"/>
                <w:right w:val="none" w:color="auto" w:sz="0" w:space="4"/>
              </w:pBdr>
              <w:spacing w:line="400" w:lineRule="exact"/>
              <w:jc w:val="center"/>
              <w:rPr>
                <w:rFonts w:hint="eastAsia" w:ascii="宋体" w:hAnsi="宋体" w:eastAsia="宋体" w:cs="宋体"/>
                <w:color w:val="FF0000"/>
                <w:szCs w:val="21"/>
              </w:rPr>
            </w:pPr>
            <w:r>
              <w:rPr>
                <w:rFonts w:hint="eastAsia" w:ascii="宋体" w:hAnsi="宋体" w:eastAsia="宋体" w:cs="宋体"/>
                <w:color w:val="FF0000"/>
                <w:szCs w:val="21"/>
              </w:rPr>
              <w:t>6</w:t>
            </w:r>
          </w:p>
        </w:tc>
        <w:tc>
          <w:tcPr>
            <w:tcW w:w="7711" w:type="dxa"/>
            <w:tcBorders>
              <w:tl2br w:val="nil"/>
              <w:tr2bl w:val="nil"/>
            </w:tcBorders>
            <w:vAlign w:val="center"/>
          </w:tcPr>
          <w:p w14:paraId="3D4F92D0">
            <w:pPr>
              <w:pBdr>
                <w:top w:val="none" w:color="auto" w:sz="0" w:space="1"/>
                <w:left w:val="none" w:color="auto" w:sz="0" w:space="4"/>
                <w:bottom w:val="none" w:color="auto" w:sz="0" w:space="1"/>
                <w:right w:val="none" w:color="auto" w:sz="0" w:space="4"/>
              </w:pBdr>
              <w:spacing w:line="400" w:lineRule="exact"/>
              <w:jc w:val="left"/>
              <w:rPr>
                <w:rFonts w:hint="eastAsia" w:ascii="宋体" w:hAnsi="宋体" w:eastAsia="宋体" w:cs="宋体"/>
                <w:color w:val="FF0000"/>
                <w:szCs w:val="21"/>
              </w:rPr>
            </w:pPr>
            <w:r>
              <w:rPr>
                <w:rFonts w:hint="eastAsia" w:ascii="宋体" w:hAnsi="宋体" w:eastAsia="宋体" w:cs="宋体"/>
                <w:color w:val="FF0000"/>
                <w:szCs w:val="21"/>
              </w:rPr>
              <w:t>擅自将投标密钥或电子营业执照出借他人使用或未妥善保管。</w:t>
            </w:r>
          </w:p>
        </w:tc>
      </w:tr>
    </w:tbl>
    <w:p w14:paraId="0A28CDE1">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p>
    <w:p w14:paraId="7B3A7EDC">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一、</w:t>
      </w:r>
      <w:r>
        <w:rPr>
          <w:rFonts w:hint="eastAsia" w:ascii="宋体" w:hAnsi="宋体"/>
          <w:b/>
          <w:bCs/>
          <w:color w:val="FF0000"/>
          <w:sz w:val="20"/>
          <w:szCs w:val="20"/>
        </w:rPr>
        <w:t>《深圳经济特区政府采购条例》第五十七条</w:t>
      </w:r>
      <w:r>
        <w:rPr>
          <w:rFonts w:hint="eastAsia" w:ascii="宋体" w:hAnsi="宋体"/>
          <w:color w:val="FF0000"/>
          <w:sz w:val="20"/>
          <w:szCs w:val="20"/>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3801370B">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（一）在采购活动中应当回避而未回避的；</w:t>
      </w:r>
    </w:p>
    <w:p w14:paraId="505AFFDB">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（二）未按本条例规定签订、履行采购合同，造成严重后果的；</w:t>
      </w:r>
    </w:p>
    <w:p w14:paraId="1607B1B7">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（三）隐瞒真实情况，提供虚假资料的；</w:t>
      </w:r>
    </w:p>
    <w:p w14:paraId="032C7F48">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（四）以非法手段排斥其他供应商参与竞争的；</w:t>
      </w:r>
    </w:p>
    <w:p w14:paraId="089CCE2F">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（五）与其他采购参加人串通投标的；</w:t>
      </w:r>
    </w:p>
    <w:p w14:paraId="54D6D0B7">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（六）恶意投诉的；</w:t>
      </w:r>
    </w:p>
    <w:p w14:paraId="05C500BD">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（七）向采购项目相关人行贿或者提供其他不当利益的；</w:t>
      </w:r>
    </w:p>
    <w:p w14:paraId="65263F5F">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（八）阻碍、抗拒主管部门监督检查的；</w:t>
      </w:r>
    </w:p>
    <w:p w14:paraId="4AED408E">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（九）其他违反本条例规定的行为。</w:t>
      </w:r>
    </w:p>
    <w:p w14:paraId="6BD2B921">
      <w:pPr>
        <w:pBdr>
          <w:top w:val="none" w:color="auto" w:sz="0" w:space="1"/>
          <w:left w:val="none" w:color="auto" w:sz="0" w:space="4"/>
          <w:bottom w:val="none" w:color="auto" w:sz="0" w:space="1"/>
          <w:right w:val="none" w:color="auto" w:sz="0" w:space="4"/>
        </w:pBdr>
        <w:ind w:firstLine="402" w:firstLineChars="200"/>
        <w:rPr>
          <w:rFonts w:hint="eastAsia" w:ascii="宋体" w:hAnsi="宋体"/>
          <w:color w:val="FF0000"/>
          <w:sz w:val="20"/>
          <w:szCs w:val="20"/>
        </w:rPr>
      </w:pPr>
      <w:r>
        <w:rPr>
          <w:rFonts w:hint="eastAsia" w:ascii="宋体" w:hAnsi="宋体"/>
          <w:b/>
          <w:bCs/>
          <w:color w:val="FF0000"/>
          <w:sz w:val="20"/>
          <w:szCs w:val="20"/>
        </w:rPr>
        <w:t xml:space="preserve">二、《深圳经济特区政府采购条例实施细则》第七十五条 </w:t>
      </w:r>
      <w:r>
        <w:rPr>
          <w:rFonts w:hint="eastAsia" w:ascii="宋体" w:hAnsi="宋体"/>
          <w:color w:val="FF0000"/>
          <w:sz w:val="20"/>
          <w:szCs w:val="20"/>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08C2813F">
      <w:pPr>
        <w:pBdr>
          <w:top w:val="none" w:color="auto" w:sz="0" w:space="1"/>
          <w:left w:val="none" w:color="auto" w:sz="0" w:space="4"/>
          <w:bottom w:val="none" w:color="auto" w:sz="0" w:space="1"/>
          <w:right w:val="none" w:color="auto" w:sz="0" w:space="4"/>
        </w:pBdr>
        <w:ind w:firstLine="402" w:firstLineChars="200"/>
        <w:rPr>
          <w:rFonts w:hint="eastAsia" w:ascii="宋体" w:hAnsi="宋体"/>
          <w:color w:val="FF0000"/>
          <w:sz w:val="20"/>
          <w:szCs w:val="20"/>
        </w:rPr>
      </w:pPr>
      <w:r>
        <w:rPr>
          <w:rFonts w:hint="eastAsia" w:ascii="宋体" w:hAnsi="宋体"/>
          <w:b/>
          <w:bCs/>
          <w:color w:val="FF0000"/>
          <w:sz w:val="20"/>
          <w:szCs w:val="20"/>
        </w:rPr>
        <w:t xml:space="preserve">三、《深圳经济特区政府采购条例实施细则》第七十七条 </w:t>
      </w:r>
      <w:r>
        <w:rPr>
          <w:rFonts w:hint="eastAsia" w:ascii="宋体" w:hAnsi="宋体"/>
          <w:color w:val="FF0000"/>
          <w:sz w:val="20"/>
          <w:szCs w:val="20"/>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582A8BF4">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投标供应商不能提供项目负责人或者主要技术人员的劳动合同、社会保险等劳动关系证明材料的，视为存在前款第（三）项规定的情形。</w:t>
      </w:r>
    </w:p>
    <w:p w14:paraId="31D03611">
      <w:pPr>
        <w:pBdr>
          <w:top w:val="none" w:color="auto" w:sz="0" w:space="1"/>
          <w:left w:val="none" w:color="auto" w:sz="0" w:space="4"/>
          <w:bottom w:val="none" w:color="auto" w:sz="0" w:space="1"/>
          <w:right w:val="none" w:color="auto" w:sz="0" w:space="4"/>
        </w:pBdr>
        <w:ind w:firstLine="400" w:firstLineChars="200"/>
        <w:rPr>
          <w:bCs/>
          <w:color w:val="FF0000"/>
          <w:sz w:val="20"/>
          <w:szCs w:val="20"/>
        </w:rPr>
      </w:pPr>
      <w:r>
        <w:rPr>
          <w:rFonts w:hint="eastAsia"/>
          <w:bCs/>
          <w:color w:val="FF0000"/>
          <w:sz w:val="20"/>
          <w:szCs w:val="20"/>
        </w:rPr>
        <w:t>四</w:t>
      </w:r>
      <w:r>
        <w:rPr>
          <w:rFonts w:hint="eastAsia" w:ascii="Times New Roman" w:eastAsia="宋体"/>
          <w:bCs/>
          <w:color w:val="FF0000"/>
          <w:sz w:val="20"/>
          <w:szCs w:val="20"/>
        </w:rPr>
        <w:t>、供应商在使用深圳政府采购智慧平台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14:paraId="1CF5483D">
      <w:pPr>
        <w:pBdr>
          <w:top w:val="none" w:color="auto" w:sz="0" w:space="1"/>
          <w:left w:val="none" w:color="auto" w:sz="0" w:space="4"/>
          <w:bottom w:val="none" w:color="auto" w:sz="0" w:space="1"/>
          <w:right w:val="none" w:color="auto" w:sz="0" w:space="4"/>
        </w:pBdr>
        <w:ind w:firstLine="400" w:firstLineChars="200"/>
        <w:rPr>
          <w:bCs/>
          <w:color w:val="FF0000"/>
          <w:sz w:val="20"/>
          <w:szCs w:val="20"/>
        </w:rPr>
      </w:pPr>
      <w:r>
        <w:rPr>
          <w:rFonts w:hint="eastAsia" w:ascii="Times New Roman" w:eastAsia="宋体"/>
          <w:bCs/>
          <w:color w:val="FF0000"/>
          <w:sz w:val="20"/>
          <w:szCs w:val="20"/>
        </w:rPr>
        <w:t>为避免出现不同供应商投标文件的文件制作机器码、文件创建标识码、IP地址一致的异常情况，建议各供应商编制、上传投标文件时不要使用公共电脑设备或公共网络。</w:t>
      </w:r>
    </w:p>
    <w:p w14:paraId="276816A2">
      <w:pPr>
        <w:pBdr>
          <w:top w:val="none" w:color="auto" w:sz="0" w:space="1"/>
          <w:left w:val="none" w:color="auto" w:sz="0" w:space="4"/>
          <w:bottom w:val="none" w:color="auto" w:sz="0" w:space="1"/>
          <w:right w:val="none" w:color="auto" w:sz="0" w:space="4"/>
        </w:pBdr>
        <w:ind w:firstLine="400" w:firstLineChars="200"/>
        <w:rPr>
          <w:rFonts w:ascii="Times New Roman" w:eastAsia="宋体"/>
          <w:bCs/>
          <w:color w:val="FF0000"/>
          <w:sz w:val="20"/>
          <w:szCs w:val="20"/>
        </w:rPr>
      </w:pPr>
      <w:r>
        <w:rPr>
          <w:rFonts w:hint="eastAsia" w:ascii="Times New Roman" w:eastAsia="宋体"/>
          <w:bCs/>
          <w:color w:val="FF0000"/>
          <w:sz w:val="20"/>
          <w:szCs w:val="20"/>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hint="eastAsia" w:ascii="宋体" w:hAnsi="宋体"/>
          <w:color w:val="FF0000"/>
          <w:sz w:val="20"/>
          <w:szCs w:val="20"/>
        </w:rPr>
        <w:t>取消参与本市政府采购资格</w:t>
      </w:r>
      <w:r>
        <w:rPr>
          <w:rFonts w:hint="eastAsia" w:hAnsi="宋体"/>
          <w:color w:val="FF0000"/>
          <w:sz w:val="20"/>
          <w:szCs w:val="20"/>
        </w:rPr>
        <w:t>、</w:t>
      </w:r>
      <w:r>
        <w:rPr>
          <w:rFonts w:hint="eastAsia" w:ascii="宋体" w:hAnsi="宋体"/>
          <w:color w:val="FF0000"/>
          <w:sz w:val="20"/>
          <w:szCs w:val="20"/>
        </w:rPr>
        <w:t>依法吊销其营业</w:t>
      </w:r>
      <w:r>
        <w:rPr>
          <w:rFonts w:hint="eastAsia" w:hAnsi="宋体"/>
          <w:color w:val="FF0000"/>
          <w:sz w:val="20"/>
          <w:szCs w:val="20"/>
        </w:rPr>
        <w:t>执照等行政处罚，</w:t>
      </w:r>
      <w:r>
        <w:rPr>
          <w:rFonts w:hint="eastAsia" w:ascii="宋体" w:hAnsi="宋体"/>
          <w:color w:val="FF0000"/>
          <w:sz w:val="20"/>
          <w:szCs w:val="20"/>
        </w:rPr>
        <w:t>构成犯罪的，依法追究刑事责任</w:t>
      </w:r>
      <w:r>
        <w:rPr>
          <w:rFonts w:hint="eastAsia" w:ascii="Times New Roman" w:eastAsia="宋体"/>
          <w:bCs/>
          <w:color w:val="FF0000"/>
          <w:sz w:val="20"/>
          <w:szCs w:val="20"/>
        </w:rPr>
        <w:t>，请各供应商独立编制、上传投标文件，妥善保管和使用电子秘钥。</w:t>
      </w:r>
    </w:p>
    <w:p w14:paraId="35630620">
      <w:pPr>
        <w:pBdr>
          <w:top w:val="none" w:color="auto" w:sz="0" w:space="1"/>
          <w:left w:val="none" w:color="auto" w:sz="0" w:space="4"/>
          <w:bottom w:val="none" w:color="auto" w:sz="0" w:space="1"/>
          <w:right w:val="none" w:color="auto" w:sz="0" w:space="4"/>
        </w:pBdr>
        <w:ind w:firstLine="422" w:firstLineChars="200"/>
      </w:pPr>
      <w:r>
        <w:rPr>
          <w:rFonts w:hint="eastAsia" w:ascii="Times New Roman" w:eastAsia="宋体"/>
          <w:b/>
          <w:color w:val="FF0000"/>
        </w:rPr>
        <w:t>五</w:t>
      </w:r>
      <w:r>
        <w:rPr>
          <w:rFonts w:hint="eastAsia"/>
          <w:b/>
          <w:color w:val="FF0000"/>
        </w:rPr>
        <w:t>、请投标供应商阅读《政府采购违法行为风险知悉确认书》（内容详见“投标文件附件（信息不公开部分）”中节点“投标人认为需要加以说明的其他内容（格式自定）”），并经各投标供应商负责人签字并加盖单位公章后，扫描上传至投标文件一并提交。</w:t>
      </w:r>
    </w:p>
    <w:p w14:paraId="2195B3E1">
      <w:pPr>
        <w:pStyle w:val="30"/>
        <w:pBdr>
          <w:top w:val="none" w:color="auto" w:sz="0" w:space="1"/>
          <w:left w:val="none" w:color="auto" w:sz="0" w:space="4"/>
          <w:bottom w:val="none" w:color="auto" w:sz="0" w:space="1"/>
          <w:right w:val="none" w:color="auto" w:sz="0" w:space="4"/>
        </w:pBdr>
        <w:rPr>
          <w:bCs/>
          <w:color w:val="FF0000"/>
          <w:sz w:val="20"/>
          <w:szCs w:val="20"/>
        </w:rPr>
      </w:pPr>
    </w:p>
    <w:p w14:paraId="47D20583">
      <w:pPr>
        <w:pStyle w:val="18"/>
        <w:pBdr>
          <w:top w:val="none" w:color="auto" w:sz="0" w:space="1"/>
          <w:left w:val="none" w:color="auto" w:sz="0" w:space="4"/>
          <w:bottom w:val="none" w:color="auto" w:sz="0" w:space="1"/>
          <w:right w:val="none" w:color="auto" w:sz="0" w:space="4"/>
        </w:pBdr>
        <w:jc w:val="both"/>
        <w:outlineLvl w:val="1"/>
        <w:rPr>
          <w:rFonts w:hint="eastAsia" w:ascii="黑体" w:eastAsia="黑体" w:cs="黑体"/>
          <w:kern w:val="0"/>
          <w:sz w:val="40"/>
          <w:szCs w:val="40"/>
        </w:rPr>
        <w:sectPr>
          <w:headerReference r:id="rId3" w:type="first"/>
          <w:footerReference r:id="rId4" w:type="default"/>
          <w:footerReference r:id="rId5" w:type="even"/>
          <w:pgSz w:w="11907" w:h="16840"/>
          <w:pgMar w:top="1440" w:right="1417" w:bottom="1440" w:left="1417" w:header="851" w:footer="992" w:gutter="0"/>
          <w:cols w:space="425" w:num="1"/>
          <w:titlePg/>
          <w:docGrid w:linePitch="462" w:charSpace="0"/>
        </w:sectPr>
      </w:pPr>
      <w:r>
        <w:rPr>
          <w:rFonts w:hint="eastAsia" w:ascii="Times New Roman" w:hAnsi="Times New Roman" w:eastAsia="宋体" w:cs="Times New Roman"/>
          <w:b/>
          <w:color w:val="FF0000"/>
          <w:sz w:val="21"/>
        </w:rPr>
        <w:t>注：“特别警示条款”和《政府采购违法行为风险知悉确认书》用于对供应商违法行为的提醒，不作为供应商资格性审查及符合性审查条件。</w:t>
      </w:r>
    </w:p>
    <w:p w14:paraId="65CF45CD">
      <w:pPr>
        <w:widowControl/>
        <w:spacing w:beforeAutospacing="1" w:afterAutospacing="1"/>
        <w:jc w:val="center"/>
        <w:outlineLvl w:val="0"/>
        <w:rPr>
          <w:rFonts w:hint="eastAsia" w:ascii="黑体" w:hAnsi="宋体" w:eastAsia="黑体" w:cs="黑体"/>
          <w:kern w:val="0"/>
          <w:sz w:val="40"/>
          <w:szCs w:val="40"/>
        </w:rPr>
      </w:pPr>
      <w:r>
        <w:rPr>
          <w:rFonts w:hint="eastAsia" w:ascii="黑体" w:hAnsi="宋体" w:eastAsia="黑体" w:cs="黑体"/>
          <w:kern w:val="0"/>
          <w:sz w:val="40"/>
          <w:szCs w:val="40"/>
        </w:rPr>
        <w:t>招标文件信息</w:t>
      </w:r>
    </w:p>
    <w:tbl>
      <w:tblPr>
        <w:tblStyle w:val="22"/>
        <w:tblW w:w="4999"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6" w:type="dxa"/>
          <w:left w:w="36" w:type="dxa"/>
          <w:bottom w:w="36" w:type="dxa"/>
          <w:right w:w="36" w:type="dxa"/>
        </w:tblCellMar>
      </w:tblPr>
      <w:tblGrid>
        <w:gridCol w:w="3141"/>
        <w:gridCol w:w="6021"/>
      </w:tblGrid>
      <w:tr w14:paraId="7CBC4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04744D99">
            <w:pPr>
              <w:spacing w:line="290" w:lineRule="exact"/>
              <w:jc w:val="center"/>
              <w:rPr>
                <w:rFonts w:hint="eastAsia" w:ascii="宋体" w:hAnsi="宋体" w:eastAsia="宋体" w:cs="Times New Roman"/>
                <w:sz w:val="28"/>
                <w:szCs w:val="28"/>
              </w:rPr>
            </w:pPr>
            <w:r>
              <w:rPr>
                <w:rFonts w:ascii="宋体" w:hAnsi="宋体" w:eastAsia="宋体" w:cs="Times New Roman"/>
                <w:sz w:val="28"/>
                <w:szCs w:val="28"/>
              </w:rPr>
              <w:t>项目编号：</w:t>
            </w:r>
          </w:p>
        </w:tc>
        <w:tc>
          <w:tcPr>
            <w:tcW w:w="3285" w:type="pct"/>
            <w:vAlign w:val="center"/>
          </w:tcPr>
          <w:p w14:paraId="302D09E4">
            <w:pPr>
              <w:spacing w:line="290" w:lineRule="exact"/>
              <w:jc w:val="center"/>
              <w:rPr>
                <w:rFonts w:hint="eastAsia" w:ascii="宋体" w:hAnsi="宋体" w:eastAsia="宋体" w:cs="Times New Roman"/>
                <w:sz w:val="28"/>
                <w:szCs w:val="28"/>
              </w:rPr>
            </w:pPr>
            <w:r>
              <w:rPr>
                <w:rFonts w:hint="eastAsia" w:ascii="宋体" w:hAnsi="宋体" w:eastAsia="宋体" w:cs="Times New Roman"/>
                <w:sz w:val="28"/>
                <w:szCs w:val="28"/>
              </w:rPr>
              <w:t>LHAZXCG-2025-0005</w:t>
            </w:r>
            <w:r>
              <w:rPr>
                <w:rFonts w:hint="eastAsia" w:ascii="宋体" w:hAnsi="宋体" w:eastAsia="宋体" w:cs="Times New Roman"/>
                <w:sz w:val="28"/>
                <w:szCs w:val="28"/>
                <w:lang w:val="en-US" w:eastAsia="zh-CN"/>
              </w:rPr>
              <w:t>8</w:t>
            </w:r>
          </w:p>
        </w:tc>
      </w:tr>
      <w:tr w14:paraId="711AA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69E9C9F2">
            <w:pPr>
              <w:spacing w:line="290" w:lineRule="exact"/>
              <w:jc w:val="center"/>
              <w:rPr>
                <w:rFonts w:hint="eastAsia" w:ascii="宋体" w:hAnsi="宋体" w:eastAsia="宋体" w:cs="Times New Roman"/>
                <w:sz w:val="28"/>
                <w:szCs w:val="28"/>
              </w:rPr>
            </w:pPr>
            <w:r>
              <w:rPr>
                <w:rFonts w:ascii="宋体" w:hAnsi="宋体" w:eastAsia="宋体" w:cs="Times New Roman"/>
                <w:sz w:val="28"/>
                <w:szCs w:val="28"/>
              </w:rPr>
              <w:t>项目名称：</w:t>
            </w:r>
          </w:p>
        </w:tc>
        <w:tc>
          <w:tcPr>
            <w:tcW w:w="3285" w:type="pct"/>
            <w:vAlign w:val="center"/>
          </w:tcPr>
          <w:p w14:paraId="57ABFA28">
            <w:pPr>
              <w:spacing w:line="290" w:lineRule="exact"/>
              <w:jc w:val="center"/>
              <w:rPr>
                <w:rFonts w:hint="eastAsia" w:ascii="宋体" w:hAnsi="宋体" w:eastAsia="宋体" w:cs="Times New Roman"/>
                <w:sz w:val="28"/>
                <w:szCs w:val="28"/>
              </w:rPr>
            </w:pPr>
            <w:r>
              <w:rPr>
                <w:rFonts w:hint="eastAsia" w:ascii="宋体" w:hAnsi="宋体" w:eastAsia="宋体" w:cs="Times New Roman"/>
                <w:sz w:val="28"/>
                <w:szCs w:val="28"/>
              </w:rPr>
              <w:t>深圳市龙华区未来幼教集团鸿悦幼儿园2025-2026学年物业管理服务项目</w:t>
            </w:r>
          </w:p>
        </w:tc>
      </w:tr>
      <w:tr w14:paraId="4B44D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030BEA7B">
            <w:pPr>
              <w:spacing w:line="290" w:lineRule="exact"/>
              <w:jc w:val="center"/>
              <w:rPr>
                <w:rFonts w:hint="eastAsia" w:ascii="宋体" w:hAnsi="宋体" w:eastAsia="宋体" w:cs="Times New Roman"/>
                <w:sz w:val="28"/>
                <w:szCs w:val="28"/>
              </w:rPr>
            </w:pPr>
            <w:r>
              <w:rPr>
                <w:rFonts w:ascii="宋体" w:hAnsi="宋体" w:eastAsia="宋体" w:cs="Times New Roman"/>
                <w:sz w:val="28"/>
                <w:szCs w:val="28"/>
              </w:rPr>
              <w:t>包</w:t>
            </w:r>
            <w:r>
              <w:rPr>
                <w:rFonts w:hint="eastAsia" w:ascii="宋体" w:hAnsi="宋体" w:eastAsia="宋体" w:cs="Times New Roman"/>
                <w:sz w:val="28"/>
                <w:szCs w:val="28"/>
              </w:rPr>
              <w:t xml:space="preserve">    </w:t>
            </w:r>
            <w:r>
              <w:rPr>
                <w:rFonts w:ascii="宋体" w:hAnsi="宋体" w:eastAsia="宋体" w:cs="Times New Roman"/>
                <w:sz w:val="28"/>
                <w:szCs w:val="28"/>
              </w:rPr>
              <w:t>号：</w:t>
            </w:r>
          </w:p>
        </w:tc>
        <w:tc>
          <w:tcPr>
            <w:tcW w:w="3285" w:type="pct"/>
            <w:vAlign w:val="center"/>
          </w:tcPr>
          <w:p w14:paraId="781A177F">
            <w:pPr>
              <w:spacing w:line="290" w:lineRule="exact"/>
              <w:jc w:val="center"/>
              <w:rPr>
                <w:rFonts w:hint="eastAsia" w:ascii="宋体" w:hAnsi="宋体" w:eastAsia="宋体" w:cs="Times New Roman"/>
                <w:sz w:val="28"/>
                <w:szCs w:val="28"/>
              </w:rPr>
            </w:pPr>
            <w:r>
              <w:rPr>
                <w:rFonts w:ascii="宋体" w:hAnsi="宋体" w:eastAsia="宋体" w:cs="Times New Roman"/>
                <w:sz w:val="28"/>
                <w:szCs w:val="28"/>
              </w:rPr>
              <w:t>A</w:t>
            </w:r>
          </w:p>
        </w:tc>
      </w:tr>
      <w:tr w14:paraId="3EE9A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687BB5FA">
            <w:pPr>
              <w:spacing w:line="290" w:lineRule="exact"/>
              <w:jc w:val="center"/>
              <w:rPr>
                <w:rFonts w:hint="eastAsia" w:ascii="宋体" w:hAnsi="宋体" w:eastAsia="宋体" w:cs="Times New Roman"/>
                <w:sz w:val="28"/>
                <w:szCs w:val="28"/>
              </w:rPr>
            </w:pPr>
            <w:r>
              <w:rPr>
                <w:rFonts w:ascii="宋体" w:hAnsi="宋体" w:eastAsia="宋体" w:cs="Times New Roman"/>
                <w:sz w:val="28"/>
                <w:szCs w:val="28"/>
              </w:rPr>
              <w:t>项目类型：</w:t>
            </w:r>
          </w:p>
        </w:tc>
        <w:tc>
          <w:tcPr>
            <w:tcW w:w="3285" w:type="pct"/>
            <w:vAlign w:val="center"/>
          </w:tcPr>
          <w:p w14:paraId="46AC2456">
            <w:pPr>
              <w:spacing w:line="290" w:lineRule="exact"/>
              <w:jc w:val="center"/>
              <w:rPr>
                <w:rFonts w:hint="eastAsia" w:ascii="宋体" w:hAnsi="宋体" w:eastAsia="宋体" w:cs="Times New Roman"/>
                <w:sz w:val="28"/>
                <w:szCs w:val="28"/>
              </w:rPr>
            </w:pPr>
            <w:r>
              <w:rPr>
                <w:rFonts w:hint="eastAsia" w:ascii="宋体" w:hAnsi="宋体" w:eastAsia="宋体" w:cs="Times New Roman"/>
                <w:sz w:val="28"/>
                <w:szCs w:val="28"/>
              </w:rPr>
              <w:t>服务</w:t>
            </w:r>
            <w:r>
              <w:rPr>
                <w:rFonts w:ascii="宋体" w:hAnsi="宋体" w:eastAsia="宋体" w:cs="Times New Roman"/>
                <w:sz w:val="28"/>
                <w:szCs w:val="28"/>
              </w:rPr>
              <w:t>类</w:t>
            </w:r>
          </w:p>
        </w:tc>
      </w:tr>
      <w:tr w14:paraId="69A96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22B3CB99">
            <w:pPr>
              <w:spacing w:line="290" w:lineRule="exact"/>
              <w:jc w:val="center"/>
              <w:rPr>
                <w:rFonts w:hint="eastAsia" w:ascii="宋体" w:hAnsi="宋体" w:eastAsia="宋体" w:cs="Times New Roman"/>
                <w:sz w:val="28"/>
                <w:szCs w:val="28"/>
              </w:rPr>
            </w:pPr>
            <w:r>
              <w:rPr>
                <w:rFonts w:ascii="宋体" w:hAnsi="宋体" w:eastAsia="宋体" w:cs="Times New Roman"/>
                <w:sz w:val="28"/>
                <w:szCs w:val="28"/>
              </w:rPr>
              <w:t>采购方式：</w:t>
            </w:r>
          </w:p>
        </w:tc>
        <w:tc>
          <w:tcPr>
            <w:tcW w:w="3285" w:type="pct"/>
            <w:vAlign w:val="center"/>
          </w:tcPr>
          <w:p w14:paraId="47481B0F">
            <w:pPr>
              <w:spacing w:line="290" w:lineRule="exact"/>
              <w:jc w:val="center"/>
              <w:rPr>
                <w:rFonts w:hint="eastAsia" w:ascii="宋体" w:hAnsi="宋体" w:eastAsia="宋体" w:cs="Times New Roman"/>
                <w:sz w:val="28"/>
                <w:szCs w:val="28"/>
              </w:rPr>
            </w:pPr>
            <w:r>
              <w:rPr>
                <w:rFonts w:ascii="宋体" w:hAnsi="宋体" w:eastAsia="宋体" w:cs="Times New Roman"/>
                <w:sz w:val="28"/>
                <w:szCs w:val="28"/>
              </w:rPr>
              <w:t>公开招标</w:t>
            </w:r>
          </w:p>
        </w:tc>
      </w:tr>
      <w:tr w14:paraId="00AC0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644268CC">
            <w:pPr>
              <w:spacing w:line="290" w:lineRule="exact"/>
              <w:jc w:val="center"/>
              <w:rPr>
                <w:rFonts w:hint="eastAsia" w:ascii="宋体" w:hAnsi="宋体" w:eastAsia="宋体" w:cs="Times New Roman"/>
                <w:sz w:val="28"/>
                <w:szCs w:val="28"/>
              </w:rPr>
            </w:pPr>
            <w:r>
              <w:rPr>
                <w:rFonts w:ascii="宋体" w:hAnsi="宋体" w:eastAsia="宋体" w:cs="Times New Roman"/>
                <w:sz w:val="28"/>
                <w:szCs w:val="28"/>
              </w:rPr>
              <w:t>货币类型：</w:t>
            </w:r>
          </w:p>
        </w:tc>
        <w:tc>
          <w:tcPr>
            <w:tcW w:w="3285" w:type="pct"/>
            <w:vAlign w:val="center"/>
          </w:tcPr>
          <w:p w14:paraId="3D8AE716">
            <w:pPr>
              <w:spacing w:line="290" w:lineRule="exact"/>
              <w:jc w:val="center"/>
              <w:rPr>
                <w:rFonts w:hint="eastAsia" w:ascii="宋体" w:hAnsi="宋体" w:eastAsia="宋体" w:cs="Times New Roman"/>
                <w:sz w:val="28"/>
                <w:szCs w:val="28"/>
              </w:rPr>
            </w:pPr>
            <w:r>
              <w:rPr>
                <w:rFonts w:ascii="宋体" w:hAnsi="宋体" w:eastAsia="宋体" w:cs="Times New Roman"/>
                <w:sz w:val="28"/>
                <w:szCs w:val="28"/>
              </w:rPr>
              <w:t>人民币</w:t>
            </w:r>
          </w:p>
        </w:tc>
      </w:tr>
      <w:tr w14:paraId="26A04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04AC5492">
            <w:pPr>
              <w:spacing w:line="290" w:lineRule="exact"/>
              <w:jc w:val="center"/>
              <w:rPr>
                <w:rFonts w:hint="eastAsia" w:ascii="宋体" w:hAnsi="宋体" w:eastAsia="宋体" w:cs="Times New Roman"/>
                <w:sz w:val="28"/>
                <w:szCs w:val="28"/>
              </w:rPr>
            </w:pPr>
            <w:r>
              <w:rPr>
                <w:rFonts w:ascii="宋体" w:hAnsi="宋体" w:eastAsia="宋体" w:cs="Times New Roman"/>
                <w:sz w:val="28"/>
                <w:szCs w:val="28"/>
              </w:rPr>
              <w:t>评标方法：</w:t>
            </w:r>
          </w:p>
        </w:tc>
        <w:tc>
          <w:tcPr>
            <w:tcW w:w="3285" w:type="pct"/>
            <w:vAlign w:val="center"/>
          </w:tcPr>
          <w:p w14:paraId="74B29076">
            <w:pPr>
              <w:spacing w:line="290" w:lineRule="exact"/>
              <w:jc w:val="center"/>
              <w:rPr>
                <w:rFonts w:hint="eastAsia" w:ascii="宋体" w:hAnsi="宋体" w:eastAsia="宋体" w:cs="Times New Roman"/>
                <w:sz w:val="28"/>
                <w:szCs w:val="28"/>
              </w:rPr>
            </w:pPr>
            <w:r>
              <w:rPr>
                <w:rFonts w:ascii="宋体" w:hAnsi="宋体" w:eastAsia="宋体" w:cs="Times New Roman"/>
                <w:sz w:val="28"/>
                <w:szCs w:val="28"/>
              </w:rPr>
              <w:t>综合评分法</w:t>
            </w:r>
          </w:p>
        </w:tc>
      </w:tr>
    </w:tbl>
    <w:p w14:paraId="5281E4FB">
      <w:pPr>
        <w:tabs>
          <w:tab w:val="left" w:pos="2790"/>
        </w:tabs>
        <w:snapToGrid w:val="0"/>
        <w:spacing w:line="440" w:lineRule="exact"/>
        <w:jc w:val="left"/>
        <w:rPr>
          <w:rFonts w:hint="eastAsia" w:asciiTheme="minorEastAsia" w:hAnsiTheme="minorEastAsia"/>
          <w:sz w:val="30"/>
          <w:szCs w:val="30"/>
        </w:rPr>
      </w:pPr>
    </w:p>
    <w:p w14:paraId="4A95E035">
      <w:pPr>
        <w:tabs>
          <w:tab w:val="left" w:pos="2790"/>
        </w:tabs>
        <w:snapToGrid w:val="0"/>
        <w:jc w:val="center"/>
        <w:outlineLvl w:val="0"/>
        <w:rPr>
          <w:rFonts w:hint="eastAsia" w:ascii="黑体" w:hAnsi="黑体" w:eastAsia="黑体" w:cs="Times New Roman"/>
          <w:sz w:val="40"/>
          <w:szCs w:val="40"/>
        </w:rPr>
      </w:pPr>
      <w:r>
        <w:rPr>
          <w:rFonts w:hint="eastAsia" w:ascii="黑体" w:hAnsi="黑体" w:eastAsia="黑体" w:cs="Times New Roman"/>
          <w:sz w:val="40"/>
          <w:szCs w:val="40"/>
        </w:rPr>
        <w:t>资格性审查表</w:t>
      </w:r>
    </w:p>
    <w:tbl>
      <w:tblPr>
        <w:tblStyle w:val="22"/>
        <w:tblW w:w="946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669"/>
      </w:tblGrid>
      <w:tr w14:paraId="2FCF6B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00F2E442">
            <w:pPr>
              <w:spacing w:line="290" w:lineRule="exact"/>
              <w:jc w:val="center"/>
              <w:rPr>
                <w:rFonts w:hint="eastAsia" w:ascii="宋体" w:hAnsi="宋体" w:eastAsia="宋体" w:cs="宋体"/>
                <w:szCs w:val="21"/>
              </w:rPr>
            </w:pPr>
            <w:r>
              <w:rPr>
                <w:rFonts w:ascii="宋体" w:hAnsi="宋体" w:eastAsia="宋体" w:cs="Times New Roman"/>
                <w:szCs w:val="21"/>
              </w:rPr>
              <w:t>序号</w:t>
            </w:r>
          </w:p>
        </w:tc>
        <w:tc>
          <w:tcPr>
            <w:tcW w:w="8669"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7B44A116">
            <w:pPr>
              <w:spacing w:line="290" w:lineRule="exact"/>
              <w:jc w:val="center"/>
              <w:rPr>
                <w:rFonts w:hint="eastAsia" w:ascii="宋体" w:hAnsi="宋体" w:eastAsia="宋体" w:cs="宋体"/>
                <w:szCs w:val="21"/>
              </w:rPr>
            </w:pPr>
            <w:r>
              <w:rPr>
                <w:rFonts w:ascii="宋体" w:hAnsi="宋体" w:eastAsia="宋体" w:cs="Times New Roman"/>
                <w:szCs w:val="21"/>
              </w:rPr>
              <w:t>内容</w:t>
            </w:r>
          </w:p>
        </w:tc>
      </w:tr>
      <w:tr w14:paraId="49BD17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EE9A59B">
            <w:pPr>
              <w:spacing w:line="290" w:lineRule="exact"/>
              <w:jc w:val="center"/>
              <w:rPr>
                <w:rFonts w:hint="eastAsia" w:ascii="宋体" w:hAnsi="宋体" w:eastAsia="宋体" w:cs="宋体"/>
                <w:szCs w:val="21"/>
              </w:rPr>
            </w:pPr>
            <w:r>
              <w:rPr>
                <w:rFonts w:ascii="宋体" w:hAnsi="宋体" w:eastAsia="宋体" w:cs="Times New Roman"/>
                <w:szCs w:val="21"/>
              </w:rPr>
              <w:t>1</w:t>
            </w:r>
          </w:p>
        </w:tc>
        <w:tc>
          <w:tcPr>
            <w:tcW w:w="8669" w:type="dxa"/>
            <w:tcBorders>
              <w:top w:val="single" w:color="000000" w:sz="8" w:space="0"/>
              <w:left w:val="single" w:color="000000" w:sz="8" w:space="0"/>
              <w:bottom w:val="single" w:color="000000" w:sz="8" w:space="0"/>
              <w:right w:val="single" w:color="000000" w:sz="8" w:space="0"/>
            </w:tcBorders>
          </w:tcPr>
          <w:p w14:paraId="696FD1A2">
            <w:pPr>
              <w:spacing w:line="290" w:lineRule="exact"/>
              <w:rPr>
                <w:rFonts w:hint="eastAsia" w:ascii="宋体" w:hAnsi="宋体" w:eastAsia="宋体" w:cs="宋体"/>
                <w:szCs w:val="21"/>
              </w:rPr>
            </w:pPr>
            <w:r>
              <w:rPr>
                <w:rFonts w:ascii="宋体" w:hAnsi="宋体" w:cs="宋体"/>
                <w:kern w:val="0"/>
                <w:szCs w:val="21"/>
                <w:lang w:bidi="ar"/>
              </w:rPr>
              <w:t>投标人不</w:t>
            </w:r>
            <w:r>
              <w:rPr>
                <w:rFonts w:hint="eastAsia" w:ascii="宋体" w:hAnsi="宋体" w:cs="宋体"/>
                <w:kern w:val="0"/>
                <w:szCs w:val="21"/>
                <w:lang w:bidi="ar"/>
              </w:rPr>
              <w:t>符合</w:t>
            </w:r>
            <w:r>
              <w:rPr>
                <w:rFonts w:ascii="宋体" w:hAnsi="宋体" w:cs="宋体"/>
                <w:kern w:val="0"/>
                <w:szCs w:val="21"/>
                <w:lang w:bidi="ar"/>
              </w:rPr>
              <w:t>资格要求，或未提交相应的资格证明资料（详见招标公告</w:t>
            </w:r>
            <w:r>
              <w:rPr>
                <w:rFonts w:hint="eastAsia" w:ascii="宋体" w:hAnsi="宋体"/>
                <w:szCs w:val="21"/>
              </w:rPr>
              <w:t>投标人资格要求，即申请人的资格要求</w:t>
            </w:r>
            <w:r>
              <w:rPr>
                <w:rFonts w:ascii="宋体" w:hAnsi="宋体" w:cs="宋体"/>
                <w:kern w:val="0"/>
                <w:szCs w:val="21"/>
                <w:lang w:bidi="ar"/>
              </w:rPr>
              <w:t>）</w:t>
            </w:r>
          </w:p>
        </w:tc>
      </w:tr>
    </w:tbl>
    <w:p w14:paraId="06AE73D4">
      <w:pPr>
        <w:tabs>
          <w:tab w:val="left" w:pos="2790"/>
        </w:tabs>
        <w:snapToGrid w:val="0"/>
        <w:jc w:val="center"/>
        <w:rPr>
          <w:rFonts w:hint="eastAsia" w:ascii="黑体" w:hAnsi="黑体" w:eastAsia="黑体" w:cs="Times New Roman"/>
          <w:sz w:val="40"/>
          <w:szCs w:val="40"/>
        </w:rPr>
      </w:pPr>
    </w:p>
    <w:p w14:paraId="0EC34338">
      <w:pPr>
        <w:tabs>
          <w:tab w:val="left" w:pos="2790"/>
        </w:tabs>
        <w:snapToGrid w:val="0"/>
        <w:jc w:val="center"/>
        <w:outlineLvl w:val="0"/>
        <w:rPr>
          <w:rFonts w:hint="eastAsia" w:ascii="黑体" w:hAnsi="黑体" w:eastAsia="黑体" w:cs="Times New Roman"/>
          <w:sz w:val="40"/>
          <w:szCs w:val="40"/>
        </w:rPr>
      </w:pPr>
      <w:r>
        <w:rPr>
          <w:rFonts w:hint="eastAsia" w:ascii="黑体" w:hAnsi="黑体" w:eastAsia="黑体" w:cs="Times New Roman"/>
          <w:sz w:val="40"/>
          <w:szCs w:val="40"/>
        </w:rPr>
        <w:t>符合性审查表</w:t>
      </w:r>
    </w:p>
    <w:tbl>
      <w:tblPr>
        <w:tblStyle w:val="22"/>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84"/>
      </w:tblGrid>
      <w:tr w14:paraId="30482D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61B44BD9">
            <w:pPr>
              <w:widowControl/>
              <w:jc w:val="center"/>
              <w:rPr>
                <w:sz w:val="28"/>
                <w:szCs w:val="28"/>
              </w:rPr>
            </w:pPr>
            <w:r>
              <w:rPr>
                <w:rFonts w:ascii="宋体" w:hAnsi="宋体" w:cs="宋体"/>
                <w:kern w:val="0"/>
                <w:sz w:val="28"/>
                <w:szCs w:val="28"/>
                <w:lang w:bidi="ar"/>
              </w:rPr>
              <w:t>序号</w:t>
            </w:r>
          </w:p>
        </w:tc>
        <w:tc>
          <w:tcPr>
            <w:tcW w:w="828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FFDF432">
            <w:pPr>
              <w:widowControl/>
              <w:jc w:val="center"/>
              <w:rPr>
                <w:sz w:val="28"/>
                <w:szCs w:val="28"/>
              </w:rPr>
            </w:pPr>
            <w:r>
              <w:rPr>
                <w:rFonts w:ascii="宋体" w:hAnsi="宋体" w:cs="宋体"/>
                <w:kern w:val="0"/>
                <w:sz w:val="28"/>
                <w:szCs w:val="28"/>
                <w:lang w:bidi="ar"/>
              </w:rPr>
              <w:t>内容</w:t>
            </w:r>
          </w:p>
        </w:tc>
      </w:tr>
      <w:tr w14:paraId="6BA80A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B4A75D">
            <w:pPr>
              <w:widowControl/>
              <w:jc w:val="center"/>
              <w:textAlignment w:val="top"/>
              <w:rPr>
                <w:szCs w:val="21"/>
              </w:rPr>
            </w:pPr>
            <w:r>
              <w:rPr>
                <w:rFonts w:ascii="宋体" w:hAnsi="宋体" w:cs="宋体"/>
                <w:kern w:val="0"/>
                <w:szCs w:val="21"/>
                <w:lang w:bidi="ar"/>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3F98771F">
            <w:pPr>
              <w:rPr>
                <w:szCs w:val="21"/>
              </w:rPr>
            </w:pPr>
            <w:r>
              <w:rPr>
                <w:rFonts w:hint="eastAsia"/>
              </w:rPr>
              <w:t>不得将一个包的内容拆开投标；</w:t>
            </w:r>
          </w:p>
        </w:tc>
      </w:tr>
      <w:tr w14:paraId="23CD31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81A90E">
            <w:pPr>
              <w:widowControl/>
              <w:jc w:val="center"/>
              <w:textAlignment w:val="top"/>
              <w:rPr>
                <w:rFonts w:hint="eastAsia" w:ascii="宋体" w:hAnsi="宋体" w:cs="宋体"/>
                <w:kern w:val="0"/>
                <w:szCs w:val="21"/>
                <w:lang w:bidi="ar"/>
              </w:rPr>
            </w:pPr>
            <w:r>
              <w:rPr>
                <w:rFonts w:ascii="宋体" w:hAnsi="宋体" w:cs="宋体"/>
                <w:kern w:val="0"/>
                <w:szCs w:val="21"/>
                <w:lang w:bidi="ar"/>
              </w:rPr>
              <w:t>2</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7F4E6EFC">
            <w:pPr>
              <w:rPr>
                <w:szCs w:val="21"/>
              </w:rPr>
            </w:pPr>
            <w:r>
              <w:rPr>
                <w:rFonts w:hint="eastAsia"/>
              </w:rPr>
              <w:t>对同一项目投标时，不得提供两套以上的投标方案（招标文件另有规定的除外）；</w:t>
            </w:r>
          </w:p>
        </w:tc>
      </w:tr>
      <w:tr w14:paraId="1DAF93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455A05">
            <w:pPr>
              <w:widowControl/>
              <w:jc w:val="center"/>
              <w:textAlignment w:val="top"/>
              <w:rPr>
                <w:rFonts w:hint="eastAsia" w:ascii="宋体" w:hAnsi="宋体" w:cs="宋体"/>
                <w:kern w:val="0"/>
                <w:szCs w:val="21"/>
                <w:lang w:bidi="ar"/>
              </w:rPr>
            </w:pPr>
            <w:r>
              <w:rPr>
                <w:rFonts w:ascii="宋体" w:hAnsi="宋体" w:cs="宋体"/>
                <w:kern w:val="0"/>
                <w:szCs w:val="21"/>
                <w:lang w:bidi="ar"/>
              </w:rPr>
              <w:t>3</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153C7E31">
            <w:pPr>
              <w:rPr>
                <w:szCs w:val="21"/>
              </w:rPr>
            </w:pPr>
            <w:r>
              <w:rPr>
                <w:rFonts w:hint="eastAsia"/>
              </w:rPr>
              <w:t>分项报价或投标总价不得高于相应预算金额（或设定的预算金额下的最高限价）；</w:t>
            </w:r>
          </w:p>
        </w:tc>
      </w:tr>
      <w:tr w14:paraId="04930C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1C9375">
            <w:pPr>
              <w:widowControl/>
              <w:jc w:val="center"/>
              <w:textAlignment w:val="top"/>
              <w:rPr>
                <w:rFonts w:hint="eastAsia" w:ascii="宋体" w:hAnsi="宋体" w:cs="宋体"/>
                <w:kern w:val="0"/>
                <w:szCs w:val="21"/>
                <w:lang w:bidi="ar"/>
              </w:rPr>
            </w:pPr>
            <w:r>
              <w:rPr>
                <w:rFonts w:ascii="宋体" w:hAnsi="宋体" w:cs="宋体"/>
                <w:kern w:val="0"/>
                <w:szCs w:val="21"/>
                <w:lang w:bidi="ar"/>
              </w:rPr>
              <w:t>4</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5375F91A">
            <w:pPr>
              <w:rPr>
                <w:szCs w:val="21"/>
              </w:rPr>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140586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51B34F">
            <w:pPr>
              <w:widowControl/>
              <w:jc w:val="center"/>
              <w:textAlignment w:val="top"/>
              <w:rPr>
                <w:rFonts w:hint="eastAsia" w:ascii="宋体" w:hAnsi="宋体" w:cs="宋体"/>
                <w:kern w:val="0"/>
                <w:szCs w:val="21"/>
                <w:lang w:bidi="ar"/>
              </w:rPr>
            </w:pPr>
            <w:r>
              <w:rPr>
                <w:rFonts w:ascii="宋体" w:hAnsi="宋体" w:cs="宋体"/>
                <w:kern w:val="0"/>
                <w:szCs w:val="21"/>
                <w:lang w:bidi="ar"/>
              </w:rPr>
              <w:t>5</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20EEFFF2">
            <w:pPr>
              <w:rPr>
                <w:szCs w:val="21"/>
              </w:rPr>
            </w:pPr>
            <w:r>
              <w:rPr>
                <w:rFonts w:hint="eastAsia"/>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14:paraId="2237C1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F03D42">
            <w:pPr>
              <w:widowControl/>
              <w:jc w:val="center"/>
              <w:textAlignment w:val="top"/>
              <w:rPr>
                <w:rFonts w:hint="eastAsia" w:ascii="宋体" w:hAnsi="宋体" w:cs="宋体"/>
                <w:kern w:val="0"/>
                <w:szCs w:val="21"/>
                <w:lang w:bidi="ar"/>
              </w:rPr>
            </w:pPr>
            <w:r>
              <w:rPr>
                <w:rFonts w:ascii="宋体" w:hAnsi="宋体" w:cs="宋体"/>
                <w:kern w:val="0"/>
                <w:szCs w:val="21"/>
                <w:lang w:bidi="ar"/>
              </w:rPr>
              <w:t>6</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52352341">
            <w:pPr>
              <w:rPr>
                <w:szCs w:val="21"/>
              </w:rPr>
            </w:pPr>
            <w:r>
              <w:rPr>
                <w:rFonts w:hint="eastAsia"/>
              </w:rPr>
              <w:t>未按招标文件所提供的样式填写《投标函》；未按招标文件所提供的《政府采购投标及履约承诺函》进行承诺；未按招标文件对投标文件组成的要求提供投标文件；</w:t>
            </w:r>
          </w:p>
        </w:tc>
      </w:tr>
      <w:tr w14:paraId="1EC966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A0F22C">
            <w:pPr>
              <w:widowControl/>
              <w:jc w:val="center"/>
              <w:textAlignment w:val="top"/>
              <w:rPr>
                <w:rFonts w:hint="eastAsia" w:ascii="宋体" w:hAnsi="宋体" w:cs="宋体"/>
                <w:kern w:val="0"/>
                <w:szCs w:val="21"/>
                <w:lang w:bidi="ar"/>
              </w:rPr>
            </w:pPr>
            <w:r>
              <w:rPr>
                <w:rFonts w:hint="eastAsia" w:ascii="宋体" w:hAnsi="宋体" w:cs="宋体"/>
                <w:kern w:val="0"/>
                <w:szCs w:val="21"/>
                <w:lang w:bidi="ar"/>
              </w:rPr>
              <w:t>7</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78238A95">
            <w:r>
              <w:rPr>
                <w:rFonts w:hint="eastAsia"/>
              </w:rPr>
              <w:t>采购标的/服务</w:t>
            </w:r>
            <w:r>
              <w:rPr>
                <w:rFonts w:hint="eastAsia" w:ascii="Times New Roman" w:eastAsia="宋体"/>
              </w:rPr>
              <w:t>清单</w:t>
            </w:r>
            <w:r>
              <w:rPr>
                <w:rFonts w:hint="eastAsia"/>
              </w:rPr>
              <w:t>/报价等任意一类</w:t>
            </w:r>
            <w:r>
              <w:rPr>
                <w:rFonts w:hint="eastAsia" w:ascii="Times New Roman" w:eastAsia="宋体"/>
              </w:rPr>
              <w:t>有缺漏项或响应不全</w:t>
            </w:r>
            <w:r>
              <w:rPr>
                <w:rFonts w:hint="eastAsia"/>
              </w:rPr>
              <w:t>，或者对招标文件规定的项目需求内容或者需求数量进行修改</w:t>
            </w:r>
            <w:r>
              <w:rPr>
                <w:rFonts w:hint="eastAsia"/>
                <w:szCs w:val="21"/>
              </w:rPr>
              <w:t>，评审委员会判定投标响应不满足采购需求</w:t>
            </w:r>
            <w:r>
              <w:rPr>
                <w:rFonts w:hint="eastAsia"/>
              </w:rPr>
              <w:t>；</w:t>
            </w:r>
          </w:p>
        </w:tc>
      </w:tr>
      <w:tr w14:paraId="787DCF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83C4D9">
            <w:pPr>
              <w:widowControl/>
              <w:jc w:val="center"/>
              <w:textAlignment w:val="top"/>
              <w:rPr>
                <w:rFonts w:hint="eastAsia" w:ascii="宋体" w:hAnsi="宋体" w:cs="宋体"/>
                <w:kern w:val="0"/>
                <w:szCs w:val="21"/>
                <w:lang w:bidi="ar"/>
              </w:rPr>
            </w:pPr>
            <w:r>
              <w:rPr>
                <w:rFonts w:ascii="宋体" w:hAnsi="宋体" w:cs="宋体"/>
                <w:kern w:val="0"/>
                <w:szCs w:val="21"/>
                <w:lang w:bidi="ar"/>
              </w:rPr>
              <w:t>8</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0FC170CB">
            <w:pPr>
              <w:rPr>
                <w:szCs w:val="21"/>
              </w:rPr>
            </w:pPr>
            <w:r>
              <w:rPr>
                <w:rFonts w:hint="eastAsia"/>
              </w:rPr>
              <w:t>投标文件存在列放位置错误，导致属于信息公开情形的没有被公开；</w:t>
            </w:r>
          </w:p>
        </w:tc>
      </w:tr>
      <w:tr w14:paraId="1E8329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6B40AF">
            <w:pPr>
              <w:widowControl/>
              <w:jc w:val="center"/>
              <w:textAlignment w:val="top"/>
              <w:rPr>
                <w:rFonts w:hint="eastAsia" w:ascii="宋体" w:hAnsi="宋体" w:cs="宋体"/>
                <w:kern w:val="0"/>
                <w:szCs w:val="21"/>
                <w:lang w:bidi="ar"/>
              </w:rPr>
            </w:pPr>
            <w:r>
              <w:rPr>
                <w:rFonts w:ascii="宋体" w:hAnsi="宋体" w:cs="宋体"/>
                <w:kern w:val="0"/>
                <w:szCs w:val="21"/>
                <w:lang w:bidi="ar"/>
              </w:rPr>
              <w:t>9</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32964588">
            <w:pPr>
              <w:rPr>
                <w:szCs w:val="21"/>
              </w:rPr>
            </w:pPr>
            <w:r>
              <w:rPr>
                <w:rFonts w:hint="eastAsia"/>
              </w:rPr>
              <w:t>投标文件电子文档不得带病毒；</w:t>
            </w:r>
          </w:p>
        </w:tc>
      </w:tr>
      <w:tr w14:paraId="76BFA6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06359E">
            <w:pPr>
              <w:widowControl/>
              <w:jc w:val="center"/>
              <w:textAlignment w:val="top"/>
              <w:rPr>
                <w:rFonts w:hint="eastAsia" w:ascii="宋体" w:hAnsi="宋体" w:cs="宋体"/>
                <w:kern w:val="0"/>
                <w:szCs w:val="21"/>
                <w:lang w:bidi="ar"/>
              </w:rPr>
            </w:pPr>
            <w:r>
              <w:rPr>
                <w:rFonts w:ascii="宋体" w:hAnsi="宋体" w:cs="宋体"/>
                <w:kern w:val="0"/>
                <w:szCs w:val="21"/>
                <w:lang w:bidi="ar"/>
              </w:rPr>
              <w:t>10</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553F41E4">
            <w:pPr>
              <w:rPr>
                <w:szCs w:val="21"/>
              </w:rPr>
            </w:pPr>
            <w:r>
              <w:rPr>
                <w:rFonts w:hint="eastAsia"/>
              </w:rPr>
              <w:t>投标文件用不属于本公司的电子密钥或电子营业执照进行加密的；</w:t>
            </w:r>
          </w:p>
        </w:tc>
      </w:tr>
      <w:tr w14:paraId="589572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80" w:hRule="atLeast"/>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15357C">
            <w:pPr>
              <w:widowControl/>
              <w:jc w:val="center"/>
              <w:textAlignment w:val="top"/>
              <w:rPr>
                <w:rFonts w:hint="eastAsia" w:ascii="宋体" w:hAnsi="宋体" w:cs="宋体"/>
                <w:kern w:val="0"/>
                <w:szCs w:val="21"/>
                <w:lang w:bidi="ar"/>
              </w:rPr>
            </w:pPr>
            <w:r>
              <w:rPr>
                <w:rFonts w:hint="eastAsia" w:ascii="宋体" w:hAnsi="宋体" w:cs="宋体"/>
                <w:kern w:val="0"/>
                <w:szCs w:val="21"/>
                <w:lang w:bidi="ar"/>
              </w:rPr>
              <w:t>11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2BBFF49D">
            <w:pPr>
              <w:widowControl/>
              <w:jc w:val="left"/>
              <w:textAlignment w:val="top"/>
              <w:rPr>
                <w:rFonts w:eastAsia="宋体"/>
                <w:szCs w:val="24"/>
              </w:rPr>
            </w:pPr>
            <w:r>
              <w:rPr>
                <w:rFonts w:hint="eastAsia" w:ascii="Times New Roman" w:hAnsi="Times New Roman" w:eastAsia="宋体" w:cs="Times New Roman"/>
                <w:szCs w:val="24"/>
              </w:rPr>
              <w:t>不同投标供应商投标文件“文件制作机器码”一致；</w:t>
            </w:r>
          </w:p>
        </w:tc>
      </w:tr>
      <w:tr w14:paraId="716874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F3563B">
            <w:pPr>
              <w:widowControl/>
              <w:jc w:val="center"/>
              <w:textAlignment w:val="top"/>
              <w:rPr>
                <w:rFonts w:hint="eastAsia" w:ascii="宋体" w:hAnsi="宋体" w:cs="宋体"/>
                <w:kern w:val="0"/>
                <w:szCs w:val="21"/>
                <w:lang w:bidi="ar"/>
              </w:rPr>
            </w:pPr>
            <w:r>
              <w:rPr>
                <w:rFonts w:hint="eastAsia" w:ascii="宋体" w:hAnsi="宋体" w:cs="宋体"/>
                <w:kern w:val="0"/>
                <w:szCs w:val="21"/>
                <w:lang w:bidi="ar"/>
              </w:rPr>
              <w:t>12</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5AC1D3F7">
            <w:pPr>
              <w:widowControl/>
              <w:jc w:val="left"/>
              <w:textAlignment w:val="top"/>
              <w:rPr>
                <w:rFonts w:eastAsia="宋体"/>
                <w:szCs w:val="24"/>
              </w:rPr>
            </w:pPr>
            <w:r>
              <w:rPr>
                <w:rFonts w:hint="eastAsia" w:ascii="Times New Roman" w:hAnsi="Times New Roman" w:eastAsia="宋体" w:cs="Times New Roman"/>
                <w:szCs w:val="24"/>
              </w:rPr>
              <w:t>不同投标供应商投标文件“文件创建标识码”一致；</w:t>
            </w:r>
          </w:p>
        </w:tc>
      </w:tr>
      <w:tr w14:paraId="700605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4E0DE7">
            <w:pPr>
              <w:widowControl/>
              <w:jc w:val="center"/>
              <w:textAlignment w:val="top"/>
              <w:rPr>
                <w:rFonts w:hint="eastAsia" w:ascii="宋体" w:hAnsi="宋体" w:cs="宋体"/>
                <w:kern w:val="0"/>
                <w:szCs w:val="21"/>
                <w:lang w:bidi="ar"/>
              </w:rPr>
            </w:pPr>
            <w:r>
              <w:rPr>
                <w:rFonts w:hint="eastAsia" w:ascii="宋体" w:hAnsi="宋体" w:cs="宋体"/>
                <w:kern w:val="0"/>
                <w:szCs w:val="21"/>
                <w:lang w:bidi="ar"/>
              </w:rPr>
              <w:t>13</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04C2C6DF">
            <w:pPr>
              <w:rPr>
                <w:szCs w:val="21"/>
              </w:rPr>
            </w:pPr>
            <w:r>
              <w:rPr>
                <w:rFonts w:hint="eastAsia"/>
              </w:rPr>
              <w:t>法律、法规、规章、规范性文件规定的其他情形。</w:t>
            </w:r>
          </w:p>
        </w:tc>
      </w:tr>
    </w:tbl>
    <w:p w14:paraId="2E90E4D5">
      <w:pPr>
        <w:tabs>
          <w:tab w:val="left" w:pos="2790"/>
        </w:tabs>
        <w:snapToGrid w:val="0"/>
        <w:jc w:val="left"/>
        <w:rPr>
          <w:sz w:val="24"/>
          <w:szCs w:val="24"/>
        </w:rPr>
      </w:pPr>
    </w:p>
    <w:p w14:paraId="622DC589">
      <w:pPr>
        <w:tabs>
          <w:tab w:val="left" w:pos="2790"/>
        </w:tabs>
        <w:snapToGrid w:val="0"/>
        <w:jc w:val="left"/>
        <w:rPr>
          <w:sz w:val="24"/>
          <w:szCs w:val="24"/>
        </w:rPr>
      </w:pPr>
    </w:p>
    <w:p w14:paraId="3D614797">
      <w:pPr>
        <w:tabs>
          <w:tab w:val="left" w:pos="2790"/>
        </w:tabs>
        <w:snapToGrid w:val="0"/>
        <w:jc w:val="left"/>
        <w:rPr>
          <w:sz w:val="24"/>
          <w:szCs w:val="24"/>
        </w:rPr>
      </w:pPr>
    </w:p>
    <w:p w14:paraId="006D5252">
      <w:pPr>
        <w:tabs>
          <w:tab w:val="left" w:pos="2790"/>
        </w:tabs>
        <w:snapToGrid w:val="0"/>
        <w:jc w:val="left"/>
        <w:rPr>
          <w:sz w:val="24"/>
          <w:szCs w:val="24"/>
        </w:rPr>
      </w:pPr>
    </w:p>
    <w:p w14:paraId="2ECB6B19">
      <w:pPr>
        <w:pStyle w:val="18"/>
        <w:jc w:val="center"/>
        <w:outlineLvl w:val="0"/>
        <w:rPr>
          <w:rFonts w:hint="eastAsia" w:ascii="黑体" w:eastAsia="黑体"/>
          <w:sz w:val="40"/>
          <w:szCs w:val="40"/>
        </w:rPr>
      </w:pPr>
      <w:r>
        <w:rPr>
          <w:rFonts w:hint="eastAsia" w:ascii="黑体" w:hAnsi="黑体" w:eastAsia="黑体"/>
          <w:sz w:val="40"/>
          <w:szCs w:val="40"/>
        </w:rPr>
        <w:t>评标信息</w:t>
      </w:r>
    </w:p>
    <w:tbl>
      <w:tblPr>
        <w:tblStyle w:val="22"/>
        <w:tblW w:w="9141" w:type="dxa"/>
        <w:jc w:val="center"/>
        <w:tblCellSpacing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9141"/>
      </w:tblGrid>
      <w:tr w14:paraId="7B4A594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9078" w:type="dxa"/>
            <w:shd w:val="clear" w:color="auto" w:fill="auto"/>
            <w:vAlign w:val="center"/>
          </w:tcPr>
          <w:p w14:paraId="3584B28F">
            <w:pPr>
              <w:jc w:val="left"/>
              <w:rPr>
                <w:rFonts w:ascii="宋体"/>
                <w:b/>
                <w:bCs/>
                <w:sz w:val="24"/>
              </w:rPr>
            </w:pPr>
            <w:r>
              <w:rPr>
                <w:b/>
                <w:bCs/>
              </w:rPr>
              <w:t>评标方法：综合评分法</w:t>
            </w:r>
          </w:p>
        </w:tc>
      </w:tr>
      <w:tr w14:paraId="2875307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9078" w:type="dxa"/>
            <w:shd w:val="clear" w:color="auto" w:fill="auto"/>
            <w:vAlign w:val="center"/>
          </w:tcPr>
          <w:p w14:paraId="3A6738CC">
            <w:pPr>
              <w:ind w:firstLine="420"/>
              <w:rPr>
                <w:rFonts w:eastAsia="宋体"/>
                <w:szCs w:val="21"/>
              </w:rPr>
            </w:pPr>
            <w:r>
              <w:rPr>
                <w:szCs w:val="21"/>
              </w:rPr>
              <w:t>综合评分法，</w:t>
            </w:r>
            <w:r>
              <w:rPr>
                <w:rFonts w:hint="eastAsia"/>
                <w:szCs w:val="21"/>
              </w:rPr>
              <w:t>是指投标文件满足招标文件全部实质性要求，且按照评审因素的量化指标评审得分排名前列</w:t>
            </w:r>
            <w:r>
              <w:rPr>
                <w:szCs w:val="21"/>
              </w:rPr>
              <w:t>的投标人为中标候选人的评标方法。</w:t>
            </w:r>
          </w:p>
          <w:p w14:paraId="614EE6C9">
            <w:pPr>
              <w:ind w:firstLine="420"/>
            </w:pPr>
          </w:p>
          <w:p w14:paraId="289D8C7D">
            <w:pPr>
              <w:ind w:firstLine="420"/>
              <w:rPr>
                <w:szCs w:val="21"/>
              </w:rPr>
            </w:pPr>
            <w:r>
              <w:rPr>
                <w:szCs w:val="21"/>
              </w:rPr>
              <w:t>价格分计算方法：</w:t>
            </w:r>
          </w:p>
          <w:p w14:paraId="499694BF">
            <w:pPr>
              <w:pStyle w:val="18"/>
              <w:spacing w:beforeAutospacing="0" w:afterAutospacing="0"/>
              <w:ind w:left="420"/>
              <w:rPr>
                <w:rFonts w:hint="eastAsia"/>
                <w:sz w:val="21"/>
                <w:szCs w:val="21"/>
              </w:rPr>
            </w:pPr>
            <w:r>
              <w:rPr>
                <w:sz w:val="21"/>
                <w:szCs w:val="21"/>
              </w:rPr>
              <w:t xml:space="preserve">采用低价优先法计算，即满足招标文件要求且投标价格最低的投标报价为评标基准价，其价格分为满分。其他投标人的价格分统一按照下列公式计算： </w:t>
            </w:r>
            <w:r>
              <w:rPr>
                <w:sz w:val="21"/>
                <w:szCs w:val="21"/>
              </w:rPr>
              <w:br w:type="textWrapping"/>
            </w:r>
            <w:r>
              <w:rPr>
                <w:sz w:val="21"/>
                <w:szCs w:val="21"/>
              </w:rPr>
              <w:t xml:space="preserve">投标报价得分=(评标基准价／投标报价)×100 </w:t>
            </w:r>
            <w:r>
              <w:rPr>
                <w:sz w:val="21"/>
                <w:szCs w:val="21"/>
              </w:rPr>
              <w:br w:type="textWrapping"/>
            </w:r>
            <w:r>
              <w:rPr>
                <w:sz w:val="21"/>
                <w:szCs w:val="21"/>
              </w:rPr>
              <w:t xml:space="preserve">评标总得分＝F1×A1＋F2×A2＋……＋Fn×An </w:t>
            </w:r>
            <w:r>
              <w:rPr>
                <w:sz w:val="21"/>
                <w:szCs w:val="21"/>
              </w:rPr>
              <w:br w:type="textWrapping"/>
            </w:r>
            <w:r>
              <w:rPr>
                <w:sz w:val="21"/>
                <w:szCs w:val="21"/>
              </w:rPr>
              <w:t xml:space="preserve">F1、F2……Fn分别为各项评审因素的得分； </w:t>
            </w:r>
            <w:r>
              <w:rPr>
                <w:sz w:val="21"/>
                <w:szCs w:val="21"/>
              </w:rPr>
              <w:br w:type="textWrapping"/>
            </w:r>
            <w:r>
              <w:rPr>
                <w:sz w:val="21"/>
                <w:szCs w:val="21"/>
              </w:rPr>
              <w:t xml:space="preserve">A1、A2、……An 分别为各项评审因素所占的权重(A1＋A2＋……＋An＝1)。 </w:t>
            </w:r>
            <w:r>
              <w:rPr>
                <w:sz w:val="21"/>
                <w:szCs w:val="21"/>
              </w:rPr>
              <w:br w:type="textWrapping"/>
            </w:r>
            <w:r>
              <w:rPr>
                <w:sz w:val="21"/>
                <w:szCs w:val="21"/>
              </w:rPr>
              <w:t>评标过程中，不得去掉报价中的最高报价和最低报价。</w:t>
            </w:r>
          </w:p>
          <w:p w14:paraId="3838CFCB">
            <w:pPr>
              <w:pStyle w:val="18"/>
              <w:spacing w:beforeAutospacing="0" w:afterAutospacing="0"/>
              <w:ind w:left="420"/>
              <w:rPr>
                <w:rFonts w:hint="eastAsia"/>
              </w:rPr>
            </w:pPr>
            <w:r>
              <w:rPr>
                <w:rFonts w:hint="eastAsia"/>
                <w:sz w:val="21"/>
                <w:szCs w:val="21"/>
              </w:rPr>
              <w:t>因落实政府采购政策进行价格调整的，以调整后的价格计算评标基准价和投标报价。</w:t>
            </w:r>
          </w:p>
        </w:tc>
      </w:tr>
    </w:tbl>
    <w:p w14:paraId="676CEF8B"/>
    <w:tbl>
      <w:tblPr>
        <w:tblStyle w:val="22"/>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Layout w:type="autofit"/>
        <w:tblCellMar>
          <w:top w:w="20" w:type="dxa"/>
          <w:left w:w="108" w:type="dxa"/>
          <w:bottom w:w="20" w:type="dxa"/>
          <w:right w:w="108" w:type="dxa"/>
        </w:tblCellMar>
      </w:tblPr>
      <w:tblGrid>
        <w:gridCol w:w="436"/>
        <w:gridCol w:w="636"/>
        <w:gridCol w:w="1100"/>
        <w:gridCol w:w="1160"/>
        <w:gridCol w:w="5740"/>
        <w:tblGridChange w:id="0">
          <w:tblGrid>
            <w:gridCol w:w="436"/>
            <w:gridCol w:w="636"/>
            <w:gridCol w:w="1100"/>
            <w:gridCol w:w="1160"/>
            <w:gridCol w:w="5740"/>
          </w:tblGrid>
        </w:tblGridChange>
      </w:tblGrid>
      <w:tr w14:paraId="72CEF7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436"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1F3ACD7">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序号</w:t>
            </w:r>
          </w:p>
        </w:tc>
        <w:tc>
          <w:tcPr>
            <w:tcW w:w="2896"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AB96957">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评分项</w:t>
            </w:r>
          </w:p>
        </w:tc>
        <w:tc>
          <w:tcPr>
            <w:tcW w:w="574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3B4905C">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权重（%）</w:t>
            </w:r>
          </w:p>
        </w:tc>
      </w:tr>
      <w:tr w14:paraId="68073D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436"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78A50D6F">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1</w:t>
            </w:r>
          </w:p>
        </w:tc>
        <w:tc>
          <w:tcPr>
            <w:tcW w:w="2896"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tcPr>
          <w:p w14:paraId="1C0C6AA4">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价格</w:t>
            </w:r>
          </w:p>
        </w:tc>
        <w:tc>
          <w:tcPr>
            <w:tcW w:w="5740"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7AD997A2">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10</w:t>
            </w:r>
          </w:p>
        </w:tc>
      </w:tr>
      <w:tr w14:paraId="4B3192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436" w:type="dxa"/>
            <w:vMerge w:val="restart"/>
            <w:tcBorders>
              <w:top w:val="single" w:color="000000" w:sz="8" w:space="0"/>
              <w:left w:val="single" w:color="000000" w:sz="8" w:space="0"/>
              <w:bottom w:val="single" w:color="000000" w:sz="8" w:space="0"/>
              <w:right w:val="single" w:color="000000" w:sz="8" w:space="0"/>
            </w:tcBorders>
            <w:shd w:val="clear" w:color="auto" w:fill="FFFFFF" w:themeFill="background1"/>
          </w:tcPr>
          <w:p w14:paraId="155AB652">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2</w:t>
            </w:r>
          </w:p>
        </w:tc>
        <w:tc>
          <w:tcPr>
            <w:tcW w:w="2896"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tcPr>
          <w:p w14:paraId="2875832D">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技术部分</w:t>
            </w:r>
          </w:p>
        </w:tc>
        <w:tc>
          <w:tcPr>
            <w:tcW w:w="5740"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17751193">
            <w:pPr>
              <w:snapToGrid w:val="0"/>
              <w:jc w:val="center"/>
              <w:rPr>
                <w:rFonts w:hint="default" w:ascii="宋体" w:hAnsi="宋体" w:eastAsia="宋体" w:cs="宋体"/>
                <w:b/>
                <w:bCs/>
                <w:szCs w:val="21"/>
                <w:highlight w:val="none"/>
                <w:lang w:val="en-US" w:eastAsia="zh-CN"/>
              </w:rPr>
            </w:pPr>
            <w:r>
              <w:rPr>
                <w:rFonts w:hint="eastAsia" w:ascii="宋体" w:hAnsi="宋体" w:eastAsia="宋体" w:cs="宋体"/>
                <w:b/>
                <w:bCs/>
                <w:szCs w:val="21"/>
                <w:highlight w:val="none"/>
                <w:lang w:val="en-US" w:eastAsia="zh-CN"/>
              </w:rPr>
              <w:t>52</w:t>
            </w:r>
          </w:p>
        </w:tc>
      </w:tr>
      <w:tr w14:paraId="75A294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436"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81010D1">
            <w:pPr>
              <w:snapToGrid w:val="0"/>
              <w:rPr>
                <w:rFonts w:hint="eastAsia" w:ascii="宋体" w:hAnsi="宋体" w:eastAsia="宋体" w:cs="宋体"/>
                <w:b/>
                <w:bCs/>
                <w:szCs w:val="21"/>
                <w:highlight w:val="none"/>
              </w:rPr>
            </w:pPr>
          </w:p>
        </w:tc>
        <w:tc>
          <w:tcPr>
            <w:tcW w:w="636"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0E2D91F9">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1100"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39BEC902">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评分因素</w:t>
            </w:r>
          </w:p>
        </w:tc>
        <w:tc>
          <w:tcPr>
            <w:tcW w:w="1160"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3EF9D48B">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权重</w:t>
            </w:r>
            <w:r>
              <w:rPr>
                <w:rFonts w:hint="eastAsia" w:ascii="宋体" w:hAnsi="宋体" w:eastAsia="宋体" w:cs="宋体"/>
                <w:bCs/>
                <w:szCs w:val="21"/>
                <w:highlight w:val="none"/>
              </w:rPr>
              <w:t>（%）</w:t>
            </w:r>
          </w:p>
        </w:tc>
        <w:tc>
          <w:tcPr>
            <w:tcW w:w="5740"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7F16E3A2">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评分准则</w:t>
            </w:r>
          </w:p>
        </w:tc>
      </w:tr>
      <w:tr w14:paraId="6099C0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436"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985680C">
            <w:pPr>
              <w:snapToGrid w:val="0"/>
              <w:rPr>
                <w:rFonts w:hint="eastAsia" w:ascii="宋体" w:hAnsi="宋体" w:eastAsia="宋体" w:cs="宋体"/>
                <w:b/>
                <w:bCs/>
                <w:szCs w:val="21"/>
                <w:highlight w:val="none"/>
              </w:rPr>
            </w:pPr>
          </w:p>
        </w:tc>
        <w:tc>
          <w:tcPr>
            <w:tcW w:w="636"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A308AA2">
            <w:pPr>
              <w:jc w:val="center"/>
              <w:rPr>
                <w:rFonts w:hint="eastAsia" w:ascii="宋体" w:hAnsi="宋体" w:eastAsia="宋体" w:cs="宋体"/>
                <w:szCs w:val="21"/>
                <w:highlight w:val="none"/>
              </w:rPr>
            </w:pPr>
            <w:r>
              <w:rPr>
                <w:rFonts w:hint="eastAsia" w:ascii="宋体" w:hAnsi="宋体"/>
                <w:szCs w:val="21"/>
                <w:highlight w:val="none"/>
              </w:rPr>
              <w:t>1</w:t>
            </w:r>
          </w:p>
        </w:tc>
        <w:tc>
          <w:tcPr>
            <w:tcW w:w="110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815D6BB">
            <w:pPr>
              <w:wordWrap w:val="0"/>
              <w:jc w:val="center"/>
              <w:rPr>
                <w:rFonts w:hint="eastAsia" w:ascii="宋体" w:hAnsi="宋体" w:cs="宋体"/>
                <w:kern w:val="0"/>
                <w:szCs w:val="21"/>
                <w:highlight w:val="none"/>
              </w:rPr>
            </w:pPr>
            <w:r>
              <w:rPr>
                <w:rFonts w:hint="eastAsia" w:ascii="宋体" w:hAnsi="宋体"/>
                <w:szCs w:val="21"/>
                <w:highlight w:val="none"/>
              </w:rPr>
              <w:t>实施方案</w:t>
            </w:r>
          </w:p>
        </w:tc>
        <w:tc>
          <w:tcPr>
            <w:tcW w:w="116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0FD3602">
            <w:pPr>
              <w:wordWrap w:val="0"/>
              <w:jc w:val="center"/>
              <w:rPr>
                <w:rFonts w:hint="default" w:ascii="宋体" w:hAnsi="宋体" w:cs="宋体" w:eastAsiaTheme="minorEastAsia"/>
                <w:kern w:val="0"/>
                <w:szCs w:val="21"/>
                <w:highlight w:val="none"/>
                <w:lang w:val="en-US" w:eastAsia="zh-CN"/>
              </w:rPr>
            </w:pPr>
            <w:r>
              <w:rPr>
                <w:rFonts w:hint="eastAsia" w:ascii="宋体" w:hAnsi="宋体"/>
                <w:szCs w:val="21"/>
                <w:highlight w:val="none"/>
                <w:lang w:val="en-US" w:eastAsia="zh-CN"/>
              </w:rPr>
              <w:t>10</w:t>
            </w:r>
          </w:p>
        </w:tc>
        <w:tc>
          <w:tcPr>
            <w:tcW w:w="5740"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7F03BAC8">
            <w:pPr>
              <w:pStyle w:val="8"/>
              <w:ind w:firstLine="0"/>
              <w:rPr>
                <w:rFonts w:hint="eastAsia" w:ascii="宋体" w:hAnsi="宋体" w:cs="仿宋_GB2312"/>
                <w:szCs w:val="21"/>
                <w:highlight w:val="none"/>
              </w:rPr>
            </w:pPr>
            <w:r>
              <w:rPr>
                <w:rFonts w:hint="eastAsia" w:ascii="宋体" w:hAnsi="宋体" w:cs="仿宋_GB2312"/>
                <w:szCs w:val="21"/>
                <w:highlight w:val="none"/>
              </w:rPr>
              <w:t>考察内容：</w:t>
            </w:r>
          </w:p>
          <w:p w14:paraId="141AB70F">
            <w:pPr>
              <w:pStyle w:val="8"/>
              <w:ind w:firstLine="0"/>
              <w:rPr>
                <w:rFonts w:hint="eastAsia" w:ascii="宋体" w:hAnsi="宋体" w:cs="仿宋_GB2312"/>
                <w:szCs w:val="21"/>
                <w:highlight w:val="none"/>
              </w:rPr>
            </w:pPr>
            <w:r>
              <w:rPr>
                <w:rFonts w:hint="eastAsia" w:ascii="宋体" w:hAnsi="宋体" w:cs="仿宋_GB2312"/>
                <w:szCs w:val="21"/>
                <w:highlight w:val="none"/>
              </w:rPr>
              <w:t>评审委员会考察投标人提供针对本项目的整体实施方案，要求提供成熟的幼儿园物业管理模式方案：</w:t>
            </w:r>
          </w:p>
          <w:p w14:paraId="54A29D88">
            <w:pPr>
              <w:pStyle w:val="8"/>
              <w:ind w:firstLine="0"/>
              <w:rPr>
                <w:rFonts w:hint="eastAsia" w:ascii="宋体" w:hAnsi="宋体" w:cs="仿宋_GB2312"/>
                <w:szCs w:val="21"/>
                <w:highlight w:val="none"/>
              </w:rPr>
            </w:pPr>
            <w:r>
              <w:rPr>
                <w:rFonts w:hint="eastAsia" w:ascii="宋体" w:hAnsi="宋体" w:cs="仿宋_GB2312"/>
                <w:szCs w:val="21"/>
                <w:highlight w:val="none"/>
              </w:rPr>
              <w:t>1.提供针对本项目的整体管理设想及规划。</w:t>
            </w:r>
          </w:p>
          <w:p w14:paraId="28972ADD">
            <w:pPr>
              <w:pStyle w:val="8"/>
              <w:ind w:firstLine="0"/>
              <w:rPr>
                <w:rFonts w:hint="eastAsia" w:ascii="宋体" w:hAnsi="宋体" w:cs="仿宋_GB2312"/>
                <w:szCs w:val="21"/>
                <w:highlight w:val="none"/>
              </w:rPr>
            </w:pPr>
            <w:r>
              <w:rPr>
                <w:rFonts w:hint="eastAsia" w:ascii="宋体" w:hAnsi="宋体" w:cs="仿宋_GB2312"/>
                <w:szCs w:val="21"/>
                <w:highlight w:val="none"/>
              </w:rPr>
              <w:t>2.提供针对本项目的组织机构及人员管理措施。</w:t>
            </w:r>
          </w:p>
          <w:p w14:paraId="26B03058">
            <w:pPr>
              <w:pStyle w:val="8"/>
              <w:ind w:firstLine="0"/>
              <w:rPr>
                <w:rFonts w:hint="eastAsia" w:ascii="宋体" w:hAnsi="宋体" w:cs="仿宋_GB2312"/>
                <w:szCs w:val="21"/>
                <w:highlight w:val="none"/>
              </w:rPr>
            </w:pPr>
            <w:r>
              <w:rPr>
                <w:rFonts w:hint="eastAsia" w:ascii="宋体" w:hAnsi="宋体" w:cs="仿宋_GB2312"/>
                <w:szCs w:val="21"/>
                <w:highlight w:val="none"/>
              </w:rPr>
              <w:t>3.提供针对本项目各项服务需求制定各服务模块方案，至少包含安保服务方案、清洁服务方案、四害消杀方案及大型活动保障方案。</w:t>
            </w:r>
          </w:p>
          <w:p w14:paraId="4EB1D136">
            <w:pPr>
              <w:pStyle w:val="8"/>
              <w:ind w:firstLine="0"/>
              <w:rPr>
                <w:rFonts w:hint="eastAsia" w:ascii="宋体" w:hAnsi="宋体" w:cs="仿宋_GB2312"/>
                <w:szCs w:val="21"/>
                <w:highlight w:val="none"/>
              </w:rPr>
            </w:pPr>
            <w:r>
              <w:rPr>
                <w:rFonts w:hint="eastAsia" w:ascii="宋体" w:hAnsi="宋体" w:cs="仿宋_GB2312"/>
                <w:szCs w:val="21"/>
                <w:highlight w:val="none"/>
              </w:rPr>
              <w:t>评审标准：</w:t>
            </w:r>
          </w:p>
          <w:p w14:paraId="5B50EC7D">
            <w:pPr>
              <w:pStyle w:val="8"/>
              <w:ind w:firstLine="0"/>
              <w:rPr>
                <w:rFonts w:hint="eastAsia" w:ascii="宋体" w:hAnsi="宋体" w:cs="仿宋_GB2312"/>
                <w:szCs w:val="21"/>
                <w:highlight w:val="none"/>
              </w:rPr>
            </w:pPr>
            <w:r>
              <w:rPr>
                <w:rFonts w:hint="eastAsia" w:ascii="宋体" w:hAnsi="宋体" w:cs="仿宋_GB2312"/>
                <w:szCs w:val="21"/>
                <w:highlight w:val="none"/>
              </w:rPr>
              <w:t>考察投标人以上服务方案，如果全部满足得60分，提供任意两点得30分，提供任意一点得15分，其他情况不得分。在此基础上：</w:t>
            </w:r>
          </w:p>
          <w:p w14:paraId="3D998994">
            <w:pPr>
              <w:pStyle w:val="8"/>
              <w:ind w:firstLine="0"/>
              <w:rPr>
                <w:rFonts w:hint="eastAsia" w:ascii="宋体" w:hAnsi="宋体" w:cs="仿宋_GB2312"/>
                <w:szCs w:val="21"/>
                <w:highlight w:val="none"/>
              </w:rPr>
            </w:pPr>
            <w:r>
              <w:rPr>
                <w:rFonts w:hint="eastAsia" w:ascii="宋体" w:hAnsi="宋体" w:cs="仿宋_GB2312"/>
                <w:szCs w:val="21"/>
                <w:highlight w:val="none"/>
              </w:rPr>
              <w:t>项目实施方案思路清晰明确，方案合理可行，满足服务要求，针对性强的评审为优，加40分；</w:t>
            </w:r>
          </w:p>
          <w:p w14:paraId="63D61B06">
            <w:pPr>
              <w:pStyle w:val="8"/>
              <w:ind w:firstLine="0"/>
              <w:rPr>
                <w:rFonts w:hint="eastAsia" w:ascii="宋体" w:hAnsi="宋体" w:cs="仿宋_GB2312"/>
                <w:szCs w:val="21"/>
                <w:highlight w:val="none"/>
              </w:rPr>
            </w:pPr>
            <w:r>
              <w:rPr>
                <w:rFonts w:hint="eastAsia" w:ascii="宋体" w:hAnsi="宋体" w:cs="仿宋_GB2312"/>
                <w:szCs w:val="21"/>
                <w:highlight w:val="none"/>
              </w:rPr>
              <w:t>项目实施方案总体思路比较清晰，方案比较合理可行，可以满足服务要求的评审为良，加30分；</w:t>
            </w:r>
          </w:p>
          <w:p w14:paraId="32515A33">
            <w:pPr>
              <w:pStyle w:val="8"/>
              <w:ind w:firstLine="0"/>
              <w:rPr>
                <w:rFonts w:hint="eastAsia" w:ascii="宋体" w:hAnsi="宋体" w:cs="仿宋_GB2312"/>
                <w:szCs w:val="21"/>
                <w:highlight w:val="none"/>
              </w:rPr>
            </w:pPr>
            <w:r>
              <w:rPr>
                <w:rFonts w:hint="eastAsia" w:ascii="宋体" w:hAnsi="宋体" w:cs="仿宋_GB2312"/>
                <w:szCs w:val="21"/>
                <w:highlight w:val="none"/>
              </w:rPr>
              <w:t>项目实施方案思路基本清晰，方案基本合理可行，基本可以满足服务要求的评价为中，加10分</w:t>
            </w:r>
          </w:p>
          <w:p w14:paraId="0660051F">
            <w:pPr>
              <w:pStyle w:val="8"/>
              <w:ind w:firstLine="0"/>
              <w:rPr>
                <w:rFonts w:hint="eastAsia" w:ascii="宋体" w:hAnsi="宋体" w:cs="仿宋_GB2312"/>
                <w:szCs w:val="21"/>
                <w:highlight w:val="none"/>
              </w:rPr>
            </w:pPr>
            <w:r>
              <w:rPr>
                <w:rFonts w:hint="eastAsia" w:ascii="宋体" w:hAnsi="宋体" w:cs="仿宋_GB2312"/>
                <w:szCs w:val="21"/>
                <w:highlight w:val="none"/>
              </w:rPr>
              <w:t>项目实施方案思路不清晰，方案不完整，不能满足服务需要的评价为差，加0分；</w:t>
            </w:r>
          </w:p>
          <w:p w14:paraId="47E4CE41">
            <w:pPr>
              <w:pStyle w:val="8"/>
              <w:ind w:firstLine="0"/>
              <w:rPr>
                <w:rFonts w:hint="eastAsia" w:ascii="宋体" w:hAnsi="宋体" w:cs="仿宋_GB2312" w:eastAsiaTheme="minorEastAsia"/>
                <w:szCs w:val="21"/>
                <w:highlight w:val="none"/>
                <w:lang w:eastAsia="zh-CN"/>
              </w:rPr>
            </w:pPr>
            <w:r>
              <w:rPr>
                <w:rFonts w:hint="eastAsia" w:ascii="宋体" w:hAnsi="宋体" w:cs="仿宋_GB2312"/>
                <w:szCs w:val="21"/>
                <w:highlight w:val="none"/>
              </w:rPr>
              <w:t>未按要求提供方案内容的不得分。</w:t>
            </w:r>
          </w:p>
        </w:tc>
      </w:tr>
      <w:tr w14:paraId="3B6A13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trHeight w:val="2645" w:hRule="atLeast"/>
          <w:jc w:val="center"/>
        </w:trPr>
        <w:tc>
          <w:tcPr>
            <w:tcW w:w="436"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DC80E23">
            <w:pPr>
              <w:snapToGrid w:val="0"/>
              <w:rPr>
                <w:rFonts w:hint="eastAsia" w:ascii="宋体" w:hAnsi="宋体" w:eastAsia="宋体" w:cs="宋体"/>
                <w:b/>
                <w:bCs/>
                <w:szCs w:val="21"/>
                <w:highlight w:val="none"/>
              </w:rPr>
            </w:pPr>
          </w:p>
        </w:tc>
        <w:tc>
          <w:tcPr>
            <w:tcW w:w="636"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F38A07A">
            <w:pPr>
              <w:jc w:val="center"/>
              <w:rPr>
                <w:rFonts w:hint="eastAsia" w:ascii="宋体" w:hAnsi="宋体" w:eastAsia="宋体" w:cs="宋体"/>
                <w:szCs w:val="21"/>
                <w:highlight w:val="none"/>
              </w:rPr>
            </w:pPr>
            <w:r>
              <w:rPr>
                <w:rFonts w:hint="eastAsia" w:ascii="宋体" w:hAnsi="宋体" w:eastAsia="宋体"/>
                <w:szCs w:val="21"/>
                <w:highlight w:val="none"/>
              </w:rPr>
              <w:t>2</w:t>
            </w:r>
          </w:p>
        </w:tc>
        <w:tc>
          <w:tcPr>
            <w:tcW w:w="110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F1B6D10">
            <w:pPr>
              <w:wordWrap w:val="0"/>
              <w:jc w:val="center"/>
              <w:rPr>
                <w:rFonts w:hint="eastAsia" w:ascii="宋体" w:hAnsi="宋体"/>
                <w:szCs w:val="21"/>
                <w:highlight w:val="none"/>
              </w:rPr>
            </w:pPr>
            <w:r>
              <w:rPr>
                <w:rFonts w:hint="eastAsia" w:ascii="宋体" w:hAnsi="宋体"/>
                <w:szCs w:val="21"/>
                <w:highlight w:val="none"/>
              </w:rPr>
              <w:t>项目重点难点分析、应对措施及相关的合理化建议</w:t>
            </w:r>
          </w:p>
        </w:tc>
        <w:tc>
          <w:tcPr>
            <w:tcW w:w="116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40B06DF">
            <w:pPr>
              <w:wordWrap w:val="0"/>
              <w:jc w:val="center"/>
              <w:rPr>
                <w:rFonts w:hint="eastAsia" w:ascii="宋体" w:hAnsi="宋体"/>
                <w:szCs w:val="21"/>
                <w:highlight w:val="none"/>
              </w:rPr>
            </w:pPr>
            <w:r>
              <w:rPr>
                <w:rFonts w:hint="eastAsia" w:ascii="宋体" w:hAnsi="宋体"/>
                <w:szCs w:val="21"/>
                <w:highlight w:val="none"/>
                <w:lang w:val="en-US" w:eastAsia="zh-CN"/>
              </w:rPr>
              <w:t>10</w:t>
            </w:r>
          </w:p>
        </w:tc>
        <w:tc>
          <w:tcPr>
            <w:tcW w:w="5740" w:type="dxa"/>
            <w:tcBorders>
              <w:top w:val="single" w:color="000000" w:sz="8" w:space="0"/>
              <w:left w:val="single" w:color="000000" w:sz="8" w:space="0"/>
              <w:bottom w:val="single" w:color="000000" w:sz="8" w:space="0"/>
              <w:right w:val="single" w:color="000000" w:sz="8" w:space="0"/>
            </w:tcBorders>
            <w:shd w:val="clear" w:color="auto" w:fill="FFFFFF" w:themeFill="background1"/>
            <w:vAlign w:val="top"/>
          </w:tcPr>
          <w:p w14:paraId="3B775BA7">
            <w:pPr>
              <w:pStyle w:val="8"/>
              <w:ind w:firstLine="0"/>
              <w:rPr>
                <w:rFonts w:hint="eastAsia" w:ascii="宋体" w:hAnsi="宋体" w:cs="仿宋_GB2312"/>
                <w:szCs w:val="21"/>
                <w:highlight w:val="none"/>
              </w:rPr>
            </w:pPr>
            <w:r>
              <w:rPr>
                <w:rFonts w:hint="eastAsia" w:ascii="宋体" w:hAnsi="宋体" w:cs="仿宋_GB2312"/>
                <w:szCs w:val="21"/>
                <w:highlight w:val="none"/>
              </w:rPr>
              <w:t>考察内容：</w:t>
            </w:r>
          </w:p>
          <w:p w14:paraId="3C0325F4">
            <w:pPr>
              <w:pStyle w:val="8"/>
              <w:ind w:firstLine="0"/>
              <w:rPr>
                <w:rFonts w:hint="eastAsia" w:ascii="宋体" w:hAnsi="宋体" w:cs="仿宋_GB2312"/>
                <w:szCs w:val="21"/>
                <w:highlight w:val="none"/>
              </w:rPr>
            </w:pPr>
            <w:r>
              <w:rPr>
                <w:rFonts w:hint="eastAsia" w:ascii="宋体" w:hAnsi="宋体" w:cs="仿宋_GB2312"/>
                <w:szCs w:val="21"/>
                <w:highlight w:val="none"/>
              </w:rPr>
              <w:t>1.根据本项目服务特点，提供保洁、安保服务等的相关重点难点分析；</w:t>
            </w:r>
          </w:p>
          <w:p w14:paraId="5B3A038E">
            <w:pPr>
              <w:pStyle w:val="8"/>
              <w:ind w:firstLine="0"/>
              <w:rPr>
                <w:rFonts w:hint="eastAsia" w:ascii="宋体" w:hAnsi="宋体" w:cs="仿宋_GB2312"/>
                <w:szCs w:val="21"/>
                <w:highlight w:val="none"/>
              </w:rPr>
            </w:pPr>
            <w:r>
              <w:rPr>
                <w:rFonts w:hint="eastAsia" w:ascii="宋体" w:hAnsi="宋体" w:cs="仿宋_GB2312"/>
                <w:szCs w:val="21"/>
                <w:highlight w:val="none"/>
              </w:rPr>
              <w:t>2.针对保洁、安保服务等的重难点分析提出应对措施；</w:t>
            </w:r>
          </w:p>
          <w:p w14:paraId="332FAF41">
            <w:pPr>
              <w:pStyle w:val="8"/>
              <w:ind w:firstLine="0"/>
              <w:rPr>
                <w:rFonts w:hint="eastAsia" w:ascii="宋体" w:hAnsi="宋体" w:cs="仿宋_GB2312"/>
                <w:szCs w:val="21"/>
                <w:highlight w:val="none"/>
              </w:rPr>
            </w:pPr>
            <w:r>
              <w:rPr>
                <w:rFonts w:hint="eastAsia" w:ascii="宋体" w:hAnsi="宋体" w:cs="仿宋_GB2312"/>
                <w:szCs w:val="21"/>
                <w:highlight w:val="none"/>
              </w:rPr>
              <w:t>评审标准：</w:t>
            </w:r>
          </w:p>
          <w:p w14:paraId="1C7F8855">
            <w:pPr>
              <w:pStyle w:val="8"/>
              <w:ind w:firstLine="0"/>
              <w:rPr>
                <w:rFonts w:hint="eastAsia" w:ascii="宋体" w:hAnsi="宋体" w:cs="仿宋_GB2312"/>
                <w:szCs w:val="21"/>
                <w:highlight w:val="none"/>
              </w:rPr>
            </w:pPr>
            <w:r>
              <w:rPr>
                <w:rFonts w:hint="eastAsia" w:ascii="宋体" w:hAnsi="宋体" w:cs="仿宋_GB2312"/>
                <w:szCs w:val="21"/>
                <w:highlight w:val="none"/>
              </w:rPr>
              <w:t xml:space="preserve">评审委员会根据招标文件的需求和投标文件的响应情况，进行评价及分档评分： </w:t>
            </w:r>
          </w:p>
          <w:p w14:paraId="6C4DEB1C">
            <w:pPr>
              <w:pStyle w:val="8"/>
              <w:ind w:firstLine="0"/>
              <w:rPr>
                <w:rFonts w:hint="eastAsia" w:ascii="宋体" w:hAnsi="宋体" w:cs="仿宋_GB2312"/>
                <w:szCs w:val="21"/>
                <w:highlight w:val="none"/>
              </w:rPr>
            </w:pPr>
            <w:r>
              <w:rPr>
                <w:rFonts w:hint="eastAsia" w:ascii="宋体" w:hAnsi="宋体" w:cs="仿宋_GB2312"/>
                <w:szCs w:val="21"/>
                <w:highlight w:val="none"/>
              </w:rPr>
              <w:t>提供两点得60分，提供任意一点得30分，未满足不得分。在此基础上：</w:t>
            </w:r>
          </w:p>
          <w:p w14:paraId="3BE28C30">
            <w:pPr>
              <w:pStyle w:val="8"/>
              <w:ind w:firstLine="0"/>
              <w:rPr>
                <w:rFonts w:hint="eastAsia" w:ascii="宋体" w:hAnsi="宋体" w:cs="仿宋_GB2312"/>
                <w:szCs w:val="21"/>
                <w:highlight w:val="none"/>
              </w:rPr>
            </w:pPr>
            <w:r>
              <w:rPr>
                <w:rFonts w:hint="eastAsia" w:ascii="宋体" w:hAnsi="宋体" w:cs="仿宋_GB2312"/>
                <w:szCs w:val="21"/>
                <w:highlight w:val="none"/>
              </w:rPr>
              <w:t>针对本项目重点难点分析精准到位、建议科学合理、契合校园物业服务实际的评审为优，加40分；</w:t>
            </w:r>
          </w:p>
          <w:p w14:paraId="6A812650">
            <w:pPr>
              <w:pStyle w:val="8"/>
              <w:ind w:firstLine="0"/>
              <w:rPr>
                <w:rFonts w:hint="eastAsia" w:ascii="宋体" w:hAnsi="宋体" w:cs="仿宋_GB2312"/>
                <w:szCs w:val="21"/>
                <w:highlight w:val="none"/>
              </w:rPr>
            </w:pPr>
            <w:r>
              <w:rPr>
                <w:rFonts w:hint="eastAsia" w:ascii="宋体" w:hAnsi="宋体" w:cs="仿宋_GB2312"/>
                <w:szCs w:val="21"/>
                <w:highlight w:val="none"/>
              </w:rPr>
              <w:t>针对本项目重点难点分析</w:t>
            </w:r>
            <w:r>
              <w:rPr>
                <w:rFonts w:hint="eastAsia" w:ascii="宋体" w:hAnsi="宋体" w:cs="仿宋_GB2312"/>
                <w:szCs w:val="21"/>
                <w:highlight w:val="none"/>
                <w:lang w:eastAsia="zh-CN"/>
              </w:rPr>
              <w:t>比较</w:t>
            </w:r>
            <w:r>
              <w:rPr>
                <w:rFonts w:hint="eastAsia" w:ascii="宋体" w:hAnsi="宋体" w:cs="仿宋_GB2312"/>
                <w:szCs w:val="21"/>
                <w:highlight w:val="none"/>
              </w:rPr>
              <w:t>到位、建议</w:t>
            </w:r>
            <w:r>
              <w:rPr>
                <w:rFonts w:hint="eastAsia" w:ascii="宋体" w:hAnsi="宋体" w:cs="仿宋_GB2312"/>
                <w:szCs w:val="21"/>
                <w:highlight w:val="none"/>
                <w:lang w:eastAsia="zh-CN"/>
              </w:rPr>
              <w:t>比较</w:t>
            </w:r>
            <w:r>
              <w:rPr>
                <w:rFonts w:hint="eastAsia" w:ascii="宋体" w:hAnsi="宋体" w:cs="仿宋_GB2312"/>
                <w:szCs w:val="21"/>
                <w:highlight w:val="none"/>
              </w:rPr>
              <w:t>合理、</w:t>
            </w:r>
            <w:r>
              <w:rPr>
                <w:rFonts w:hint="eastAsia" w:ascii="宋体" w:hAnsi="宋体" w:cs="仿宋_GB2312"/>
                <w:szCs w:val="21"/>
                <w:highlight w:val="none"/>
                <w:lang w:eastAsia="zh-CN"/>
              </w:rPr>
              <w:t>比较</w:t>
            </w:r>
            <w:r>
              <w:rPr>
                <w:rFonts w:hint="eastAsia" w:ascii="宋体" w:hAnsi="宋体" w:cs="仿宋_GB2312"/>
                <w:szCs w:val="21"/>
                <w:highlight w:val="none"/>
              </w:rPr>
              <w:t>符合校园物业服务实际的评审为良，加20分；</w:t>
            </w:r>
          </w:p>
          <w:p w14:paraId="6CDA754A">
            <w:pPr>
              <w:pStyle w:val="8"/>
              <w:ind w:firstLine="0"/>
              <w:rPr>
                <w:rFonts w:hint="eastAsia" w:ascii="宋体" w:hAnsi="宋体" w:cs="仿宋_GB2312"/>
                <w:szCs w:val="21"/>
                <w:highlight w:val="none"/>
              </w:rPr>
            </w:pPr>
            <w:r>
              <w:rPr>
                <w:rFonts w:hint="eastAsia" w:ascii="宋体" w:hAnsi="宋体" w:cs="仿宋_GB2312"/>
                <w:szCs w:val="21"/>
                <w:highlight w:val="none"/>
              </w:rPr>
              <w:t>针对本项目重点难点分析基本到位、建议</w:t>
            </w:r>
            <w:r>
              <w:rPr>
                <w:rFonts w:hint="eastAsia" w:ascii="宋体" w:hAnsi="宋体" w:cs="仿宋_GB2312"/>
                <w:szCs w:val="21"/>
                <w:highlight w:val="none"/>
                <w:lang w:eastAsia="zh-CN"/>
              </w:rPr>
              <w:t>基本</w:t>
            </w:r>
            <w:r>
              <w:rPr>
                <w:rFonts w:hint="eastAsia" w:ascii="宋体" w:hAnsi="宋体" w:cs="仿宋_GB2312"/>
                <w:szCs w:val="21"/>
                <w:highlight w:val="none"/>
              </w:rPr>
              <w:t>合理、基本符合校园物业服务实际的评审为</w:t>
            </w:r>
            <w:r>
              <w:rPr>
                <w:rFonts w:hint="eastAsia" w:ascii="宋体" w:hAnsi="宋体" w:cs="仿宋_GB2312"/>
                <w:szCs w:val="21"/>
                <w:highlight w:val="none"/>
                <w:lang w:eastAsia="zh-CN"/>
              </w:rPr>
              <w:t>中</w:t>
            </w:r>
            <w:r>
              <w:rPr>
                <w:rFonts w:hint="eastAsia" w:ascii="宋体" w:hAnsi="宋体" w:cs="仿宋_GB2312"/>
                <w:szCs w:val="21"/>
                <w:highlight w:val="none"/>
              </w:rPr>
              <w:t>，加</w:t>
            </w:r>
            <w:r>
              <w:rPr>
                <w:rFonts w:hint="eastAsia" w:ascii="宋体" w:hAnsi="宋体" w:cs="仿宋_GB2312"/>
                <w:szCs w:val="21"/>
                <w:highlight w:val="none"/>
                <w:lang w:val="en-US" w:eastAsia="zh-CN"/>
              </w:rPr>
              <w:t>10</w:t>
            </w:r>
            <w:r>
              <w:rPr>
                <w:rFonts w:hint="eastAsia" w:ascii="宋体" w:hAnsi="宋体" w:cs="仿宋_GB2312"/>
                <w:szCs w:val="21"/>
                <w:highlight w:val="none"/>
              </w:rPr>
              <w:t>分；</w:t>
            </w:r>
          </w:p>
          <w:p w14:paraId="536AC607">
            <w:pPr>
              <w:pStyle w:val="8"/>
              <w:ind w:firstLine="0"/>
              <w:rPr>
                <w:rFonts w:hint="eastAsia" w:ascii="宋体" w:hAnsi="宋体" w:cs="仿宋_GB2312"/>
                <w:szCs w:val="21"/>
                <w:highlight w:val="none"/>
              </w:rPr>
            </w:pPr>
            <w:r>
              <w:rPr>
                <w:rFonts w:hint="eastAsia" w:ascii="宋体" w:hAnsi="宋体" w:cs="仿宋_GB2312"/>
                <w:szCs w:val="21"/>
                <w:highlight w:val="none"/>
              </w:rPr>
              <w:t>针对本项目重点难点分析一般、建议一般、不太符合校园物业服务实际的，加0分；</w:t>
            </w:r>
          </w:p>
          <w:p w14:paraId="5945859E">
            <w:pPr>
              <w:pStyle w:val="8"/>
              <w:ind w:firstLine="0"/>
              <w:rPr>
                <w:rFonts w:hint="eastAsia" w:ascii="宋体" w:hAnsi="宋体" w:cs="仿宋_GB2312"/>
                <w:szCs w:val="21"/>
                <w:highlight w:val="none"/>
              </w:rPr>
            </w:pPr>
            <w:r>
              <w:rPr>
                <w:rFonts w:hint="eastAsia" w:ascii="宋体" w:hAnsi="宋体" w:cs="仿宋_GB2312"/>
                <w:szCs w:val="21"/>
                <w:highlight w:val="none"/>
              </w:rPr>
              <w:t>未按要求提供方案内容的不得分</w:t>
            </w:r>
          </w:p>
        </w:tc>
      </w:tr>
      <w:tr w14:paraId="52A06E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436"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666BCED">
            <w:pPr>
              <w:snapToGrid w:val="0"/>
              <w:rPr>
                <w:rFonts w:hint="eastAsia" w:ascii="宋体" w:hAnsi="宋体" w:eastAsia="宋体" w:cs="宋体"/>
                <w:b/>
                <w:bCs/>
                <w:szCs w:val="21"/>
                <w:highlight w:val="none"/>
              </w:rPr>
            </w:pPr>
          </w:p>
        </w:tc>
        <w:tc>
          <w:tcPr>
            <w:tcW w:w="636"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13080A7">
            <w:pPr>
              <w:jc w:val="center"/>
              <w:rPr>
                <w:rFonts w:hint="eastAsia" w:ascii="宋体" w:hAnsi="宋体" w:eastAsia="宋体" w:cs="宋体"/>
                <w:szCs w:val="21"/>
                <w:highlight w:val="none"/>
              </w:rPr>
            </w:pPr>
            <w:r>
              <w:rPr>
                <w:rFonts w:hint="eastAsia" w:ascii="宋体" w:hAnsi="宋体" w:eastAsia="宋体" w:cs="宋体"/>
                <w:szCs w:val="21"/>
                <w:highlight w:val="none"/>
              </w:rPr>
              <w:t>3</w:t>
            </w:r>
          </w:p>
        </w:tc>
        <w:tc>
          <w:tcPr>
            <w:tcW w:w="110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1F76C0D">
            <w:pPr>
              <w:wordWrap w:val="0"/>
              <w:jc w:val="center"/>
              <w:rPr>
                <w:rFonts w:hint="eastAsia" w:ascii="宋体" w:hAnsi="宋体"/>
                <w:szCs w:val="21"/>
                <w:highlight w:val="none"/>
              </w:rPr>
            </w:pPr>
            <w:r>
              <w:rPr>
                <w:rFonts w:hint="eastAsia" w:ascii="宋体" w:hAnsi="宋体"/>
                <w:szCs w:val="21"/>
                <w:highlight w:val="none"/>
              </w:rPr>
              <w:t>质量保障措施及方案</w:t>
            </w:r>
          </w:p>
        </w:tc>
        <w:tc>
          <w:tcPr>
            <w:tcW w:w="116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FA3C2D7">
            <w:pPr>
              <w:wordWrap w:val="0"/>
              <w:jc w:val="center"/>
              <w:rPr>
                <w:rFonts w:hint="eastAsia" w:ascii="宋体" w:hAnsi="宋体"/>
                <w:szCs w:val="21"/>
                <w:highlight w:val="none"/>
              </w:rPr>
            </w:pPr>
            <w:r>
              <w:rPr>
                <w:rFonts w:hint="eastAsia" w:ascii="宋体" w:hAnsi="宋体"/>
                <w:szCs w:val="21"/>
                <w:highlight w:val="none"/>
                <w:lang w:val="en-US" w:eastAsia="zh-CN"/>
              </w:rPr>
              <w:t>10</w:t>
            </w:r>
          </w:p>
        </w:tc>
        <w:tc>
          <w:tcPr>
            <w:tcW w:w="5740" w:type="dxa"/>
            <w:tcBorders>
              <w:top w:val="single" w:color="000000" w:sz="8" w:space="0"/>
              <w:left w:val="single" w:color="000000" w:sz="8" w:space="0"/>
              <w:bottom w:val="single" w:color="000000" w:sz="8" w:space="0"/>
              <w:right w:val="single" w:color="000000" w:sz="8" w:space="0"/>
            </w:tcBorders>
            <w:shd w:val="clear" w:color="auto" w:fill="FFFFFF" w:themeFill="background1"/>
            <w:vAlign w:val="top"/>
          </w:tcPr>
          <w:p w14:paraId="4C721902">
            <w:pPr>
              <w:pStyle w:val="8"/>
              <w:ind w:firstLine="0"/>
              <w:rPr>
                <w:rFonts w:hint="eastAsia" w:ascii="宋体" w:hAnsi="宋体" w:cs="仿宋_GB2312"/>
                <w:szCs w:val="21"/>
                <w:highlight w:val="none"/>
              </w:rPr>
            </w:pPr>
            <w:r>
              <w:rPr>
                <w:rFonts w:hint="eastAsia" w:ascii="宋体" w:hAnsi="宋体" w:cs="仿宋_GB2312"/>
                <w:szCs w:val="21"/>
                <w:highlight w:val="none"/>
              </w:rPr>
              <w:t>考察内容：</w:t>
            </w:r>
          </w:p>
          <w:p w14:paraId="3C7D98D0">
            <w:pPr>
              <w:pStyle w:val="8"/>
              <w:ind w:firstLine="0"/>
              <w:rPr>
                <w:rFonts w:hint="eastAsia" w:ascii="宋体" w:hAnsi="宋体" w:cs="仿宋_GB2312"/>
                <w:szCs w:val="21"/>
                <w:highlight w:val="none"/>
              </w:rPr>
            </w:pPr>
            <w:r>
              <w:rPr>
                <w:rFonts w:hint="eastAsia" w:ascii="宋体" w:hAnsi="宋体" w:cs="仿宋_GB2312"/>
                <w:szCs w:val="21"/>
                <w:highlight w:val="none"/>
              </w:rPr>
              <w:t>1.规章制度；</w:t>
            </w:r>
          </w:p>
          <w:p w14:paraId="3B483FF5">
            <w:pPr>
              <w:pStyle w:val="8"/>
              <w:ind w:firstLine="0"/>
              <w:rPr>
                <w:rFonts w:hint="eastAsia" w:ascii="宋体" w:hAnsi="宋体" w:cs="仿宋_GB2312"/>
                <w:szCs w:val="21"/>
                <w:highlight w:val="none"/>
              </w:rPr>
            </w:pPr>
            <w:r>
              <w:rPr>
                <w:rFonts w:hint="eastAsia" w:ascii="宋体" w:hAnsi="宋体" w:cs="仿宋_GB2312"/>
                <w:szCs w:val="21"/>
                <w:highlight w:val="none"/>
              </w:rPr>
              <w:t>2.档案管理；</w:t>
            </w:r>
          </w:p>
          <w:p w14:paraId="3B0279E1">
            <w:pPr>
              <w:pStyle w:val="8"/>
              <w:ind w:firstLine="0"/>
              <w:rPr>
                <w:rFonts w:hint="eastAsia" w:ascii="宋体" w:hAnsi="宋体" w:cs="仿宋_GB2312"/>
                <w:szCs w:val="21"/>
                <w:highlight w:val="none"/>
              </w:rPr>
            </w:pPr>
            <w:r>
              <w:rPr>
                <w:rFonts w:hint="eastAsia" w:ascii="宋体" w:hAnsi="宋体" w:cs="仿宋_GB2312"/>
                <w:szCs w:val="21"/>
                <w:highlight w:val="none"/>
              </w:rPr>
              <w:t>评审标准：</w:t>
            </w:r>
          </w:p>
          <w:p w14:paraId="6287C9F1">
            <w:pPr>
              <w:pStyle w:val="8"/>
              <w:ind w:firstLine="0"/>
              <w:rPr>
                <w:rFonts w:hint="eastAsia" w:ascii="宋体" w:hAnsi="宋体" w:cs="仿宋_GB2312"/>
                <w:szCs w:val="21"/>
                <w:highlight w:val="none"/>
              </w:rPr>
            </w:pPr>
            <w:r>
              <w:rPr>
                <w:rFonts w:hint="eastAsia" w:ascii="宋体" w:hAnsi="宋体" w:cs="仿宋_GB2312"/>
                <w:szCs w:val="21"/>
                <w:highlight w:val="none"/>
              </w:rPr>
              <w:t xml:space="preserve">评审委员会根据招标文件的需求和投标文件的响应情况，进行评价及分档评分： </w:t>
            </w:r>
          </w:p>
          <w:p w14:paraId="78331E3C">
            <w:pPr>
              <w:pStyle w:val="8"/>
              <w:ind w:firstLine="0"/>
              <w:rPr>
                <w:rFonts w:hint="eastAsia" w:ascii="宋体" w:hAnsi="宋体" w:cs="仿宋_GB2312"/>
                <w:szCs w:val="21"/>
                <w:highlight w:val="none"/>
              </w:rPr>
            </w:pPr>
            <w:r>
              <w:rPr>
                <w:rFonts w:hint="eastAsia" w:ascii="宋体" w:hAnsi="宋体" w:cs="仿宋_GB2312"/>
                <w:szCs w:val="21"/>
                <w:highlight w:val="none"/>
              </w:rPr>
              <w:t>提供两点得60分，提供任意一点得30分，未满足不得分。在此基础上：</w:t>
            </w:r>
          </w:p>
          <w:p w14:paraId="0804DDFD">
            <w:pPr>
              <w:pStyle w:val="8"/>
              <w:ind w:firstLine="0"/>
              <w:rPr>
                <w:rFonts w:hint="eastAsia" w:ascii="宋体" w:hAnsi="宋体" w:cs="仿宋_GB2312"/>
                <w:szCs w:val="21"/>
                <w:highlight w:val="none"/>
              </w:rPr>
            </w:pPr>
            <w:r>
              <w:rPr>
                <w:rFonts w:hint="eastAsia" w:ascii="宋体" w:hAnsi="宋体" w:cs="仿宋_GB2312"/>
                <w:szCs w:val="21"/>
                <w:highlight w:val="none"/>
                <w:lang w:val="en-US" w:eastAsia="zh-CN"/>
              </w:rPr>
              <w:t>1.</w:t>
            </w:r>
            <w:r>
              <w:rPr>
                <w:rFonts w:hint="eastAsia" w:ascii="宋体" w:hAnsi="宋体" w:cs="仿宋_GB2312"/>
                <w:szCs w:val="21"/>
                <w:highlight w:val="none"/>
              </w:rPr>
              <w:t>提供包括反恐、消防、电梯困人、突发停电、卫生间污水外溢、打架斗殴、偷盗、特殊天气8项应急方案，方案可行性较高，贴合校园实际需求的评审为优，加40分；</w:t>
            </w:r>
          </w:p>
          <w:p w14:paraId="3D373C5A">
            <w:pPr>
              <w:pStyle w:val="8"/>
              <w:ind w:firstLine="0"/>
              <w:rPr>
                <w:rFonts w:hint="eastAsia" w:ascii="宋体" w:hAnsi="宋体" w:cs="仿宋_GB2312"/>
                <w:szCs w:val="21"/>
                <w:highlight w:val="none"/>
              </w:rPr>
            </w:pPr>
            <w:r>
              <w:rPr>
                <w:rFonts w:hint="eastAsia" w:ascii="宋体" w:hAnsi="宋体" w:cs="仿宋_GB2312"/>
                <w:szCs w:val="21"/>
                <w:highlight w:val="none"/>
                <w:lang w:val="en-US" w:eastAsia="zh-CN"/>
              </w:rPr>
              <w:t>2.</w:t>
            </w:r>
            <w:r>
              <w:rPr>
                <w:rFonts w:hint="eastAsia" w:ascii="宋体" w:hAnsi="宋体" w:cs="仿宋_GB2312"/>
                <w:szCs w:val="21"/>
                <w:highlight w:val="none"/>
              </w:rPr>
              <w:t>提供包括反恐、消防、电梯困人、突发停电、卫生间污水外溢、打架斗殴、偷盗、特殊天气8项应急方案，方案可行性一般，较为贴合校园实际需求的评审为良，加20分；</w:t>
            </w:r>
          </w:p>
          <w:p w14:paraId="2E14C688">
            <w:pPr>
              <w:pStyle w:val="8"/>
              <w:ind w:firstLine="0"/>
              <w:rPr>
                <w:rFonts w:hint="eastAsia" w:ascii="宋体" w:hAnsi="宋体" w:cs="仿宋_GB2312"/>
                <w:szCs w:val="21"/>
                <w:highlight w:val="none"/>
                <w:lang w:eastAsia="zh-CN"/>
              </w:rPr>
            </w:pPr>
            <w:r>
              <w:rPr>
                <w:rFonts w:hint="eastAsia" w:ascii="宋体" w:hAnsi="宋体" w:cs="仿宋_GB2312"/>
                <w:szCs w:val="21"/>
                <w:highlight w:val="none"/>
                <w:lang w:val="en-US" w:eastAsia="zh-CN"/>
              </w:rPr>
              <w:t>3.</w:t>
            </w:r>
            <w:r>
              <w:rPr>
                <w:rFonts w:hint="eastAsia" w:ascii="宋体" w:hAnsi="宋体" w:cs="仿宋_GB2312"/>
                <w:szCs w:val="21"/>
                <w:highlight w:val="none"/>
              </w:rPr>
              <w:t>提供包括反恐、消防、电梯困人、突发停电、卫生间污水外溢、打架斗殴、偷盗、特殊天气</w:t>
            </w:r>
            <w:r>
              <w:rPr>
                <w:rFonts w:hint="eastAsia" w:ascii="宋体" w:hAnsi="宋体" w:cs="仿宋_GB2312"/>
                <w:szCs w:val="21"/>
                <w:highlight w:val="none"/>
                <w:lang w:eastAsia="zh-CN"/>
              </w:rPr>
              <w:t>其中</w:t>
            </w:r>
            <w:r>
              <w:rPr>
                <w:rFonts w:hint="eastAsia" w:ascii="宋体" w:hAnsi="宋体" w:cs="仿宋_GB2312"/>
                <w:szCs w:val="21"/>
                <w:highlight w:val="none"/>
              </w:rPr>
              <w:t>任意5项应急方案的评审为</w:t>
            </w:r>
            <w:r>
              <w:rPr>
                <w:rFonts w:hint="eastAsia" w:ascii="宋体" w:hAnsi="宋体" w:cs="仿宋_GB2312"/>
                <w:szCs w:val="21"/>
                <w:highlight w:val="none"/>
                <w:lang w:eastAsia="zh-CN"/>
              </w:rPr>
              <w:t>中</w:t>
            </w:r>
            <w:r>
              <w:rPr>
                <w:rFonts w:hint="eastAsia" w:ascii="宋体" w:hAnsi="宋体" w:cs="仿宋_GB2312"/>
                <w:szCs w:val="21"/>
                <w:highlight w:val="none"/>
              </w:rPr>
              <w:t>，加</w:t>
            </w:r>
            <w:r>
              <w:rPr>
                <w:rFonts w:hint="eastAsia" w:ascii="宋体" w:hAnsi="宋体" w:cs="仿宋_GB2312"/>
                <w:szCs w:val="21"/>
                <w:highlight w:val="none"/>
                <w:lang w:val="en-US" w:eastAsia="zh-CN"/>
              </w:rPr>
              <w:t>1</w:t>
            </w:r>
            <w:r>
              <w:rPr>
                <w:rFonts w:hint="eastAsia" w:ascii="宋体" w:hAnsi="宋体" w:cs="仿宋_GB2312"/>
                <w:szCs w:val="21"/>
                <w:highlight w:val="none"/>
              </w:rPr>
              <w:t>0分</w:t>
            </w:r>
            <w:r>
              <w:rPr>
                <w:rFonts w:hint="eastAsia" w:ascii="宋体" w:hAnsi="宋体" w:cs="仿宋_GB2312"/>
                <w:szCs w:val="21"/>
                <w:highlight w:val="none"/>
                <w:lang w:eastAsia="zh-CN"/>
              </w:rPr>
              <w:t>；</w:t>
            </w:r>
          </w:p>
          <w:p w14:paraId="2358057E">
            <w:pPr>
              <w:pStyle w:val="8"/>
              <w:ind w:firstLine="0"/>
              <w:rPr>
                <w:rFonts w:hint="eastAsia" w:ascii="宋体" w:hAnsi="宋体" w:cs="仿宋_GB2312"/>
                <w:szCs w:val="21"/>
                <w:highlight w:val="none"/>
              </w:rPr>
            </w:pPr>
            <w:r>
              <w:rPr>
                <w:rFonts w:hint="eastAsia" w:ascii="宋体" w:hAnsi="宋体" w:cs="仿宋_GB2312"/>
                <w:szCs w:val="21"/>
                <w:highlight w:val="none"/>
                <w:lang w:val="en-US" w:eastAsia="zh-CN"/>
              </w:rPr>
              <w:t>4.</w:t>
            </w:r>
            <w:r>
              <w:rPr>
                <w:rFonts w:hint="eastAsia" w:ascii="宋体" w:hAnsi="宋体" w:cs="仿宋_GB2312"/>
                <w:szCs w:val="21"/>
                <w:highlight w:val="none"/>
              </w:rPr>
              <w:t>提供包括反恐、消防、电梯困人、突发停电、卫生间污水外溢、打架斗殴、偷盗、特殊天气任意5项以下应急方案的评审为差，不加分；</w:t>
            </w:r>
          </w:p>
          <w:p w14:paraId="30CA3794">
            <w:pPr>
              <w:pStyle w:val="8"/>
              <w:ind w:firstLine="0"/>
              <w:rPr>
                <w:rFonts w:hint="eastAsia" w:ascii="宋体" w:hAnsi="宋体" w:cs="仿宋_GB2312"/>
                <w:szCs w:val="21"/>
                <w:highlight w:val="none"/>
              </w:rPr>
            </w:pPr>
            <w:r>
              <w:rPr>
                <w:rFonts w:hint="eastAsia" w:ascii="宋体" w:hAnsi="宋体" w:cs="仿宋_GB2312"/>
                <w:szCs w:val="21"/>
                <w:highlight w:val="none"/>
              </w:rPr>
              <w:t>未按要求提供方案内容的不得分</w:t>
            </w:r>
          </w:p>
        </w:tc>
      </w:tr>
      <w:tr w14:paraId="2F01D1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436"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073F7D0">
            <w:pPr>
              <w:snapToGrid w:val="0"/>
              <w:rPr>
                <w:rFonts w:hint="eastAsia" w:ascii="宋体" w:hAnsi="宋体" w:eastAsia="宋体" w:cs="宋体"/>
                <w:b/>
                <w:bCs/>
                <w:szCs w:val="21"/>
                <w:highlight w:val="none"/>
              </w:rPr>
            </w:pPr>
          </w:p>
        </w:tc>
        <w:tc>
          <w:tcPr>
            <w:tcW w:w="636"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B1530E1">
            <w:pPr>
              <w:jc w:val="center"/>
              <w:rPr>
                <w:rFonts w:hint="eastAsia" w:ascii="宋体" w:hAnsi="宋体" w:eastAsia="宋体" w:cs="宋体"/>
                <w:szCs w:val="21"/>
                <w:highlight w:val="none"/>
              </w:rPr>
            </w:pPr>
            <w:r>
              <w:rPr>
                <w:rFonts w:hint="eastAsia" w:ascii="宋体" w:hAnsi="宋体" w:eastAsia="宋体" w:cs="宋体"/>
                <w:szCs w:val="21"/>
                <w:highlight w:val="none"/>
              </w:rPr>
              <w:t>4</w:t>
            </w:r>
          </w:p>
        </w:tc>
        <w:tc>
          <w:tcPr>
            <w:tcW w:w="110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3C27F9C">
            <w:pPr>
              <w:wordWrap w:val="0"/>
              <w:jc w:val="center"/>
              <w:rPr>
                <w:rFonts w:hint="eastAsia" w:ascii="宋体" w:hAnsi="宋体"/>
                <w:szCs w:val="21"/>
                <w:highlight w:val="none"/>
              </w:rPr>
            </w:pPr>
            <w:r>
              <w:rPr>
                <w:rFonts w:hint="eastAsia" w:ascii="宋体" w:hAnsi="宋体"/>
                <w:szCs w:val="21"/>
                <w:highlight w:val="none"/>
              </w:rPr>
              <w:t>项目完成（服务期满）后的服务承诺</w:t>
            </w:r>
          </w:p>
        </w:tc>
        <w:tc>
          <w:tcPr>
            <w:tcW w:w="116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30D9EA7">
            <w:pPr>
              <w:wordWrap w:val="0"/>
              <w:jc w:val="center"/>
              <w:rPr>
                <w:rFonts w:hint="default" w:ascii="宋体" w:hAnsi="宋体"/>
                <w:szCs w:val="21"/>
                <w:highlight w:val="none"/>
                <w:lang w:val="en-US" w:eastAsia="zh-CN"/>
              </w:rPr>
            </w:pPr>
            <w:r>
              <w:rPr>
                <w:rFonts w:hint="eastAsia" w:ascii="宋体" w:hAnsi="宋体"/>
                <w:szCs w:val="21"/>
                <w:highlight w:val="none"/>
                <w:lang w:val="en-US" w:eastAsia="zh-CN"/>
              </w:rPr>
              <w:t>5</w:t>
            </w:r>
          </w:p>
        </w:tc>
        <w:tc>
          <w:tcPr>
            <w:tcW w:w="5740" w:type="dxa"/>
            <w:tcBorders>
              <w:top w:val="single" w:color="000000" w:sz="8" w:space="0"/>
              <w:left w:val="single" w:color="000000" w:sz="8" w:space="0"/>
              <w:bottom w:val="single" w:color="000000" w:sz="8" w:space="0"/>
              <w:right w:val="single" w:color="000000" w:sz="8" w:space="0"/>
            </w:tcBorders>
            <w:shd w:val="clear" w:color="auto" w:fill="FFFFFF" w:themeFill="background1"/>
            <w:vAlign w:val="top"/>
          </w:tcPr>
          <w:p w14:paraId="22275DB2">
            <w:pPr>
              <w:pStyle w:val="8"/>
              <w:ind w:firstLine="0"/>
              <w:rPr>
                <w:rFonts w:hint="eastAsia" w:ascii="宋体" w:hAnsi="宋体" w:cs="仿宋_GB2312"/>
                <w:szCs w:val="21"/>
                <w:highlight w:val="none"/>
              </w:rPr>
            </w:pPr>
            <w:r>
              <w:rPr>
                <w:rFonts w:hint="eastAsia" w:ascii="宋体" w:hAnsi="宋体" w:cs="仿宋_GB2312"/>
                <w:szCs w:val="21"/>
                <w:highlight w:val="none"/>
              </w:rPr>
              <w:t>考察内容：</w:t>
            </w:r>
          </w:p>
          <w:p w14:paraId="78F5BC78">
            <w:pPr>
              <w:pStyle w:val="8"/>
              <w:ind w:firstLine="0"/>
              <w:rPr>
                <w:rFonts w:hint="eastAsia" w:ascii="宋体" w:hAnsi="宋体" w:cs="仿宋_GB2312"/>
                <w:szCs w:val="21"/>
                <w:highlight w:val="none"/>
              </w:rPr>
            </w:pPr>
            <w:r>
              <w:rPr>
                <w:rFonts w:hint="eastAsia" w:ascii="宋体" w:hAnsi="宋体" w:cs="仿宋_GB2312"/>
                <w:szCs w:val="21"/>
                <w:highlight w:val="none"/>
              </w:rPr>
              <w:t xml:space="preserve">投标人承诺以下全部三项的得100分，否则不得分。 </w:t>
            </w:r>
          </w:p>
          <w:p w14:paraId="7FB29F78">
            <w:pPr>
              <w:pStyle w:val="8"/>
              <w:ind w:firstLine="0"/>
              <w:rPr>
                <w:rFonts w:hint="eastAsia" w:ascii="宋体" w:hAnsi="宋体" w:cs="仿宋_GB2312"/>
                <w:szCs w:val="21"/>
                <w:highlight w:val="none"/>
              </w:rPr>
            </w:pPr>
            <w:r>
              <w:rPr>
                <w:rFonts w:hint="eastAsia" w:ascii="宋体" w:hAnsi="宋体" w:cs="仿宋_GB2312"/>
                <w:szCs w:val="21"/>
                <w:highlight w:val="none"/>
              </w:rPr>
              <w:t xml:space="preserve">（1）服务期满后主动离岗承诺； </w:t>
            </w:r>
          </w:p>
          <w:p w14:paraId="10FA2C95">
            <w:pPr>
              <w:pStyle w:val="8"/>
              <w:ind w:firstLine="0"/>
              <w:rPr>
                <w:rFonts w:hint="eastAsia" w:ascii="宋体" w:hAnsi="宋体" w:cs="仿宋_GB2312"/>
                <w:szCs w:val="21"/>
                <w:highlight w:val="none"/>
              </w:rPr>
            </w:pPr>
            <w:r>
              <w:rPr>
                <w:rFonts w:hint="eastAsia" w:ascii="宋体" w:hAnsi="宋体" w:cs="仿宋_GB2312"/>
                <w:szCs w:val="21"/>
                <w:highlight w:val="none"/>
              </w:rPr>
              <w:t xml:space="preserve">（2）与后续服务公司的交接承诺； </w:t>
            </w:r>
          </w:p>
          <w:p w14:paraId="09CC0021">
            <w:pPr>
              <w:pStyle w:val="8"/>
              <w:ind w:firstLine="0"/>
              <w:rPr>
                <w:rFonts w:hint="eastAsia" w:ascii="宋体" w:hAnsi="宋体" w:cs="仿宋_GB2312"/>
                <w:szCs w:val="21"/>
                <w:highlight w:val="none"/>
              </w:rPr>
            </w:pPr>
            <w:r>
              <w:rPr>
                <w:rFonts w:hint="eastAsia" w:ascii="宋体" w:hAnsi="宋体" w:cs="仿宋_GB2312"/>
                <w:szCs w:val="21"/>
                <w:highlight w:val="none"/>
              </w:rPr>
              <w:t xml:space="preserve">（3）服务期满，后续服务公司未到位前仍按原合同服务承诺提供物业管理服务的承诺。 </w:t>
            </w:r>
          </w:p>
          <w:p w14:paraId="53EED963">
            <w:pPr>
              <w:pStyle w:val="8"/>
              <w:ind w:firstLine="0"/>
              <w:rPr>
                <w:rFonts w:hint="eastAsia" w:ascii="宋体" w:hAnsi="宋体" w:cs="仿宋_GB2312"/>
                <w:szCs w:val="21"/>
                <w:highlight w:val="none"/>
              </w:rPr>
            </w:pPr>
            <w:r>
              <w:rPr>
                <w:rFonts w:hint="eastAsia" w:ascii="宋体" w:hAnsi="宋体" w:cs="仿宋_GB2312"/>
                <w:szCs w:val="21"/>
                <w:highlight w:val="none"/>
              </w:rPr>
              <w:t>证明文件：</w:t>
            </w:r>
          </w:p>
          <w:p w14:paraId="616258FA">
            <w:pPr>
              <w:pStyle w:val="8"/>
              <w:ind w:firstLine="0"/>
              <w:rPr>
                <w:rFonts w:hint="eastAsia" w:ascii="宋体" w:hAnsi="宋体" w:cs="仿宋_GB2312"/>
                <w:szCs w:val="21"/>
                <w:highlight w:val="none"/>
              </w:rPr>
            </w:pPr>
            <w:r>
              <w:rPr>
                <w:rFonts w:hint="eastAsia" w:ascii="宋体" w:hAnsi="宋体" w:cs="仿宋_GB2312"/>
                <w:szCs w:val="21"/>
                <w:highlight w:val="none"/>
              </w:rPr>
              <w:t>要求提供承诺（格式自定，但应包含以上内容）作为得分依据，按要求提供得100分。未提供或提供的不清晰导致专家无法判断的，不得分。</w:t>
            </w:r>
          </w:p>
        </w:tc>
      </w:tr>
      <w:tr w14:paraId="1C0483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436"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DBA9AD1">
            <w:pPr>
              <w:snapToGrid w:val="0"/>
              <w:rPr>
                <w:rFonts w:hint="eastAsia" w:ascii="宋体" w:hAnsi="宋体" w:eastAsia="宋体" w:cs="宋体"/>
                <w:b/>
                <w:bCs/>
                <w:szCs w:val="21"/>
                <w:highlight w:val="none"/>
              </w:rPr>
            </w:pPr>
          </w:p>
        </w:tc>
        <w:tc>
          <w:tcPr>
            <w:tcW w:w="636"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48DA1D4">
            <w:pPr>
              <w:jc w:val="center"/>
              <w:rPr>
                <w:rFonts w:hint="eastAsia" w:ascii="宋体" w:hAnsi="宋体" w:eastAsia="宋体" w:cs="宋体"/>
                <w:szCs w:val="21"/>
                <w:highlight w:val="none"/>
              </w:rPr>
            </w:pPr>
            <w:r>
              <w:rPr>
                <w:rFonts w:hint="eastAsia" w:ascii="宋体" w:hAnsi="宋体" w:eastAsia="宋体" w:cs="宋体"/>
                <w:szCs w:val="21"/>
                <w:highlight w:val="none"/>
              </w:rPr>
              <w:t>5</w:t>
            </w:r>
          </w:p>
        </w:tc>
        <w:tc>
          <w:tcPr>
            <w:tcW w:w="110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176A221">
            <w:pPr>
              <w:wordWrap w:val="0"/>
              <w:jc w:val="center"/>
              <w:rPr>
                <w:rFonts w:hint="eastAsia" w:ascii="宋体" w:hAnsi="宋体"/>
                <w:szCs w:val="21"/>
                <w:highlight w:val="none"/>
              </w:rPr>
            </w:pPr>
            <w:r>
              <w:rPr>
                <w:rFonts w:hint="eastAsia" w:ascii="宋体" w:hAnsi="宋体"/>
                <w:szCs w:val="21"/>
                <w:highlight w:val="none"/>
              </w:rPr>
              <w:t>项目拟使用的车辆（场地、工具、机器）情况</w:t>
            </w:r>
          </w:p>
        </w:tc>
        <w:tc>
          <w:tcPr>
            <w:tcW w:w="116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2E11BED">
            <w:pPr>
              <w:wordWrap w:val="0"/>
              <w:jc w:val="center"/>
              <w:rPr>
                <w:rFonts w:hint="eastAsia" w:ascii="宋体" w:hAnsi="宋体"/>
                <w:szCs w:val="21"/>
                <w:highlight w:val="none"/>
              </w:rPr>
            </w:pPr>
            <w:r>
              <w:rPr>
                <w:rFonts w:hint="eastAsia" w:ascii="宋体" w:hAnsi="宋体"/>
                <w:szCs w:val="21"/>
                <w:highlight w:val="none"/>
                <w:lang w:val="en-US" w:eastAsia="zh-CN"/>
              </w:rPr>
              <w:t>5</w:t>
            </w:r>
          </w:p>
        </w:tc>
        <w:tc>
          <w:tcPr>
            <w:tcW w:w="5740" w:type="dxa"/>
            <w:tcBorders>
              <w:top w:val="single" w:color="000000" w:sz="8" w:space="0"/>
              <w:left w:val="single" w:color="000000" w:sz="8" w:space="0"/>
              <w:bottom w:val="single" w:color="000000" w:sz="8" w:space="0"/>
              <w:right w:val="single" w:color="000000" w:sz="8" w:space="0"/>
            </w:tcBorders>
            <w:shd w:val="clear" w:color="auto" w:fill="FFFFFF" w:themeFill="background1"/>
            <w:vAlign w:val="top"/>
          </w:tcPr>
          <w:p w14:paraId="31A6DC3B">
            <w:pPr>
              <w:pStyle w:val="8"/>
              <w:ind w:firstLine="0"/>
              <w:rPr>
                <w:rFonts w:hint="eastAsia" w:ascii="宋体" w:hAnsi="宋体" w:cs="仿宋_GB2312"/>
                <w:szCs w:val="21"/>
                <w:highlight w:val="none"/>
              </w:rPr>
            </w:pPr>
            <w:r>
              <w:rPr>
                <w:rFonts w:hint="eastAsia" w:ascii="宋体" w:hAnsi="宋体" w:cs="仿宋_GB2312"/>
                <w:szCs w:val="21"/>
                <w:highlight w:val="none"/>
              </w:rPr>
              <w:t>考察内容：</w:t>
            </w:r>
          </w:p>
          <w:p w14:paraId="52639B80">
            <w:pPr>
              <w:pStyle w:val="8"/>
              <w:ind w:firstLine="0"/>
              <w:rPr>
                <w:rFonts w:hint="eastAsia" w:ascii="宋体" w:hAnsi="宋体" w:cs="仿宋_GB2312"/>
                <w:szCs w:val="21"/>
                <w:highlight w:val="none"/>
              </w:rPr>
            </w:pPr>
            <w:r>
              <w:rPr>
                <w:rFonts w:hint="eastAsia" w:ascii="宋体" w:hAnsi="宋体" w:cs="仿宋_GB2312"/>
                <w:szCs w:val="21"/>
                <w:highlight w:val="none"/>
              </w:rPr>
              <w:t>每提供1辆洗地机或扫地机的得20分，本小项最高得100分。</w:t>
            </w:r>
          </w:p>
          <w:p w14:paraId="09F94EAC">
            <w:pPr>
              <w:pStyle w:val="8"/>
              <w:ind w:firstLine="0"/>
              <w:rPr>
                <w:rFonts w:hint="eastAsia" w:ascii="宋体" w:hAnsi="宋体" w:cs="仿宋_GB2312"/>
                <w:szCs w:val="21"/>
                <w:highlight w:val="none"/>
              </w:rPr>
            </w:pPr>
            <w:r>
              <w:rPr>
                <w:rFonts w:hint="eastAsia" w:ascii="宋体" w:hAnsi="宋体" w:cs="仿宋_GB2312"/>
                <w:szCs w:val="21"/>
                <w:highlight w:val="none"/>
              </w:rPr>
              <w:t>证明文件：</w:t>
            </w:r>
          </w:p>
          <w:p w14:paraId="313ABA51">
            <w:pPr>
              <w:pStyle w:val="8"/>
              <w:ind w:firstLine="0"/>
              <w:rPr>
                <w:rFonts w:hint="eastAsia" w:ascii="宋体" w:hAnsi="宋体" w:cs="仿宋_GB2312"/>
                <w:szCs w:val="21"/>
                <w:highlight w:val="none"/>
              </w:rPr>
            </w:pPr>
            <w:r>
              <w:rPr>
                <w:rFonts w:hint="eastAsia" w:ascii="宋体" w:hAnsi="宋体" w:cs="仿宋_GB2312"/>
                <w:szCs w:val="21"/>
                <w:highlight w:val="none"/>
              </w:rPr>
              <w:t>提供以上设备外观图片，如是自有设备提供发票等购买凭证材料扫描件；如是租赁设备提供租赁合同（租赁服务期需涵盖本项目服务期）以及租赁转账发票等相关证明材料扫描件。未提供或未按要求提供或提供的不清晰导致专家无法判断的，不得分。</w:t>
            </w:r>
          </w:p>
        </w:tc>
      </w:tr>
      <w:tr w14:paraId="44F405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436"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FDC0F55">
            <w:pPr>
              <w:snapToGrid w:val="0"/>
              <w:rPr>
                <w:rFonts w:hint="eastAsia" w:ascii="宋体" w:hAnsi="宋体" w:eastAsia="宋体" w:cs="宋体"/>
                <w:b/>
                <w:bCs/>
                <w:szCs w:val="21"/>
                <w:highlight w:val="none"/>
              </w:rPr>
            </w:pPr>
          </w:p>
        </w:tc>
        <w:tc>
          <w:tcPr>
            <w:tcW w:w="636"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061E10E">
            <w:pPr>
              <w:jc w:val="center"/>
              <w:rPr>
                <w:rFonts w:hint="eastAsia" w:ascii="宋体" w:hAnsi="宋体" w:eastAsia="宋体" w:cs="宋体"/>
                <w:szCs w:val="21"/>
                <w:highlight w:val="none"/>
              </w:rPr>
            </w:pPr>
            <w:r>
              <w:rPr>
                <w:rFonts w:hint="eastAsia" w:ascii="宋体" w:hAnsi="宋体" w:eastAsia="宋体" w:cs="宋体"/>
                <w:szCs w:val="21"/>
                <w:highlight w:val="none"/>
              </w:rPr>
              <w:t>6</w:t>
            </w:r>
          </w:p>
        </w:tc>
        <w:tc>
          <w:tcPr>
            <w:tcW w:w="110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E60F45B">
            <w:pPr>
              <w:wordWrap w:val="0"/>
              <w:jc w:val="center"/>
              <w:rPr>
                <w:rFonts w:hint="eastAsia" w:ascii="宋体" w:hAnsi="宋体"/>
                <w:szCs w:val="21"/>
                <w:highlight w:val="none"/>
              </w:rPr>
            </w:pPr>
            <w:r>
              <w:rPr>
                <w:rFonts w:hint="eastAsia" w:ascii="宋体" w:hAnsi="宋体"/>
                <w:szCs w:val="21"/>
                <w:highlight w:val="none"/>
              </w:rPr>
              <w:t>拟安排的项目团队成员情况</w:t>
            </w:r>
          </w:p>
        </w:tc>
        <w:tc>
          <w:tcPr>
            <w:tcW w:w="116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D5C788D">
            <w:pPr>
              <w:wordWrap w:val="0"/>
              <w:jc w:val="center"/>
              <w:rPr>
                <w:rFonts w:hint="eastAsia" w:ascii="宋体" w:hAnsi="宋体"/>
                <w:szCs w:val="21"/>
                <w:highlight w:val="none"/>
              </w:rPr>
            </w:pPr>
            <w:r>
              <w:rPr>
                <w:rFonts w:hint="eastAsia" w:ascii="宋体" w:hAnsi="宋体"/>
                <w:szCs w:val="21"/>
                <w:highlight w:val="none"/>
              </w:rPr>
              <w:t>12</w:t>
            </w:r>
          </w:p>
        </w:tc>
        <w:tc>
          <w:tcPr>
            <w:tcW w:w="5740" w:type="dxa"/>
            <w:tcBorders>
              <w:top w:val="single" w:color="000000" w:sz="8" w:space="0"/>
              <w:left w:val="single" w:color="000000" w:sz="8" w:space="0"/>
              <w:bottom w:val="single" w:color="000000" w:sz="8" w:space="0"/>
              <w:right w:val="single" w:color="000000" w:sz="8" w:space="0"/>
            </w:tcBorders>
            <w:shd w:val="clear" w:color="auto" w:fill="FFFFFF" w:themeFill="background1"/>
            <w:vAlign w:val="top"/>
          </w:tcPr>
          <w:p w14:paraId="43D992C2">
            <w:pPr>
              <w:wordWrap w:val="0"/>
              <w:spacing w:line="360" w:lineRule="exact"/>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考察内容：</w:t>
            </w:r>
          </w:p>
          <w:p w14:paraId="3CFEE648">
            <w:pPr>
              <w:wordWrap w:val="0"/>
              <w:spacing w:line="360" w:lineRule="exact"/>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1、保安专业负责人1人：</w:t>
            </w:r>
          </w:p>
          <w:p w14:paraId="6BFFC072">
            <w:pPr>
              <w:keepNext w:val="0"/>
              <w:keepLines w:val="0"/>
              <w:widowControl w:val="0"/>
              <w:suppressLineNumbers w:val="0"/>
              <w:spacing w:before="0" w:beforeAutospacing="0" w:after="0" w:afterAutospacing="0"/>
              <w:ind w:right="0"/>
              <w:jc w:val="both"/>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（1）具有管理类专业相关专科或以上学历的，得8分；</w:t>
            </w:r>
          </w:p>
          <w:p w14:paraId="1129D8F6">
            <w:pPr>
              <w:keepNext w:val="0"/>
              <w:keepLines w:val="0"/>
              <w:widowControl w:val="0"/>
              <w:suppressLineNumbers w:val="0"/>
              <w:spacing w:before="0" w:beforeAutospacing="0" w:after="0" w:afterAutospacing="0"/>
              <w:ind w:right="0"/>
              <w:jc w:val="both"/>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（2）具有</w:t>
            </w:r>
            <w:bookmarkStart w:id="0" w:name="OLE_LINK2"/>
            <w:r>
              <w:rPr>
                <w:rFonts w:hint="eastAsia" w:ascii="宋体" w:hAnsi="宋体" w:cs="仿宋_GB2312" w:eastAsiaTheme="minorEastAsia"/>
                <w:kern w:val="2"/>
                <w:sz w:val="21"/>
                <w:szCs w:val="21"/>
                <w:highlight w:val="none"/>
                <w:lang w:val="en-US" w:eastAsia="zh-CN" w:bidi="ar-SA"/>
              </w:rPr>
              <w:t>人社部门</w:t>
            </w:r>
            <w:bookmarkStart w:id="1" w:name="OLE_LINK1"/>
            <w:r>
              <w:rPr>
                <w:rFonts w:hint="eastAsia" w:ascii="宋体" w:hAnsi="宋体" w:cs="仿宋_GB2312" w:eastAsiaTheme="minorEastAsia"/>
                <w:kern w:val="2"/>
                <w:sz w:val="21"/>
                <w:szCs w:val="21"/>
                <w:highlight w:val="none"/>
                <w:lang w:val="en-US" w:eastAsia="zh-CN" w:bidi="ar-SA"/>
              </w:rPr>
              <w:t>（或第三方社会评价组织（含协会））</w:t>
            </w:r>
            <w:bookmarkEnd w:id="1"/>
            <w:r>
              <w:rPr>
                <w:rFonts w:hint="eastAsia" w:ascii="宋体" w:hAnsi="宋体" w:cs="仿宋_GB2312" w:eastAsiaTheme="minorEastAsia"/>
                <w:kern w:val="2"/>
                <w:sz w:val="21"/>
                <w:szCs w:val="21"/>
                <w:highlight w:val="none"/>
                <w:lang w:val="en-US" w:eastAsia="zh-CN" w:bidi="ar-SA"/>
              </w:rPr>
              <w:t>颁发的三级（或以上）物业管理师（员）职业资格证（或职业技能等级证）</w:t>
            </w:r>
            <w:bookmarkEnd w:id="0"/>
            <w:r>
              <w:rPr>
                <w:rFonts w:hint="eastAsia" w:ascii="宋体" w:hAnsi="宋体" w:cs="仿宋_GB2312" w:eastAsiaTheme="minorEastAsia"/>
                <w:kern w:val="2"/>
                <w:sz w:val="21"/>
                <w:szCs w:val="21"/>
                <w:highlight w:val="none"/>
                <w:lang w:val="en-US" w:eastAsia="zh-CN" w:bidi="ar-SA"/>
              </w:rPr>
              <w:t>，得10分；</w:t>
            </w:r>
          </w:p>
          <w:p w14:paraId="07EA65C9">
            <w:pPr>
              <w:keepNext w:val="0"/>
              <w:keepLines w:val="0"/>
              <w:widowControl w:val="0"/>
              <w:suppressLineNumbers w:val="0"/>
              <w:spacing w:before="0" w:beforeAutospacing="0" w:after="0" w:afterAutospacing="0"/>
              <w:ind w:right="0"/>
              <w:jc w:val="both"/>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（3）具有退伍军人证明书或者义务兵退出现役证或者士兵退出现役证，得10分；</w:t>
            </w:r>
          </w:p>
          <w:p w14:paraId="174958D5">
            <w:pPr>
              <w:keepNext w:val="0"/>
              <w:keepLines w:val="0"/>
              <w:widowControl w:val="0"/>
              <w:suppressLineNumbers w:val="0"/>
              <w:spacing w:before="0" w:beforeAutospacing="0" w:after="0" w:afterAutospacing="0"/>
              <w:ind w:right="0"/>
              <w:jc w:val="both"/>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（4）具有物业安保主管管理工作经验3年（或以上），得6分。</w:t>
            </w:r>
          </w:p>
          <w:p w14:paraId="4235C776">
            <w:pPr>
              <w:pStyle w:val="10"/>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本小项最高得分34分；</w:t>
            </w:r>
          </w:p>
          <w:p w14:paraId="3ADF8DB2">
            <w:pPr>
              <w:wordWrap w:val="0"/>
              <w:spacing w:line="360" w:lineRule="exact"/>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 xml:space="preserve">2、保洁专业负责人1人： </w:t>
            </w:r>
          </w:p>
          <w:p w14:paraId="1DEC7CBE">
            <w:pPr>
              <w:keepNext w:val="0"/>
              <w:keepLines w:val="0"/>
              <w:widowControl w:val="0"/>
              <w:suppressLineNumbers w:val="0"/>
              <w:topLinePunct/>
              <w:spacing w:before="0" w:beforeAutospacing="0" w:after="0" w:afterAutospacing="0"/>
              <w:ind w:right="0"/>
              <w:jc w:val="both"/>
              <w:rPr>
                <w:rFonts w:hint="eastAsia" w:ascii="宋体" w:hAnsi="宋体" w:cs="仿宋_GB2312" w:eastAsiaTheme="minorEastAsia"/>
                <w:kern w:val="2"/>
                <w:sz w:val="21"/>
                <w:szCs w:val="21"/>
                <w:highlight w:val="none"/>
                <w:lang w:val="en-US" w:eastAsia="zh-CN" w:bidi="ar-SA"/>
              </w:rPr>
            </w:pPr>
            <w:bookmarkStart w:id="95" w:name="_GoBack"/>
            <w:r>
              <w:rPr>
                <w:rFonts w:hint="eastAsia" w:ascii="宋体" w:hAnsi="宋体" w:cs="仿宋_GB2312" w:eastAsiaTheme="minorEastAsia"/>
                <w:kern w:val="2"/>
                <w:sz w:val="21"/>
                <w:szCs w:val="21"/>
                <w:highlight w:val="none"/>
                <w:lang w:val="en-US" w:eastAsia="zh-CN" w:bidi="ar-SA"/>
              </w:rPr>
              <w:t>（1）具有园林类专业本科（或以上）学历的，得12分；</w:t>
            </w:r>
          </w:p>
          <w:p w14:paraId="590C71A6">
            <w:pPr>
              <w:keepNext w:val="0"/>
              <w:keepLines w:val="0"/>
              <w:widowControl w:val="0"/>
              <w:suppressLineNumbers w:val="0"/>
              <w:topLinePunct/>
              <w:spacing w:before="0" w:beforeAutospacing="0" w:after="0" w:afterAutospacing="0"/>
              <w:ind w:right="0"/>
              <w:jc w:val="both"/>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（2）具有人社部门</w:t>
            </w:r>
            <w:r>
              <w:rPr>
                <w:rFonts w:hint="eastAsia" w:ascii="宋体" w:hAnsi="宋体" w:cs="仿宋_GB2312" w:eastAsiaTheme="minorEastAsia"/>
                <w:kern w:val="2"/>
                <w:sz w:val="21"/>
                <w:szCs w:val="21"/>
                <w:highlight w:val="none"/>
                <w:lang w:val="en-US" w:eastAsia="zh-CN" w:bidi="ar-SA"/>
              </w:rPr>
              <w:t>（或经人社部门备案的职称评审委员会）</w:t>
            </w:r>
            <w:r>
              <w:rPr>
                <w:rFonts w:hint="eastAsia" w:ascii="宋体" w:hAnsi="宋体" w:cs="仿宋_GB2312" w:eastAsiaTheme="minorEastAsia"/>
                <w:kern w:val="2"/>
                <w:sz w:val="21"/>
                <w:szCs w:val="21"/>
                <w:highlight w:val="none"/>
                <w:lang w:val="en-US" w:eastAsia="zh-CN" w:bidi="ar-SA"/>
              </w:rPr>
              <w:t>颁发的园林绿化副高级或以上职称证书的得16分；</w:t>
            </w:r>
          </w:p>
          <w:p w14:paraId="602B6739">
            <w:pPr>
              <w:keepNext w:val="0"/>
              <w:keepLines w:val="0"/>
              <w:widowControl w:val="0"/>
              <w:suppressLineNumbers w:val="0"/>
              <w:topLinePunct/>
              <w:spacing w:before="0" w:beforeAutospacing="0" w:after="0" w:afterAutospacing="0"/>
              <w:ind w:right="0"/>
              <w:jc w:val="both"/>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（3）具有市级或</w:t>
            </w:r>
            <w:r>
              <w:rPr>
                <w:rFonts w:hint="eastAsia" w:ascii="宋体" w:hAnsi="宋体" w:cs="仿宋_GB2312"/>
                <w:kern w:val="2"/>
                <w:sz w:val="21"/>
                <w:szCs w:val="21"/>
                <w:highlight w:val="none"/>
                <w:lang w:val="en-US" w:eastAsia="zh-CN" w:bidi="ar-SA"/>
              </w:rPr>
              <w:t>以上行政机关或事业单位或</w:t>
            </w:r>
            <w:r>
              <w:rPr>
                <w:rFonts w:hint="eastAsia" w:ascii="宋体" w:hAnsi="宋体" w:cs="仿宋_GB2312" w:eastAsiaTheme="minorEastAsia"/>
                <w:kern w:val="2"/>
                <w:sz w:val="21"/>
                <w:szCs w:val="21"/>
                <w:highlight w:val="none"/>
                <w:lang w:val="en-US" w:eastAsia="zh-CN" w:bidi="ar-SA"/>
              </w:rPr>
              <w:t>环卫清洁行业协会颁发的高级公共环境消毒清洁员的得6分；</w:t>
            </w:r>
          </w:p>
          <w:p w14:paraId="486124EB">
            <w:pPr>
              <w:keepNext w:val="0"/>
              <w:keepLines w:val="0"/>
              <w:widowControl w:val="0"/>
              <w:suppressLineNumbers w:val="0"/>
              <w:topLinePunct/>
              <w:spacing w:before="0" w:beforeAutospacing="0" w:after="0" w:afterAutospacing="0"/>
              <w:ind w:right="0"/>
              <w:jc w:val="both"/>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（4）具有市级或</w:t>
            </w:r>
            <w:r>
              <w:rPr>
                <w:rFonts w:hint="eastAsia" w:ascii="宋体" w:hAnsi="宋体" w:cs="仿宋_GB2312"/>
                <w:kern w:val="2"/>
                <w:sz w:val="21"/>
                <w:szCs w:val="21"/>
                <w:highlight w:val="none"/>
                <w:lang w:val="en-US" w:eastAsia="zh-CN" w:bidi="ar-SA"/>
              </w:rPr>
              <w:t>以上行政机关或事业单位或</w:t>
            </w:r>
            <w:r>
              <w:rPr>
                <w:rFonts w:hint="eastAsia" w:ascii="宋体" w:hAnsi="宋体" w:cs="仿宋_GB2312" w:eastAsiaTheme="minorEastAsia"/>
                <w:kern w:val="2"/>
                <w:sz w:val="21"/>
                <w:szCs w:val="21"/>
                <w:highlight w:val="none"/>
                <w:lang w:val="en-US" w:eastAsia="zh-CN" w:bidi="ar-SA"/>
              </w:rPr>
              <w:t>环卫清洁行业协会颁发的高级清洁管理师项目经理的得6分；</w:t>
            </w:r>
          </w:p>
          <w:p w14:paraId="10995F71">
            <w:pPr>
              <w:keepNext w:val="0"/>
              <w:keepLines w:val="0"/>
              <w:widowControl w:val="0"/>
              <w:suppressLineNumbers w:val="0"/>
              <w:topLinePunct/>
              <w:spacing w:before="0" w:beforeAutospacing="0" w:after="0" w:afterAutospacing="0"/>
              <w:ind w:right="0"/>
              <w:jc w:val="both"/>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（5）具有物业保洁主管管理工作经验3年（或以上），得6分。</w:t>
            </w:r>
          </w:p>
          <w:p w14:paraId="5BF54AC5">
            <w:pPr>
              <w:pStyle w:val="10"/>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本小项最高得分46分；</w:t>
            </w:r>
          </w:p>
          <w:p w14:paraId="6E8632E4">
            <w:pPr>
              <w:wordWrap w:val="0"/>
              <w:spacing w:line="360" w:lineRule="exact"/>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3、其他人员（以上负责人除外）：</w:t>
            </w:r>
          </w:p>
          <w:p w14:paraId="41B89C6C">
            <w:pPr>
              <w:wordWrap w:val="0"/>
              <w:spacing w:line="360" w:lineRule="exact"/>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每提供1人</w:t>
            </w:r>
            <w:r>
              <w:rPr>
                <w:rFonts w:hint="eastAsia" w:ascii="宋体" w:hAnsi="宋体" w:cs="仿宋_GB2312"/>
                <w:kern w:val="2"/>
                <w:sz w:val="21"/>
                <w:szCs w:val="21"/>
                <w:highlight w:val="none"/>
                <w:lang w:val="en-US" w:eastAsia="zh-CN" w:bidi="ar-SA"/>
              </w:rPr>
              <w:t>同时</w:t>
            </w:r>
            <w:r>
              <w:rPr>
                <w:rFonts w:hint="eastAsia" w:ascii="宋体" w:hAnsi="宋体" w:cs="仿宋_GB2312" w:eastAsiaTheme="minorEastAsia"/>
                <w:kern w:val="2"/>
                <w:sz w:val="21"/>
                <w:szCs w:val="21"/>
                <w:highlight w:val="none"/>
                <w:lang w:val="en-US" w:eastAsia="zh-CN" w:bidi="ar-SA"/>
              </w:rPr>
              <w:t>具有行政机关或事业单位或环卫清洁行业协会颁发的中级或以上清洁管理师证书以及行政机关或事业单位或环卫清洁行业协会颁发的公共环境消毒清洁相关培训合格证书得4分，最高得20分；</w:t>
            </w:r>
          </w:p>
          <w:p w14:paraId="0090455F">
            <w:pPr>
              <w:pStyle w:val="10"/>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本小项最高得分20分；</w:t>
            </w:r>
          </w:p>
          <w:p w14:paraId="02635762">
            <w:pPr>
              <w:wordWrap w:val="0"/>
              <w:spacing w:line="360" w:lineRule="exact"/>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以上1-3项中同一人不兼任多个岗位，同一人拥有拟任岗位要求的同一证书多个等级时，不累计得分，按高分计取。</w:t>
            </w:r>
          </w:p>
          <w:p w14:paraId="31BAAD77">
            <w:pPr>
              <w:wordWrap w:val="0"/>
              <w:spacing w:line="360" w:lineRule="exact"/>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证明文件：</w:t>
            </w:r>
          </w:p>
          <w:p w14:paraId="3D7B5665">
            <w:pPr>
              <w:wordWrap w:val="0"/>
              <w:spacing w:line="360" w:lineRule="exact"/>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1、以上要求学历的：提供学历证书扫描件以及学历信息在学信网查询结果截图（https://www.chsi.com.cn/xlcx/index.jsp）查询截图，由于日期较早无法查询的，需提供毕业院校或者人社部门出具的证明，国外学历证书提供教育部留学服务中心出具的国外学历认证书以及教育部留学服务中心官网查询截图（查询网址：</w:t>
            </w:r>
            <w:r>
              <w:rPr>
                <w:rFonts w:hint="eastAsia" w:ascii="宋体" w:hAnsi="宋体" w:cs="仿宋_GB2312" w:eastAsiaTheme="minorEastAsia"/>
                <w:kern w:val="2"/>
                <w:sz w:val="21"/>
                <w:szCs w:val="21"/>
                <w:highlight w:val="none"/>
                <w:lang w:val="en-US" w:eastAsia="zh-CN" w:bidi="ar-SA"/>
              </w:rPr>
              <w:fldChar w:fldCharType="begin"/>
            </w:r>
            <w:r>
              <w:rPr>
                <w:rFonts w:hint="eastAsia" w:ascii="宋体" w:hAnsi="宋体" w:cs="仿宋_GB2312" w:eastAsiaTheme="minorEastAsia"/>
                <w:kern w:val="2"/>
                <w:sz w:val="21"/>
                <w:szCs w:val="21"/>
                <w:highlight w:val="none"/>
                <w:lang w:val="en-US" w:eastAsia="zh-CN" w:bidi="ar-SA"/>
              </w:rPr>
              <w:instrText xml:space="preserve"> HYPERLINK "http://zwfw.cscse.edu.cn/）；" </w:instrText>
            </w:r>
            <w:r>
              <w:rPr>
                <w:rFonts w:hint="eastAsia" w:ascii="宋体" w:hAnsi="宋体" w:cs="仿宋_GB2312" w:eastAsiaTheme="minorEastAsia"/>
                <w:kern w:val="2"/>
                <w:sz w:val="21"/>
                <w:szCs w:val="21"/>
                <w:highlight w:val="none"/>
                <w:lang w:val="en-US" w:eastAsia="zh-CN" w:bidi="ar-SA"/>
              </w:rPr>
              <w:fldChar w:fldCharType="separate"/>
            </w:r>
            <w:r>
              <w:rPr>
                <w:rFonts w:hint="eastAsia" w:ascii="宋体" w:hAnsi="宋体" w:cs="仿宋_GB2312" w:eastAsiaTheme="minorEastAsia"/>
                <w:kern w:val="2"/>
                <w:sz w:val="21"/>
                <w:szCs w:val="21"/>
                <w:highlight w:val="none"/>
                <w:lang w:val="en-US" w:eastAsia="zh-CN" w:bidi="ar-SA"/>
              </w:rPr>
              <w:t>http://zwfw.cscse.edu.cn/）；</w:t>
            </w:r>
            <w:r>
              <w:rPr>
                <w:rFonts w:hint="eastAsia" w:ascii="宋体" w:hAnsi="宋体" w:cs="仿宋_GB2312" w:eastAsiaTheme="minorEastAsia"/>
                <w:kern w:val="2"/>
                <w:sz w:val="21"/>
                <w:szCs w:val="21"/>
                <w:highlight w:val="none"/>
                <w:lang w:val="en-US" w:eastAsia="zh-CN" w:bidi="ar-SA"/>
              </w:rPr>
              <w:fldChar w:fldCharType="end"/>
            </w:r>
          </w:p>
          <w:p w14:paraId="7DA312D0">
            <w:pPr>
              <w:wordWrap w:val="0"/>
              <w:spacing w:line="360" w:lineRule="exact"/>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2、第1-3项还需提供人员证书扫描件；</w:t>
            </w:r>
          </w:p>
          <w:p w14:paraId="61DB836D">
            <w:pPr>
              <w:wordWrap w:val="0"/>
              <w:spacing w:line="360" w:lineRule="exact"/>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保安员职业资格证书还需提供技能人才评价证书全国联网查询  http://jndj.osta.org.cn/，由协会颁发的还需提供该协会在“中国社会组织政务服务平台”（https://chinanpo.mca.gov.cn/）的已合法登记且状态正常截图，或该协会(机构）由政府部门或行政事业单位审批的证明文件扫描件，否则不予认可，视为无效证书；</w:t>
            </w:r>
            <w:r>
              <w:rPr>
                <w:rFonts w:hint="eastAsia" w:ascii="宋体" w:hAnsi="宋体" w:cs="仿宋_GB2312" w:eastAsiaTheme="minorEastAsia"/>
                <w:kern w:val="2"/>
                <w:sz w:val="21"/>
                <w:szCs w:val="21"/>
                <w:highlight w:val="none"/>
                <w:lang w:val="en-US" w:eastAsia="zh-CN" w:bidi="ar-SA"/>
              </w:rPr>
              <w:t>若为经人社部门备案的中央单位高级职称评审委员会颁发的，则需证明其颁发机构符合人社部门认定或备案要求，提供人社部门网站备案公示截图或人社部门出具的相关证明文件</w:t>
            </w:r>
            <w:r>
              <w:rPr>
                <w:rFonts w:hint="eastAsia" w:ascii="宋体" w:hAnsi="宋体" w:cs="仿宋_GB2312"/>
                <w:kern w:val="2"/>
                <w:sz w:val="21"/>
                <w:szCs w:val="21"/>
                <w:highlight w:val="none"/>
                <w:lang w:val="en-US" w:eastAsia="zh-CN" w:bidi="ar-SA"/>
              </w:rPr>
              <w:t>。</w:t>
            </w:r>
          </w:p>
          <w:p w14:paraId="0F4BCF13">
            <w:pPr>
              <w:wordWrap w:val="0"/>
              <w:spacing w:line="360" w:lineRule="exact"/>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3、</w:t>
            </w:r>
            <w:r>
              <w:rPr>
                <w:rFonts w:hint="eastAsia" w:ascii="宋体" w:hAnsi="宋体" w:cs="仿宋_GB2312"/>
                <w:kern w:val="2"/>
                <w:sz w:val="21"/>
                <w:szCs w:val="21"/>
                <w:highlight w:val="none"/>
                <w:lang w:val="en-US" w:eastAsia="zh-CN" w:bidi="ar-SA"/>
              </w:rPr>
              <w:t>相关人员的工作经验需提供项目合同</w:t>
            </w:r>
            <w:bookmarkEnd w:id="95"/>
            <w:r>
              <w:rPr>
                <w:rFonts w:hint="eastAsia" w:ascii="宋体" w:hAnsi="宋体" w:cs="仿宋_GB2312"/>
                <w:kern w:val="2"/>
                <w:sz w:val="21"/>
                <w:szCs w:val="21"/>
                <w:highlight w:val="none"/>
                <w:lang w:val="en-US" w:eastAsia="zh-CN" w:bidi="ar-SA"/>
              </w:rPr>
              <w:t>关键页扫描件，需体现人员信息，若合同关键页无法体现项目人员信息，可提供由合同甲方出具的加盖合同甲方公章的工作经验证明。</w:t>
            </w:r>
          </w:p>
          <w:p w14:paraId="1B591D89">
            <w:pPr>
              <w:wordWrap w:val="0"/>
              <w:spacing w:line="360" w:lineRule="exact"/>
              <w:rPr>
                <w:rFonts w:hint="eastAsia" w:ascii="宋体" w:hAnsi="宋体" w:cs="仿宋_GB2312" w:eastAsiaTheme="minorEastAsia"/>
                <w:kern w:val="2"/>
                <w:sz w:val="21"/>
                <w:szCs w:val="21"/>
                <w:highlight w:val="none"/>
                <w:lang w:val="en-US" w:eastAsia="zh-CN" w:bidi="ar-SA"/>
              </w:rPr>
            </w:pPr>
            <w:r>
              <w:rPr>
                <w:rFonts w:hint="eastAsia" w:ascii="宋体" w:hAnsi="宋体" w:cs="仿宋_GB2312"/>
                <w:kern w:val="2"/>
                <w:sz w:val="21"/>
                <w:szCs w:val="21"/>
                <w:highlight w:val="none"/>
                <w:lang w:val="en-US" w:eastAsia="zh-CN" w:bidi="ar-SA"/>
              </w:rPr>
              <w:t>4、</w:t>
            </w:r>
            <w:r>
              <w:rPr>
                <w:rFonts w:hint="eastAsia" w:ascii="宋体" w:hAnsi="宋体" w:cs="仿宋_GB2312" w:eastAsiaTheme="minorEastAsia"/>
                <w:kern w:val="2"/>
                <w:sz w:val="21"/>
                <w:szCs w:val="21"/>
                <w:highlight w:val="none"/>
                <w:lang w:val="en-US" w:eastAsia="zh-CN" w:bidi="ar-SA"/>
              </w:rPr>
              <w:t>提供开标日前由投标人为拟投入本项目的所有人缴交的载有政府部门公章（或专用章）的近三个月的社保缴交证明材料（补缴不算），如开标日上一个月的社保材料因政府部门原因暂时无法取得，则可以往前顺延一个月；社保资料至少显示缴交养老保险信息，未显示该信息的该社保资料则不符合要求。如供应商为新成立企业且成立时间不足1个月的，可提供加盖公章的情况说明或其他相关证明材料；</w:t>
            </w:r>
          </w:p>
          <w:p w14:paraId="7DACBE70">
            <w:pPr>
              <w:wordWrap w:val="0"/>
              <w:spacing w:line="360" w:lineRule="exact"/>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以上证明文件；未提供或未按要求提供或提供的不清晰导致专家无法判断的，不得分。</w:t>
            </w:r>
          </w:p>
        </w:tc>
      </w:tr>
      <w:tr w14:paraId="2C21A4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436" w:type="dxa"/>
            <w:vMerge w:val="restart"/>
            <w:tcBorders>
              <w:top w:val="single" w:color="000000" w:sz="8" w:space="0"/>
              <w:left w:val="single" w:color="000000" w:sz="8" w:space="0"/>
              <w:right w:val="single" w:color="000000" w:sz="8" w:space="0"/>
            </w:tcBorders>
            <w:shd w:val="clear" w:color="auto" w:fill="FFFFFF" w:themeFill="background1"/>
          </w:tcPr>
          <w:p w14:paraId="5B60EDB5">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3</w:t>
            </w:r>
          </w:p>
        </w:tc>
        <w:tc>
          <w:tcPr>
            <w:tcW w:w="2896"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tcPr>
          <w:p w14:paraId="4FD6F0B1">
            <w:pPr>
              <w:snapToGrid w:val="0"/>
              <w:jc w:val="center"/>
              <w:rPr>
                <w:rFonts w:hint="eastAsia" w:ascii="宋体" w:hAnsi="宋体" w:eastAsia="宋体" w:cs="宋体"/>
                <w:b/>
                <w:bCs/>
                <w:szCs w:val="21"/>
                <w:highlight w:val="none"/>
              </w:rPr>
            </w:pPr>
            <w:r>
              <w:rPr>
                <w:rFonts w:hint="eastAsia" w:asciiTheme="minorEastAsia" w:hAnsiTheme="minorEastAsia"/>
                <w:b/>
                <w:bCs/>
                <w:szCs w:val="21"/>
                <w:highlight w:val="none"/>
              </w:rPr>
              <w:t>商务</w:t>
            </w:r>
            <w:r>
              <w:rPr>
                <w:rFonts w:hint="eastAsia" w:ascii="宋体" w:hAnsi="宋体" w:eastAsia="宋体" w:cs="宋体"/>
                <w:b/>
                <w:bCs/>
                <w:szCs w:val="21"/>
                <w:highlight w:val="none"/>
              </w:rPr>
              <w:t>部分</w:t>
            </w:r>
          </w:p>
        </w:tc>
        <w:tc>
          <w:tcPr>
            <w:tcW w:w="5740"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24A12D56">
            <w:pPr>
              <w:snapToGrid w:val="0"/>
              <w:jc w:val="center"/>
              <w:rPr>
                <w:rFonts w:hint="default" w:ascii="宋体" w:hAnsi="宋体" w:eastAsia="宋体" w:cs="宋体"/>
                <w:b/>
                <w:bCs/>
                <w:szCs w:val="21"/>
                <w:highlight w:val="none"/>
                <w:lang w:val="en-US" w:eastAsia="zh-CN"/>
              </w:rPr>
            </w:pPr>
            <w:r>
              <w:rPr>
                <w:rFonts w:hint="eastAsia" w:ascii="宋体" w:hAnsi="宋体" w:eastAsia="宋体" w:cs="宋体"/>
                <w:b/>
                <w:bCs/>
                <w:szCs w:val="21"/>
                <w:highlight w:val="none"/>
                <w:lang w:val="en-US" w:eastAsia="zh-CN"/>
              </w:rPr>
              <w:t>33</w:t>
            </w:r>
          </w:p>
        </w:tc>
      </w:tr>
      <w:tr w14:paraId="67BBBA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436" w:type="dxa"/>
            <w:vMerge w:val="continue"/>
            <w:tcBorders>
              <w:left w:val="single" w:color="000000" w:sz="8" w:space="0"/>
              <w:right w:val="single" w:color="000000" w:sz="8" w:space="0"/>
            </w:tcBorders>
            <w:shd w:val="clear" w:color="auto" w:fill="FFFFFF" w:themeFill="background1"/>
            <w:vAlign w:val="center"/>
          </w:tcPr>
          <w:p w14:paraId="1DCECA19">
            <w:pPr>
              <w:snapToGrid w:val="0"/>
              <w:rPr>
                <w:rFonts w:hint="eastAsia" w:ascii="宋体" w:hAnsi="宋体" w:eastAsia="宋体" w:cs="宋体"/>
                <w:b/>
                <w:bCs/>
                <w:szCs w:val="21"/>
                <w:highlight w:val="none"/>
              </w:rPr>
            </w:pPr>
          </w:p>
        </w:tc>
        <w:tc>
          <w:tcPr>
            <w:tcW w:w="636"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36CFE09A">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1100"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2EDE8D06">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评分因素</w:t>
            </w:r>
          </w:p>
        </w:tc>
        <w:tc>
          <w:tcPr>
            <w:tcW w:w="1160"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1FCE875A">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权重</w:t>
            </w:r>
            <w:r>
              <w:rPr>
                <w:rFonts w:hint="eastAsia" w:ascii="宋体" w:hAnsi="宋体" w:eastAsia="宋体" w:cs="宋体"/>
                <w:bCs/>
                <w:szCs w:val="21"/>
                <w:highlight w:val="none"/>
              </w:rPr>
              <w:t>（%）</w:t>
            </w:r>
          </w:p>
        </w:tc>
        <w:tc>
          <w:tcPr>
            <w:tcW w:w="5740"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6A0C795F">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评分准则</w:t>
            </w:r>
          </w:p>
        </w:tc>
      </w:tr>
      <w:tr w14:paraId="03D04E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436" w:type="dxa"/>
            <w:vMerge w:val="continue"/>
            <w:tcBorders>
              <w:left w:val="single" w:color="000000" w:sz="8" w:space="0"/>
              <w:right w:val="single" w:color="000000" w:sz="8" w:space="0"/>
            </w:tcBorders>
            <w:shd w:val="clear" w:color="auto" w:fill="FFFFFF" w:themeFill="background1"/>
            <w:vAlign w:val="center"/>
          </w:tcPr>
          <w:p w14:paraId="7F18574B">
            <w:pPr>
              <w:snapToGrid w:val="0"/>
              <w:rPr>
                <w:rFonts w:hint="eastAsia" w:ascii="宋体" w:hAnsi="宋体" w:eastAsia="宋体" w:cs="宋体"/>
                <w:b/>
                <w:bCs/>
                <w:szCs w:val="21"/>
                <w:highlight w:val="none"/>
              </w:rPr>
            </w:pPr>
          </w:p>
        </w:tc>
        <w:tc>
          <w:tcPr>
            <w:tcW w:w="636"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EE093F5">
            <w:pPr>
              <w:jc w:val="center"/>
              <w:rPr>
                <w:rFonts w:hint="eastAsia" w:ascii="宋体" w:hAnsi="宋体" w:cs="宋体"/>
                <w:kern w:val="0"/>
                <w:szCs w:val="21"/>
                <w:highlight w:val="none"/>
              </w:rPr>
            </w:pPr>
            <w:r>
              <w:rPr>
                <w:rFonts w:hint="eastAsia" w:ascii="宋体" w:hAnsi="宋体" w:cs="宋体"/>
                <w:kern w:val="0"/>
                <w:szCs w:val="21"/>
                <w:highlight w:val="none"/>
              </w:rPr>
              <w:t>1</w:t>
            </w:r>
          </w:p>
        </w:tc>
        <w:tc>
          <w:tcPr>
            <w:tcW w:w="110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7DF3E5C">
            <w:pPr>
              <w:wordWrap w:val="0"/>
              <w:jc w:val="center"/>
              <w:rPr>
                <w:rFonts w:hint="eastAsia" w:ascii="宋体" w:hAnsi="宋体"/>
                <w:szCs w:val="21"/>
                <w:highlight w:val="none"/>
              </w:rPr>
            </w:pPr>
            <w:r>
              <w:rPr>
                <w:rFonts w:hint="eastAsia" w:ascii="宋体" w:hAnsi="宋体"/>
                <w:szCs w:val="21"/>
                <w:highlight w:val="none"/>
              </w:rPr>
              <w:t>投标人通过相关认证情况</w:t>
            </w:r>
          </w:p>
        </w:tc>
        <w:tc>
          <w:tcPr>
            <w:tcW w:w="116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FA9222A">
            <w:pPr>
              <w:wordWrap w:val="0"/>
              <w:jc w:val="center"/>
              <w:rPr>
                <w:rFonts w:hint="eastAsia" w:ascii="宋体" w:hAnsi="宋体"/>
                <w:szCs w:val="21"/>
                <w:highlight w:val="none"/>
              </w:rPr>
            </w:pPr>
            <w:r>
              <w:rPr>
                <w:rFonts w:hint="eastAsia" w:ascii="宋体" w:hAnsi="宋体"/>
                <w:szCs w:val="21"/>
                <w:highlight w:val="none"/>
                <w:lang w:val="en-US" w:eastAsia="zh-CN"/>
              </w:rPr>
              <w:t>10</w:t>
            </w:r>
          </w:p>
        </w:tc>
        <w:tc>
          <w:tcPr>
            <w:tcW w:w="5740" w:type="dxa"/>
            <w:tcBorders>
              <w:top w:val="single" w:color="000000" w:sz="8" w:space="0"/>
              <w:left w:val="single" w:color="000000" w:sz="8" w:space="0"/>
              <w:bottom w:val="single" w:color="000000" w:sz="8" w:space="0"/>
              <w:right w:val="single" w:color="000000" w:sz="8" w:space="0"/>
            </w:tcBorders>
            <w:shd w:val="clear" w:color="auto" w:fill="FFFFFF" w:themeFill="background1"/>
            <w:vAlign w:val="top"/>
          </w:tcPr>
          <w:p w14:paraId="3E0C29F4">
            <w:pPr>
              <w:wordWrap w:val="0"/>
              <w:spacing w:line="360" w:lineRule="exact"/>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考察内容：</w:t>
            </w:r>
          </w:p>
          <w:p w14:paraId="78F55DA1">
            <w:pPr>
              <w:wordWrap w:val="0"/>
              <w:spacing w:line="360" w:lineRule="exact"/>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投标人具有：</w:t>
            </w:r>
          </w:p>
          <w:p w14:paraId="28F24158">
            <w:pPr>
              <w:wordWrap w:val="0"/>
              <w:spacing w:line="360" w:lineRule="exact"/>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（1）质量管理体系认证证书得10分；</w:t>
            </w:r>
          </w:p>
          <w:p w14:paraId="638EA771">
            <w:pPr>
              <w:wordWrap w:val="0"/>
              <w:spacing w:line="360" w:lineRule="exact"/>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（2）职业健康安全管理体系认证证书得10分；</w:t>
            </w:r>
          </w:p>
          <w:p w14:paraId="4B0717E9">
            <w:pPr>
              <w:wordWrap w:val="0"/>
              <w:spacing w:line="360" w:lineRule="exact"/>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（3）环境管理体系认证证书得10分；</w:t>
            </w:r>
          </w:p>
          <w:p w14:paraId="7F67AB22">
            <w:pPr>
              <w:wordWrap w:val="0"/>
              <w:spacing w:line="360" w:lineRule="exact"/>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（4）安全风险管理体系认证证书得10分；</w:t>
            </w:r>
          </w:p>
          <w:p w14:paraId="038CA84D">
            <w:pPr>
              <w:wordWrap w:val="0"/>
              <w:spacing w:line="360" w:lineRule="exact"/>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（5）服务质量达标测评认证证书得10分；</w:t>
            </w:r>
          </w:p>
          <w:p w14:paraId="69C592C3">
            <w:pPr>
              <w:wordWrap w:val="0"/>
              <w:spacing w:line="360" w:lineRule="exact"/>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（6）安全生产标准化认证证书得10分；</w:t>
            </w:r>
          </w:p>
          <w:p w14:paraId="2DA989CC">
            <w:pPr>
              <w:wordWrap w:val="0"/>
              <w:spacing w:line="360" w:lineRule="exact"/>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（7）标准化等级管理体系认证证书得10分；</w:t>
            </w:r>
          </w:p>
          <w:p w14:paraId="2A985ACB">
            <w:pPr>
              <w:wordWrap w:val="0"/>
              <w:spacing w:line="360" w:lineRule="exact"/>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（8）生活垃圾分类服务能力认证证书得10分；</w:t>
            </w:r>
          </w:p>
          <w:p w14:paraId="2132F688">
            <w:pPr>
              <w:wordWrap w:val="0"/>
              <w:spacing w:line="360" w:lineRule="exact"/>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（9）履约能力达标测评类认证证书得10分；</w:t>
            </w:r>
          </w:p>
          <w:p w14:paraId="0390A60C">
            <w:pPr>
              <w:wordWrap w:val="0"/>
              <w:spacing w:line="360" w:lineRule="exact"/>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（10）公共环境灭菌消毒作业服务专业能力评价类认证证书，的得10分。</w:t>
            </w:r>
          </w:p>
          <w:p w14:paraId="65027E41">
            <w:pPr>
              <w:wordWrap w:val="0"/>
              <w:spacing w:line="360" w:lineRule="exact"/>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以上累计最高得100分。</w:t>
            </w:r>
          </w:p>
          <w:p w14:paraId="5D34D1C1">
            <w:pPr>
              <w:wordWrap w:val="0"/>
              <w:spacing w:line="360" w:lineRule="exact"/>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证明文件：</w:t>
            </w:r>
          </w:p>
          <w:p w14:paraId="1A6C7515">
            <w:pPr>
              <w:wordWrap w:val="0"/>
              <w:spacing w:line="360" w:lineRule="exact"/>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1.提供有效的认证证书扫描件，及出具证书官网或全国认证认可信息公共服务平台（http://cx.cnca.cn/）的证书查询记录。认证证书在公开渠道无法查询的，需提供颁发机构的证明材料，证明证书真实有效。评分中出现无证明资料或专家无法凭所提供资料判断是否得分的情况，一律作不得分处理。</w:t>
            </w:r>
          </w:p>
          <w:p w14:paraId="3D52E6D9">
            <w:pPr>
              <w:wordWrap w:val="0"/>
              <w:spacing w:line="360" w:lineRule="exact"/>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2.未按要求提供证明材料(或证明材料无法判断是否符合评分要求)的不得分。</w:t>
            </w:r>
          </w:p>
        </w:tc>
      </w:tr>
      <w:tr w14:paraId="2A33D86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436" w:type="dxa"/>
            <w:vMerge w:val="continue"/>
            <w:tcBorders>
              <w:left w:val="single" w:color="000000" w:sz="8" w:space="0"/>
              <w:right w:val="single" w:color="000000" w:sz="8" w:space="0"/>
            </w:tcBorders>
            <w:shd w:val="clear" w:color="auto" w:fill="FFFFFF" w:themeFill="background1"/>
            <w:vAlign w:val="center"/>
          </w:tcPr>
          <w:p w14:paraId="7B8C17C6">
            <w:pPr>
              <w:snapToGrid w:val="0"/>
              <w:rPr>
                <w:rFonts w:hint="eastAsia" w:ascii="宋体" w:hAnsi="宋体" w:eastAsia="宋体" w:cs="宋体"/>
                <w:b/>
                <w:bCs/>
                <w:szCs w:val="21"/>
                <w:highlight w:val="none"/>
              </w:rPr>
            </w:pPr>
          </w:p>
        </w:tc>
        <w:tc>
          <w:tcPr>
            <w:tcW w:w="636"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3947842">
            <w:pPr>
              <w:jc w:val="center"/>
              <w:rPr>
                <w:rFonts w:hint="eastAsia" w:ascii="宋体" w:hAnsi="宋体" w:cs="宋体"/>
                <w:kern w:val="0"/>
                <w:szCs w:val="21"/>
                <w:highlight w:val="none"/>
              </w:rPr>
            </w:pPr>
            <w:r>
              <w:rPr>
                <w:rFonts w:hint="eastAsia" w:ascii="宋体" w:hAnsi="宋体" w:cs="宋体"/>
                <w:kern w:val="0"/>
                <w:szCs w:val="21"/>
                <w:highlight w:val="none"/>
              </w:rPr>
              <w:t>2</w:t>
            </w:r>
          </w:p>
        </w:tc>
        <w:tc>
          <w:tcPr>
            <w:tcW w:w="110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FD31550">
            <w:pPr>
              <w:wordWrap w:val="0"/>
              <w:jc w:val="center"/>
              <w:rPr>
                <w:rFonts w:hint="eastAsia" w:ascii="宋体" w:hAnsi="宋体"/>
                <w:szCs w:val="21"/>
                <w:highlight w:val="none"/>
              </w:rPr>
            </w:pPr>
            <w:r>
              <w:rPr>
                <w:rFonts w:hint="eastAsia" w:ascii="宋体" w:hAnsi="宋体"/>
                <w:szCs w:val="21"/>
                <w:highlight w:val="none"/>
              </w:rPr>
              <w:t>投标人获奖情况</w:t>
            </w:r>
          </w:p>
        </w:tc>
        <w:tc>
          <w:tcPr>
            <w:tcW w:w="116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9AC61F1">
            <w:pPr>
              <w:wordWrap w:val="0"/>
              <w:jc w:val="center"/>
              <w:rPr>
                <w:rFonts w:hint="eastAsia" w:ascii="宋体" w:hAnsi="宋体"/>
                <w:szCs w:val="21"/>
                <w:highlight w:val="none"/>
              </w:rPr>
            </w:pPr>
            <w:r>
              <w:rPr>
                <w:rFonts w:hint="eastAsia" w:ascii="宋体" w:hAnsi="宋体"/>
                <w:szCs w:val="21"/>
                <w:highlight w:val="none"/>
              </w:rPr>
              <w:t>10</w:t>
            </w:r>
          </w:p>
        </w:tc>
        <w:tc>
          <w:tcPr>
            <w:tcW w:w="5740" w:type="dxa"/>
            <w:tcBorders>
              <w:top w:val="single" w:color="000000" w:sz="8" w:space="0"/>
              <w:left w:val="single" w:color="000000" w:sz="8" w:space="0"/>
              <w:bottom w:val="single" w:color="000000" w:sz="8" w:space="0"/>
              <w:right w:val="single" w:color="000000" w:sz="8" w:space="0"/>
            </w:tcBorders>
            <w:shd w:val="clear" w:color="auto" w:fill="FFFFFF" w:themeFill="background1"/>
            <w:vAlign w:val="top"/>
          </w:tcPr>
          <w:p w14:paraId="24BFDD5E">
            <w:pPr>
              <w:wordWrap w:val="0"/>
              <w:spacing w:line="360" w:lineRule="exact"/>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考察内容：</w:t>
            </w:r>
          </w:p>
          <w:p w14:paraId="5B716791">
            <w:pPr>
              <w:wordWrap w:val="0"/>
              <w:spacing w:line="360" w:lineRule="exact"/>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投标人自2022年1月至本项目投标截止日，投标人或投标人所</w:t>
            </w:r>
            <w:r>
              <w:rPr>
                <w:rFonts w:hint="eastAsia" w:ascii="宋体" w:hAnsi="宋体" w:cs="仿宋_GB2312"/>
                <w:kern w:val="2"/>
                <w:sz w:val="21"/>
                <w:szCs w:val="21"/>
                <w:highlight w:val="none"/>
                <w:lang w:val="en-US" w:eastAsia="zh-CN" w:bidi="ar-SA"/>
              </w:rPr>
              <w:t>服务</w:t>
            </w:r>
            <w:r>
              <w:rPr>
                <w:rFonts w:hint="eastAsia" w:ascii="宋体" w:hAnsi="宋体" w:cs="仿宋_GB2312" w:eastAsiaTheme="minorEastAsia"/>
                <w:kern w:val="2"/>
                <w:sz w:val="21"/>
                <w:szCs w:val="21"/>
                <w:highlight w:val="none"/>
                <w:lang w:val="en-US" w:eastAsia="zh-CN" w:bidi="ar-SA"/>
              </w:rPr>
              <w:t>项目获得以下荣誉：</w:t>
            </w:r>
          </w:p>
          <w:p w14:paraId="16011F8E">
            <w:pPr>
              <w:wordWrap w:val="0"/>
              <w:spacing w:line="360" w:lineRule="exact"/>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1.获得党政机关或行政事业单位颁发的</w:t>
            </w:r>
            <w:r>
              <w:rPr>
                <w:rFonts w:hint="eastAsia" w:ascii="宋体" w:hAnsi="宋体" w:cs="仿宋_GB2312"/>
                <w:kern w:val="2"/>
                <w:sz w:val="21"/>
                <w:szCs w:val="21"/>
                <w:highlight w:val="none"/>
                <w:lang w:val="en-US" w:eastAsia="zh-CN" w:bidi="ar-SA"/>
              </w:rPr>
              <w:t>与</w:t>
            </w:r>
            <w:r>
              <w:rPr>
                <w:rFonts w:hint="eastAsia" w:ascii="宋体" w:hAnsi="宋体" w:cs="仿宋_GB2312" w:eastAsiaTheme="minorEastAsia"/>
                <w:kern w:val="2"/>
                <w:sz w:val="21"/>
                <w:szCs w:val="21"/>
                <w:highlight w:val="none"/>
                <w:lang w:val="en-US" w:eastAsia="zh-CN" w:bidi="ar-SA"/>
              </w:rPr>
              <w:t>垃圾分类相关荣誉的，得25分，本项最高得25分。</w:t>
            </w:r>
          </w:p>
          <w:p w14:paraId="7869140A">
            <w:pPr>
              <w:wordWrap w:val="0"/>
              <w:spacing w:line="360" w:lineRule="exact"/>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2.获得党政机关或行政事业单位颁发的</w:t>
            </w:r>
            <w:r>
              <w:rPr>
                <w:rFonts w:hint="eastAsia" w:ascii="宋体" w:hAnsi="宋体" w:cs="仿宋_GB2312"/>
                <w:kern w:val="2"/>
                <w:sz w:val="21"/>
                <w:szCs w:val="21"/>
                <w:highlight w:val="none"/>
                <w:lang w:val="en-US" w:eastAsia="zh-CN" w:bidi="ar-SA"/>
              </w:rPr>
              <w:t>与</w:t>
            </w:r>
            <w:r>
              <w:rPr>
                <w:rFonts w:hint="eastAsia" w:ascii="宋体" w:hAnsi="宋体" w:cs="仿宋_GB2312" w:eastAsiaTheme="minorEastAsia"/>
                <w:kern w:val="2"/>
                <w:sz w:val="21"/>
                <w:szCs w:val="21"/>
                <w:highlight w:val="none"/>
                <w:lang w:val="en-US" w:eastAsia="zh-CN" w:bidi="ar-SA"/>
              </w:rPr>
              <w:t>保安相关荣誉的，得25分，本项最高得25分。</w:t>
            </w:r>
          </w:p>
          <w:p w14:paraId="46DA056B">
            <w:pPr>
              <w:wordWrap w:val="0"/>
              <w:spacing w:line="360" w:lineRule="exact"/>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3.获得党政机关或行政事业单位颁发的物业服务优秀企业(或先进)或示范荣誉的，得25分，最高得25分。</w:t>
            </w:r>
          </w:p>
          <w:p w14:paraId="7F965FC7">
            <w:pPr>
              <w:wordWrap w:val="0"/>
              <w:spacing w:line="360" w:lineRule="exact"/>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4.获得党政机关或行政事业单位颁发的</w:t>
            </w:r>
            <w:r>
              <w:rPr>
                <w:rFonts w:hint="eastAsia" w:ascii="宋体" w:hAnsi="宋体" w:cs="仿宋_GB2312"/>
                <w:kern w:val="2"/>
                <w:sz w:val="21"/>
                <w:szCs w:val="21"/>
                <w:highlight w:val="none"/>
                <w:lang w:val="en-US" w:eastAsia="zh-CN" w:bidi="ar-SA"/>
              </w:rPr>
              <w:t>与</w:t>
            </w:r>
            <w:r>
              <w:rPr>
                <w:rFonts w:hint="eastAsia" w:ascii="宋体" w:hAnsi="宋体" w:cs="仿宋_GB2312" w:eastAsiaTheme="minorEastAsia"/>
                <w:kern w:val="2"/>
                <w:sz w:val="21"/>
                <w:szCs w:val="21"/>
                <w:highlight w:val="none"/>
                <w:lang w:val="en-US" w:eastAsia="zh-CN" w:bidi="ar-SA"/>
              </w:rPr>
              <w:t>节水或节能</w:t>
            </w:r>
            <w:r>
              <w:rPr>
                <w:rFonts w:hint="eastAsia" w:ascii="宋体" w:hAnsi="宋体" w:cs="仿宋_GB2312"/>
                <w:kern w:val="2"/>
                <w:sz w:val="21"/>
                <w:szCs w:val="21"/>
                <w:highlight w:val="none"/>
                <w:lang w:val="en-US" w:eastAsia="zh-CN" w:bidi="ar-SA"/>
              </w:rPr>
              <w:t>相关</w:t>
            </w:r>
            <w:r>
              <w:rPr>
                <w:rFonts w:hint="eastAsia" w:ascii="宋体" w:hAnsi="宋体" w:cs="仿宋_GB2312" w:eastAsiaTheme="minorEastAsia"/>
                <w:kern w:val="2"/>
                <w:sz w:val="21"/>
                <w:szCs w:val="21"/>
                <w:highlight w:val="none"/>
                <w:lang w:val="en-US" w:eastAsia="zh-CN" w:bidi="ar-SA"/>
              </w:rPr>
              <w:t>荣誉的，得25分，本项最高得25分。</w:t>
            </w:r>
          </w:p>
          <w:p w14:paraId="76B7CA20">
            <w:pPr>
              <w:wordWrap w:val="0"/>
              <w:spacing w:line="360" w:lineRule="exact"/>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以上累计得分，最高得100分。</w:t>
            </w:r>
          </w:p>
          <w:p w14:paraId="0B7C23A6">
            <w:pPr>
              <w:wordWrap w:val="0"/>
              <w:spacing w:line="360" w:lineRule="exact"/>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证明文件：</w:t>
            </w:r>
          </w:p>
          <w:p w14:paraId="6C7A4795">
            <w:pPr>
              <w:wordWrap w:val="0"/>
              <w:spacing w:line="360" w:lineRule="exact"/>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1.提供相关奖项或荣誉证书材料（材料须能体现获奖人为投标人或获奖项目为投标人承接的项目）扫描件</w:t>
            </w:r>
            <w:r>
              <w:rPr>
                <w:rFonts w:hint="eastAsia" w:ascii="宋体" w:hAnsi="宋体" w:cs="仿宋_GB2312"/>
                <w:kern w:val="2"/>
                <w:sz w:val="21"/>
                <w:szCs w:val="21"/>
                <w:highlight w:val="none"/>
                <w:lang w:val="en-US" w:eastAsia="zh-CN" w:bidi="ar-SA"/>
              </w:rPr>
              <w:t>；如为投标人承接项目获奖的，需提供项目合同关键页，需体现合同主体</w:t>
            </w:r>
            <w:r>
              <w:rPr>
                <w:rFonts w:hint="eastAsia" w:ascii="宋体" w:hAnsi="宋体" w:cs="仿宋_GB2312" w:eastAsiaTheme="minorEastAsia"/>
                <w:kern w:val="2"/>
                <w:sz w:val="21"/>
                <w:szCs w:val="21"/>
                <w:highlight w:val="none"/>
                <w:lang w:val="en-US" w:eastAsia="zh-CN" w:bidi="ar-SA"/>
              </w:rPr>
              <w:t>。</w:t>
            </w:r>
          </w:p>
          <w:p w14:paraId="7E588C84">
            <w:pPr>
              <w:wordWrap w:val="0"/>
              <w:spacing w:line="360" w:lineRule="exact"/>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2.未按要求提供证明材料（或证明材料无法判断是否符合评分要求）的不得分。</w:t>
            </w:r>
          </w:p>
        </w:tc>
      </w:tr>
      <w:tr w14:paraId="277D16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436" w:type="dxa"/>
            <w:vMerge w:val="continue"/>
            <w:tcBorders>
              <w:left w:val="single" w:color="000000" w:sz="8" w:space="0"/>
              <w:right w:val="single" w:color="000000" w:sz="8" w:space="0"/>
            </w:tcBorders>
            <w:shd w:val="clear" w:color="auto" w:fill="FFFFFF" w:themeFill="background1"/>
            <w:vAlign w:val="center"/>
          </w:tcPr>
          <w:p w14:paraId="7F730B3E">
            <w:pPr>
              <w:snapToGrid w:val="0"/>
              <w:rPr>
                <w:rFonts w:hint="eastAsia" w:ascii="宋体" w:hAnsi="宋体" w:eastAsia="宋体" w:cs="宋体"/>
                <w:b/>
                <w:bCs/>
                <w:szCs w:val="21"/>
                <w:highlight w:val="none"/>
              </w:rPr>
            </w:pPr>
          </w:p>
        </w:tc>
        <w:tc>
          <w:tcPr>
            <w:tcW w:w="636"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3026223">
            <w:pPr>
              <w:spacing w:line="360" w:lineRule="auto"/>
              <w:jc w:val="center"/>
              <w:rPr>
                <w:rFonts w:hint="eastAsia" w:ascii="宋体" w:hAnsi="宋体" w:cs="宋体"/>
                <w:kern w:val="0"/>
                <w:szCs w:val="21"/>
                <w:highlight w:val="none"/>
              </w:rPr>
            </w:pPr>
            <w:r>
              <w:rPr>
                <w:rFonts w:hint="eastAsia" w:ascii="宋体" w:hAnsi="宋体" w:cs="宋体"/>
                <w:szCs w:val="21"/>
                <w:highlight w:val="none"/>
              </w:rPr>
              <w:t>3</w:t>
            </w:r>
          </w:p>
        </w:tc>
        <w:tc>
          <w:tcPr>
            <w:tcW w:w="110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FFF3ABA">
            <w:pPr>
              <w:wordWrap w:val="0"/>
              <w:jc w:val="center"/>
              <w:rPr>
                <w:rFonts w:hint="eastAsia" w:ascii="宋体" w:hAnsi="宋体"/>
                <w:szCs w:val="21"/>
                <w:highlight w:val="none"/>
              </w:rPr>
            </w:pPr>
            <w:r>
              <w:rPr>
                <w:rFonts w:hint="eastAsia" w:ascii="宋体" w:hAnsi="宋体"/>
                <w:szCs w:val="21"/>
                <w:highlight w:val="none"/>
              </w:rPr>
              <w:t>同类项目业绩</w:t>
            </w:r>
          </w:p>
        </w:tc>
        <w:tc>
          <w:tcPr>
            <w:tcW w:w="116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9CC03B9">
            <w:pPr>
              <w:wordWrap w:val="0"/>
              <w:jc w:val="center"/>
              <w:rPr>
                <w:rFonts w:hint="eastAsia" w:ascii="宋体" w:hAnsi="宋体"/>
                <w:szCs w:val="21"/>
                <w:highlight w:val="none"/>
              </w:rPr>
            </w:pPr>
            <w:r>
              <w:rPr>
                <w:rFonts w:hint="eastAsia" w:ascii="宋体" w:hAnsi="宋体"/>
                <w:szCs w:val="21"/>
                <w:highlight w:val="none"/>
              </w:rPr>
              <w:t>10</w:t>
            </w:r>
          </w:p>
        </w:tc>
        <w:tc>
          <w:tcPr>
            <w:tcW w:w="574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C8D4132">
            <w:pPr>
              <w:wordWrap w:val="0"/>
              <w:spacing w:line="360" w:lineRule="exact"/>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考察内容：</w:t>
            </w:r>
          </w:p>
          <w:p w14:paraId="5AB56303">
            <w:pPr>
              <w:wordWrap w:val="0"/>
              <w:spacing w:line="360" w:lineRule="exact"/>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投标人自2022年1月1日至投标截止时间前（以合同签订时间为准），具有单个学校</w:t>
            </w:r>
            <w:r>
              <w:rPr>
                <w:rFonts w:hint="eastAsia" w:ascii="宋体" w:hAnsi="宋体" w:cs="仿宋_GB2312"/>
                <w:kern w:val="2"/>
                <w:sz w:val="21"/>
                <w:szCs w:val="21"/>
                <w:highlight w:val="none"/>
                <w:lang w:val="en-US" w:eastAsia="zh-CN" w:bidi="ar-SA"/>
              </w:rPr>
              <w:t>或幼儿园</w:t>
            </w:r>
            <w:r>
              <w:rPr>
                <w:rFonts w:hint="eastAsia" w:ascii="宋体" w:hAnsi="宋体" w:cs="仿宋_GB2312" w:eastAsiaTheme="minorEastAsia"/>
                <w:kern w:val="2"/>
                <w:sz w:val="21"/>
                <w:szCs w:val="21"/>
                <w:highlight w:val="none"/>
                <w:lang w:val="en-US" w:eastAsia="zh-CN" w:bidi="ar-SA"/>
              </w:rPr>
              <w:t>物业管理经验（服务内容：</w:t>
            </w:r>
            <w:r>
              <w:rPr>
                <w:rFonts w:hint="eastAsia" w:ascii="宋体" w:hAnsi="宋体" w:cs="仿宋_GB2312"/>
                <w:kern w:val="2"/>
                <w:sz w:val="21"/>
                <w:szCs w:val="21"/>
                <w:highlight w:val="none"/>
                <w:lang w:val="en-US" w:eastAsia="zh-CN" w:bidi="ar-SA"/>
              </w:rPr>
              <w:t>包含①</w:t>
            </w:r>
            <w:r>
              <w:rPr>
                <w:rFonts w:hint="eastAsia" w:ascii="宋体" w:hAnsi="宋体" w:cs="仿宋_GB2312" w:eastAsiaTheme="minorEastAsia"/>
                <w:kern w:val="2"/>
                <w:sz w:val="21"/>
                <w:szCs w:val="21"/>
                <w:highlight w:val="none"/>
                <w:lang w:val="en-US" w:eastAsia="zh-CN" w:bidi="ar-SA"/>
              </w:rPr>
              <w:t>保洁</w:t>
            </w:r>
            <w:r>
              <w:rPr>
                <w:rFonts w:hint="eastAsia" w:ascii="宋体" w:hAnsi="宋体" w:cs="仿宋_GB2312"/>
                <w:kern w:val="2"/>
                <w:sz w:val="21"/>
                <w:szCs w:val="21"/>
                <w:highlight w:val="none"/>
                <w:lang w:val="en-US" w:eastAsia="zh-CN" w:bidi="ar-SA"/>
              </w:rPr>
              <w:t>及②</w:t>
            </w:r>
            <w:r>
              <w:rPr>
                <w:rFonts w:hint="eastAsia" w:ascii="宋体" w:hAnsi="宋体" w:cs="仿宋_GB2312" w:eastAsiaTheme="minorEastAsia"/>
                <w:kern w:val="2"/>
                <w:sz w:val="21"/>
                <w:szCs w:val="21"/>
                <w:highlight w:val="none"/>
                <w:lang w:val="en-US" w:eastAsia="zh-CN" w:bidi="ar-SA"/>
              </w:rPr>
              <w:t>保安或秩序维护</w:t>
            </w:r>
            <w:r>
              <w:rPr>
                <w:rFonts w:hint="eastAsia" w:ascii="宋体" w:hAnsi="宋体" w:cs="仿宋_GB2312"/>
                <w:kern w:val="2"/>
                <w:sz w:val="21"/>
                <w:szCs w:val="21"/>
                <w:highlight w:val="none"/>
                <w:lang w:val="en-US" w:eastAsia="zh-CN" w:bidi="ar-SA"/>
              </w:rPr>
              <w:t>等内容</w:t>
            </w:r>
            <w:r>
              <w:rPr>
                <w:rFonts w:hint="eastAsia" w:ascii="宋体" w:hAnsi="宋体" w:cs="仿宋_GB2312" w:eastAsiaTheme="minorEastAsia"/>
                <w:kern w:val="2"/>
                <w:sz w:val="21"/>
                <w:szCs w:val="21"/>
                <w:highlight w:val="none"/>
                <w:lang w:val="en-US" w:eastAsia="zh-CN" w:bidi="ar-SA"/>
              </w:rPr>
              <w:t xml:space="preserve">，服务内容的文字描述可以不完全一致，意思相近即可），一个业绩得17.5分，累计最高100分；同一项目续签不可以重复得分。 </w:t>
            </w:r>
          </w:p>
          <w:p w14:paraId="511006C0">
            <w:pPr>
              <w:wordWrap w:val="0"/>
              <w:spacing w:line="360" w:lineRule="exact"/>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证明文件：</w:t>
            </w:r>
          </w:p>
          <w:p w14:paraId="76D07C19">
            <w:pPr>
              <w:wordWrap w:val="0"/>
              <w:spacing w:line="360" w:lineRule="exact"/>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投标人提供项目合同关键页扫描件，未按要求提供或提供不清晰导致专家无法判断的均不得分，原件备查。</w:t>
            </w:r>
          </w:p>
        </w:tc>
      </w:tr>
      <w:tr w14:paraId="24F2F7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436" w:type="dxa"/>
            <w:vMerge w:val="continue"/>
            <w:tcBorders>
              <w:left w:val="single" w:color="000000" w:sz="8" w:space="0"/>
              <w:right w:val="single" w:color="000000" w:sz="8" w:space="0"/>
            </w:tcBorders>
            <w:shd w:val="clear" w:color="auto" w:fill="FFFFFF" w:themeFill="background1"/>
            <w:vAlign w:val="center"/>
          </w:tcPr>
          <w:p w14:paraId="63D4236E">
            <w:pPr>
              <w:snapToGrid w:val="0"/>
              <w:rPr>
                <w:rFonts w:hint="eastAsia" w:ascii="宋体" w:hAnsi="宋体" w:eastAsia="宋体" w:cs="宋体"/>
                <w:b/>
                <w:bCs/>
                <w:szCs w:val="21"/>
                <w:highlight w:val="none"/>
              </w:rPr>
            </w:pPr>
          </w:p>
        </w:tc>
        <w:tc>
          <w:tcPr>
            <w:tcW w:w="636"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75CD50C">
            <w:pPr>
              <w:spacing w:line="360" w:lineRule="auto"/>
              <w:jc w:val="center"/>
              <w:rPr>
                <w:rFonts w:hint="eastAsia" w:ascii="宋体" w:hAnsi="宋体" w:cs="宋体"/>
                <w:kern w:val="0"/>
                <w:szCs w:val="21"/>
                <w:highlight w:val="none"/>
              </w:rPr>
            </w:pPr>
            <w:r>
              <w:rPr>
                <w:rFonts w:hint="eastAsia" w:ascii="宋体" w:hAnsi="宋体" w:cs="宋体"/>
                <w:szCs w:val="21"/>
                <w:highlight w:val="none"/>
              </w:rPr>
              <w:t>4</w:t>
            </w:r>
          </w:p>
        </w:tc>
        <w:tc>
          <w:tcPr>
            <w:tcW w:w="110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DC0F40D">
            <w:pPr>
              <w:wordWrap w:val="0"/>
              <w:jc w:val="center"/>
              <w:rPr>
                <w:rFonts w:hint="eastAsia" w:ascii="宋体" w:hAnsi="宋体"/>
                <w:szCs w:val="21"/>
                <w:highlight w:val="none"/>
              </w:rPr>
            </w:pPr>
            <w:r>
              <w:rPr>
                <w:rFonts w:hint="eastAsia" w:ascii="宋体" w:hAnsi="宋体"/>
                <w:szCs w:val="21"/>
                <w:highlight w:val="none"/>
              </w:rPr>
              <w:t>履约评价情况</w:t>
            </w:r>
          </w:p>
        </w:tc>
        <w:tc>
          <w:tcPr>
            <w:tcW w:w="116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F14C129">
            <w:pPr>
              <w:wordWrap w:val="0"/>
              <w:jc w:val="center"/>
              <w:rPr>
                <w:rFonts w:hint="eastAsia" w:ascii="宋体" w:hAnsi="宋体"/>
                <w:szCs w:val="21"/>
                <w:highlight w:val="none"/>
              </w:rPr>
            </w:pPr>
            <w:r>
              <w:rPr>
                <w:rFonts w:hint="eastAsia" w:ascii="宋体" w:hAnsi="宋体"/>
                <w:szCs w:val="21"/>
                <w:highlight w:val="none"/>
              </w:rPr>
              <w:t>3</w:t>
            </w:r>
          </w:p>
        </w:tc>
        <w:tc>
          <w:tcPr>
            <w:tcW w:w="5740" w:type="dxa"/>
            <w:tcBorders>
              <w:top w:val="single" w:color="000000" w:sz="8" w:space="0"/>
              <w:left w:val="single" w:color="000000" w:sz="8" w:space="0"/>
              <w:bottom w:val="single" w:color="000000" w:sz="8" w:space="0"/>
              <w:right w:val="single" w:color="000000" w:sz="8" w:space="0"/>
            </w:tcBorders>
            <w:shd w:val="clear" w:color="auto" w:fill="FFFFFF" w:themeFill="background1"/>
            <w:vAlign w:val="top"/>
          </w:tcPr>
          <w:p w14:paraId="053FD1E4">
            <w:pPr>
              <w:wordWrap w:val="0"/>
              <w:spacing w:line="360" w:lineRule="exact"/>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 xml:space="preserve">考察内容： </w:t>
            </w:r>
          </w:p>
          <w:p w14:paraId="46E25FB8">
            <w:pPr>
              <w:wordWrap w:val="0"/>
              <w:spacing w:line="360" w:lineRule="exact"/>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投标人在上述同类项目业绩评审项中参加评审的有效</w:t>
            </w:r>
            <w:r>
              <w:rPr>
                <w:rFonts w:hint="eastAsia" w:ascii="宋体" w:hAnsi="宋体" w:cs="仿宋_GB2312"/>
                <w:kern w:val="2"/>
                <w:sz w:val="21"/>
                <w:szCs w:val="21"/>
                <w:highlight w:val="none"/>
                <w:lang w:val="en-US" w:eastAsia="zh-CN" w:bidi="ar-SA"/>
              </w:rPr>
              <w:t>得分的</w:t>
            </w:r>
            <w:r>
              <w:rPr>
                <w:rFonts w:hint="eastAsia" w:ascii="宋体" w:hAnsi="宋体" w:cs="仿宋_GB2312" w:eastAsiaTheme="minorEastAsia"/>
                <w:kern w:val="2"/>
                <w:sz w:val="21"/>
                <w:szCs w:val="21"/>
                <w:highlight w:val="none"/>
                <w:lang w:val="en-US" w:eastAsia="zh-CN" w:bidi="ar-SA"/>
              </w:rPr>
              <w:t>业绩，能够提供用户出具的履约评价书，并经服务单位考核评价为优（优秀）或满意或同等最高级别评价的，每提供1项得17.5分，累计最高得 100分。</w:t>
            </w:r>
          </w:p>
          <w:p w14:paraId="6D653781">
            <w:pPr>
              <w:wordWrap w:val="0"/>
              <w:spacing w:line="360" w:lineRule="exact"/>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证明文件：</w:t>
            </w:r>
          </w:p>
          <w:p w14:paraId="7365E456">
            <w:pPr>
              <w:wordWrap w:val="0"/>
              <w:spacing w:line="360" w:lineRule="exact"/>
              <w:rPr>
                <w:rFonts w:hint="eastAsia" w:ascii="宋体" w:hAnsi="宋体" w:cs="仿宋_GB2312" w:eastAsiaTheme="minorEastAsia"/>
                <w:kern w:val="2"/>
                <w:sz w:val="21"/>
                <w:szCs w:val="21"/>
                <w:highlight w:val="none"/>
                <w:lang w:val="en-US" w:eastAsia="zh-CN" w:bidi="ar-SA"/>
              </w:rPr>
            </w:pPr>
            <w:r>
              <w:rPr>
                <w:rFonts w:hint="eastAsia" w:ascii="宋体" w:hAnsi="宋体" w:cs="仿宋_GB2312" w:eastAsiaTheme="minorEastAsia"/>
                <w:kern w:val="2"/>
                <w:sz w:val="21"/>
                <w:szCs w:val="21"/>
                <w:highlight w:val="none"/>
                <w:lang w:val="en-US" w:eastAsia="zh-CN" w:bidi="ar-SA"/>
              </w:rPr>
              <w:t>投标人提供用户出具的履约评价书（加盖用户单位公章或业务章）扫描件，未按要求提供或提供不清晰导致专家无法判断的均不得分，原件备查。</w:t>
            </w:r>
          </w:p>
        </w:tc>
      </w:tr>
      <w:tr w14:paraId="6A033F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436" w:type="dxa"/>
            <w:vMerge w:val="restart"/>
            <w:tcBorders>
              <w:left w:val="single" w:color="000000" w:sz="8" w:space="0"/>
              <w:right w:val="single" w:color="000000" w:sz="8" w:space="0"/>
            </w:tcBorders>
            <w:shd w:val="clear" w:color="auto" w:fill="FFFFFF" w:themeFill="background1"/>
          </w:tcPr>
          <w:p w14:paraId="72BBC0EF">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4</w:t>
            </w:r>
          </w:p>
        </w:tc>
        <w:tc>
          <w:tcPr>
            <w:tcW w:w="2896"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tcPr>
          <w:p w14:paraId="38B791A3">
            <w:pPr>
              <w:wordWrap w:val="0"/>
              <w:jc w:val="center"/>
              <w:rPr>
                <w:rFonts w:hint="eastAsia" w:ascii="宋体" w:hAnsi="宋体"/>
                <w:szCs w:val="21"/>
                <w:highlight w:val="none"/>
              </w:rPr>
            </w:pPr>
            <w:r>
              <w:rPr>
                <w:rFonts w:hint="eastAsia" w:ascii="宋体" w:hAnsi="宋体" w:eastAsia="宋体" w:cs="宋体"/>
                <w:b/>
                <w:bCs/>
                <w:szCs w:val="21"/>
                <w:highlight w:val="none"/>
              </w:rPr>
              <w:t>诚信情况</w:t>
            </w:r>
          </w:p>
        </w:tc>
        <w:tc>
          <w:tcPr>
            <w:tcW w:w="5740"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246E6A56">
            <w:pPr>
              <w:pStyle w:val="10"/>
              <w:jc w:val="center"/>
              <w:rPr>
                <w:rFonts w:hint="eastAsia" w:ascii="宋体" w:hAnsi="宋体" w:eastAsia="宋体" w:cs="Times New Roman"/>
                <w:szCs w:val="21"/>
                <w:highlight w:val="none"/>
              </w:rPr>
            </w:pPr>
            <w:r>
              <w:rPr>
                <w:rFonts w:hint="eastAsia" w:ascii="宋体" w:hAnsi="宋体" w:eastAsia="宋体" w:cs="Times New Roman"/>
                <w:szCs w:val="21"/>
                <w:highlight w:val="none"/>
              </w:rPr>
              <w:t>5</w:t>
            </w:r>
          </w:p>
        </w:tc>
      </w:tr>
      <w:tr w14:paraId="49DF31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436" w:type="dxa"/>
            <w:vMerge w:val="continue"/>
            <w:tcBorders>
              <w:left w:val="single" w:color="000000" w:sz="8" w:space="0"/>
              <w:right w:val="single" w:color="000000" w:sz="8" w:space="0"/>
            </w:tcBorders>
            <w:shd w:val="clear" w:color="auto" w:fill="FFFFFF" w:themeFill="background1"/>
          </w:tcPr>
          <w:p w14:paraId="65ECB213">
            <w:pPr>
              <w:snapToGrid w:val="0"/>
              <w:rPr>
                <w:rFonts w:hint="eastAsia" w:ascii="宋体" w:hAnsi="宋体" w:eastAsia="宋体" w:cs="宋体"/>
                <w:b/>
                <w:bCs/>
                <w:szCs w:val="21"/>
                <w:highlight w:val="none"/>
              </w:rPr>
            </w:pPr>
          </w:p>
        </w:tc>
        <w:tc>
          <w:tcPr>
            <w:tcW w:w="0" w:type="auto"/>
            <w:shd w:val="clear" w:color="auto" w:fill="FFFFFF" w:themeFill="background1"/>
            <w:vAlign w:val="center"/>
          </w:tcPr>
          <w:p w14:paraId="6A99385E">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0" w:type="auto"/>
            <w:shd w:val="clear" w:color="auto" w:fill="FFFFFF" w:themeFill="background1"/>
            <w:vAlign w:val="center"/>
          </w:tcPr>
          <w:p w14:paraId="7BCB8E5E">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评分因素</w:t>
            </w:r>
          </w:p>
        </w:tc>
        <w:tc>
          <w:tcPr>
            <w:tcW w:w="1160" w:type="dxa"/>
            <w:shd w:val="clear" w:color="auto" w:fill="FFFFFF" w:themeFill="background1"/>
            <w:vAlign w:val="center"/>
          </w:tcPr>
          <w:p w14:paraId="4560542A">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权重</w:t>
            </w:r>
            <w:r>
              <w:rPr>
                <w:rFonts w:hint="eastAsia" w:ascii="宋体" w:hAnsi="宋体" w:eastAsia="宋体" w:cs="宋体"/>
                <w:bCs/>
                <w:szCs w:val="21"/>
                <w:highlight w:val="none"/>
              </w:rPr>
              <w:t>（%）</w:t>
            </w:r>
          </w:p>
        </w:tc>
        <w:tc>
          <w:tcPr>
            <w:tcW w:w="5740" w:type="dxa"/>
            <w:shd w:val="clear" w:color="auto" w:fill="FFFFFF" w:themeFill="background1"/>
            <w:vAlign w:val="center"/>
          </w:tcPr>
          <w:p w14:paraId="6DA4A2E2">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评分准则</w:t>
            </w:r>
          </w:p>
        </w:tc>
      </w:tr>
      <w:tr w14:paraId="36AB24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Change w:id="1" w:author="陈聪" w:date="2025-07-24T14:25:44Z">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blPrExChange>
        </w:tblPrEx>
        <w:trPr>
          <w:jc w:val="center"/>
          <w:trPrChange w:id="1" w:author="陈聪" w:date="2025-07-24T14:25:44Z">
            <w:trPr>
              <w:jc w:val="center"/>
            </w:trPr>
          </w:trPrChange>
        </w:trPr>
        <w:tc>
          <w:tcPr>
            <w:tcW w:w="436" w:type="dxa"/>
            <w:vMerge w:val="continue"/>
            <w:tcBorders>
              <w:left w:val="single" w:color="000000" w:sz="8" w:space="0"/>
              <w:right w:val="single" w:color="000000" w:sz="8" w:space="0"/>
            </w:tcBorders>
            <w:shd w:val="clear" w:color="auto" w:fill="FFFFFF" w:themeFill="background1"/>
            <w:tcPrChange w:id="2" w:author="陈聪" w:date="2025-07-24T14:25:44Z">
              <w:tcPr>
                <w:tcW w:w="436" w:type="dxa"/>
                <w:vMerge w:val="continue"/>
                <w:tcBorders>
                  <w:left w:val="single" w:color="000000" w:sz="8" w:space="0"/>
                  <w:right w:val="single" w:color="000000" w:sz="8" w:space="0"/>
                </w:tcBorders>
                <w:shd w:val="clear" w:color="auto" w:fill="FFFFFF" w:themeFill="background1"/>
              </w:tcPr>
            </w:tcPrChange>
          </w:tcPr>
          <w:p w14:paraId="50C2942D">
            <w:pPr>
              <w:snapToGrid w:val="0"/>
              <w:rPr>
                <w:rFonts w:hint="eastAsia" w:ascii="宋体" w:hAnsi="宋体" w:eastAsia="宋体" w:cs="宋体"/>
                <w:b/>
                <w:bCs/>
                <w:szCs w:val="21"/>
                <w:highlight w:val="none"/>
              </w:rPr>
            </w:pPr>
          </w:p>
        </w:tc>
        <w:tc>
          <w:tcPr>
            <w:tcW w:w="0" w:type="auto"/>
            <w:shd w:val="clear" w:color="auto" w:fill="FFFFFF" w:themeFill="background1"/>
            <w:vAlign w:val="center"/>
            <w:tcPrChange w:id="3" w:author="陈聪" w:date="2025-07-24T14:25:44Z">
              <w:tcPr>
                <w:tcW w:w="0" w:type="auto"/>
                <w:shd w:val="clear" w:color="auto" w:fill="FFFFFF" w:themeFill="background1"/>
                <w:vAlign w:val="center"/>
              </w:tcPr>
            </w:tcPrChange>
          </w:tcPr>
          <w:p w14:paraId="02332D76">
            <w:pPr>
              <w:jc w:val="center"/>
              <w:rPr>
                <w:rFonts w:hint="eastAsia" w:ascii="宋体" w:hAnsi="宋体" w:cs="宋体"/>
                <w:kern w:val="0"/>
                <w:szCs w:val="21"/>
                <w:highlight w:val="none"/>
              </w:rPr>
            </w:pPr>
            <w:r>
              <w:rPr>
                <w:rFonts w:hint="eastAsia" w:ascii="宋体" w:hAnsi="宋体" w:cs="宋体"/>
                <w:kern w:val="0"/>
                <w:szCs w:val="21"/>
                <w:highlight w:val="none"/>
              </w:rPr>
              <w:t>1</w:t>
            </w:r>
          </w:p>
        </w:tc>
        <w:tc>
          <w:tcPr>
            <w:tcW w:w="1100" w:type="dxa"/>
            <w:shd w:val="clear" w:color="auto" w:fill="FFFFFF" w:themeFill="background1"/>
            <w:vAlign w:val="center"/>
            <w:tcPrChange w:id="4" w:author="陈聪" w:date="2025-07-24T14:25:44Z">
              <w:tcPr>
                <w:tcW w:w="1101" w:type="dxa"/>
                <w:shd w:val="clear" w:color="auto" w:fill="FFFFFF" w:themeFill="background1"/>
                <w:vAlign w:val="center"/>
              </w:tcPr>
            </w:tcPrChange>
          </w:tcPr>
          <w:p w14:paraId="4D98635B">
            <w:pPr>
              <w:wordWrap w:val="0"/>
              <w:jc w:val="center"/>
              <w:rPr>
                <w:rFonts w:hint="eastAsia" w:ascii="宋体" w:hAnsi="宋体" w:eastAsia="宋体" w:cs="宋体"/>
                <w:szCs w:val="21"/>
                <w:highlight w:val="none"/>
              </w:rPr>
            </w:pPr>
            <w:r>
              <w:rPr>
                <w:rFonts w:ascii="宋体" w:hAnsi="宋体"/>
                <w:szCs w:val="21"/>
                <w:highlight w:val="none"/>
              </w:rPr>
              <w:t>诚信情况</w:t>
            </w:r>
          </w:p>
        </w:tc>
        <w:tc>
          <w:tcPr>
            <w:tcW w:w="1160" w:type="dxa"/>
            <w:shd w:val="clear" w:color="auto" w:fill="FFFFFF" w:themeFill="background1"/>
            <w:vAlign w:val="center"/>
            <w:tcPrChange w:id="5" w:author="陈聪" w:date="2025-07-24T14:25:44Z">
              <w:tcPr>
                <w:tcW w:w="1155" w:type="dxa"/>
                <w:shd w:val="clear" w:color="auto" w:fill="FFFFFF" w:themeFill="background1"/>
                <w:vAlign w:val="center"/>
              </w:tcPr>
            </w:tcPrChange>
          </w:tcPr>
          <w:p w14:paraId="04E73D9C">
            <w:pPr>
              <w:wordWrap w:val="0"/>
              <w:jc w:val="center"/>
              <w:rPr>
                <w:rFonts w:hint="eastAsia" w:ascii="宋体" w:hAnsi="宋体" w:cs="宋体"/>
                <w:szCs w:val="21"/>
                <w:highlight w:val="none"/>
              </w:rPr>
            </w:pPr>
            <w:r>
              <w:rPr>
                <w:rFonts w:hint="eastAsia"/>
                <w:szCs w:val="21"/>
                <w:highlight w:val="none"/>
              </w:rPr>
              <w:t>5</w:t>
            </w:r>
          </w:p>
        </w:tc>
        <w:tc>
          <w:tcPr>
            <w:tcW w:w="5740" w:type="dxa"/>
            <w:shd w:val="clear" w:color="auto" w:fill="FFFFFF" w:themeFill="background1"/>
            <w:tcPrChange w:id="6" w:author="陈聪" w:date="2025-07-24T14:25:44Z">
              <w:tcPr>
                <w:tcW w:w="5747" w:type="dxa"/>
                <w:shd w:val="clear" w:color="auto" w:fill="FFFFFF" w:themeFill="background1"/>
              </w:tcPr>
            </w:tcPrChange>
          </w:tcPr>
          <w:p w14:paraId="141A4B1D">
            <w:pPr>
              <w:spacing w:after="120"/>
              <w:rPr>
                <w:szCs w:val="21"/>
                <w:highlight w:val="none"/>
              </w:rPr>
            </w:pPr>
            <w:r>
              <w:rPr>
                <w:rFonts w:hint="eastAsia"/>
                <w:szCs w:val="21"/>
                <w:highlight w:val="none"/>
              </w:rPr>
              <w:t>（一）评分内容：</w:t>
            </w:r>
          </w:p>
          <w:p w14:paraId="500706F1">
            <w:pPr>
              <w:rPr>
                <w:highlight w:val="none"/>
              </w:rPr>
            </w:pPr>
            <w:r>
              <w:rPr>
                <w:rFonts w:hint="eastAsia"/>
                <w:highlight w:val="none"/>
              </w:rPr>
              <w:t>供应商存在《深圳市财政局政府采购供应商信用信息管理办法》（深财规〔2023〕3号）列明的一般行政处罚信息、一般违法失信记录信息的，本项不得分，不存在上述情形的本项得100分。供应商无需提供任何证明材料，评标过程中由工作人员向评审委员会提供有关供应商诚信查询结果。</w:t>
            </w:r>
          </w:p>
          <w:p w14:paraId="077A7EDC">
            <w:pPr>
              <w:spacing w:after="120"/>
              <w:rPr>
                <w:szCs w:val="21"/>
                <w:highlight w:val="none"/>
              </w:rPr>
            </w:pPr>
            <w:r>
              <w:rPr>
                <w:rFonts w:hint="eastAsia"/>
                <w:szCs w:val="21"/>
                <w:highlight w:val="none"/>
              </w:rPr>
              <w:t>（二）评分依据：</w:t>
            </w:r>
          </w:p>
          <w:p w14:paraId="4ACC93D5">
            <w:pPr>
              <w:rPr>
                <w:rFonts w:hint="eastAsia" w:hAnsi="宋体" w:cs="宋体"/>
                <w:szCs w:val="21"/>
                <w:highlight w:val="none"/>
              </w:rPr>
            </w:pPr>
            <w:r>
              <w:rPr>
                <w:rFonts w:hint="eastAsia"/>
                <w:highlight w:val="none"/>
              </w:rPr>
              <w:t>查询渠道：通过“信用中国”（www.creditchina.gov.cn，</w:t>
            </w:r>
            <w:r>
              <w:rPr>
                <w:rFonts w:hint="eastAsia"/>
                <w:b/>
                <w:bCs/>
                <w:highlight w:val="none"/>
              </w:rPr>
              <w:t>下载信用信息报告</w:t>
            </w:r>
            <w:r>
              <w:rPr>
                <w:rFonts w:hint="eastAsia"/>
                <w:highlight w:val="none"/>
              </w:rPr>
              <w:t>）、“中国政府采购网”（www.ccgp.gov.cn）以及“深圳市政府采购监管网”（http://zfcg.sz.gov.cn）查询供应商信用信息，信用信息以开标当日的查询结果为准。</w:t>
            </w:r>
          </w:p>
        </w:tc>
      </w:tr>
    </w:tbl>
    <w:p w14:paraId="6F1A0976">
      <w:pPr>
        <w:rPr>
          <w:b/>
          <w:sz w:val="120"/>
          <w:szCs w:val="120"/>
        </w:rPr>
      </w:pPr>
    </w:p>
    <w:p w14:paraId="2D610BE0">
      <w:pPr>
        <w:pStyle w:val="2"/>
        <w:rPr>
          <w:ins w:id="7" w:author="陈聪" w:date="2025-07-24T12:57:47Z"/>
          <w:sz w:val="120"/>
          <w:szCs w:val="120"/>
        </w:rPr>
      </w:pPr>
    </w:p>
    <w:p w14:paraId="1C4E05D9">
      <w:pPr>
        <w:pStyle w:val="3"/>
        <w:rPr>
          <w:ins w:id="8" w:author="陈聪" w:date="2025-07-24T12:57:47Z"/>
          <w:sz w:val="120"/>
          <w:szCs w:val="120"/>
        </w:rPr>
      </w:pPr>
    </w:p>
    <w:p w14:paraId="5BF5B656">
      <w:pPr>
        <w:pStyle w:val="3"/>
        <w:rPr>
          <w:ins w:id="9" w:author="陈聪" w:date="2025-07-24T12:57:47Z"/>
          <w:sz w:val="120"/>
          <w:szCs w:val="120"/>
        </w:rPr>
      </w:pPr>
    </w:p>
    <w:p w14:paraId="462ED533">
      <w:pPr>
        <w:pStyle w:val="3"/>
        <w:rPr>
          <w:ins w:id="10" w:author="陈聪" w:date="2025-07-24T12:57:47Z"/>
          <w:sz w:val="120"/>
          <w:szCs w:val="120"/>
        </w:rPr>
      </w:pPr>
    </w:p>
    <w:p w14:paraId="3836826D">
      <w:pPr>
        <w:pStyle w:val="3"/>
        <w:rPr>
          <w:ins w:id="11" w:author="陈聪" w:date="2025-07-24T12:57:48Z"/>
          <w:sz w:val="120"/>
          <w:szCs w:val="120"/>
        </w:rPr>
      </w:pPr>
    </w:p>
    <w:p w14:paraId="3BA0E9CC">
      <w:pPr>
        <w:pStyle w:val="3"/>
        <w:rPr>
          <w:ins w:id="12" w:author="陈聪" w:date="2025-07-24T12:57:48Z"/>
          <w:sz w:val="120"/>
          <w:szCs w:val="120"/>
        </w:rPr>
      </w:pPr>
    </w:p>
    <w:p w14:paraId="1EE8182F">
      <w:pPr>
        <w:pStyle w:val="3"/>
        <w:rPr>
          <w:ins w:id="13" w:author="陈聪" w:date="2025-07-24T12:57:49Z"/>
          <w:sz w:val="120"/>
          <w:szCs w:val="120"/>
        </w:rPr>
      </w:pPr>
    </w:p>
    <w:p w14:paraId="5AB14343">
      <w:pPr>
        <w:pStyle w:val="3"/>
        <w:rPr>
          <w:sz w:val="120"/>
          <w:szCs w:val="120"/>
        </w:rPr>
      </w:pPr>
    </w:p>
    <w:p w14:paraId="06F9F0A8">
      <w:pPr>
        <w:pStyle w:val="3"/>
        <w:rPr>
          <w:rFonts w:hint="eastAsia"/>
        </w:rPr>
      </w:pPr>
    </w:p>
    <w:p w14:paraId="13BEC48A">
      <w:pPr>
        <w:jc w:val="center"/>
        <w:rPr>
          <w:b/>
          <w:sz w:val="120"/>
          <w:szCs w:val="120"/>
        </w:rPr>
      </w:pPr>
      <w:r>
        <w:rPr>
          <w:rFonts w:hint="eastAsia"/>
          <w:b/>
          <w:sz w:val="120"/>
          <w:szCs w:val="120"/>
        </w:rPr>
        <w:t>自行采购</w:t>
      </w:r>
    </w:p>
    <w:p w14:paraId="59A58787">
      <w:pPr>
        <w:jc w:val="center"/>
        <w:rPr>
          <w:b/>
          <w:sz w:val="120"/>
          <w:szCs w:val="120"/>
        </w:rPr>
      </w:pPr>
      <w:r>
        <w:rPr>
          <w:rFonts w:hint="eastAsia"/>
          <w:b/>
          <w:sz w:val="120"/>
          <w:szCs w:val="120"/>
        </w:rPr>
        <w:t>招标文件</w:t>
      </w:r>
    </w:p>
    <w:p w14:paraId="501CB863">
      <w:pPr>
        <w:jc w:val="center"/>
        <w:rPr>
          <w:b/>
          <w:sz w:val="52"/>
          <w:szCs w:val="52"/>
        </w:rPr>
      </w:pPr>
      <w:r>
        <w:rPr>
          <w:rFonts w:hint="eastAsia"/>
          <w:b/>
          <w:sz w:val="52"/>
          <w:szCs w:val="52"/>
        </w:rPr>
        <w:t>（服务类）</w:t>
      </w:r>
    </w:p>
    <w:p w14:paraId="12EB1028"/>
    <w:p w14:paraId="7C6B3C1F"/>
    <w:p w14:paraId="7B0B9129"/>
    <w:p w14:paraId="4B182477"/>
    <w:p w14:paraId="68A6CE36"/>
    <w:p w14:paraId="2590481D"/>
    <w:p w14:paraId="37FD1DC9"/>
    <w:p w14:paraId="3C5EF1A2"/>
    <w:p w14:paraId="4221237C"/>
    <w:p w14:paraId="65CBFD11"/>
    <w:p w14:paraId="1F7F9881"/>
    <w:p w14:paraId="46583B93"/>
    <w:p w14:paraId="6F4ECE61">
      <w:pPr>
        <w:jc w:val="center"/>
        <w:rPr>
          <w:b/>
          <w:sz w:val="44"/>
          <w:szCs w:val="44"/>
        </w:rPr>
      </w:pPr>
      <w:r>
        <w:rPr>
          <w:rFonts w:hint="eastAsia" w:ascii="宋体" w:hAnsi="宋体"/>
          <w:b/>
          <w:sz w:val="44"/>
          <w:szCs w:val="44"/>
        </w:rPr>
        <w:t>深圳公共资源交易中心</w:t>
      </w:r>
    </w:p>
    <w:p w14:paraId="3F3DA40D">
      <w:pPr>
        <w:jc w:val="center"/>
        <w:rPr>
          <w:b/>
          <w:sz w:val="44"/>
          <w:szCs w:val="44"/>
        </w:rPr>
      </w:pPr>
      <w:r>
        <w:rPr>
          <w:rFonts w:hint="eastAsia" w:ascii="宋体" w:hAnsi="宋体"/>
          <w:b/>
          <w:sz w:val="44"/>
          <w:szCs w:val="44"/>
        </w:rPr>
        <w:t>（</w:t>
      </w:r>
      <w:r>
        <w:rPr>
          <w:b/>
          <w:sz w:val="44"/>
          <w:szCs w:val="44"/>
        </w:rPr>
        <w:t>20</w:t>
      </w:r>
      <w:r>
        <w:rPr>
          <w:rFonts w:hint="eastAsia"/>
          <w:b/>
          <w:sz w:val="44"/>
          <w:szCs w:val="44"/>
        </w:rPr>
        <w:t>25</w:t>
      </w:r>
      <w:r>
        <w:rPr>
          <w:rFonts w:hint="eastAsia" w:ascii="宋体" w:hAnsi="宋体"/>
          <w:b/>
          <w:sz w:val="44"/>
          <w:szCs w:val="44"/>
        </w:rPr>
        <w:t>）</w:t>
      </w:r>
    </w:p>
    <w:p w14:paraId="26AE1923">
      <w:pPr>
        <w:ind w:firstLine="6786" w:firstLineChars="1300"/>
        <w:jc w:val="center"/>
        <w:rPr>
          <w:bCs/>
          <w:color w:val="FF0000"/>
        </w:rPr>
      </w:pPr>
      <w:r>
        <w:rPr>
          <w:rFonts w:hint="eastAsia"/>
          <w:b/>
          <w:color w:val="FF0000"/>
          <w:sz w:val="52"/>
          <w:szCs w:val="52"/>
        </w:rPr>
        <w:br w:type="page"/>
      </w:r>
    </w:p>
    <w:p w14:paraId="72FBB3BD">
      <w:pPr>
        <w:snapToGrid w:val="0"/>
        <w:spacing w:line="360" w:lineRule="exact"/>
        <w:jc w:val="left"/>
        <w:rPr>
          <w:rFonts w:hint="eastAsia" w:ascii="宋体" w:hAnsi="宋体" w:eastAsia="宋体" w:cs="宋体"/>
          <w:color w:val="000000"/>
          <w:kern w:val="0"/>
          <w:sz w:val="24"/>
          <w:szCs w:val="24"/>
        </w:rPr>
      </w:pPr>
    </w:p>
    <w:p w14:paraId="7DBA14F2">
      <w:pPr>
        <w:snapToGrid w:val="0"/>
        <w:spacing w:line="360" w:lineRule="exact"/>
        <w:jc w:val="left"/>
        <w:rPr>
          <w:rFonts w:hint="eastAsia" w:ascii="宋体" w:hAnsi="宋体" w:eastAsia="宋体" w:cs="宋体"/>
          <w:color w:val="000000"/>
          <w:kern w:val="0"/>
          <w:sz w:val="24"/>
          <w:szCs w:val="24"/>
        </w:rPr>
      </w:pPr>
    </w:p>
    <w:p w14:paraId="1EB1DEEA">
      <w:pPr>
        <w:snapToGrid w:val="0"/>
        <w:spacing w:line="360" w:lineRule="exact"/>
        <w:jc w:val="left"/>
        <w:rPr>
          <w:rFonts w:hint="eastAsia" w:ascii="宋体" w:hAnsi="宋体" w:eastAsia="宋体" w:cs="宋体"/>
          <w:color w:val="000000"/>
          <w:kern w:val="0"/>
          <w:sz w:val="24"/>
          <w:szCs w:val="24"/>
        </w:rPr>
      </w:pPr>
    </w:p>
    <w:p w14:paraId="0A197B93">
      <w:pPr>
        <w:jc w:val="center"/>
        <w:outlineLvl w:val="0"/>
        <w:rPr>
          <w:rFonts w:ascii="Arial" w:hAnsi="Arial" w:eastAsia="宋体" w:cs="Times New Roman"/>
          <w:b/>
          <w:bCs/>
          <w:kern w:val="44"/>
          <w:sz w:val="32"/>
          <w:szCs w:val="32"/>
        </w:rPr>
      </w:pPr>
      <w:r>
        <w:rPr>
          <w:rFonts w:hint="eastAsia" w:ascii="Arial" w:hAnsi="Arial" w:eastAsia="宋体" w:cs="Times New Roman"/>
          <w:b/>
          <w:bCs/>
          <w:kern w:val="44"/>
          <w:sz w:val="32"/>
          <w:szCs w:val="32"/>
        </w:rPr>
        <w:t>目   录</w:t>
      </w:r>
    </w:p>
    <w:p w14:paraId="0184A4A2">
      <w:pPr>
        <w:rPr>
          <w:b/>
          <w:sz w:val="24"/>
          <w:szCs w:val="24"/>
        </w:rPr>
      </w:pPr>
      <w:r>
        <w:rPr>
          <w:rFonts w:hint="eastAsia"/>
          <w:b/>
          <w:sz w:val="24"/>
          <w:szCs w:val="24"/>
        </w:rPr>
        <w:t>第一册  专用条款</w:t>
      </w:r>
    </w:p>
    <w:p w14:paraId="14244BE1">
      <w:pPr>
        <w:ind w:left="630" w:leftChars="300" w:firstLine="411" w:firstLineChars="196"/>
        <w:rPr>
          <w:rFonts w:hint="eastAsia" w:ascii="宋体" w:hAnsi="宋体"/>
          <w:szCs w:val="21"/>
        </w:rPr>
      </w:pPr>
      <w:r>
        <w:rPr>
          <w:rFonts w:hint="eastAsia" w:ascii="宋体" w:hAnsi="宋体"/>
          <w:szCs w:val="21"/>
        </w:rPr>
        <w:tab/>
      </w:r>
      <w:r>
        <w:rPr>
          <w:rFonts w:hint="eastAsia" w:ascii="宋体" w:hAnsi="宋体"/>
          <w:szCs w:val="21"/>
        </w:rPr>
        <w:t>关键信息</w:t>
      </w:r>
    </w:p>
    <w:p w14:paraId="2DA8F147">
      <w:pPr>
        <w:ind w:left="630" w:leftChars="300" w:firstLine="411" w:firstLineChars="196"/>
        <w:rPr>
          <w:rFonts w:hint="eastAsia" w:ascii="宋体" w:hAnsi="宋体"/>
          <w:szCs w:val="21"/>
        </w:rPr>
      </w:pPr>
      <w:r>
        <w:rPr>
          <w:rFonts w:hint="eastAsia" w:ascii="宋体" w:hAnsi="宋体"/>
          <w:szCs w:val="21"/>
        </w:rPr>
        <w:t>第一章  招标公告</w:t>
      </w:r>
    </w:p>
    <w:p w14:paraId="5F12086A">
      <w:pPr>
        <w:ind w:left="630" w:leftChars="300" w:firstLine="411" w:firstLineChars="196"/>
        <w:rPr>
          <w:rFonts w:hint="eastAsia" w:ascii="宋体" w:hAnsi="宋体"/>
          <w:szCs w:val="21"/>
        </w:rPr>
      </w:pPr>
      <w:r>
        <w:rPr>
          <w:rFonts w:hint="eastAsia" w:ascii="宋体" w:hAnsi="宋体"/>
          <w:szCs w:val="21"/>
        </w:rPr>
        <w:t>第二章  对通用条款的补充内容及其他关键信息</w:t>
      </w:r>
    </w:p>
    <w:p w14:paraId="6319DCF4">
      <w:pPr>
        <w:ind w:left="630" w:leftChars="300" w:firstLine="411" w:firstLineChars="196"/>
        <w:rPr>
          <w:rFonts w:hint="eastAsia"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14:paraId="1DA34C90">
      <w:pPr>
        <w:ind w:left="630" w:leftChars="300" w:firstLine="411" w:firstLineChars="196"/>
        <w:rPr>
          <w:rFonts w:hint="eastAsia"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14:paraId="33EFDBC7">
      <w:pPr>
        <w:ind w:left="630" w:leftChars="300" w:firstLine="411" w:firstLineChars="196"/>
        <w:rPr>
          <w:rFonts w:hint="eastAsia" w:ascii="宋体" w:hAnsi="宋体"/>
          <w:szCs w:val="21"/>
        </w:rPr>
      </w:pPr>
      <w:r>
        <w:rPr>
          <w:rFonts w:hint="eastAsia" w:ascii="宋体" w:hAnsi="宋体"/>
          <w:szCs w:val="21"/>
        </w:rPr>
        <w:t>第五章  合同条款及格式</w:t>
      </w:r>
    </w:p>
    <w:p w14:paraId="45D703F0">
      <w:pPr>
        <w:rPr>
          <w:b/>
          <w:sz w:val="24"/>
        </w:rPr>
      </w:pPr>
    </w:p>
    <w:p w14:paraId="269250C1">
      <w:pPr>
        <w:rPr>
          <w:b/>
          <w:sz w:val="24"/>
          <w:szCs w:val="24"/>
        </w:rPr>
      </w:pPr>
      <w:r>
        <w:rPr>
          <w:rFonts w:hint="eastAsia"/>
          <w:b/>
          <w:sz w:val="24"/>
          <w:szCs w:val="24"/>
        </w:rPr>
        <w:t>第二册  通用条款</w:t>
      </w:r>
    </w:p>
    <w:p w14:paraId="19BA99E4">
      <w:pPr>
        <w:ind w:left="630" w:leftChars="300" w:firstLine="411" w:firstLineChars="196"/>
        <w:rPr>
          <w:rFonts w:hint="eastAsia" w:ascii="宋体" w:hAnsi="宋体"/>
          <w:szCs w:val="21"/>
        </w:rPr>
      </w:pPr>
      <w:r>
        <w:rPr>
          <w:rFonts w:hint="eastAsia" w:ascii="宋体" w:hAnsi="宋体"/>
          <w:szCs w:val="21"/>
        </w:rPr>
        <w:t>第一章  总则</w:t>
      </w:r>
    </w:p>
    <w:p w14:paraId="2114D5AD">
      <w:pPr>
        <w:ind w:left="630" w:leftChars="300" w:firstLine="411" w:firstLineChars="196"/>
        <w:rPr>
          <w:rFonts w:hint="eastAsia" w:ascii="宋体" w:hAnsi="宋体"/>
          <w:szCs w:val="21"/>
        </w:rPr>
      </w:pPr>
      <w:r>
        <w:rPr>
          <w:rFonts w:hint="eastAsia" w:ascii="宋体" w:hAnsi="宋体"/>
          <w:szCs w:val="21"/>
        </w:rPr>
        <w:t>第二章  招标文件</w:t>
      </w:r>
    </w:p>
    <w:p w14:paraId="7C321730">
      <w:pPr>
        <w:ind w:left="630" w:leftChars="300" w:firstLine="411" w:firstLineChars="196"/>
        <w:rPr>
          <w:rFonts w:hint="eastAsia" w:ascii="宋体" w:hAnsi="宋体"/>
          <w:szCs w:val="21"/>
        </w:rPr>
      </w:pPr>
      <w:r>
        <w:rPr>
          <w:rFonts w:hint="eastAsia" w:ascii="宋体" w:hAnsi="宋体"/>
          <w:szCs w:val="21"/>
        </w:rPr>
        <w:t>第三章  投标文件的编制</w:t>
      </w:r>
    </w:p>
    <w:p w14:paraId="6F4C6817">
      <w:pPr>
        <w:ind w:left="630" w:leftChars="300" w:firstLine="411" w:firstLineChars="196"/>
        <w:rPr>
          <w:rFonts w:hint="eastAsia" w:ascii="宋体" w:hAnsi="宋体"/>
          <w:szCs w:val="21"/>
        </w:rPr>
      </w:pPr>
      <w:r>
        <w:rPr>
          <w:rFonts w:hint="eastAsia" w:ascii="宋体" w:hAnsi="宋体"/>
          <w:szCs w:val="21"/>
        </w:rPr>
        <w:t>第四章  投标文件的递交</w:t>
      </w:r>
    </w:p>
    <w:p w14:paraId="48FDA847">
      <w:pPr>
        <w:ind w:left="630" w:leftChars="300" w:firstLine="411" w:firstLineChars="196"/>
        <w:rPr>
          <w:rFonts w:hint="eastAsia" w:ascii="宋体" w:hAnsi="宋体"/>
          <w:szCs w:val="21"/>
        </w:rPr>
      </w:pPr>
      <w:r>
        <w:rPr>
          <w:rFonts w:hint="eastAsia" w:ascii="宋体" w:hAnsi="宋体"/>
          <w:szCs w:val="21"/>
        </w:rPr>
        <w:t>第五章  开标</w:t>
      </w:r>
    </w:p>
    <w:p w14:paraId="076B348B">
      <w:pPr>
        <w:ind w:left="630" w:leftChars="300" w:firstLine="411" w:firstLineChars="196"/>
        <w:rPr>
          <w:rFonts w:hint="eastAsia" w:ascii="宋体" w:hAnsi="宋体"/>
          <w:szCs w:val="21"/>
        </w:rPr>
      </w:pPr>
      <w:r>
        <w:rPr>
          <w:rFonts w:hint="eastAsia" w:ascii="宋体" w:hAnsi="宋体"/>
          <w:szCs w:val="21"/>
        </w:rPr>
        <w:t>第六章  评审要求</w:t>
      </w:r>
    </w:p>
    <w:p w14:paraId="42648A48">
      <w:pPr>
        <w:ind w:left="630" w:leftChars="300" w:firstLine="411" w:firstLineChars="196"/>
        <w:rPr>
          <w:rFonts w:hint="eastAsia" w:ascii="宋体" w:hAnsi="宋体"/>
          <w:szCs w:val="21"/>
        </w:rPr>
      </w:pPr>
      <w:r>
        <w:rPr>
          <w:rFonts w:hint="eastAsia" w:ascii="宋体" w:hAnsi="宋体"/>
          <w:szCs w:val="21"/>
        </w:rPr>
        <w:t>第七章  评审程序及评审方法</w:t>
      </w:r>
    </w:p>
    <w:p w14:paraId="3B68C7F8">
      <w:pPr>
        <w:ind w:left="630" w:leftChars="300" w:firstLine="411" w:firstLineChars="196"/>
        <w:rPr>
          <w:rFonts w:hint="eastAsia" w:ascii="宋体" w:hAnsi="宋体"/>
          <w:szCs w:val="21"/>
        </w:rPr>
      </w:pPr>
      <w:r>
        <w:rPr>
          <w:rFonts w:hint="eastAsia" w:ascii="宋体" w:hAnsi="宋体"/>
          <w:szCs w:val="21"/>
        </w:rPr>
        <w:t>第八章  定标及公示</w:t>
      </w:r>
    </w:p>
    <w:p w14:paraId="79C5C1EE">
      <w:pPr>
        <w:ind w:left="630" w:leftChars="300" w:firstLine="411" w:firstLineChars="196"/>
        <w:rPr>
          <w:rFonts w:hint="eastAsia" w:ascii="宋体" w:hAnsi="宋体"/>
          <w:szCs w:val="21"/>
        </w:rPr>
      </w:pPr>
      <w:r>
        <w:rPr>
          <w:rFonts w:hint="eastAsia" w:ascii="宋体" w:hAnsi="宋体"/>
          <w:szCs w:val="21"/>
        </w:rPr>
        <w:t>第九章  公开招标失败的后续处理</w:t>
      </w:r>
    </w:p>
    <w:p w14:paraId="42DBF592">
      <w:pPr>
        <w:ind w:left="630" w:leftChars="300" w:firstLine="411" w:firstLineChars="196"/>
        <w:rPr>
          <w:rFonts w:hint="eastAsia" w:ascii="宋体" w:hAnsi="宋体"/>
          <w:szCs w:val="21"/>
        </w:rPr>
      </w:pPr>
      <w:r>
        <w:rPr>
          <w:rFonts w:hint="eastAsia" w:ascii="宋体" w:hAnsi="宋体"/>
          <w:szCs w:val="21"/>
        </w:rPr>
        <w:t>第十章  合同的授予与备案</w:t>
      </w:r>
    </w:p>
    <w:p w14:paraId="1B561F82">
      <w:r>
        <w:rPr>
          <w:rFonts w:hint="eastAsia"/>
        </w:rPr>
        <w:t xml:space="preserve">          第十一章  质疑处理</w:t>
      </w:r>
    </w:p>
    <w:p w14:paraId="63CC33A4"/>
    <w:p w14:paraId="61C9B88B"/>
    <w:p w14:paraId="37B8EECC">
      <w:pPr>
        <w:widowControl/>
        <w:jc w:val="left"/>
      </w:pPr>
      <w:r>
        <w:br w:type="page"/>
      </w:r>
    </w:p>
    <w:p w14:paraId="23AD1BF2">
      <w:pPr>
        <w:pStyle w:val="4"/>
        <w:spacing w:after="78"/>
        <w:jc w:val="center"/>
        <w:rPr>
          <w:sz w:val="32"/>
          <w:szCs w:val="32"/>
        </w:rPr>
      </w:pPr>
      <w:r>
        <w:rPr>
          <w:rFonts w:hint="eastAsia"/>
          <w:sz w:val="32"/>
          <w:szCs w:val="32"/>
        </w:rPr>
        <w:t>第一册  专用条款</w:t>
      </w:r>
    </w:p>
    <w:p w14:paraId="352637D1">
      <w:pPr>
        <w:keepNext/>
        <w:keepLines/>
        <w:adjustRightInd w:val="0"/>
        <w:spacing w:before="260" w:after="260"/>
        <w:jc w:val="center"/>
        <w:textAlignment w:val="baseline"/>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第一章  招标公告</w:t>
      </w:r>
    </w:p>
    <w:p w14:paraId="00639ECF">
      <w:pPr>
        <w:spacing w:line="360" w:lineRule="auto"/>
        <w:rPr>
          <w:rFonts w:hint="eastAsia" w:ascii="宋体" w:hAnsi="宋体" w:cs="宋体"/>
          <w:b/>
          <w:bCs/>
          <w:kern w:val="0"/>
          <w:szCs w:val="21"/>
        </w:rPr>
      </w:pPr>
      <w:r>
        <w:rPr>
          <w:rFonts w:hint="eastAsia" w:ascii="宋体" w:hAnsi="宋体" w:cs="宋体"/>
          <w:b/>
          <w:bCs/>
          <w:kern w:val="0"/>
          <w:szCs w:val="21"/>
        </w:rPr>
        <w:t>申请人的资格要求：</w:t>
      </w:r>
    </w:p>
    <w:p w14:paraId="6F2C2E09">
      <w:pPr>
        <w:ind w:firstLine="630" w:firstLineChars="300"/>
        <w:rPr>
          <w:rFonts w:hint="eastAsia" w:ascii="宋体" w:hAnsi="宋体" w:eastAsia="宋体" w:cs="宋体"/>
          <w:kern w:val="0"/>
          <w:szCs w:val="21"/>
        </w:rPr>
      </w:pPr>
      <w:r>
        <w:rPr>
          <w:rFonts w:hint="eastAsia" w:ascii="宋体" w:hAnsi="宋体" w:cs="宋体"/>
          <w:kern w:val="0"/>
          <w:szCs w:val="21"/>
        </w:rPr>
        <w:t>1</w:t>
      </w:r>
      <w:r>
        <w:rPr>
          <w:rFonts w:ascii="宋体" w:hAnsi="宋体" w:cs="宋体"/>
          <w:kern w:val="0"/>
          <w:szCs w:val="21"/>
        </w:rPr>
        <w:t>.</w:t>
      </w:r>
      <w:r>
        <w:rPr>
          <w:rFonts w:hint="eastAsia" w:ascii="宋体" w:hAnsi="宋体" w:eastAsia="宋体" w:cs="宋体"/>
          <w:szCs w:val="21"/>
        </w:rPr>
        <w:t>具有独立承担民事责任的能力（提供营业执照或事业单位法人证书等证明资料扫描件，原件备查，分公司参与投标的，须提供分公司营业执照、其所属集团(或总公司)等具有独立法人资格的组织</w:t>
      </w:r>
      <w:r>
        <w:rPr>
          <w:rFonts w:hint="eastAsia" w:ascii="宋体" w:hAnsi="宋体" w:cs="宋体"/>
          <w:szCs w:val="21"/>
        </w:rPr>
        <w:t>的营业执照及其</w:t>
      </w:r>
      <w:r>
        <w:rPr>
          <w:rFonts w:hint="eastAsia" w:ascii="宋体" w:hAnsi="宋体" w:eastAsia="宋体" w:cs="宋体"/>
          <w:szCs w:val="21"/>
        </w:rPr>
        <w:t>出具的载明愿为其参与本项目投标的行为以及履约等行为承担民事责任的加盖总公司公章的授权函）</w:t>
      </w:r>
      <w:r>
        <w:rPr>
          <w:rFonts w:hint="eastAsia" w:ascii="宋体" w:hAnsi="宋体" w:cs="宋体"/>
          <w:szCs w:val="21"/>
        </w:rPr>
        <w:t>；</w:t>
      </w:r>
    </w:p>
    <w:p w14:paraId="10EBFF6A">
      <w:pPr>
        <w:ind w:firstLine="630" w:firstLineChars="300"/>
        <w:rPr>
          <w:rFonts w:hint="eastAsia" w:ascii="宋体" w:hAnsi="宋体" w:eastAsia="宋体" w:cs="宋体"/>
          <w:szCs w:val="21"/>
        </w:rPr>
      </w:pPr>
      <w:r>
        <w:rPr>
          <w:rFonts w:hint="eastAsia" w:ascii="宋体" w:hAnsi="宋体" w:cs="宋体"/>
          <w:color w:val="FF0000"/>
          <w:kern w:val="0"/>
          <w:szCs w:val="21"/>
        </w:rPr>
        <w:t>2.</w:t>
      </w:r>
      <w:bookmarkStart w:id="2" w:name="OLE_LINK9"/>
      <w:r>
        <w:rPr>
          <w:rFonts w:hint="eastAsia" w:ascii="宋体" w:hAnsi="宋体" w:cs="宋体"/>
          <w:color w:val="FF0000"/>
          <w:kern w:val="0"/>
          <w:szCs w:val="21"/>
        </w:rPr>
        <w:t>本项</w:t>
      </w:r>
      <w:bookmarkStart w:id="3" w:name="OLE_LINK8"/>
      <w:r>
        <w:rPr>
          <w:rFonts w:hint="eastAsia" w:ascii="宋体" w:hAnsi="宋体" w:cs="宋体"/>
          <w:color w:val="FF0000"/>
          <w:kern w:val="0"/>
          <w:szCs w:val="21"/>
        </w:rPr>
        <w:t>目不接受联合体投标</w:t>
      </w:r>
      <w:bookmarkEnd w:id="3"/>
      <w:r>
        <w:rPr>
          <w:rFonts w:hint="eastAsia" w:ascii="宋体" w:hAnsi="宋体" w:cs="宋体"/>
          <w:color w:val="FF0000"/>
          <w:kern w:val="0"/>
          <w:szCs w:val="21"/>
        </w:rPr>
        <w:t>，</w:t>
      </w:r>
      <w:bookmarkStart w:id="4" w:name="OLE_LINK7"/>
      <w:r>
        <w:rPr>
          <w:rFonts w:hint="eastAsia" w:ascii="宋体" w:hAnsi="宋体" w:cs="宋体"/>
          <w:color w:val="FF0000"/>
          <w:kern w:val="0"/>
          <w:szCs w:val="21"/>
        </w:rPr>
        <w:t>不接受投标人选用进口产品参与投标，详见招标文件“第三章 用户需求书”</w:t>
      </w:r>
      <w:bookmarkEnd w:id="4"/>
      <w:r>
        <w:rPr>
          <w:rFonts w:hint="eastAsia" w:ascii="宋体" w:hAnsi="宋体" w:cs="宋体"/>
          <w:color w:val="FF0000"/>
          <w:kern w:val="0"/>
          <w:szCs w:val="21"/>
        </w:rPr>
        <w:t>；</w:t>
      </w:r>
      <w:bookmarkEnd w:id="2"/>
    </w:p>
    <w:p w14:paraId="5C136764">
      <w:pPr>
        <w:ind w:firstLine="630" w:firstLineChars="300"/>
        <w:rPr>
          <w:rFonts w:hint="eastAsia" w:ascii="宋体" w:hAnsi="宋体" w:cs="宋体"/>
          <w:kern w:val="0"/>
          <w:szCs w:val="21"/>
        </w:rPr>
      </w:pPr>
      <w:r>
        <w:rPr>
          <w:rFonts w:hint="eastAsia" w:ascii="宋体" w:hAnsi="宋体" w:cs="宋体"/>
          <w:kern w:val="0"/>
          <w:szCs w:val="21"/>
        </w:rPr>
        <w:t>3</w:t>
      </w:r>
      <w:r>
        <w:rPr>
          <w:rFonts w:ascii="宋体" w:hAnsi="宋体" w:cs="宋体"/>
          <w:kern w:val="0"/>
          <w:szCs w:val="21"/>
        </w:rPr>
        <w:t>.</w:t>
      </w:r>
      <w:r>
        <w:rPr>
          <w:rFonts w:hint="eastAsia" w:ascii="宋体" w:hAnsi="宋体" w:cs="宋体"/>
          <w:kern w:val="0"/>
          <w:szCs w:val="21"/>
        </w:rPr>
        <w:t>参与本项目政府采购活动时不存在被有关部门禁止参与政府采购活动且在有效期内的情况（由供应商在《政府采购投标及履约承诺函》中作出声明）；</w:t>
      </w:r>
    </w:p>
    <w:p w14:paraId="690B670E">
      <w:pPr>
        <w:ind w:firstLine="630" w:firstLineChars="300"/>
        <w:rPr>
          <w:rFonts w:hint="eastAsia" w:ascii="宋体" w:hAnsi="宋体" w:cs="宋体"/>
          <w:kern w:val="0"/>
          <w:szCs w:val="21"/>
        </w:rPr>
      </w:pPr>
      <w:r>
        <w:rPr>
          <w:rFonts w:hint="eastAsia" w:ascii="宋体" w:hAnsi="宋体" w:cs="宋体"/>
          <w:kern w:val="0"/>
          <w:szCs w:val="21"/>
        </w:rPr>
        <w:t>4</w:t>
      </w:r>
      <w:r>
        <w:rPr>
          <w:rFonts w:ascii="宋体" w:hAnsi="宋体" w:cs="宋体"/>
          <w:kern w:val="0"/>
          <w:szCs w:val="21"/>
        </w:rPr>
        <w:t>.</w:t>
      </w:r>
      <w:r>
        <w:rPr>
          <w:rFonts w:hint="eastAsia" w:ascii="宋体" w:hAnsi="宋体" w:cs="宋体"/>
          <w:kern w:val="0"/>
          <w:szCs w:val="21"/>
        </w:rPr>
        <w:t>具备《中华人民共和国政府采购法》第二十二条第一款的条件（由供应商在《政府采购投标及履约承诺函》中作出声明）；</w:t>
      </w:r>
    </w:p>
    <w:p w14:paraId="5B6AD65A">
      <w:pPr>
        <w:ind w:firstLine="630" w:firstLineChars="300"/>
        <w:rPr>
          <w:rFonts w:hint="eastAsia" w:ascii="宋体" w:hAnsi="宋体" w:cs="宋体"/>
          <w:kern w:val="0"/>
          <w:szCs w:val="21"/>
        </w:rPr>
      </w:pPr>
      <w:r>
        <w:rPr>
          <w:rFonts w:hint="eastAsia" w:ascii="宋体" w:hAnsi="宋体" w:cs="宋体"/>
          <w:kern w:val="0"/>
          <w:szCs w:val="21"/>
        </w:rPr>
        <w:t>5</w:t>
      </w:r>
      <w:r>
        <w:rPr>
          <w:rFonts w:ascii="宋体" w:hAnsi="宋体" w:cs="宋体"/>
          <w:kern w:val="0"/>
          <w:szCs w:val="21"/>
        </w:rPr>
        <w:t>.</w:t>
      </w:r>
      <w:r>
        <w:rPr>
          <w:rFonts w:hint="eastAsia" w:ascii="宋体" w:hAnsi="宋体" w:cs="宋体"/>
          <w:kern w:val="0"/>
          <w:szCs w:val="21"/>
        </w:rPr>
        <w:t>未被列入失信被执行人、重大税收违法案件当事人名单、政府采购严重违法失信行为记录名单（由供应商在《政府采购投标及履约承诺函》中作出声明）；</w:t>
      </w:r>
    </w:p>
    <w:p w14:paraId="62EDBE8D">
      <w:pPr>
        <w:ind w:firstLine="630" w:firstLineChars="300"/>
        <w:rPr>
          <w:rFonts w:hint="eastAsia" w:ascii="宋体" w:hAnsi="宋体" w:cs="宋体"/>
          <w:color w:val="FF0000"/>
          <w:kern w:val="0"/>
          <w:szCs w:val="21"/>
        </w:rPr>
      </w:pPr>
      <w:r>
        <w:rPr>
          <w:rFonts w:hint="eastAsia" w:ascii="宋体" w:hAnsi="宋体" w:cs="宋体"/>
          <w:color w:val="FF0000"/>
          <w:kern w:val="0"/>
          <w:szCs w:val="21"/>
        </w:rPr>
        <w:t>6.不存在《深圳市财政局政府采购供应商信用信息管理办法》（深财规〔2023〕3号）列明的严重违法失信行为（由供应商在《政府采购投标及履约承诺函》中作出声明）；</w:t>
      </w:r>
    </w:p>
    <w:p w14:paraId="429CC173">
      <w:pPr>
        <w:ind w:firstLine="630" w:firstLineChars="300"/>
        <w:rPr>
          <w:rFonts w:hint="eastAsia" w:ascii="宋体" w:hAnsi="宋体" w:eastAsia="宋体" w:cs="宋体"/>
          <w:kern w:val="0"/>
          <w:szCs w:val="21"/>
        </w:rPr>
      </w:pPr>
      <w:r>
        <w:rPr>
          <w:rFonts w:hint="eastAsia" w:ascii="宋体" w:hAnsi="宋体" w:cs="宋体"/>
          <w:kern w:val="0"/>
          <w:szCs w:val="21"/>
        </w:rPr>
        <w:t>7.为采购项目提供整体设计、规范编制或者项目管理、监理、检测等服务的供应商，不得再参加该采购项目的其他采购活动（由供应商在《政府采购投标及履约承诺函》中作出声明）；</w:t>
      </w:r>
    </w:p>
    <w:p w14:paraId="55877C37">
      <w:pPr>
        <w:ind w:firstLine="630" w:firstLineChars="300"/>
        <w:rPr>
          <w:rFonts w:hint="eastAsia" w:ascii="宋体" w:hAnsi="宋体" w:cs="宋体"/>
          <w:kern w:val="0"/>
          <w:szCs w:val="21"/>
          <w:highlight w:val="yellow"/>
        </w:rPr>
      </w:pPr>
      <w:r>
        <w:rPr>
          <w:rFonts w:hint="eastAsia" w:ascii="宋体" w:hAnsi="宋体" w:cs="宋体"/>
          <w:kern w:val="0"/>
          <w:szCs w:val="21"/>
          <w:highlight w:val="yellow"/>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077FC80F">
      <w:pPr>
        <w:ind w:firstLine="630" w:firstLineChars="300"/>
        <w:rPr>
          <w:rFonts w:hint="eastAsia" w:ascii="宋体" w:hAnsi="宋体" w:cs="宋体"/>
          <w:kern w:val="0"/>
          <w:szCs w:val="21"/>
        </w:rPr>
      </w:pPr>
      <w:r>
        <w:rPr>
          <w:rFonts w:hint="eastAsia" w:ascii="宋体" w:hAnsi="宋体" w:cs="宋体"/>
          <w:kern w:val="0"/>
          <w:szCs w:val="21"/>
        </w:rPr>
        <w:t>9.本项目是（否）专门面向中小企业采购：否。</w:t>
      </w:r>
    </w:p>
    <w:p w14:paraId="2112832D">
      <w:pPr>
        <w:wordWrap w:val="0"/>
        <w:ind w:firstLine="420" w:firstLineChars="200"/>
        <w:rPr>
          <w:rFonts w:hint="eastAsia" w:ascii="宋体" w:hAnsi="宋体" w:cs="宋体"/>
          <w:kern w:val="0"/>
          <w:szCs w:val="21"/>
        </w:rPr>
      </w:pPr>
      <w:r>
        <w:rPr>
          <w:rFonts w:hint="eastAsia" w:ascii="宋体" w:hAnsi="宋体" w:cs="宋体"/>
          <w:kern w:val="0"/>
          <w:szCs w:val="21"/>
        </w:rPr>
        <w:t>注：（1）“信用中国”（www.creditchina.gov.cn，查询“信用服务”栏的“重大税收违法失信主体”“失信被执行人”或者下载信用信息报告），“中国政府采购网”（www.ccgp.gov.cn）中的“政府采购严</w:t>
      </w:r>
      <w:r>
        <w:rPr>
          <w:rFonts w:hint="default" w:ascii="Arial" w:hAnsi="Arial" w:eastAsia="宋体" w:cs="Times New Roman"/>
          <w:kern w:val="2"/>
          <w:sz w:val="24"/>
          <w:szCs w:val="24"/>
        </w:rPr>
        <w:t>重</w:t>
      </w:r>
      <w:r>
        <w:rPr>
          <w:rFonts w:hint="eastAsia" w:ascii="宋体" w:hAnsi="宋体" w:cs="宋体"/>
          <w:kern w:val="0"/>
          <w:szCs w:val="21"/>
        </w:rPr>
        <w:t>违法失信行为记录名单”，以及“深圳市政府采购监管网”（http://zfcg.sz.gov.cn）为供应商信用信息的查询渠道，相关信息以开标当日的查询结果为准；</w:t>
      </w:r>
    </w:p>
    <w:p w14:paraId="67C54ADC">
      <w:pPr>
        <w:ind w:firstLine="420" w:firstLineChars="200"/>
        <w:rPr>
          <w:rFonts w:hint="default" w:eastAsiaTheme="minorEastAsia"/>
          <w:lang w:val="en-US" w:eastAsia="zh-CN"/>
        </w:rPr>
      </w:pPr>
      <w:r>
        <w:rPr>
          <w:rFonts w:hint="eastAsia" w:ascii="宋体" w:hAnsi="宋体"/>
        </w:rPr>
        <w:t>（2）供应商投标（上传投标文件）必须先行办理注册手续，具体请按照本公告“六、其他补充事宜</w:t>
      </w:r>
      <w:r>
        <w:rPr>
          <w:rFonts w:ascii="宋体" w:hAnsi="宋体"/>
        </w:rPr>
        <w:t>”</w:t>
      </w:r>
      <w:r>
        <w:rPr>
          <w:rFonts w:hint="eastAsia" w:ascii="宋体" w:hAnsi="宋体"/>
        </w:rPr>
        <w:t>相关内容指引办理。</w:t>
      </w:r>
    </w:p>
    <w:p w14:paraId="1C21EB8F">
      <w:pPr>
        <w:pStyle w:val="2"/>
        <w:rPr>
          <w:rFonts w:hint="default" w:asciiTheme="minorHAnsi" w:hAnsiTheme="minorHAnsi" w:eastAsiaTheme="minorEastAsia" w:cstheme="minorBidi"/>
          <w:sz w:val="24"/>
          <w:szCs w:val="22"/>
          <w:lang w:val="en-US" w:eastAsia="zh-CN"/>
        </w:rPr>
      </w:pPr>
    </w:p>
    <w:p w14:paraId="00F549B9">
      <w:pPr>
        <w:spacing w:after="78" w:afterLines="25"/>
        <w:jc w:val="center"/>
        <w:rPr>
          <w:b/>
          <w:color w:val="FF0000"/>
          <w:sz w:val="30"/>
          <w:szCs w:val="30"/>
        </w:rPr>
      </w:pPr>
      <w:r>
        <w:rPr>
          <w:rFonts w:hint="eastAsia" w:ascii="Arial" w:hAnsi="Arial" w:eastAsia="宋体" w:cs="Times New Roman"/>
          <w:b/>
          <w:color w:val="FF0000"/>
          <w:sz w:val="30"/>
          <w:szCs w:val="30"/>
        </w:rPr>
        <w:t>完整公告内容以网站公布信息为准，详见：深圳政府采购自行采购系统</w:t>
      </w:r>
      <w:r>
        <w:rPr>
          <w:rFonts w:hint="eastAsia"/>
          <w:b/>
          <w:color w:val="FF0000"/>
          <w:sz w:val="30"/>
          <w:szCs w:val="30"/>
        </w:rPr>
        <w:t>网（https://zxcg.szggzy.com/home/index.html）</w:t>
      </w:r>
    </w:p>
    <w:p w14:paraId="20FCC166">
      <w:pPr>
        <w:spacing w:after="78" w:afterLines="25"/>
        <w:rPr>
          <w:rFonts w:ascii="Arial" w:hAnsi="Arial" w:eastAsia="宋体" w:cs="Times New Roman"/>
          <w:b/>
          <w:color w:val="FF0000"/>
          <w:sz w:val="30"/>
          <w:szCs w:val="30"/>
        </w:rPr>
      </w:pPr>
    </w:p>
    <w:p w14:paraId="71A0780B">
      <w:pPr>
        <w:keepNext/>
        <w:keepLines/>
        <w:spacing w:before="260" w:after="260" w:line="416" w:lineRule="auto"/>
        <w:jc w:val="center"/>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 xml:space="preserve">第二章 </w:t>
      </w:r>
      <w:bookmarkStart w:id="5" w:name="_Hlk71926094"/>
      <w:r>
        <w:rPr>
          <w:rFonts w:hint="eastAsia" w:ascii="宋体" w:hAnsi="宋体" w:eastAsia="宋体" w:cs="Times New Roman"/>
          <w:b/>
          <w:bCs/>
          <w:kern w:val="0"/>
          <w:sz w:val="28"/>
          <w:szCs w:val="28"/>
        </w:rPr>
        <w:t>对通用条款的补充内容及其他关键信息</w:t>
      </w:r>
      <w:bookmarkEnd w:id="5"/>
    </w:p>
    <w:p w14:paraId="073C0752">
      <w:pPr>
        <w:keepNext/>
        <w:keepLines/>
        <w:adjustRightInd w:val="0"/>
        <w:spacing w:before="156" w:beforeLines="50" w:after="156" w:afterLines="50"/>
        <w:jc w:val="center"/>
        <w:textAlignment w:val="baseline"/>
        <w:outlineLvl w:val="2"/>
        <w:rPr>
          <w:rFonts w:hint="eastAsia" w:ascii="宋体" w:hAnsi="宋体" w:eastAsia="宋体" w:cs="Times New Roman"/>
          <w:b/>
          <w:bCs/>
          <w:kern w:val="0"/>
          <w:sz w:val="24"/>
          <w:szCs w:val="24"/>
        </w:rPr>
      </w:pPr>
      <w:bookmarkStart w:id="6" w:name="_Toc60631620"/>
      <w:bookmarkStart w:id="7" w:name="_Toc60560625"/>
      <w:bookmarkStart w:id="8" w:name="_Toc100052364"/>
      <w:bookmarkStart w:id="9" w:name="_Toc73517639"/>
      <w:bookmarkStart w:id="10" w:name="_Toc73521635"/>
      <w:bookmarkStart w:id="11" w:name="_Toc101074876"/>
      <w:bookmarkStart w:id="12" w:name="_Toc73518117"/>
      <w:bookmarkStart w:id="13" w:name="_Toc73521547"/>
      <w:r>
        <w:rPr>
          <w:rFonts w:hint="eastAsia" w:ascii="宋体" w:hAnsi="宋体" w:eastAsia="宋体" w:cs="Times New Roman"/>
          <w:b/>
          <w:bCs/>
          <w:kern w:val="0"/>
          <w:sz w:val="24"/>
          <w:szCs w:val="24"/>
        </w:rPr>
        <w:t>一、对通用条款的补充内容</w:t>
      </w:r>
    </w:p>
    <w:tbl>
      <w:tblPr>
        <w:tblStyle w:val="22"/>
        <w:tblW w:w="952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78"/>
        <w:gridCol w:w="1755"/>
        <w:gridCol w:w="6795"/>
      </w:tblGrid>
      <w:tr w14:paraId="093CB01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02DC9AA0">
            <w:pPr>
              <w:jc w:val="center"/>
              <w:rPr>
                <w:rFonts w:hint="eastAsia" w:ascii="宋体" w:hAnsi="宋体"/>
                <w:b/>
                <w:bCs/>
              </w:rPr>
            </w:pPr>
            <w:r>
              <w:rPr>
                <w:rFonts w:hint="eastAsia" w:ascii="宋体" w:hAnsi="宋体"/>
                <w:b/>
                <w:bCs/>
              </w:rPr>
              <w:t>通用条款序号</w:t>
            </w:r>
          </w:p>
        </w:tc>
        <w:tc>
          <w:tcPr>
            <w:tcW w:w="1755" w:type="dxa"/>
            <w:vAlign w:val="center"/>
          </w:tcPr>
          <w:p w14:paraId="27DE729A">
            <w:pPr>
              <w:jc w:val="center"/>
              <w:rPr>
                <w:rFonts w:hint="eastAsia" w:ascii="宋体" w:hAnsi="宋体"/>
                <w:b/>
                <w:bCs/>
              </w:rPr>
            </w:pPr>
            <w:r>
              <w:rPr>
                <w:rFonts w:hint="eastAsia" w:ascii="宋体" w:hAnsi="宋体"/>
                <w:b/>
                <w:bCs/>
              </w:rPr>
              <w:t>涉及事项</w:t>
            </w:r>
          </w:p>
        </w:tc>
        <w:tc>
          <w:tcPr>
            <w:tcW w:w="6795" w:type="dxa"/>
            <w:vAlign w:val="center"/>
          </w:tcPr>
          <w:p w14:paraId="2BF2399E">
            <w:pPr>
              <w:jc w:val="center"/>
              <w:rPr>
                <w:rFonts w:hint="eastAsia" w:ascii="宋体" w:hAnsi="宋体"/>
                <w:b/>
                <w:bCs/>
              </w:rPr>
            </w:pPr>
            <w:r>
              <w:rPr>
                <w:rFonts w:hint="eastAsia" w:ascii="宋体" w:hAnsi="宋体"/>
                <w:b/>
                <w:bCs/>
              </w:rPr>
              <w:t xml:space="preserve">具 </w:t>
            </w:r>
            <w:r>
              <w:rPr>
                <w:rFonts w:ascii="宋体" w:hAnsi="宋体"/>
                <w:b/>
                <w:bCs/>
              </w:rPr>
              <w:t xml:space="preserve"> </w:t>
            </w:r>
            <w:r>
              <w:rPr>
                <w:rFonts w:hint="eastAsia" w:ascii="宋体" w:hAnsi="宋体"/>
                <w:b/>
                <w:bCs/>
              </w:rPr>
              <w:t xml:space="preserve">体 </w:t>
            </w:r>
            <w:r>
              <w:rPr>
                <w:rFonts w:ascii="宋体" w:hAnsi="宋体"/>
                <w:b/>
                <w:bCs/>
              </w:rPr>
              <w:t xml:space="preserve"> </w:t>
            </w:r>
            <w:r>
              <w:rPr>
                <w:rFonts w:hint="eastAsia" w:ascii="宋体" w:hAnsi="宋体"/>
                <w:b/>
                <w:bCs/>
              </w:rPr>
              <w:t xml:space="preserve">补 </w:t>
            </w:r>
            <w:r>
              <w:rPr>
                <w:rFonts w:ascii="宋体" w:hAnsi="宋体"/>
                <w:b/>
                <w:bCs/>
              </w:rPr>
              <w:t xml:space="preserve"> </w:t>
            </w:r>
            <w:r>
              <w:rPr>
                <w:rFonts w:hint="eastAsia" w:ascii="宋体" w:hAnsi="宋体"/>
                <w:b/>
                <w:bCs/>
              </w:rPr>
              <w:t xml:space="preserve">充 </w:t>
            </w:r>
            <w:r>
              <w:rPr>
                <w:rFonts w:ascii="宋体" w:hAnsi="宋体"/>
                <w:b/>
                <w:bCs/>
              </w:rPr>
              <w:t xml:space="preserve"> </w:t>
            </w:r>
            <w:r>
              <w:rPr>
                <w:rFonts w:hint="eastAsia" w:ascii="宋体" w:hAnsi="宋体"/>
                <w:b/>
                <w:bCs/>
              </w:rPr>
              <w:t xml:space="preserve">内 </w:t>
            </w:r>
            <w:r>
              <w:rPr>
                <w:rFonts w:ascii="宋体" w:hAnsi="宋体"/>
                <w:b/>
                <w:bCs/>
              </w:rPr>
              <w:t xml:space="preserve"> </w:t>
            </w:r>
            <w:r>
              <w:rPr>
                <w:rFonts w:hint="eastAsia" w:ascii="宋体" w:hAnsi="宋体"/>
                <w:b/>
                <w:bCs/>
              </w:rPr>
              <w:t>容</w:t>
            </w:r>
          </w:p>
        </w:tc>
      </w:tr>
      <w:tr w14:paraId="3919AE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F700583">
            <w:pPr>
              <w:jc w:val="center"/>
              <w:rPr>
                <w:rFonts w:hint="eastAsia" w:ascii="宋体" w:hAnsi="宋体"/>
              </w:rPr>
            </w:pPr>
            <w:r>
              <w:rPr>
                <w:rFonts w:hint="eastAsia" w:ascii="宋体" w:hAnsi="宋体"/>
              </w:rPr>
              <w:t>3</w:t>
            </w:r>
            <w:r>
              <w:rPr>
                <w:rFonts w:ascii="宋体" w:hAnsi="宋体"/>
              </w:rPr>
              <w:t>.1</w:t>
            </w:r>
          </w:p>
        </w:tc>
        <w:tc>
          <w:tcPr>
            <w:tcW w:w="1755" w:type="dxa"/>
            <w:vAlign w:val="center"/>
          </w:tcPr>
          <w:p w14:paraId="5C3BC7DF">
            <w:pPr>
              <w:jc w:val="center"/>
            </w:pPr>
            <w:r>
              <w:rPr>
                <w:rFonts w:hint="eastAsia"/>
              </w:rPr>
              <w:t>采购人</w:t>
            </w:r>
          </w:p>
        </w:tc>
        <w:tc>
          <w:tcPr>
            <w:tcW w:w="6795" w:type="dxa"/>
            <w:vAlign w:val="center"/>
          </w:tcPr>
          <w:p w14:paraId="3B04F365">
            <w:pPr>
              <w:jc w:val="left"/>
              <w:rPr>
                <w:rFonts w:hint="eastAsia" w:ascii="宋体" w:hAnsi="宋体"/>
              </w:rPr>
            </w:pPr>
            <w:r>
              <w:rPr>
                <w:rFonts w:hint="eastAsia" w:eastAsia="宋体"/>
              </w:rPr>
              <w:t>深圳市龙华区未来幼教集团鸿悦幼儿园</w:t>
            </w:r>
          </w:p>
        </w:tc>
      </w:tr>
      <w:tr w14:paraId="54F4D5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14BCCF7">
            <w:pPr>
              <w:jc w:val="center"/>
              <w:rPr>
                <w:rFonts w:hint="eastAsia" w:ascii="宋体" w:hAnsi="宋体"/>
              </w:rPr>
            </w:pPr>
            <w:r>
              <w:rPr>
                <w:rFonts w:hint="eastAsia" w:ascii="宋体" w:hAnsi="宋体"/>
              </w:rPr>
              <w:t>3</w:t>
            </w:r>
            <w:r>
              <w:rPr>
                <w:rFonts w:ascii="宋体" w:hAnsi="宋体"/>
              </w:rPr>
              <w:t>.2</w:t>
            </w:r>
          </w:p>
        </w:tc>
        <w:tc>
          <w:tcPr>
            <w:tcW w:w="1755" w:type="dxa"/>
            <w:vAlign w:val="center"/>
          </w:tcPr>
          <w:p w14:paraId="129CEF24">
            <w:pPr>
              <w:jc w:val="center"/>
              <w:rPr>
                <w:rFonts w:hint="eastAsia" w:ascii="宋体" w:hAnsi="宋体"/>
              </w:rPr>
            </w:pPr>
            <w:r>
              <w:rPr>
                <w:rFonts w:hint="eastAsia" w:ascii="宋体" w:hAnsi="宋体"/>
              </w:rPr>
              <w:t>政府集中采购机构</w:t>
            </w:r>
          </w:p>
        </w:tc>
        <w:tc>
          <w:tcPr>
            <w:tcW w:w="6795" w:type="dxa"/>
            <w:vAlign w:val="center"/>
          </w:tcPr>
          <w:p w14:paraId="7B8D85A1">
            <w:pPr>
              <w:jc w:val="left"/>
              <w:rPr>
                <w:rFonts w:hint="eastAsia" w:ascii="宋体" w:hAnsi="宋体"/>
              </w:rPr>
            </w:pPr>
            <w:r>
              <w:rPr>
                <w:rFonts w:hint="eastAsia" w:ascii="宋体" w:hAnsi="宋体" w:eastAsia="宋体" w:cs="Arial"/>
                <w:szCs w:val="21"/>
              </w:rPr>
              <w:t>本文件所述的“政府集中采购机构”</w:t>
            </w:r>
            <w:r>
              <w:rPr>
                <w:rFonts w:ascii="宋体" w:hAnsi="宋体" w:eastAsia="宋体" w:cs="Arial"/>
                <w:szCs w:val="21"/>
              </w:rPr>
              <w:t>指</w:t>
            </w:r>
            <w:r>
              <w:rPr>
                <w:rFonts w:hint="eastAsia" w:ascii="宋体" w:hAnsi="宋体" w:eastAsia="宋体" w:cs="Arial"/>
                <w:b/>
                <w:bCs/>
                <w:szCs w:val="21"/>
              </w:rPr>
              <w:t>深圳公共资源交易中心</w:t>
            </w:r>
            <w:r>
              <w:rPr>
                <w:rFonts w:hint="eastAsia" w:ascii="Arial" w:hAnsi="Arial" w:eastAsia="宋体" w:cs="Times New Roman"/>
                <w:szCs w:val="24"/>
              </w:rPr>
              <w:t>。本项目具体由深圳公共资源交易中心（深圳交易集团有限公司龙华分公司）执行</w:t>
            </w:r>
            <w:r>
              <w:rPr>
                <w:rFonts w:hint="eastAsia" w:ascii="Arial" w:hAnsi="Arial" w:eastAsia="宋体" w:cs="Times New Roman"/>
                <w:bCs/>
                <w:szCs w:val="24"/>
              </w:rPr>
              <w:t>。</w:t>
            </w:r>
          </w:p>
        </w:tc>
      </w:tr>
      <w:tr w14:paraId="633843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9A387EC">
            <w:pPr>
              <w:jc w:val="center"/>
              <w:rPr>
                <w:rFonts w:hint="eastAsia" w:ascii="宋体" w:hAnsi="宋体"/>
              </w:rPr>
            </w:pPr>
            <w:r>
              <w:rPr>
                <w:rFonts w:hint="eastAsia" w:ascii="宋体" w:hAnsi="宋体"/>
              </w:rPr>
              <w:t>9</w:t>
            </w:r>
          </w:p>
        </w:tc>
        <w:tc>
          <w:tcPr>
            <w:tcW w:w="1755" w:type="dxa"/>
            <w:vAlign w:val="center"/>
          </w:tcPr>
          <w:p w14:paraId="46D63A0B">
            <w:pPr>
              <w:jc w:val="center"/>
              <w:rPr>
                <w:rFonts w:hint="eastAsia" w:ascii="宋体" w:hAnsi="宋体"/>
                <w:b/>
                <w:bCs/>
                <w:highlight w:val="yellow"/>
              </w:rPr>
            </w:pPr>
            <w:r>
              <w:rPr>
                <w:rFonts w:hint="eastAsia" w:ascii="宋体" w:hAnsi="宋体"/>
              </w:rPr>
              <w:t>踏勘现场</w:t>
            </w:r>
          </w:p>
        </w:tc>
        <w:tc>
          <w:tcPr>
            <w:tcW w:w="6795" w:type="dxa"/>
            <w:vAlign w:val="center"/>
          </w:tcPr>
          <w:p w14:paraId="13123FB2">
            <w:pPr>
              <w:jc w:val="left"/>
              <w:rPr>
                <w:rFonts w:ascii="Arial" w:hAnsi="Arial" w:cs="Times New Roman"/>
                <w:szCs w:val="24"/>
              </w:rPr>
            </w:pPr>
            <w:r>
              <w:rPr>
                <w:rFonts w:hint="eastAsia" w:ascii="Arial" w:hAnsi="Arial" w:eastAsia="宋体" w:cs="Times New Roman"/>
                <w:szCs w:val="24"/>
              </w:rPr>
              <w:t>不组织</w:t>
            </w:r>
          </w:p>
        </w:tc>
      </w:tr>
      <w:tr w14:paraId="6BC6CB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C5A8EE9">
            <w:pPr>
              <w:jc w:val="center"/>
              <w:rPr>
                <w:rFonts w:hint="eastAsia" w:ascii="宋体" w:hAnsi="宋体"/>
              </w:rPr>
            </w:pPr>
            <w:r>
              <w:rPr>
                <w:rFonts w:hint="eastAsia" w:ascii="宋体" w:hAnsi="宋体"/>
              </w:rPr>
              <w:t>1</w:t>
            </w:r>
            <w:r>
              <w:rPr>
                <w:rFonts w:ascii="宋体" w:hAnsi="宋体"/>
              </w:rPr>
              <w:t>0</w:t>
            </w:r>
          </w:p>
        </w:tc>
        <w:tc>
          <w:tcPr>
            <w:tcW w:w="1755" w:type="dxa"/>
            <w:vAlign w:val="center"/>
          </w:tcPr>
          <w:p w14:paraId="5D107D1E">
            <w:pPr>
              <w:jc w:val="center"/>
              <w:rPr>
                <w:rFonts w:hint="eastAsia" w:ascii="宋体" w:hAnsi="宋体"/>
              </w:rPr>
            </w:pPr>
            <w:r>
              <w:rPr>
                <w:rFonts w:hint="eastAsia" w:ascii="宋体" w:hAnsi="宋体"/>
              </w:rPr>
              <w:t>标前会议</w:t>
            </w:r>
          </w:p>
        </w:tc>
        <w:tc>
          <w:tcPr>
            <w:tcW w:w="6795" w:type="dxa"/>
            <w:vAlign w:val="center"/>
          </w:tcPr>
          <w:p w14:paraId="5C0AA458">
            <w:pPr>
              <w:jc w:val="left"/>
              <w:rPr>
                <w:rFonts w:ascii="Arial" w:hAnsi="Arial" w:eastAsia="宋体" w:cs="Times New Roman"/>
                <w:szCs w:val="24"/>
              </w:rPr>
            </w:pPr>
            <w:r>
              <w:rPr>
                <w:rFonts w:hint="eastAsia" w:ascii="Arial" w:hAnsi="Arial" w:eastAsia="宋体" w:cs="Times New Roman"/>
                <w:szCs w:val="24"/>
              </w:rPr>
              <w:t>不组织</w:t>
            </w:r>
          </w:p>
        </w:tc>
      </w:tr>
      <w:tr w14:paraId="350C4DF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3AB651F">
            <w:pPr>
              <w:jc w:val="center"/>
              <w:rPr>
                <w:rFonts w:hint="eastAsia" w:ascii="宋体" w:hAnsi="宋体"/>
              </w:rPr>
            </w:pPr>
            <w:r>
              <w:rPr>
                <w:rFonts w:hint="eastAsia" w:ascii="宋体" w:hAnsi="宋体"/>
              </w:rPr>
              <w:t>1</w:t>
            </w:r>
            <w:r>
              <w:rPr>
                <w:rFonts w:ascii="宋体" w:hAnsi="宋体"/>
              </w:rPr>
              <w:t>2</w:t>
            </w:r>
            <w:r>
              <w:rPr>
                <w:rFonts w:hint="eastAsia" w:ascii="宋体" w:hAnsi="宋体"/>
              </w:rPr>
              <w:t>/1</w:t>
            </w:r>
            <w:r>
              <w:rPr>
                <w:rFonts w:ascii="宋体" w:hAnsi="宋体"/>
              </w:rPr>
              <w:t>3</w:t>
            </w:r>
          </w:p>
        </w:tc>
        <w:tc>
          <w:tcPr>
            <w:tcW w:w="1755" w:type="dxa"/>
            <w:vAlign w:val="center"/>
          </w:tcPr>
          <w:p w14:paraId="30E60ECA">
            <w:pPr>
              <w:jc w:val="center"/>
              <w:rPr>
                <w:rFonts w:hint="eastAsia" w:ascii="宋体" w:hAnsi="宋体"/>
              </w:rPr>
            </w:pPr>
            <w:r>
              <w:rPr>
                <w:rFonts w:hint="eastAsia" w:ascii="宋体" w:hAnsi="宋体"/>
              </w:rPr>
              <w:t>招标文件的澄清和修改</w:t>
            </w:r>
          </w:p>
        </w:tc>
        <w:tc>
          <w:tcPr>
            <w:tcW w:w="6795" w:type="dxa"/>
            <w:vAlign w:val="center"/>
          </w:tcPr>
          <w:p w14:paraId="5AD75A7D">
            <w:pPr>
              <w:jc w:val="left"/>
              <w:rPr>
                <w:rFonts w:hint="eastAsia" w:ascii="宋体" w:hAnsi="宋体"/>
              </w:rPr>
            </w:pPr>
            <w:r>
              <w:rPr>
                <w:rFonts w:hint="eastAsia" w:ascii="宋体" w:hAnsi="宋体"/>
              </w:rPr>
              <w:t>不晚于投标截止日三日前，投标人有义务在招标期间在政府集中采购机构网站浏览与本项目有关的澄清和修改信息。</w:t>
            </w:r>
          </w:p>
        </w:tc>
      </w:tr>
      <w:tr w14:paraId="57E75F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4490C5B">
            <w:pPr>
              <w:jc w:val="center"/>
              <w:rPr>
                <w:rFonts w:hint="eastAsia" w:ascii="宋体" w:hAnsi="宋体"/>
              </w:rPr>
            </w:pPr>
            <w:r>
              <w:rPr>
                <w:rFonts w:hint="eastAsia" w:ascii="宋体" w:hAnsi="宋体"/>
              </w:rPr>
              <w:t>2</w:t>
            </w:r>
            <w:r>
              <w:rPr>
                <w:rFonts w:ascii="宋体" w:hAnsi="宋体"/>
              </w:rPr>
              <w:t>0</w:t>
            </w:r>
          </w:p>
        </w:tc>
        <w:tc>
          <w:tcPr>
            <w:tcW w:w="1755" w:type="dxa"/>
            <w:vAlign w:val="center"/>
          </w:tcPr>
          <w:p w14:paraId="2E83C25B">
            <w:pPr>
              <w:jc w:val="center"/>
              <w:rPr>
                <w:rFonts w:hint="eastAsia" w:ascii="宋体" w:hAnsi="宋体"/>
              </w:rPr>
            </w:pPr>
            <w:r>
              <w:rPr>
                <w:rFonts w:hint="eastAsia" w:ascii="宋体" w:hAnsi="宋体"/>
              </w:rPr>
              <w:t>投标有效期</w:t>
            </w:r>
          </w:p>
        </w:tc>
        <w:tc>
          <w:tcPr>
            <w:tcW w:w="6795" w:type="dxa"/>
            <w:vAlign w:val="center"/>
          </w:tcPr>
          <w:p w14:paraId="023244FB">
            <w:pPr>
              <w:jc w:val="left"/>
              <w:rPr>
                <w:rFonts w:hint="eastAsia" w:ascii="宋体" w:hAnsi="宋体"/>
              </w:rPr>
            </w:pPr>
            <w:r>
              <w:rPr>
                <w:rFonts w:hint="eastAsia" w:ascii="宋体" w:hAnsi="宋体"/>
              </w:rPr>
              <w:t>120日历天（从投标截止之日算起）</w:t>
            </w:r>
          </w:p>
        </w:tc>
      </w:tr>
      <w:tr w14:paraId="438AA7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D5A6668">
            <w:pPr>
              <w:jc w:val="center"/>
              <w:rPr>
                <w:rFonts w:hint="eastAsia" w:ascii="宋体" w:hAnsi="宋体"/>
              </w:rPr>
            </w:pPr>
            <w:r>
              <w:rPr>
                <w:rFonts w:hint="eastAsia" w:ascii="宋体" w:hAnsi="宋体"/>
              </w:rPr>
              <w:t>2</w:t>
            </w:r>
            <w:r>
              <w:rPr>
                <w:rFonts w:ascii="宋体" w:hAnsi="宋体"/>
              </w:rPr>
              <w:t>2</w:t>
            </w:r>
          </w:p>
        </w:tc>
        <w:tc>
          <w:tcPr>
            <w:tcW w:w="1755" w:type="dxa"/>
            <w:vAlign w:val="center"/>
          </w:tcPr>
          <w:p w14:paraId="4A2FB2E6">
            <w:pPr>
              <w:jc w:val="center"/>
              <w:rPr>
                <w:rFonts w:hint="eastAsia" w:ascii="宋体" w:hAnsi="宋体"/>
              </w:rPr>
            </w:pPr>
            <w:r>
              <w:rPr>
                <w:rFonts w:hint="eastAsia" w:ascii="宋体" w:hAnsi="宋体"/>
              </w:rPr>
              <w:t>投标人的替代方案</w:t>
            </w:r>
          </w:p>
        </w:tc>
        <w:tc>
          <w:tcPr>
            <w:tcW w:w="6795" w:type="dxa"/>
            <w:vAlign w:val="center"/>
          </w:tcPr>
          <w:p w14:paraId="1CE0B4C7">
            <w:pPr>
              <w:jc w:val="left"/>
              <w:rPr>
                <w:rFonts w:hint="eastAsia" w:ascii="宋体" w:hAnsi="宋体"/>
              </w:rPr>
            </w:pPr>
            <w:r>
              <w:rPr>
                <w:rFonts w:hint="eastAsia" w:ascii="宋体" w:hAnsi="宋体"/>
              </w:rPr>
              <w:t>不接受</w:t>
            </w:r>
          </w:p>
        </w:tc>
      </w:tr>
      <w:tr w14:paraId="161421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A39A668">
            <w:pPr>
              <w:jc w:val="center"/>
              <w:rPr>
                <w:rFonts w:hint="eastAsia" w:ascii="宋体" w:hAnsi="宋体"/>
              </w:rPr>
            </w:pPr>
            <w:r>
              <w:rPr>
                <w:rFonts w:hint="eastAsia" w:ascii="宋体" w:hAnsi="宋体"/>
              </w:rPr>
              <w:t>2</w:t>
            </w:r>
            <w:r>
              <w:rPr>
                <w:rFonts w:ascii="宋体" w:hAnsi="宋体"/>
              </w:rPr>
              <w:t>5</w:t>
            </w:r>
          </w:p>
        </w:tc>
        <w:tc>
          <w:tcPr>
            <w:tcW w:w="1755" w:type="dxa"/>
            <w:vAlign w:val="center"/>
          </w:tcPr>
          <w:p w14:paraId="735F9720">
            <w:pPr>
              <w:jc w:val="center"/>
              <w:rPr>
                <w:rFonts w:hint="eastAsia" w:ascii="宋体" w:hAnsi="宋体"/>
              </w:rPr>
            </w:pPr>
            <w:r>
              <w:rPr>
                <w:rFonts w:hint="eastAsia" w:ascii="宋体" w:hAnsi="宋体"/>
              </w:rPr>
              <w:t>投标文件的大小</w:t>
            </w:r>
          </w:p>
        </w:tc>
        <w:tc>
          <w:tcPr>
            <w:tcW w:w="6795" w:type="dxa"/>
            <w:vAlign w:val="center"/>
          </w:tcPr>
          <w:p w14:paraId="0F0A103E">
            <w:pPr>
              <w:jc w:val="left"/>
              <w:rPr>
                <w:rFonts w:hint="eastAsia" w:ascii="宋体" w:hAnsi="宋体"/>
              </w:rPr>
            </w:pPr>
            <w:r>
              <w:rPr>
                <w:rFonts w:hint="eastAsia" w:ascii="宋体" w:hAnsi="宋体"/>
              </w:rPr>
              <w:t>投标文件大小不得超过100MB</w:t>
            </w:r>
          </w:p>
        </w:tc>
      </w:tr>
      <w:tr w14:paraId="7EC8922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90D7876">
            <w:pPr>
              <w:jc w:val="center"/>
              <w:rPr>
                <w:rFonts w:hint="eastAsia" w:ascii="宋体" w:hAnsi="宋体"/>
              </w:rPr>
            </w:pPr>
            <w:r>
              <w:rPr>
                <w:rFonts w:hint="eastAsia" w:ascii="宋体" w:hAnsi="宋体"/>
              </w:rPr>
              <w:t>2</w:t>
            </w:r>
            <w:r>
              <w:rPr>
                <w:rFonts w:ascii="宋体" w:hAnsi="宋体"/>
              </w:rPr>
              <w:t>6</w:t>
            </w:r>
          </w:p>
        </w:tc>
        <w:tc>
          <w:tcPr>
            <w:tcW w:w="1755" w:type="dxa"/>
            <w:vAlign w:val="center"/>
          </w:tcPr>
          <w:p w14:paraId="3EF14581">
            <w:pPr>
              <w:jc w:val="center"/>
              <w:rPr>
                <w:rFonts w:hint="eastAsia" w:ascii="宋体" w:hAnsi="宋体"/>
              </w:rPr>
            </w:pPr>
            <w:r>
              <w:rPr>
                <w:rFonts w:hint="eastAsia" w:ascii="宋体" w:hAnsi="宋体"/>
              </w:rPr>
              <w:t>样品、现场演示、方案讲解</w:t>
            </w:r>
          </w:p>
        </w:tc>
        <w:tc>
          <w:tcPr>
            <w:tcW w:w="6795" w:type="dxa"/>
            <w:vAlign w:val="center"/>
          </w:tcPr>
          <w:p w14:paraId="7B86E8D3">
            <w:pPr>
              <w:jc w:val="left"/>
              <w:rPr>
                <w:rFonts w:hint="eastAsia" w:ascii="宋体" w:hAnsi="宋体"/>
              </w:rPr>
            </w:pPr>
            <w:r>
              <w:rPr>
                <w:rFonts w:hint="eastAsia" w:ascii="宋体" w:hAnsi="宋体"/>
              </w:rPr>
              <w:t>无</w:t>
            </w:r>
          </w:p>
        </w:tc>
      </w:tr>
      <w:tr w14:paraId="6938FC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6A1909D">
            <w:pPr>
              <w:jc w:val="center"/>
              <w:rPr>
                <w:rFonts w:hint="eastAsia" w:ascii="宋体" w:hAnsi="宋体"/>
              </w:rPr>
            </w:pPr>
            <w:r>
              <w:rPr>
                <w:rFonts w:hint="eastAsia" w:ascii="宋体" w:hAnsi="宋体"/>
              </w:rPr>
              <w:t>3</w:t>
            </w:r>
            <w:r>
              <w:rPr>
                <w:rFonts w:ascii="宋体" w:hAnsi="宋体"/>
              </w:rPr>
              <w:t>7</w:t>
            </w:r>
          </w:p>
        </w:tc>
        <w:tc>
          <w:tcPr>
            <w:tcW w:w="1755" w:type="dxa"/>
            <w:vAlign w:val="center"/>
          </w:tcPr>
          <w:p w14:paraId="360530F3">
            <w:pPr>
              <w:jc w:val="center"/>
              <w:rPr>
                <w:rFonts w:hint="eastAsia" w:ascii="宋体" w:hAnsi="宋体"/>
              </w:rPr>
            </w:pPr>
            <w:r>
              <w:rPr>
                <w:rFonts w:hint="eastAsia" w:ascii="宋体" w:hAnsi="宋体"/>
              </w:rPr>
              <w:t>评审方法</w:t>
            </w:r>
          </w:p>
        </w:tc>
        <w:tc>
          <w:tcPr>
            <w:tcW w:w="6795" w:type="dxa"/>
            <w:vAlign w:val="center"/>
          </w:tcPr>
          <w:p w14:paraId="59F964A8">
            <w:pPr>
              <w:jc w:val="left"/>
              <w:rPr>
                <w:rFonts w:hint="eastAsia" w:ascii="宋体" w:hAnsi="宋体"/>
              </w:rPr>
            </w:pPr>
            <w:r>
              <w:rPr>
                <w:rFonts w:ascii="宋体" w:hAnsi="宋体"/>
                <w:b/>
                <w:bCs/>
              </w:rPr>
              <w:t>综合评分法</w:t>
            </w:r>
          </w:p>
        </w:tc>
      </w:tr>
      <w:tr w14:paraId="26AC19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4AC6E0B">
            <w:pPr>
              <w:jc w:val="center"/>
              <w:rPr>
                <w:rFonts w:hint="eastAsia" w:ascii="宋体" w:hAnsi="宋体"/>
              </w:rPr>
            </w:pPr>
            <w:r>
              <w:rPr>
                <w:rFonts w:hint="eastAsia" w:ascii="宋体" w:hAnsi="宋体"/>
              </w:rPr>
              <w:t>3</w:t>
            </w:r>
            <w:r>
              <w:rPr>
                <w:rFonts w:ascii="宋体" w:hAnsi="宋体"/>
              </w:rPr>
              <w:t>8</w:t>
            </w:r>
          </w:p>
        </w:tc>
        <w:tc>
          <w:tcPr>
            <w:tcW w:w="1755" w:type="dxa"/>
            <w:vAlign w:val="center"/>
          </w:tcPr>
          <w:p w14:paraId="168B3A1E">
            <w:pPr>
              <w:jc w:val="center"/>
              <w:rPr>
                <w:rFonts w:hint="eastAsia" w:ascii="宋体" w:hAnsi="宋体"/>
              </w:rPr>
            </w:pPr>
            <w:r>
              <w:rPr>
                <w:rFonts w:hint="eastAsia" w:ascii="宋体" w:hAnsi="宋体"/>
              </w:rPr>
              <w:t>定标方法</w:t>
            </w:r>
          </w:p>
        </w:tc>
        <w:tc>
          <w:tcPr>
            <w:tcW w:w="6795" w:type="dxa"/>
            <w:vAlign w:val="center"/>
          </w:tcPr>
          <w:p w14:paraId="134F3A58">
            <w:pPr>
              <w:jc w:val="left"/>
              <w:rPr>
                <w:rFonts w:hint="eastAsia" w:ascii="宋体" w:hAnsi="宋体"/>
                <w:b/>
                <w:bCs/>
                <w:highlight w:val="yellow"/>
              </w:rPr>
            </w:pPr>
            <w:r>
              <w:rPr>
                <w:rFonts w:hint="eastAsia" w:ascii="宋体" w:hAnsi="宋体" w:eastAsia="宋体" w:cs="Times New Roman"/>
                <w:b/>
                <w:bCs/>
                <w:szCs w:val="21"/>
              </w:rPr>
              <w:t>非评定分离</w:t>
            </w:r>
          </w:p>
        </w:tc>
      </w:tr>
      <w:tr w14:paraId="310542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FF5520B">
            <w:pPr>
              <w:jc w:val="center"/>
              <w:rPr>
                <w:rFonts w:hint="eastAsia" w:ascii="宋体" w:hAnsi="宋体"/>
              </w:rPr>
            </w:pPr>
            <w:r>
              <w:rPr>
                <w:rFonts w:hint="eastAsia" w:ascii="宋体" w:hAnsi="宋体"/>
              </w:rPr>
              <w:t>4</w:t>
            </w:r>
            <w:r>
              <w:rPr>
                <w:rFonts w:ascii="宋体" w:hAnsi="宋体"/>
              </w:rPr>
              <w:t>6</w:t>
            </w:r>
          </w:p>
        </w:tc>
        <w:tc>
          <w:tcPr>
            <w:tcW w:w="1755" w:type="dxa"/>
            <w:vAlign w:val="center"/>
          </w:tcPr>
          <w:p w14:paraId="04F53EE4">
            <w:pPr>
              <w:jc w:val="center"/>
              <w:rPr>
                <w:rFonts w:hint="eastAsia" w:ascii="宋体" w:hAnsi="宋体"/>
              </w:rPr>
            </w:pPr>
            <w:r>
              <w:rPr>
                <w:rFonts w:hint="eastAsia" w:ascii="宋体" w:hAnsi="宋体"/>
              </w:rPr>
              <w:t>履约担保</w:t>
            </w:r>
          </w:p>
        </w:tc>
        <w:tc>
          <w:tcPr>
            <w:tcW w:w="6795" w:type="dxa"/>
            <w:vAlign w:val="center"/>
          </w:tcPr>
          <w:p w14:paraId="74F338F4">
            <w:pPr>
              <w:jc w:val="left"/>
              <w:rPr>
                <w:rFonts w:hint="eastAsia" w:ascii="宋体" w:hAnsi="宋体"/>
              </w:rPr>
            </w:pPr>
            <w:r>
              <w:rPr>
                <w:rFonts w:hint="eastAsia" w:ascii="宋体" w:hAnsi="宋体"/>
              </w:rPr>
              <w:t>不需要</w:t>
            </w:r>
          </w:p>
        </w:tc>
      </w:tr>
      <w:bookmarkEnd w:id="6"/>
      <w:bookmarkEnd w:id="7"/>
      <w:bookmarkEnd w:id="8"/>
      <w:bookmarkEnd w:id="9"/>
      <w:bookmarkEnd w:id="10"/>
      <w:bookmarkEnd w:id="11"/>
      <w:bookmarkEnd w:id="12"/>
      <w:bookmarkEnd w:id="13"/>
    </w:tbl>
    <w:p w14:paraId="60BC8F52">
      <w:pPr>
        <w:widowControl/>
        <w:jc w:val="center"/>
        <w:rPr>
          <w:szCs w:val="21"/>
        </w:rPr>
      </w:pPr>
      <w:r>
        <w:rPr>
          <w:rFonts w:hint="eastAsia"/>
          <w:szCs w:val="21"/>
        </w:rPr>
        <w:t>备注：本表是通用条款相关条款的补充和明确，如与通用条款内容相冲突的，以本表为准。</w:t>
      </w:r>
    </w:p>
    <w:p w14:paraId="79A3DFB8">
      <w:pPr>
        <w:keepNext/>
        <w:keepLines/>
        <w:adjustRightInd w:val="0"/>
        <w:spacing w:before="156" w:beforeLines="50" w:after="156" w:afterLines="50"/>
        <w:jc w:val="center"/>
        <w:textAlignment w:val="baseline"/>
        <w:outlineLvl w:val="2"/>
        <w:rPr>
          <w:rFonts w:hint="eastAsia" w:ascii="宋体" w:hAnsi="宋体" w:eastAsia="宋体" w:cs="Times New Roman"/>
          <w:b/>
          <w:bCs/>
          <w:kern w:val="0"/>
          <w:sz w:val="24"/>
          <w:szCs w:val="24"/>
        </w:rPr>
      </w:pPr>
      <w:r>
        <w:rPr>
          <w:rFonts w:hint="eastAsia" w:ascii="宋体" w:hAnsi="宋体" w:eastAsia="宋体" w:cs="Times New Roman"/>
          <w:b/>
          <w:bCs/>
          <w:kern w:val="0"/>
          <w:sz w:val="24"/>
          <w:szCs w:val="24"/>
        </w:rPr>
        <w:t>二、其他关键信息</w:t>
      </w:r>
    </w:p>
    <w:p w14:paraId="2711A444">
      <w:pPr>
        <w:tabs>
          <w:tab w:val="left" w:pos="720"/>
        </w:tabs>
        <w:rPr>
          <w:rFonts w:hint="eastAsia" w:ascii="黑体" w:hAnsi="宋体" w:eastAsia="黑体"/>
          <w:sz w:val="24"/>
        </w:rPr>
      </w:pPr>
      <w:r>
        <w:rPr>
          <w:rFonts w:hint="eastAsia" w:ascii="黑体" w:hAnsi="宋体" w:eastAsia="黑体"/>
          <w:sz w:val="24"/>
        </w:rPr>
        <w:t>（一）</w:t>
      </w:r>
      <w:r>
        <w:rPr>
          <w:rFonts w:hint="eastAsia" w:ascii="黑体" w:hAnsi="宋体" w:eastAsia="黑体"/>
          <w:bCs/>
          <w:sz w:val="24"/>
        </w:rPr>
        <w:t>与“对通用条款的补充内容”章节相关的事项</w:t>
      </w:r>
    </w:p>
    <w:p w14:paraId="1A85EED5">
      <w:pPr>
        <w:tabs>
          <w:tab w:val="left" w:pos="720"/>
        </w:tabs>
        <w:rPr>
          <w:rFonts w:hint="eastAsia" w:ascii="黑体" w:hAnsi="宋体" w:eastAsia="黑体"/>
          <w:bCs/>
          <w:sz w:val="24"/>
        </w:rPr>
      </w:pPr>
      <w:r>
        <w:rPr>
          <w:rFonts w:hint="eastAsia" w:ascii="黑体" w:hAnsi="宋体" w:eastAsia="黑体"/>
          <w:bCs/>
          <w:sz w:val="24"/>
        </w:rPr>
        <w:t>1、评标定标信息</w:t>
      </w:r>
    </w:p>
    <w:p w14:paraId="603CFE15">
      <w:pPr>
        <w:jc w:val="center"/>
      </w:pPr>
      <w:r>
        <w:rPr>
          <w:rFonts w:hint="eastAsia"/>
          <w:b/>
        </w:rPr>
        <w:t>非评定分离项目</w:t>
      </w:r>
    </w:p>
    <w:tbl>
      <w:tblPr>
        <w:tblStyle w:val="2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4"/>
        <w:gridCol w:w="3235"/>
        <w:gridCol w:w="2450"/>
      </w:tblGrid>
      <w:tr w14:paraId="1CEDD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14:paraId="682106F1">
            <w:pPr>
              <w:jc w:val="center"/>
            </w:pPr>
            <w:r>
              <w:rPr>
                <w:rFonts w:hint="eastAsia"/>
              </w:rPr>
              <w:t>评标方法</w:t>
            </w:r>
          </w:p>
        </w:tc>
        <w:tc>
          <w:tcPr>
            <w:tcW w:w="3235" w:type="dxa"/>
          </w:tcPr>
          <w:p w14:paraId="4D87EE41">
            <w:pPr>
              <w:jc w:val="center"/>
              <w:rPr>
                <w:rFonts w:eastAsia="宋体"/>
              </w:rPr>
            </w:pPr>
            <w:r>
              <w:rPr>
                <w:rFonts w:hint="eastAsia"/>
              </w:rPr>
              <w:sym w:font="Wingdings" w:char="00FE"/>
            </w:r>
            <w:r>
              <w:rPr>
                <w:rFonts w:hint="eastAsia"/>
              </w:rPr>
              <w:t>综合评分法</w:t>
            </w:r>
          </w:p>
        </w:tc>
        <w:tc>
          <w:tcPr>
            <w:tcW w:w="2450" w:type="dxa"/>
          </w:tcPr>
          <w:p w14:paraId="7E4CF265">
            <w:pPr>
              <w:jc w:val="center"/>
            </w:pPr>
            <w:r>
              <w:rPr>
                <w:rFonts w:hint="eastAsia" w:ascii="Times New Roman" w:eastAsia="宋体"/>
              </w:rPr>
              <w:sym w:font="Wingdings" w:char="00A8"/>
            </w:r>
            <w:r>
              <w:rPr>
                <w:rFonts w:hint="eastAsia" w:ascii="Times New Roman" w:eastAsia="宋体"/>
              </w:rPr>
              <w:t>最低价法</w:t>
            </w:r>
          </w:p>
        </w:tc>
      </w:tr>
      <w:tr w14:paraId="157D0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14:paraId="1A4E1D38">
            <w:pPr>
              <w:jc w:val="center"/>
            </w:pPr>
            <w:r>
              <w:rPr>
                <w:rFonts w:hint="eastAsia"/>
              </w:rPr>
              <w:t>候选中标供应商家数</w:t>
            </w:r>
          </w:p>
        </w:tc>
        <w:tc>
          <w:tcPr>
            <w:tcW w:w="3235" w:type="dxa"/>
          </w:tcPr>
          <w:p w14:paraId="29CAF401">
            <w:pPr>
              <w:jc w:val="center"/>
              <w:rPr>
                <w:rFonts w:eastAsia="宋体"/>
              </w:rPr>
            </w:pPr>
            <w:r>
              <w:rPr>
                <w:rFonts w:hint="eastAsia" w:eastAsia="宋体"/>
              </w:rPr>
              <w:t>3</w:t>
            </w:r>
          </w:p>
        </w:tc>
        <w:tc>
          <w:tcPr>
            <w:tcW w:w="2450" w:type="dxa"/>
          </w:tcPr>
          <w:p w14:paraId="5D2761E9">
            <w:pPr>
              <w:jc w:val="center"/>
            </w:pPr>
            <w:r>
              <w:rPr>
                <w:rFonts w:hint="eastAsia"/>
              </w:rPr>
              <w:t>3</w:t>
            </w:r>
          </w:p>
        </w:tc>
      </w:tr>
      <w:tr w14:paraId="26FDD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14:paraId="66ADE603">
            <w:pPr>
              <w:jc w:val="center"/>
            </w:pPr>
            <w:r>
              <w:rPr>
                <w:rFonts w:hint="eastAsia"/>
              </w:rPr>
              <w:t>中标供应商家数</w:t>
            </w:r>
          </w:p>
        </w:tc>
        <w:tc>
          <w:tcPr>
            <w:tcW w:w="3235" w:type="dxa"/>
          </w:tcPr>
          <w:p w14:paraId="684FD0F0">
            <w:pPr>
              <w:jc w:val="center"/>
            </w:pPr>
            <w:r>
              <w:rPr>
                <w:rFonts w:hint="eastAsia"/>
              </w:rPr>
              <w:t>1</w:t>
            </w:r>
          </w:p>
        </w:tc>
        <w:tc>
          <w:tcPr>
            <w:tcW w:w="2450" w:type="dxa"/>
          </w:tcPr>
          <w:p w14:paraId="634151EA">
            <w:pPr>
              <w:jc w:val="center"/>
            </w:pPr>
            <w:r>
              <w:rPr>
                <w:rFonts w:hint="eastAsia"/>
              </w:rPr>
              <w:t>1</w:t>
            </w:r>
          </w:p>
        </w:tc>
      </w:tr>
    </w:tbl>
    <w:p w14:paraId="4803FB75">
      <w:pPr>
        <w:tabs>
          <w:tab w:val="left" w:pos="720"/>
        </w:tabs>
        <w:rPr>
          <w:rFonts w:hint="eastAsia" w:ascii="黑体" w:hAnsi="宋体" w:eastAsia="黑体"/>
          <w:sz w:val="24"/>
        </w:rPr>
      </w:pPr>
      <w:r>
        <w:rPr>
          <w:rFonts w:hint="eastAsia" w:ascii="黑体" w:hAnsi="宋体" w:eastAsia="黑体"/>
          <w:sz w:val="24"/>
        </w:rPr>
        <w:t>（二）其他事项</w:t>
      </w:r>
    </w:p>
    <w:p w14:paraId="3E1D9058">
      <w:pPr>
        <w:tabs>
          <w:tab w:val="left" w:pos="720"/>
        </w:tabs>
        <w:rPr>
          <w:rFonts w:hint="eastAsia" w:ascii="黑体" w:hAnsi="宋体" w:eastAsia="黑体"/>
          <w:sz w:val="24"/>
        </w:rPr>
      </w:pPr>
      <w:r>
        <w:rPr>
          <w:rFonts w:hint="eastAsia" w:ascii="黑体" w:hAnsi="宋体" w:eastAsia="黑体"/>
          <w:sz w:val="24"/>
        </w:rPr>
        <w:t>1、关于享受优惠政策的主体、价格扣除比例及采购标的所属行业</w:t>
      </w:r>
    </w:p>
    <w:p w14:paraId="7BFEED7F">
      <w:pPr>
        <w:tabs>
          <w:tab w:val="left" w:pos="720"/>
        </w:tabs>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（1）专门面向中小企业采购的项目，不再执行价格扣除比例。</w:t>
      </w:r>
    </w:p>
    <w:p w14:paraId="7EFBD4F8">
      <w:pPr>
        <w:tabs>
          <w:tab w:val="left" w:pos="720"/>
        </w:tabs>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（2）非专门面向中小企业采购的项目，应执行价格扣除比例：供应商提供的服务全部由优惠主体承接，则对其投标总价给予</w:t>
      </w:r>
      <w:r>
        <w:rPr>
          <w:rFonts w:hint="eastAsia" w:asciiTheme="minorEastAsia" w:hAnsiTheme="minorEastAsia" w:cstheme="minorEastAsia"/>
          <w:szCs w:val="21"/>
          <w:u w:val="single"/>
        </w:rPr>
        <w:t xml:space="preserve"> </w:t>
      </w:r>
      <w:r>
        <w:rPr>
          <w:rFonts w:hint="eastAsia" w:asciiTheme="minorEastAsia" w:hAnsiTheme="minorEastAsia" w:cstheme="minorEastAsia"/>
          <w:color w:val="FF0000"/>
          <w:szCs w:val="21"/>
          <w:highlight w:val="yellow"/>
          <w:u w:val="single"/>
        </w:rPr>
        <w:t>10%</w:t>
      </w:r>
      <w:r>
        <w:rPr>
          <w:rFonts w:hint="eastAsia" w:asciiTheme="minorEastAsia" w:hAnsiTheme="minorEastAsia" w:cstheme="minorEastAsia"/>
          <w:szCs w:val="21"/>
        </w:rPr>
        <w:t>的扣除，用扣除后的价格参与评审。满足多项优惠政策的企业，不重复享受多项价格扣除政策。</w:t>
      </w:r>
    </w:p>
    <w:p w14:paraId="62BE5F8C">
      <w:pPr>
        <w:tabs>
          <w:tab w:val="left" w:pos="720"/>
        </w:tabs>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备注：（a）享受价格扣除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b)优惠主体承接是指提供服务的人员为中小企业依照《中华人民共和国劳动合同法》订立劳动合同的从业人员。</w:t>
      </w:r>
    </w:p>
    <w:p w14:paraId="03BEF5D4">
      <w:pPr>
        <w:tabs>
          <w:tab w:val="left" w:pos="720"/>
        </w:tabs>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（2）中小企业参加政府采购活动，应当按照国务院批准的《中小企业划型标准规定》（工信部联企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hint="eastAsia" w:asciiTheme="minorEastAsia" w:hAnsiTheme="minorEastAsia" w:cstheme="minorEastAsia"/>
          <w:color w:val="FF0000"/>
          <w:szCs w:val="21"/>
        </w:rPr>
        <w:t>《中小企业声明函》中相关企业（服务承接商）所属行业应当与采购标的所属行业相一致，标的所属行业以招标文件第一册第三章用户需求书“服务需求明细”的“标的所属行业”一栏为准</w:t>
      </w:r>
      <w:r>
        <w:rPr>
          <w:rFonts w:hint="eastAsia" w:asciiTheme="minorEastAsia" w:hAnsiTheme="minorEastAsia" w:cstheme="minorEastAsia"/>
          <w:szCs w:val="21"/>
        </w:rPr>
        <w:t>。</w:t>
      </w:r>
    </w:p>
    <w:p w14:paraId="33709052">
      <w:pPr>
        <w:tabs>
          <w:tab w:val="left" w:pos="720"/>
        </w:tabs>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3）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三章“投标文件格式、附件”中“四、投标人情况介绍”章节提供的格式）。</w:t>
      </w:r>
    </w:p>
    <w:p w14:paraId="7A5058D1">
      <w:pPr>
        <w:tabs>
          <w:tab w:val="left" w:pos="720"/>
        </w:tabs>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（5）享受价格扣除获得政府采购合同的，小微企业不得将合同分包给大中型企业。</w:t>
      </w:r>
    </w:p>
    <w:p w14:paraId="1F296C22">
      <w:pPr>
        <w:tabs>
          <w:tab w:val="left" w:pos="720"/>
        </w:tabs>
        <w:ind w:firstLine="480" w:firstLineChars="200"/>
        <w:rPr>
          <w:rFonts w:hint="eastAsia" w:ascii="黑体" w:hAnsi="宋体" w:eastAsia="黑体"/>
          <w:sz w:val="24"/>
        </w:rPr>
      </w:pPr>
    </w:p>
    <w:p w14:paraId="2F52E995">
      <w:pPr>
        <w:tabs>
          <w:tab w:val="left" w:pos="720"/>
        </w:tabs>
        <w:rPr>
          <w:rFonts w:hint="eastAsia" w:ascii="宋体" w:hAnsi="宋体"/>
          <w:b/>
          <w:bCs/>
          <w:color w:val="FF0000"/>
        </w:rPr>
      </w:pPr>
      <w:r>
        <w:rPr>
          <w:rFonts w:hint="eastAsia" w:ascii="宋体" w:hAnsi="宋体" w:eastAsia="宋体" w:cs="宋体"/>
          <w:b/>
          <w:bCs/>
          <w:szCs w:val="24"/>
        </w:rPr>
        <w:t>2.</w:t>
      </w:r>
      <w:r>
        <w:rPr>
          <w:rFonts w:ascii="宋体" w:hAnsi="宋体"/>
          <w:b/>
          <w:bCs/>
          <w:color w:val="FF0000"/>
        </w:rPr>
        <w:t>本项目为代理服务项目，将向中标</w:t>
      </w:r>
      <w:r>
        <w:rPr>
          <w:rFonts w:hint="eastAsia" w:ascii="宋体" w:hAnsi="宋体"/>
          <w:b/>
          <w:bCs/>
          <w:color w:val="FF0000"/>
        </w:rPr>
        <w:t>（成交）</w:t>
      </w:r>
      <w:r>
        <w:rPr>
          <w:rFonts w:ascii="宋体" w:hAnsi="宋体"/>
          <w:b/>
          <w:bCs/>
          <w:color w:val="FF0000"/>
        </w:rPr>
        <w:t>供应商收取代理服务费</w:t>
      </w:r>
      <w:r>
        <w:rPr>
          <w:rFonts w:hint="eastAsia" w:ascii="宋体" w:hAnsi="宋体"/>
          <w:b/>
          <w:bCs/>
          <w:color w:val="FF0000"/>
        </w:rPr>
        <w:t>。</w:t>
      </w:r>
    </w:p>
    <w:p w14:paraId="7F75E037">
      <w:pPr>
        <w:ind w:firstLine="420" w:firstLineChars="200"/>
      </w:pPr>
      <w:r>
        <w:rPr>
          <w:rFonts w:hint="eastAsia"/>
        </w:rPr>
        <w:t>中标</w:t>
      </w:r>
      <w:r>
        <w:rPr>
          <w:rFonts w:hint="eastAsia" w:eastAsia="宋体"/>
        </w:rPr>
        <w:t>（</w:t>
      </w:r>
      <w:r>
        <w:rPr>
          <w:rFonts w:hint="eastAsia" w:ascii="Times New Roman" w:eastAsia="宋体"/>
        </w:rPr>
        <w:t>成交</w:t>
      </w:r>
      <w:r>
        <w:rPr>
          <w:rFonts w:hint="eastAsia" w:eastAsia="宋体"/>
        </w:rPr>
        <w:t>）</w:t>
      </w:r>
      <w:r>
        <w:rPr>
          <w:rFonts w:hint="eastAsia"/>
        </w:rPr>
        <w:t>供应商在领取《中标</w:t>
      </w:r>
      <w:r>
        <w:rPr>
          <w:rFonts w:hint="eastAsia" w:eastAsia="宋体"/>
        </w:rPr>
        <w:t>（</w:t>
      </w:r>
      <w:r>
        <w:rPr>
          <w:rFonts w:hint="eastAsia" w:ascii="Times New Roman" w:eastAsia="宋体"/>
        </w:rPr>
        <w:t>成交</w:t>
      </w:r>
      <w:r>
        <w:rPr>
          <w:rFonts w:hint="eastAsia" w:eastAsia="宋体"/>
        </w:rPr>
        <w:t>）</w:t>
      </w:r>
      <w:r>
        <w:rPr>
          <w:rFonts w:hint="eastAsia"/>
        </w:rPr>
        <w:t>通知书》之前须向深圳公共资源交易中心（深圳交易集团有限公司龙华分公司）交纳代理服务费。若因中标</w:t>
      </w:r>
      <w:r>
        <w:rPr>
          <w:rFonts w:hint="eastAsia" w:eastAsia="宋体"/>
        </w:rPr>
        <w:t>（</w:t>
      </w:r>
      <w:r>
        <w:rPr>
          <w:rFonts w:hint="eastAsia" w:ascii="Times New Roman" w:eastAsia="宋体"/>
        </w:rPr>
        <w:t>成交</w:t>
      </w:r>
      <w:r>
        <w:rPr>
          <w:rFonts w:hint="eastAsia" w:eastAsia="宋体"/>
        </w:rPr>
        <w:t>）</w:t>
      </w:r>
      <w:r>
        <w:rPr>
          <w:rFonts w:hint="eastAsia"/>
        </w:rPr>
        <w:t>供应商交纳代理服务费所产生的时间影响到合同签订的，由中标</w:t>
      </w:r>
      <w:r>
        <w:rPr>
          <w:rFonts w:hint="eastAsia" w:eastAsia="宋体"/>
        </w:rPr>
        <w:t>（</w:t>
      </w:r>
      <w:r>
        <w:rPr>
          <w:rFonts w:hint="eastAsia" w:ascii="Times New Roman" w:eastAsia="宋体"/>
        </w:rPr>
        <w:t>成交</w:t>
      </w:r>
      <w:r>
        <w:rPr>
          <w:rFonts w:hint="eastAsia" w:eastAsia="宋体"/>
        </w:rPr>
        <w:t>）</w:t>
      </w:r>
      <w:r>
        <w:rPr>
          <w:rFonts w:hint="eastAsia"/>
        </w:rPr>
        <w:t>供应商自行承担责任。代理服务费标准参照</w:t>
      </w:r>
      <w:r>
        <w:rPr>
          <w:rFonts w:hint="eastAsia" w:ascii="Times New Roman" w:eastAsia="宋体"/>
        </w:rPr>
        <w:t>下列</w:t>
      </w:r>
      <w:r>
        <w:rPr>
          <w:rFonts w:hint="eastAsia"/>
        </w:rPr>
        <w:t>标准收取。</w:t>
      </w:r>
      <w:r>
        <w:rPr>
          <w:rFonts w:hint="eastAsia"/>
          <w:b/>
          <w:color w:val="FF0000"/>
        </w:rPr>
        <w:t>本项目类型为服务采购：</w:t>
      </w:r>
    </w:p>
    <w:p w14:paraId="2EE7AC99">
      <w:pPr>
        <w:ind w:firstLine="420" w:firstLineChars="200"/>
      </w:pPr>
      <w:r>
        <w:rPr>
          <w:rFonts w:hint="eastAsia"/>
        </w:rPr>
        <w:t>（</w:t>
      </w:r>
      <w:r>
        <w:rPr>
          <w:rFonts w:hint="eastAsia" w:ascii="Times New Roman" w:eastAsia="宋体"/>
        </w:rPr>
        <w:t>1</w:t>
      </w:r>
      <w:r>
        <w:rPr>
          <w:rFonts w:hint="eastAsia"/>
        </w:rPr>
        <w:t>）代理服务费以《中标</w:t>
      </w:r>
      <w:r>
        <w:rPr>
          <w:rFonts w:hint="eastAsia" w:eastAsia="宋体"/>
        </w:rPr>
        <w:t>（</w:t>
      </w:r>
      <w:r>
        <w:rPr>
          <w:rFonts w:hint="eastAsia" w:ascii="Times New Roman" w:eastAsia="宋体"/>
        </w:rPr>
        <w:t>成交</w:t>
      </w:r>
      <w:r>
        <w:rPr>
          <w:rFonts w:hint="eastAsia" w:eastAsia="宋体"/>
        </w:rPr>
        <w:t>）</w:t>
      </w:r>
      <w:r>
        <w:rPr>
          <w:rFonts w:hint="eastAsia"/>
        </w:rPr>
        <w:t>通知书》确定的</w:t>
      </w:r>
      <w:r>
        <w:rPr>
          <w:rFonts w:hint="eastAsia" w:ascii="Times New Roman" w:eastAsia="宋体"/>
        </w:rPr>
        <w:t>中标（</w:t>
      </w:r>
      <w:r>
        <w:rPr>
          <w:rFonts w:hint="eastAsia"/>
        </w:rPr>
        <w:t>成交</w:t>
      </w:r>
      <w:r>
        <w:rPr>
          <w:rFonts w:hint="eastAsia" w:eastAsia="宋体"/>
        </w:rPr>
        <w:t>）</w:t>
      </w:r>
      <w:r>
        <w:rPr>
          <w:rFonts w:hint="eastAsia"/>
        </w:rPr>
        <w:t>金额作为计算基数，按差额定率累进法计算。</w:t>
      </w:r>
    </w:p>
    <w:p w14:paraId="04150BFD">
      <w:pPr>
        <w:widowControl/>
        <w:ind w:firstLine="420"/>
        <w:jc w:val="left"/>
        <w:rPr>
          <w:rFonts w:hint="eastAsia" w:ascii="宋体" w:hAnsi="宋体"/>
          <w:color w:val="FF0000"/>
          <w:szCs w:val="21"/>
        </w:rPr>
      </w:pPr>
      <w:r>
        <w:rPr>
          <w:rFonts w:hint="eastAsia"/>
        </w:rPr>
        <w:t>（</w:t>
      </w:r>
      <w:r>
        <w:rPr>
          <w:rFonts w:hint="eastAsia" w:ascii="Times New Roman" w:eastAsia="宋体"/>
        </w:rPr>
        <w:t>2</w:t>
      </w:r>
      <w:r>
        <w:rPr>
          <w:rFonts w:hint="eastAsia"/>
        </w:rPr>
        <w:t>）中标</w:t>
      </w:r>
      <w:r>
        <w:rPr>
          <w:rFonts w:hint="eastAsia" w:eastAsia="宋体"/>
        </w:rPr>
        <w:t>（</w:t>
      </w:r>
      <w:r>
        <w:rPr>
          <w:rFonts w:hint="eastAsia" w:ascii="Times New Roman" w:eastAsia="宋体"/>
        </w:rPr>
        <w:t>成交</w:t>
      </w:r>
      <w:r>
        <w:rPr>
          <w:rFonts w:hint="eastAsia" w:eastAsia="宋体"/>
        </w:rPr>
        <w:t>）</w:t>
      </w:r>
      <w:r>
        <w:rPr>
          <w:rFonts w:hint="eastAsia"/>
        </w:rPr>
        <w:t>金额的各部分费率如下表</w:t>
      </w:r>
      <w:r>
        <w:rPr>
          <w:rFonts w:hint="eastAsia" w:ascii="宋体" w:hAnsi="宋体"/>
          <w:color w:val="FF0000"/>
          <w:szCs w:val="21"/>
        </w:rPr>
        <w:t>：</w:t>
      </w:r>
    </w:p>
    <w:tbl>
      <w:tblPr>
        <w:tblStyle w:val="2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14:paraId="74B93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4BCBF758">
            <w:pPr>
              <w:widowControl/>
              <w:spacing w:line="360" w:lineRule="auto"/>
              <w:jc w:val="center"/>
              <w:rPr>
                <w:rFonts w:hint="eastAsia" w:ascii="宋体" w:hAnsi="宋体"/>
                <w:color w:val="FF0000"/>
                <w:szCs w:val="21"/>
              </w:rPr>
            </w:pPr>
            <w:r>
              <w:rPr>
                <w:rFonts w:hint="eastAsia" w:ascii="Times New Roman" w:eastAsia="宋体"/>
              </w:rPr>
              <w:t>中标</w:t>
            </w:r>
            <w:r>
              <w:rPr>
                <w:rFonts w:hint="eastAsia" w:eastAsia="宋体"/>
              </w:rPr>
              <w:t>（</w:t>
            </w:r>
            <w:r>
              <w:rPr>
                <w:rFonts w:hint="eastAsia" w:ascii="Times New Roman" w:eastAsia="宋体"/>
              </w:rPr>
              <w:t>成交</w:t>
            </w:r>
            <w:r>
              <w:rPr>
                <w:rFonts w:hint="eastAsia" w:eastAsia="宋体"/>
              </w:rPr>
              <w:t>）</w:t>
            </w:r>
            <w:r>
              <w:rPr>
                <w:rFonts w:hint="eastAsia"/>
              </w:rPr>
              <w:t>金额</w:t>
            </w:r>
          </w:p>
        </w:tc>
        <w:tc>
          <w:tcPr>
            <w:tcW w:w="1799" w:type="dxa"/>
            <w:vAlign w:val="center"/>
          </w:tcPr>
          <w:p w14:paraId="52AF1FC6">
            <w:pPr>
              <w:widowControl/>
              <w:spacing w:line="360" w:lineRule="auto"/>
              <w:jc w:val="center"/>
              <w:rPr>
                <w:rFonts w:hint="eastAsia" w:ascii="宋体" w:hAnsi="宋体"/>
                <w:color w:val="FF0000"/>
                <w:szCs w:val="21"/>
              </w:rPr>
            </w:pPr>
            <w:r>
              <w:rPr>
                <w:rFonts w:hint="eastAsia"/>
              </w:rPr>
              <w:t>货物采购</w:t>
            </w:r>
          </w:p>
        </w:tc>
        <w:tc>
          <w:tcPr>
            <w:tcW w:w="1799" w:type="dxa"/>
            <w:vAlign w:val="center"/>
          </w:tcPr>
          <w:p w14:paraId="168F74B6">
            <w:pPr>
              <w:widowControl/>
              <w:spacing w:line="360" w:lineRule="auto"/>
              <w:jc w:val="center"/>
              <w:rPr>
                <w:rFonts w:hint="eastAsia" w:ascii="宋体" w:hAnsi="宋体"/>
                <w:color w:val="FF0000"/>
                <w:szCs w:val="21"/>
              </w:rPr>
            </w:pPr>
            <w:r>
              <w:rPr>
                <w:rFonts w:hint="eastAsia"/>
              </w:rPr>
              <w:t>服务采购</w:t>
            </w:r>
          </w:p>
        </w:tc>
        <w:tc>
          <w:tcPr>
            <w:tcW w:w="1799" w:type="dxa"/>
            <w:vAlign w:val="center"/>
          </w:tcPr>
          <w:p w14:paraId="4C3FA7A1">
            <w:pPr>
              <w:widowControl/>
              <w:spacing w:line="360" w:lineRule="auto"/>
              <w:jc w:val="center"/>
              <w:rPr>
                <w:rFonts w:hint="eastAsia" w:ascii="宋体" w:hAnsi="宋体"/>
                <w:color w:val="FF0000"/>
                <w:szCs w:val="21"/>
              </w:rPr>
            </w:pPr>
            <w:r>
              <w:rPr>
                <w:rFonts w:hint="eastAsia"/>
              </w:rPr>
              <w:t>工程采购</w:t>
            </w:r>
          </w:p>
        </w:tc>
      </w:tr>
      <w:tr w14:paraId="64199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03A74D9">
            <w:pPr>
              <w:widowControl/>
              <w:spacing w:line="360" w:lineRule="auto"/>
              <w:jc w:val="center"/>
              <w:rPr>
                <w:rFonts w:hint="eastAsia" w:ascii="宋体" w:hAnsi="宋体"/>
                <w:color w:val="FF0000"/>
                <w:szCs w:val="21"/>
              </w:rPr>
            </w:pPr>
            <w:r>
              <w:rPr>
                <w:rFonts w:hint="eastAsia"/>
              </w:rPr>
              <w:t>100万元以下</w:t>
            </w:r>
          </w:p>
        </w:tc>
        <w:tc>
          <w:tcPr>
            <w:tcW w:w="1799" w:type="dxa"/>
            <w:vAlign w:val="center"/>
          </w:tcPr>
          <w:p w14:paraId="6F0C0E05">
            <w:pPr>
              <w:widowControl/>
              <w:spacing w:line="360" w:lineRule="auto"/>
              <w:jc w:val="center"/>
              <w:rPr>
                <w:rFonts w:hint="eastAsia" w:ascii="宋体" w:hAnsi="宋体"/>
                <w:color w:val="FF0000"/>
                <w:szCs w:val="21"/>
              </w:rPr>
            </w:pPr>
            <w:r>
              <w:rPr>
                <w:rFonts w:hint="eastAsia"/>
              </w:rPr>
              <w:t>1.5%</w:t>
            </w:r>
          </w:p>
        </w:tc>
        <w:tc>
          <w:tcPr>
            <w:tcW w:w="1799" w:type="dxa"/>
            <w:vAlign w:val="center"/>
          </w:tcPr>
          <w:p w14:paraId="16F12740">
            <w:pPr>
              <w:widowControl/>
              <w:spacing w:line="360" w:lineRule="auto"/>
              <w:jc w:val="center"/>
              <w:rPr>
                <w:rFonts w:hint="eastAsia" w:ascii="宋体" w:hAnsi="宋体"/>
                <w:color w:val="FF0000"/>
                <w:szCs w:val="21"/>
              </w:rPr>
            </w:pPr>
            <w:r>
              <w:rPr>
                <w:rFonts w:hint="eastAsia"/>
              </w:rPr>
              <w:t>1.5%</w:t>
            </w:r>
          </w:p>
        </w:tc>
        <w:tc>
          <w:tcPr>
            <w:tcW w:w="1799" w:type="dxa"/>
            <w:vAlign w:val="center"/>
          </w:tcPr>
          <w:p w14:paraId="750A3D4A">
            <w:pPr>
              <w:widowControl/>
              <w:spacing w:line="360" w:lineRule="auto"/>
              <w:jc w:val="center"/>
              <w:rPr>
                <w:rFonts w:hint="eastAsia" w:ascii="宋体" w:hAnsi="宋体"/>
                <w:color w:val="FF0000"/>
                <w:szCs w:val="21"/>
              </w:rPr>
            </w:pPr>
            <w:r>
              <w:rPr>
                <w:rFonts w:hint="eastAsia"/>
              </w:rPr>
              <w:t>1.0%</w:t>
            </w:r>
          </w:p>
        </w:tc>
      </w:tr>
      <w:tr w14:paraId="54658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B6F82D9">
            <w:pPr>
              <w:widowControl/>
              <w:spacing w:line="360" w:lineRule="auto"/>
              <w:jc w:val="center"/>
              <w:rPr>
                <w:rFonts w:hint="eastAsia" w:ascii="宋体" w:hAnsi="宋体"/>
                <w:color w:val="FF0000"/>
                <w:szCs w:val="21"/>
              </w:rPr>
            </w:pPr>
            <w:r>
              <w:rPr>
                <w:rFonts w:hint="eastAsia"/>
              </w:rPr>
              <w:t>100万元（含）-500万元</w:t>
            </w:r>
          </w:p>
        </w:tc>
        <w:tc>
          <w:tcPr>
            <w:tcW w:w="1799" w:type="dxa"/>
            <w:vAlign w:val="center"/>
          </w:tcPr>
          <w:p w14:paraId="7EA64F9B">
            <w:pPr>
              <w:widowControl/>
              <w:spacing w:line="360" w:lineRule="auto"/>
              <w:jc w:val="center"/>
              <w:rPr>
                <w:rFonts w:hint="eastAsia" w:ascii="宋体" w:hAnsi="宋体"/>
                <w:color w:val="FF0000"/>
                <w:szCs w:val="21"/>
              </w:rPr>
            </w:pPr>
            <w:r>
              <w:rPr>
                <w:rFonts w:hint="eastAsia"/>
              </w:rPr>
              <w:t>1.1%</w:t>
            </w:r>
          </w:p>
        </w:tc>
        <w:tc>
          <w:tcPr>
            <w:tcW w:w="1799" w:type="dxa"/>
            <w:vAlign w:val="center"/>
          </w:tcPr>
          <w:p w14:paraId="07147FDB">
            <w:pPr>
              <w:widowControl/>
              <w:spacing w:line="360" w:lineRule="auto"/>
              <w:jc w:val="center"/>
              <w:rPr>
                <w:rFonts w:hint="eastAsia" w:ascii="宋体" w:hAnsi="宋体"/>
                <w:color w:val="FF0000"/>
                <w:szCs w:val="21"/>
              </w:rPr>
            </w:pPr>
            <w:r>
              <w:rPr>
                <w:rFonts w:hint="eastAsia"/>
              </w:rPr>
              <w:t>0.8%</w:t>
            </w:r>
          </w:p>
        </w:tc>
        <w:tc>
          <w:tcPr>
            <w:tcW w:w="1799" w:type="dxa"/>
            <w:vAlign w:val="center"/>
          </w:tcPr>
          <w:p w14:paraId="1F34F700">
            <w:pPr>
              <w:widowControl/>
              <w:spacing w:line="360" w:lineRule="auto"/>
              <w:jc w:val="center"/>
              <w:rPr>
                <w:rFonts w:hint="eastAsia" w:ascii="宋体" w:hAnsi="宋体"/>
                <w:color w:val="FF0000"/>
                <w:szCs w:val="21"/>
              </w:rPr>
            </w:pPr>
            <w:r>
              <w:rPr>
                <w:rFonts w:hint="eastAsia"/>
              </w:rPr>
              <w:t>0.7%</w:t>
            </w:r>
          </w:p>
        </w:tc>
      </w:tr>
      <w:tr w14:paraId="5EEAA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707F00B">
            <w:pPr>
              <w:widowControl/>
              <w:spacing w:line="360" w:lineRule="auto"/>
              <w:jc w:val="center"/>
              <w:rPr>
                <w:rFonts w:hint="eastAsia" w:ascii="宋体" w:hAnsi="宋体"/>
                <w:color w:val="FF0000"/>
                <w:szCs w:val="21"/>
              </w:rPr>
            </w:pPr>
            <w:r>
              <w:rPr>
                <w:rFonts w:hint="eastAsia"/>
              </w:rPr>
              <w:t>500万元（含）-1000万元</w:t>
            </w:r>
          </w:p>
        </w:tc>
        <w:tc>
          <w:tcPr>
            <w:tcW w:w="1799" w:type="dxa"/>
            <w:vAlign w:val="center"/>
          </w:tcPr>
          <w:p w14:paraId="5BBC6A31">
            <w:pPr>
              <w:widowControl/>
              <w:spacing w:line="360" w:lineRule="auto"/>
              <w:jc w:val="center"/>
              <w:rPr>
                <w:rFonts w:hint="eastAsia" w:ascii="宋体" w:hAnsi="宋体"/>
                <w:color w:val="FF0000"/>
                <w:szCs w:val="21"/>
              </w:rPr>
            </w:pPr>
            <w:r>
              <w:rPr>
                <w:rFonts w:hint="eastAsia"/>
              </w:rPr>
              <w:t>0.8%</w:t>
            </w:r>
          </w:p>
        </w:tc>
        <w:tc>
          <w:tcPr>
            <w:tcW w:w="1799" w:type="dxa"/>
            <w:vAlign w:val="center"/>
          </w:tcPr>
          <w:p w14:paraId="3BF41B0E">
            <w:pPr>
              <w:widowControl/>
              <w:spacing w:line="360" w:lineRule="auto"/>
              <w:jc w:val="center"/>
              <w:rPr>
                <w:rFonts w:hint="eastAsia" w:ascii="宋体" w:hAnsi="宋体"/>
                <w:color w:val="FF0000"/>
                <w:szCs w:val="21"/>
              </w:rPr>
            </w:pPr>
            <w:r>
              <w:rPr>
                <w:rFonts w:hint="eastAsia"/>
              </w:rPr>
              <w:t>0.45%</w:t>
            </w:r>
          </w:p>
        </w:tc>
        <w:tc>
          <w:tcPr>
            <w:tcW w:w="1799" w:type="dxa"/>
            <w:vAlign w:val="center"/>
          </w:tcPr>
          <w:p w14:paraId="7606C624">
            <w:pPr>
              <w:widowControl/>
              <w:spacing w:line="360" w:lineRule="auto"/>
              <w:jc w:val="center"/>
              <w:rPr>
                <w:rFonts w:hint="eastAsia" w:ascii="宋体" w:hAnsi="宋体"/>
                <w:color w:val="FF0000"/>
                <w:szCs w:val="21"/>
              </w:rPr>
            </w:pPr>
            <w:r>
              <w:rPr>
                <w:rFonts w:hint="eastAsia"/>
              </w:rPr>
              <w:t>0.55%</w:t>
            </w:r>
          </w:p>
        </w:tc>
      </w:tr>
      <w:tr w14:paraId="67C4D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4A84A7B">
            <w:pPr>
              <w:widowControl/>
              <w:spacing w:line="360" w:lineRule="auto"/>
              <w:jc w:val="center"/>
              <w:rPr>
                <w:rFonts w:hint="eastAsia" w:ascii="宋体" w:hAnsi="宋体"/>
                <w:color w:val="FF0000"/>
                <w:szCs w:val="21"/>
              </w:rPr>
            </w:pPr>
            <w:r>
              <w:rPr>
                <w:rFonts w:hint="eastAsia"/>
              </w:rPr>
              <w:t>1000万元（含）-5000万元</w:t>
            </w:r>
          </w:p>
        </w:tc>
        <w:tc>
          <w:tcPr>
            <w:tcW w:w="1799" w:type="dxa"/>
            <w:vAlign w:val="center"/>
          </w:tcPr>
          <w:p w14:paraId="1BE05306">
            <w:pPr>
              <w:widowControl/>
              <w:spacing w:line="360" w:lineRule="auto"/>
              <w:jc w:val="center"/>
              <w:rPr>
                <w:rFonts w:hint="eastAsia" w:ascii="宋体" w:hAnsi="宋体"/>
                <w:color w:val="FF0000"/>
                <w:szCs w:val="21"/>
              </w:rPr>
            </w:pPr>
            <w:r>
              <w:rPr>
                <w:rFonts w:hint="eastAsia"/>
              </w:rPr>
              <w:t>0.5%</w:t>
            </w:r>
          </w:p>
        </w:tc>
        <w:tc>
          <w:tcPr>
            <w:tcW w:w="1799" w:type="dxa"/>
            <w:vAlign w:val="center"/>
          </w:tcPr>
          <w:p w14:paraId="08ADF3D4">
            <w:pPr>
              <w:widowControl/>
              <w:spacing w:line="360" w:lineRule="auto"/>
              <w:jc w:val="center"/>
              <w:rPr>
                <w:rFonts w:hint="eastAsia" w:ascii="宋体" w:hAnsi="宋体"/>
                <w:color w:val="FF0000"/>
                <w:szCs w:val="21"/>
              </w:rPr>
            </w:pPr>
            <w:r>
              <w:rPr>
                <w:rFonts w:hint="eastAsia"/>
              </w:rPr>
              <w:t>0.25%</w:t>
            </w:r>
          </w:p>
        </w:tc>
        <w:tc>
          <w:tcPr>
            <w:tcW w:w="1799" w:type="dxa"/>
            <w:vAlign w:val="center"/>
          </w:tcPr>
          <w:p w14:paraId="3DC4E427">
            <w:pPr>
              <w:widowControl/>
              <w:spacing w:line="360" w:lineRule="auto"/>
              <w:jc w:val="center"/>
              <w:rPr>
                <w:rFonts w:hint="eastAsia" w:ascii="宋体" w:hAnsi="宋体"/>
                <w:color w:val="FF0000"/>
                <w:szCs w:val="21"/>
              </w:rPr>
            </w:pPr>
            <w:r>
              <w:rPr>
                <w:rFonts w:hint="eastAsia"/>
              </w:rPr>
              <w:t>0.35%</w:t>
            </w:r>
          </w:p>
        </w:tc>
      </w:tr>
      <w:tr w14:paraId="49466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106190E">
            <w:pPr>
              <w:widowControl/>
              <w:spacing w:line="360" w:lineRule="auto"/>
              <w:jc w:val="center"/>
              <w:rPr>
                <w:rFonts w:hint="eastAsia" w:ascii="宋体" w:hAnsi="宋体"/>
                <w:color w:val="FF0000"/>
                <w:szCs w:val="21"/>
              </w:rPr>
            </w:pPr>
            <w:r>
              <w:rPr>
                <w:rFonts w:hint="eastAsia"/>
              </w:rPr>
              <w:t>5000万元（含）-1亿元</w:t>
            </w:r>
          </w:p>
        </w:tc>
        <w:tc>
          <w:tcPr>
            <w:tcW w:w="1799" w:type="dxa"/>
            <w:vAlign w:val="center"/>
          </w:tcPr>
          <w:p w14:paraId="0386D928">
            <w:pPr>
              <w:widowControl/>
              <w:spacing w:line="360" w:lineRule="auto"/>
              <w:jc w:val="center"/>
              <w:rPr>
                <w:rFonts w:hint="eastAsia" w:ascii="宋体" w:hAnsi="宋体"/>
                <w:color w:val="FF0000"/>
                <w:szCs w:val="21"/>
              </w:rPr>
            </w:pPr>
            <w:r>
              <w:rPr>
                <w:rFonts w:hint="eastAsia"/>
              </w:rPr>
              <w:t>0.25%</w:t>
            </w:r>
          </w:p>
        </w:tc>
        <w:tc>
          <w:tcPr>
            <w:tcW w:w="1799" w:type="dxa"/>
            <w:vAlign w:val="center"/>
          </w:tcPr>
          <w:p w14:paraId="04A4B7FA">
            <w:pPr>
              <w:widowControl/>
              <w:spacing w:line="360" w:lineRule="auto"/>
              <w:jc w:val="center"/>
              <w:rPr>
                <w:rFonts w:hint="eastAsia" w:ascii="宋体" w:hAnsi="宋体"/>
                <w:color w:val="FF0000"/>
                <w:szCs w:val="21"/>
              </w:rPr>
            </w:pPr>
            <w:r>
              <w:rPr>
                <w:rFonts w:hint="eastAsia"/>
              </w:rPr>
              <w:t>0.1%</w:t>
            </w:r>
          </w:p>
        </w:tc>
        <w:tc>
          <w:tcPr>
            <w:tcW w:w="1799" w:type="dxa"/>
            <w:vAlign w:val="center"/>
          </w:tcPr>
          <w:p w14:paraId="11F174A2">
            <w:pPr>
              <w:widowControl/>
              <w:spacing w:line="360" w:lineRule="auto"/>
              <w:jc w:val="center"/>
              <w:rPr>
                <w:rFonts w:hint="eastAsia" w:ascii="宋体" w:hAnsi="宋体"/>
                <w:color w:val="FF0000"/>
                <w:szCs w:val="21"/>
              </w:rPr>
            </w:pPr>
            <w:r>
              <w:rPr>
                <w:rFonts w:hint="eastAsia"/>
              </w:rPr>
              <w:t>0.2%</w:t>
            </w:r>
          </w:p>
        </w:tc>
      </w:tr>
      <w:tr w14:paraId="741B8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C3A4890">
            <w:pPr>
              <w:widowControl/>
              <w:spacing w:line="360" w:lineRule="auto"/>
              <w:jc w:val="center"/>
              <w:rPr>
                <w:rFonts w:hint="eastAsia" w:ascii="宋体" w:hAnsi="宋体"/>
                <w:color w:val="FF0000"/>
                <w:szCs w:val="21"/>
              </w:rPr>
            </w:pPr>
            <w:r>
              <w:rPr>
                <w:rFonts w:hint="eastAsia"/>
              </w:rPr>
              <w:t>1亿元（含）-5亿元</w:t>
            </w:r>
          </w:p>
        </w:tc>
        <w:tc>
          <w:tcPr>
            <w:tcW w:w="1799" w:type="dxa"/>
            <w:vAlign w:val="center"/>
          </w:tcPr>
          <w:p w14:paraId="7EEE4413">
            <w:pPr>
              <w:widowControl/>
              <w:spacing w:line="360" w:lineRule="auto"/>
              <w:jc w:val="center"/>
              <w:rPr>
                <w:rFonts w:hint="eastAsia" w:ascii="宋体" w:hAnsi="宋体"/>
                <w:color w:val="FF0000"/>
                <w:szCs w:val="21"/>
              </w:rPr>
            </w:pPr>
            <w:r>
              <w:rPr>
                <w:rFonts w:hint="eastAsia"/>
              </w:rPr>
              <w:t>0.05%</w:t>
            </w:r>
          </w:p>
        </w:tc>
        <w:tc>
          <w:tcPr>
            <w:tcW w:w="1799" w:type="dxa"/>
            <w:vAlign w:val="center"/>
          </w:tcPr>
          <w:p w14:paraId="25405812">
            <w:pPr>
              <w:widowControl/>
              <w:spacing w:line="360" w:lineRule="auto"/>
              <w:jc w:val="center"/>
              <w:rPr>
                <w:rFonts w:hint="eastAsia" w:ascii="宋体" w:hAnsi="宋体"/>
                <w:color w:val="FF0000"/>
                <w:szCs w:val="21"/>
              </w:rPr>
            </w:pPr>
            <w:r>
              <w:rPr>
                <w:rFonts w:hint="eastAsia"/>
              </w:rPr>
              <w:t>0.05%</w:t>
            </w:r>
          </w:p>
        </w:tc>
        <w:tc>
          <w:tcPr>
            <w:tcW w:w="1799" w:type="dxa"/>
            <w:vAlign w:val="center"/>
          </w:tcPr>
          <w:p w14:paraId="73BF6908">
            <w:pPr>
              <w:widowControl/>
              <w:spacing w:line="360" w:lineRule="auto"/>
              <w:jc w:val="center"/>
              <w:rPr>
                <w:rFonts w:hint="eastAsia" w:ascii="宋体" w:hAnsi="宋体"/>
                <w:color w:val="FF0000"/>
                <w:szCs w:val="21"/>
              </w:rPr>
            </w:pPr>
            <w:r>
              <w:rPr>
                <w:rFonts w:hint="eastAsia"/>
              </w:rPr>
              <w:t>0.05%</w:t>
            </w:r>
          </w:p>
        </w:tc>
      </w:tr>
      <w:tr w14:paraId="0E9A2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EE3ACD0">
            <w:pPr>
              <w:widowControl/>
              <w:spacing w:line="360" w:lineRule="auto"/>
              <w:jc w:val="center"/>
              <w:rPr>
                <w:rFonts w:hint="eastAsia" w:ascii="宋体" w:hAnsi="宋体"/>
                <w:color w:val="FF0000"/>
                <w:szCs w:val="21"/>
              </w:rPr>
            </w:pPr>
            <w:r>
              <w:rPr>
                <w:rFonts w:hint="eastAsia"/>
              </w:rPr>
              <w:t>5亿元（含）-10亿元</w:t>
            </w:r>
          </w:p>
        </w:tc>
        <w:tc>
          <w:tcPr>
            <w:tcW w:w="1799" w:type="dxa"/>
            <w:vAlign w:val="center"/>
          </w:tcPr>
          <w:p w14:paraId="216133AA">
            <w:pPr>
              <w:widowControl/>
              <w:spacing w:line="360" w:lineRule="auto"/>
              <w:jc w:val="center"/>
              <w:rPr>
                <w:rFonts w:hint="eastAsia" w:ascii="宋体" w:hAnsi="宋体"/>
                <w:color w:val="FF0000"/>
                <w:szCs w:val="21"/>
              </w:rPr>
            </w:pPr>
            <w:r>
              <w:rPr>
                <w:rFonts w:hint="eastAsia"/>
              </w:rPr>
              <w:t>0.035%</w:t>
            </w:r>
          </w:p>
        </w:tc>
        <w:tc>
          <w:tcPr>
            <w:tcW w:w="1799" w:type="dxa"/>
            <w:vAlign w:val="center"/>
          </w:tcPr>
          <w:p w14:paraId="22B82A36">
            <w:pPr>
              <w:widowControl/>
              <w:spacing w:line="360" w:lineRule="auto"/>
              <w:jc w:val="center"/>
              <w:rPr>
                <w:rFonts w:hint="eastAsia" w:ascii="宋体" w:hAnsi="宋体"/>
                <w:color w:val="FF0000"/>
                <w:szCs w:val="21"/>
              </w:rPr>
            </w:pPr>
            <w:r>
              <w:rPr>
                <w:rFonts w:hint="eastAsia"/>
              </w:rPr>
              <w:t>0.035%</w:t>
            </w:r>
          </w:p>
        </w:tc>
        <w:tc>
          <w:tcPr>
            <w:tcW w:w="1799" w:type="dxa"/>
            <w:vAlign w:val="center"/>
          </w:tcPr>
          <w:p w14:paraId="282DC7BD">
            <w:pPr>
              <w:widowControl/>
              <w:spacing w:line="360" w:lineRule="auto"/>
              <w:jc w:val="center"/>
              <w:rPr>
                <w:rFonts w:hint="eastAsia" w:ascii="宋体" w:hAnsi="宋体"/>
                <w:color w:val="FF0000"/>
                <w:szCs w:val="21"/>
              </w:rPr>
            </w:pPr>
            <w:r>
              <w:rPr>
                <w:rFonts w:hint="eastAsia"/>
              </w:rPr>
              <w:t>0.035%</w:t>
            </w:r>
          </w:p>
        </w:tc>
      </w:tr>
      <w:tr w14:paraId="68819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BA50349">
            <w:pPr>
              <w:widowControl/>
              <w:spacing w:line="360" w:lineRule="auto"/>
              <w:jc w:val="center"/>
              <w:rPr>
                <w:rFonts w:hint="eastAsia" w:ascii="宋体" w:hAnsi="宋体"/>
                <w:color w:val="FF0000"/>
                <w:szCs w:val="21"/>
              </w:rPr>
            </w:pPr>
            <w:r>
              <w:rPr>
                <w:rFonts w:hint="eastAsia"/>
              </w:rPr>
              <w:t>10亿元（含）-50亿元</w:t>
            </w:r>
          </w:p>
        </w:tc>
        <w:tc>
          <w:tcPr>
            <w:tcW w:w="1799" w:type="dxa"/>
            <w:vAlign w:val="center"/>
          </w:tcPr>
          <w:p w14:paraId="632CD209">
            <w:pPr>
              <w:widowControl/>
              <w:spacing w:line="360" w:lineRule="auto"/>
              <w:jc w:val="center"/>
              <w:rPr>
                <w:rFonts w:hint="eastAsia" w:ascii="宋体" w:hAnsi="宋体"/>
                <w:color w:val="FF0000"/>
                <w:szCs w:val="21"/>
              </w:rPr>
            </w:pPr>
            <w:r>
              <w:rPr>
                <w:rFonts w:hint="eastAsia"/>
              </w:rPr>
              <w:t>0.008%</w:t>
            </w:r>
          </w:p>
        </w:tc>
        <w:tc>
          <w:tcPr>
            <w:tcW w:w="1799" w:type="dxa"/>
            <w:vAlign w:val="center"/>
          </w:tcPr>
          <w:p w14:paraId="7DD4340F">
            <w:pPr>
              <w:widowControl/>
              <w:spacing w:line="360" w:lineRule="auto"/>
              <w:jc w:val="center"/>
              <w:rPr>
                <w:rFonts w:hint="eastAsia" w:ascii="宋体" w:hAnsi="宋体"/>
                <w:color w:val="FF0000"/>
                <w:szCs w:val="21"/>
              </w:rPr>
            </w:pPr>
            <w:r>
              <w:rPr>
                <w:rFonts w:hint="eastAsia"/>
              </w:rPr>
              <w:t>0.008%</w:t>
            </w:r>
          </w:p>
        </w:tc>
        <w:tc>
          <w:tcPr>
            <w:tcW w:w="1799" w:type="dxa"/>
            <w:vAlign w:val="center"/>
          </w:tcPr>
          <w:p w14:paraId="4099C8CD">
            <w:pPr>
              <w:widowControl/>
              <w:spacing w:line="360" w:lineRule="auto"/>
              <w:jc w:val="center"/>
              <w:rPr>
                <w:rFonts w:hint="eastAsia" w:ascii="宋体" w:hAnsi="宋体"/>
                <w:color w:val="FF0000"/>
                <w:szCs w:val="21"/>
              </w:rPr>
            </w:pPr>
            <w:r>
              <w:rPr>
                <w:rFonts w:hint="eastAsia"/>
              </w:rPr>
              <w:t>0.008%</w:t>
            </w:r>
          </w:p>
        </w:tc>
      </w:tr>
      <w:tr w14:paraId="173F8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6F5A40A">
            <w:pPr>
              <w:widowControl/>
              <w:spacing w:line="360" w:lineRule="auto"/>
              <w:jc w:val="center"/>
              <w:rPr>
                <w:rFonts w:hint="eastAsia" w:ascii="宋体" w:hAnsi="宋体"/>
                <w:color w:val="FF0000"/>
                <w:szCs w:val="21"/>
              </w:rPr>
            </w:pPr>
            <w:r>
              <w:rPr>
                <w:rFonts w:hint="eastAsia"/>
              </w:rPr>
              <w:t>50亿元（含）-100亿元</w:t>
            </w:r>
          </w:p>
        </w:tc>
        <w:tc>
          <w:tcPr>
            <w:tcW w:w="1799" w:type="dxa"/>
            <w:vAlign w:val="center"/>
          </w:tcPr>
          <w:p w14:paraId="03479B16">
            <w:pPr>
              <w:widowControl/>
              <w:spacing w:line="360" w:lineRule="auto"/>
              <w:jc w:val="center"/>
              <w:rPr>
                <w:rFonts w:hint="eastAsia" w:ascii="宋体" w:hAnsi="宋体"/>
                <w:color w:val="FF0000"/>
                <w:szCs w:val="21"/>
              </w:rPr>
            </w:pPr>
            <w:r>
              <w:rPr>
                <w:rFonts w:hint="eastAsia"/>
              </w:rPr>
              <w:t>0.006%</w:t>
            </w:r>
          </w:p>
        </w:tc>
        <w:tc>
          <w:tcPr>
            <w:tcW w:w="1799" w:type="dxa"/>
            <w:vAlign w:val="center"/>
          </w:tcPr>
          <w:p w14:paraId="09CC6F9D">
            <w:pPr>
              <w:widowControl/>
              <w:spacing w:line="360" w:lineRule="auto"/>
              <w:jc w:val="center"/>
              <w:rPr>
                <w:rFonts w:hint="eastAsia" w:ascii="宋体" w:hAnsi="宋体"/>
                <w:color w:val="FF0000"/>
                <w:szCs w:val="21"/>
              </w:rPr>
            </w:pPr>
            <w:r>
              <w:rPr>
                <w:rFonts w:hint="eastAsia"/>
              </w:rPr>
              <w:t>0.006%</w:t>
            </w:r>
          </w:p>
        </w:tc>
        <w:tc>
          <w:tcPr>
            <w:tcW w:w="1799" w:type="dxa"/>
            <w:vAlign w:val="center"/>
          </w:tcPr>
          <w:p w14:paraId="657F7294">
            <w:pPr>
              <w:widowControl/>
              <w:spacing w:line="360" w:lineRule="auto"/>
              <w:jc w:val="center"/>
              <w:rPr>
                <w:rFonts w:hint="eastAsia" w:ascii="宋体" w:hAnsi="宋体"/>
                <w:color w:val="FF0000"/>
                <w:szCs w:val="21"/>
              </w:rPr>
            </w:pPr>
            <w:r>
              <w:rPr>
                <w:rFonts w:hint="eastAsia"/>
              </w:rPr>
              <w:t>0.006%</w:t>
            </w:r>
          </w:p>
        </w:tc>
      </w:tr>
      <w:tr w14:paraId="60B77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1FB94F0">
            <w:pPr>
              <w:widowControl/>
              <w:spacing w:line="360" w:lineRule="auto"/>
              <w:jc w:val="center"/>
              <w:rPr>
                <w:rFonts w:hint="eastAsia" w:ascii="宋体" w:hAnsi="宋体"/>
                <w:color w:val="FF0000"/>
                <w:szCs w:val="21"/>
              </w:rPr>
            </w:pPr>
            <w:r>
              <w:rPr>
                <w:rFonts w:hint="eastAsia"/>
              </w:rPr>
              <w:t>100亿元（含）以上</w:t>
            </w:r>
          </w:p>
        </w:tc>
        <w:tc>
          <w:tcPr>
            <w:tcW w:w="1799" w:type="dxa"/>
            <w:vAlign w:val="center"/>
          </w:tcPr>
          <w:p w14:paraId="350E8264">
            <w:pPr>
              <w:widowControl/>
              <w:spacing w:line="360" w:lineRule="auto"/>
              <w:jc w:val="center"/>
              <w:rPr>
                <w:rFonts w:hint="eastAsia" w:ascii="宋体" w:hAnsi="宋体"/>
                <w:color w:val="FF0000"/>
                <w:szCs w:val="21"/>
              </w:rPr>
            </w:pPr>
            <w:r>
              <w:rPr>
                <w:rFonts w:hint="eastAsia"/>
              </w:rPr>
              <w:t>0.004%</w:t>
            </w:r>
          </w:p>
        </w:tc>
        <w:tc>
          <w:tcPr>
            <w:tcW w:w="1799" w:type="dxa"/>
            <w:vAlign w:val="center"/>
          </w:tcPr>
          <w:p w14:paraId="490C303A">
            <w:pPr>
              <w:widowControl/>
              <w:spacing w:line="360" w:lineRule="auto"/>
              <w:jc w:val="center"/>
              <w:rPr>
                <w:rFonts w:hint="eastAsia" w:ascii="宋体" w:hAnsi="宋体"/>
                <w:color w:val="FF0000"/>
                <w:szCs w:val="21"/>
              </w:rPr>
            </w:pPr>
            <w:r>
              <w:rPr>
                <w:rFonts w:hint="eastAsia"/>
              </w:rPr>
              <w:t>0.004%</w:t>
            </w:r>
          </w:p>
        </w:tc>
        <w:tc>
          <w:tcPr>
            <w:tcW w:w="1799" w:type="dxa"/>
            <w:vAlign w:val="center"/>
          </w:tcPr>
          <w:p w14:paraId="7ED3AD63">
            <w:pPr>
              <w:widowControl/>
              <w:spacing w:line="360" w:lineRule="auto"/>
              <w:jc w:val="center"/>
              <w:rPr>
                <w:rFonts w:hint="eastAsia" w:ascii="宋体" w:hAnsi="宋体"/>
                <w:color w:val="FF0000"/>
                <w:szCs w:val="21"/>
              </w:rPr>
            </w:pPr>
            <w:r>
              <w:rPr>
                <w:rFonts w:hint="eastAsia"/>
              </w:rPr>
              <w:t>0.004%</w:t>
            </w:r>
          </w:p>
        </w:tc>
      </w:tr>
    </w:tbl>
    <w:p w14:paraId="599691B1">
      <w:pPr>
        <w:ind w:firstLine="420" w:firstLineChars="200"/>
      </w:pPr>
      <w:r>
        <w:rPr>
          <w:rFonts w:hint="eastAsia"/>
        </w:rPr>
        <w:t xml:space="preserve">备注：1.每宗交易代理服务费不低于 </w:t>
      </w:r>
      <w:r>
        <w:rPr>
          <w:rFonts w:hint="eastAsia" w:ascii="Times New Roman" w:eastAsia="宋体"/>
        </w:rPr>
        <w:t>5</w:t>
      </w:r>
      <w:r>
        <w:rPr>
          <w:rFonts w:hint="eastAsia"/>
        </w:rPr>
        <w:t>000 元；</w:t>
      </w:r>
    </w:p>
    <w:p w14:paraId="4E48BEF2">
      <w:pPr>
        <w:ind w:firstLine="420" w:firstLineChars="200"/>
        <w:rPr>
          <w:rFonts w:eastAsia="宋体"/>
        </w:rPr>
      </w:pPr>
      <w:r>
        <w:rPr>
          <w:rFonts w:hint="eastAsia"/>
        </w:rPr>
        <w:t>2.对于报总价的采购类项目，中标</w:t>
      </w:r>
      <w:r>
        <w:rPr>
          <w:rFonts w:hint="eastAsia" w:eastAsia="宋体"/>
        </w:rPr>
        <w:t>（</w:t>
      </w:r>
      <w:r>
        <w:rPr>
          <w:rFonts w:hint="eastAsia" w:ascii="Times New Roman" w:eastAsia="宋体"/>
        </w:rPr>
        <w:t>成交</w:t>
      </w:r>
      <w:r>
        <w:rPr>
          <w:rFonts w:hint="eastAsia" w:eastAsia="宋体"/>
        </w:rPr>
        <w:t>）</w:t>
      </w:r>
      <w:r>
        <w:rPr>
          <w:rFonts w:hint="eastAsia"/>
        </w:rPr>
        <w:t>价为中标（成交）金额；对于报单价、折扣或费率的采购类项目，中标</w:t>
      </w:r>
      <w:r>
        <w:rPr>
          <w:rFonts w:hint="eastAsia" w:eastAsia="宋体"/>
        </w:rPr>
        <w:t>（</w:t>
      </w:r>
      <w:r>
        <w:rPr>
          <w:rFonts w:hint="eastAsia" w:ascii="Times New Roman" w:eastAsia="宋体"/>
        </w:rPr>
        <w:t>成交</w:t>
      </w:r>
      <w:r>
        <w:rPr>
          <w:rFonts w:hint="eastAsia" w:eastAsia="宋体"/>
        </w:rPr>
        <w:t>）</w:t>
      </w:r>
      <w:r>
        <w:rPr>
          <w:rFonts w:hint="eastAsia"/>
        </w:rPr>
        <w:t>价为预算上限金额或经委托方与代理方确定的支付上限金额；</w:t>
      </w:r>
    </w:p>
    <w:p w14:paraId="606BC418">
      <w:pPr>
        <w:ind w:firstLine="420" w:firstLineChars="200"/>
      </w:pPr>
    </w:p>
    <w:p w14:paraId="24CB329F">
      <w:pPr>
        <w:ind w:firstLine="420" w:firstLineChars="200"/>
      </w:pPr>
      <w:r>
        <w:rPr>
          <w:rFonts w:hint="eastAsia"/>
        </w:rPr>
        <w:t>如某货物采购项目，中标（成交）金额为600万元，总共交纳的代理服务费的具体计算过程如下：</w:t>
      </w:r>
    </w:p>
    <w:p w14:paraId="0E6D94B9">
      <w:pPr>
        <w:ind w:firstLine="420" w:firstLineChars="200"/>
      </w:pPr>
      <w:r>
        <w:rPr>
          <w:rFonts w:hint="eastAsia"/>
        </w:rPr>
        <w:t>标准代理服务费＝（100万以下部分的代理服务费）+（100万～500万部分的代理服务费）+（500万～600万部分的代理服务费）＝100万元×1.5%+（500-100）万元×1.1%+（600-500）万元×0.8%=1.5万元+4.4万元+0.8万元＝6.7万元</w:t>
      </w:r>
    </w:p>
    <w:p w14:paraId="06B078D8">
      <w:pPr>
        <w:widowControl/>
        <w:ind w:firstLine="420"/>
        <w:jc w:val="left"/>
        <w:rPr>
          <w:rFonts w:hint="eastAsia" w:ascii="宋体" w:hAnsi="宋体" w:cs="Times New Roman"/>
          <w:bCs/>
          <w:kern w:val="44"/>
          <w:szCs w:val="21"/>
        </w:rPr>
      </w:pPr>
      <w:r>
        <w:rPr>
          <w:rFonts w:hint="eastAsia"/>
        </w:rPr>
        <w:t>（</w:t>
      </w:r>
      <w:r>
        <w:rPr>
          <w:rFonts w:hint="eastAsia" w:ascii="Times New Roman" w:eastAsia="宋体"/>
        </w:rPr>
        <w:t>3</w:t>
      </w:r>
      <w:r>
        <w:rPr>
          <w:rFonts w:hint="eastAsia"/>
        </w:rPr>
        <w:t>）中标（成交）供应商中标（成交）后，必须按规定采用银行对公转账方式向深圳交易集团有限公司直接交纳代理服务费，交纳信息及要求按照缴款</w:t>
      </w:r>
      <w:r>
        <w:rPr>
          <w:rFonts w:hint="eastAsia" w:eastAsia="宋体"/>
        </w:rPr>
        <w:t>（</w:t>
      </w:r>
      <w:r>
        <w:rPr>
          <w:rFonts w:hint="eastAsia" w:ascii="Times New Roman" w:eastAsia="宋体"/>
        </w:rPr>
        <w:t>付款</w:t>
      </w:r>
      <w:r>
        <w:rPr>
          <w:rFonts w:hint="eastAsia" w:eastAsia="宋体"/>
        </w:rPr>
        <w:t>）</w:t>
      </w:r>
      <w:r>
        <w:rPr>
          <w:rFonts w:hint="eastAsia"/>
        </w:rPr>
        <w:t>通知书执行。</w:t>
      </w:r>
    </w:p>
    <w:p w14:paraId="26850E10">
      <w:pPr>
        <w:widowControl/>
        <w:ind w:firstLine="420"/>
        <w:jc w:val="left"/>
        <w:rPr>
          <w:rFonts w:hint="eastAsia" w:ascii="宋体" w:hAnsi="宋体"/>
          <w:color w:val="FF0000"/>
          <w:szCs w:val="21"/>
        </w:rPr>
      </w:pPr>
    </w:p>
    <w:p w14:paraId="18DC8D33">
      <w:pPr>
        <w:widowControl/>
        <w:ind w:firstLine="420"/>
        <w:jc w:val="left"/>
        <w:rPr>
          <w:rFonts w:hint="eastAsia" w:ascii="宋体" w:hAnsi="宋体" w:eastAsia="黑体" w:cs="Times New Roman"/>
          <w:bCs/>
          <w:kern w:val="44"/>
          <w:szCs w:val="21"/>
        </w:rPr>
      </w:pPr>
    </w:p>
    <w:p w14:paraId="23031B7A">
      <w:pPr>
        <w:widowControl/>
        <w:jc w:val="left"/>
        <w:rPr>
          <w:rFonts w:hint="eastAsia" w:ascii="宋体" w:hAnsi="宋体" w:eastAsia="黑体" w:cs="Times New Roman"/>
          <w:bCs/>
          <w:kern w:val="44"/>
          <w:sz w:val="28"/>
          <w:szCs w:val="44"/>
        </w:rPr>
      </w:pPr>
      <w:r>
        <w:rPr>
          <w:rFonts w:ascii="宋体" w:hAnsi="宋体" w:eastAsia="黑体" w:cs="Times New Roman"/>
          <w:bCs/>
          <w:kern w:val="44"/>
          <w:sz w:val="28"/>
          <w:szCs w:val="44"/>
        </w:rPr>
        <w:br w:type="page"/>
      </w:r>
    </w:p>
    <w:p w14:paraId="240F1402">
      <w:pPr>
        <w:keepNext/>
        <w:keepLines/>
        <w:adjustRightInd w:val="0"/>
        <w:spacing w:before="260" w:after="260"/>
        <w:jc w:val="center"/>
        <w:textAlignment w:val="baseline"/>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第三章 用户需求书</w:t>
      </w:r>
    </w:p>
    <w:p w14:paraId="105F1346">
      <w:pPr>
        <w:keepNext/>
        <w:keepLines/>
        <w:tabs>
          <w:tab w:val="left" w:pos="1680"/>
        </w:tabs>
        <w:spacing w:before="260" w:after="78" w:afterLines="25"/>
        <w:jc w:val="center"/>
        <w:outlineLvl w:val="2"/>
        <w:rPr>
          <w:rFonts w:ascii="Arial" w:hAnsi="Arial" w:eastAsia="宋体" w:cs="Times New Roman"/>
          <w:b/>
          <w:sz w:val="32"/>
          <w:szCs w:val="32"/>
        </w:rPr>
      </w:pPr>
      <w:r>
        <w:rPr>
          <w:rFonts w:hint="eastAsia" w:ascii="Arial" w:hAnsi="Arial" w:eastAsia="宋体" w:cs="Times New Roman"/>
          <w:b/>
          <w:sz w:val="32"/>
          <w:szCs w:val="32"/>
        </w:rPr>
        <w:t>一、项目基本信息</w:t>
      </w:r>
    </w:p>
    <w:tbl>
      <w:tblPr>
        <w:tblStyle w:val="22"/>
        <w:tblW w:w="8931" w:type="dxa"/>
        <w:jc w:val="center"/>
        <w:tblLayout w:type="fixed"/>
        <w:tblCellMar>
          <w:top w:w="15" w:type="dxa"/>
          <w:left w:w="15" w:type="dxa"/>
          <w:bottom w:w="15" w:type="dxa"/>
          <w:right w:w="15" w:type="dxa"/>
        </w:tblCellMar>
      </w:tblPr>
      <w:tblGrid>
        <w:gridCol w:w="710"/>
        <w:gridCol w:w="2323"/>
        <w:gridCol w:w="4119"/>
        <w:gridCol w:w="1779"/>
      </w:tblGrid>
      <w:tr w14:paraId="6D73D75B">
        <w:tblPrEx>
          <w:tblCellMar>
            <w:top w:w="15" w:type="dxa"/>
            <w:left w:w="15" w:type="dxa"/>
            <w:bottom w:w="15" w:type="dxa"/>
            <w:right w:w="15" w:type="dxa"/>
          </w:tblCellMar>
        </w:tblPrEx>
        <w:trPr>
          <w:trHeight w:val="552" w:hRule="atLeast"/>
          <w:jc w:val="center"/>
        </w:trPr>
        <w:tc>
          <w:tcPr>
            <w:tcW w:w="710" w:type="dxa"/>
            <w:tcBorders>
              <w:top w:val="single" w:color="000000" w:sz="4" w:space="0"/>
              <w:left w:val="single" w:color="000000" w:sz="4" w:space="0"/>
              <w:bottom w:val="single" w:color="000000" w:sz="4" w:space="0"/>
              <w:right w:val="single" w:color="auto" w:sz="4" w:space="0"/>
            </w:tcBorders>
            <w:shd w:val="clear" w:color="auto" w:fill="C6D9F0" w:themeFill="text2" w:themeFillTint="33"/>
            <w:vAlign w:val="center"/>
          </w:tcPr>
          <w:p w14:paraId="5B0404D4">
            <w:pPr>
              <w:jc w:val="center"/>
            </w:pPr>
            <w:r>
              <w:rPr>
                <w:rFonts w:hint="eastAsia"/>
              </w:rPr>
              <w:t>序号</w:t>
            </w:r>
          </w:p>
        </w:tc>
        <w:tc>
          <w:tcPr>
            <w:tcW w:w="2323" w:type="dxa"/>
            <w:tcBorders>
              <w:top w:val="single" w:color="000000" w:sz="4" w:space="0"/>
              <w:left w:val="single" w:color="auto" w:sz="4" w:space="0"/>
              <w:bottom w:val="single" w:color="000000" w:sz="4" w:space="0"/>
              <w:right w:val="single" w:color="000000" w:sz="4" w:space="0"/>
            </w:tcBorders>
            <w:shd w:val="clear" w:color="auto" w:fill="C6D9F0" w:themeFill="text2" w:themeFillTint="33"/>
            <w:vAlign w:val="center"/>
          </w:tcPr>
          <w:p w14:paraId="1B4051F3">
            <w:pPr>
              <w:jc w:val="center"/>
            </w:pPr>
            <w:r>
              <w:rPr>
                <w:rFonts w:hint="eastAsia"/>
              </w:rPr>
              <w:t>项目编号</w:t>
            </w:r>
          </w:p>
        </w:tc>
        <w:tc>
          <w:tcPr>
            <w:tcW w:w="4119" w:type="dxa"/>
            <w:tcBorders>
              <w:top w:val="single" w:color="000000" w:sz="4" w:space="0"/>
              <w:left w:val="single" w:color="000000" w:sz="4" w:space="0"/>
              <w:bottom w:val="single" w:color="000000" w:sz="4" w:space="0"/>
              <w:right w:val="single" w:color="000000" w:sz="4" w:space="0"/>
            </w:tcBorders>
            <w:shd w:val="clear" w:color="auto" w:fill="C6D9F0" w:themeFill="text2" w:themeFillTint="33"/>
            <w:vAlign w:val="center"/>
          </w:tcPr>
          <w:p w14:paraId="3F23BD62">
            <w:pPr>
              <w:jc w:val="center"/>
            </w:pPr>
            <w:r>
              <w:rPr>
                <w:rFonts w:hint="eastAsia"/>
              </w:rPr>
              <w:t>采购项目名称</w:t>
            </w:r>
          </w:p>
        </w:tc>
        <w:tc>
          <w:tcPr>
            <w:tcW w:w="1779" w:type="dxa"/>
            <w:tcBorders>
              <w:top w:val="single" w:color="000000" w:sz="4" w:space="0"/>
              <w:left w:val="single" w:color="000000" w:sz="4" w:space="0"/>
              <w:bottom w:val="single" w:color="000000" w:sz="4" w:space="0"/>
              <w:right w:val="single" w:color="000000" w:sz="4" w:space="0"/>
            </w:tcBorders>
            <w:shd w:val="clear" w:color="auto" w:fill="C6D9F0" w:themeFill="text2" w:themeFillTint="33"/>
            <w:vAlign w:val="center"/>
          </w:tcPr>
          <w:p w14:paraId="10000F6D">
            <w:pPr>
              <w:jc w:val="center"/>
            </w:pPr>
            <w:r>
              <w:rPr>
                <w:rFonts w:hint="eastAsia" w:asciiTheme="minorEastAsia" w:hAnsiTheme="minorEastAsia"/>
                <w:sz w:val="24"/>
                <w:szCs w:val="24"/>
              </w:rPr>
              <w:t>财政预算限额（元）</w:t>
            </w:r>
          </w:p>
        </w:tc>
      </w:tr>
      <w:tr w14:paraId="3C3DC168">
        <w:tblPrEx>
          <w:tblCellMar>
            <w:top w:w="15" w:type="dxa"/>
            <w:left w:w="15" w:type="dxa"/>
            <w:bottom w:w="15" w:type="dxa"/>
            <w:right w:w="15" w:type="dxa"/>
          </w:tblCellMar>
        </w:tblPrEx>
        <w:trPr>
          <w:trHeight w:val="286" w:hRule="atLeast"/>
          <w:jc w:val="center"/>
        </w:trPr>
        <w:tc>
          <w:tcPr>
            <w:tcW w:w="710" w:type="dxa"/>
            <w:tcBorders>
              <w:top w:val="single" w:color="000000" w:sz="4" w:space="0"/>
              <w:left w:val="single" w:color="000000" w:sz="4" w:space="0"/>
              <w:bottom w:val="single" w:color="000000" w:sz="4" w:space="0"/>
              <w:right w:val="single" w:color="auto" w:sz="4" w:space="0"/>
            </w:tcBorders>
            <w:vAlign w:val="center"/>
          </w:tcPr>
          <w:p w14:paraId="57B56F16">
            <w:pPr>
              <w:jc w:val="center"/>
              <w:rPr>
                <w:rFonts w:hint="eastAsia" w:asciiTheme="minorEastAsia" w:hAnsiTheme="minorEastAsia"/>
                <w:sz w:val="24"/>
                <w:szCs w:val="24"/>
              </w:rPr>
            </w:pPr>
            <w:r>
              <w:rPr>
                <w:rFonts w:hint="eastAsia" w:asciiTheme="minorEastAsia" w:hAnsiTheme="minorEastAsia"/>
                <w:sz w:val="24"/>
                <w:szCs w:val="24"/>
              </w:rPr>
              <w:t>1</w:t>
            </w:r>
          </w:p>
        </w:tc>
        <w:tc>
          <w:tcPr>
            <w:tcW w:w="2323" w:type="dxa"/>
            <w:tcBorders>
              <w:top w:val="single" w:color="000000" w:sz="4" w:space="0"/>
              <w:left w:val="single" w:color="auto" w:sz="4" w:space="0"/>
              <w:bottom w:val="single" w:color="000000" w:sz="4" w:space="0"/>
              <w:right w:val="single" w:color="000000" w:sz="4" w:space="0"/>
            </w:tcBorders>
            <w:vAlign w:val="center"/>
          </w:tcPr>
          <w:p w14:paraId="1D0BD52A">
            <w:pPr>
              <w:jc w:val="center"/>
              <w:rPr>
                <w:rFonts w:hint="eastAsia" w:asciiTheme="minorEastAsia" w:hAnsiTheme="minorEastAsia" w:eastAsiaTheme="minorEastAsia"/>
                <w:sz w:val="24"/>
                <w:szCs w:val="24"/>
                <w:lang w:eastAsia="zh-CN"/>
              </w:rPr>
            </w:pPr>
            <w:r>
              <w:rPr>
                <w:rFonts w:hint="eastAsia" w:asciiTheme="minorEastAsia" w:hAnsiTheme="minorEastAsia"/>
                <w:sz w:val="24"/>
                <w:szCs w:val="24"/>
              </w:rPr>
              <w:t>LHAZXCG-2025-0005</w:t>
            </w:r>
            <w:r>
              <w:rPr>
                <w:rFonts w:hint="eastAsia" w:asciiTheme="minorEastAsia" w:hAnsiTheme="minorEastAsia"/>
                <w:sz w:val="24"/>
                <w:szCs w:val="24"/>
                <w:lang w:val="en-US" w:eastAsia="zh-CN"/>
              </w:rPr>
              <w:t>8</w:t>
            </w:r>
          </w:p>
        </w:tc>
        <w:tc>
          <w:tcPr>
            <w:tcW w:w="4119" w:type="dxa"/>
            <w:tcBorders>
              <w:top w:val="single" w:color="000000" w:sz="4" w:space="0"/>
              <w:left w:val="single" w:color="000000" w:sz="4" w:space="0"/>
              <w:right w:val="single" w:color="000000" w:sz="4" w:space="0"/>
            </w:tcBorders>
            <w:vAlign w:val="center"/>
          </w:tcPr>
          <w:p w14:paraId="19B1A379">
            <w:pPr>
              <w:jc w:val="center"/>
              <w:rPr>
                <w:rFonts w:eastAsia="宋体"/>
              </w:rPr>
            </w:pPr>
            <w:r>
              <w:rPr>
                <w:rFonts w:hint="eastAsia" w:eastAsia="宋体"/>
              </w:rPr>
              <w:t>深圳市龙华区未来幼教集团鸿悦幼儿园2025-2026学年物业管理服务项目</w:t>
            </w:r>
          </w:p>
        </w:tc>
        <w:tc>
          <w:tcPr>
            <w:tcW w:w="1779" w:type="dxa"/>
            <w:vMerge w:val="restart"/>
            <w:tcBorders>
              <w:top w:val="single" w:color="000000" w:sz="4" w:space="0"/>
              <w:left w:val="single" w:color="000000" w:sz="4" w:space="0"/>
              <w:right w:val="single" w:color="000000" w:sz="4" w:space="0"/>
            </w:tcBorders>
            <w:vAlign w:val="center"/>
          </w:tcPr>
          <w:p w14:paraId="3DB3F9C6">
            <w:pPr>
              <w:jc w:val="center"/>
              <w:rPr>
                <w:rFonts w:hint="default" w:asciiTheme="minorEastAsia" w:hAnsiTheme="minorEastAsia" w:eastAsiaTheme="minorEastAsia"/>
                <w:sz w:val="24"/>
                <w:szCs w:val="24"/>
                <w:lang w:val="en-US" w:eastAsia="zh-CN"/>
              </w:rPr>
            </w:pPr>
            <w:r>
              <w:rPr>
                <w:rFonts w:hint="default" w:asciiTheme="minorEastAsia" w:hAnsiTheme="minorEastAsia" w:eastAsiaTheme="minorEastAsia"/>
                <w:sz w:val="24"/>
                <w:szCs w:val="24"/>
                <w:lang w:val="en-US" w:eastAsia="zh-CN"/>
              </w:rPr>
              <w:t>458400.00</w:t>
            </w:r>
          </w:p>
        </w:tc>
      </w:tr>
      <w:tr w14:paraId="060069AB">
        <w:tblPrEx>
          <w:tblCellMar>
            <w:top w:w="15" w:type="dxa"/>
            <w:left w:w="15" w:type="dxa"/>
            <w:bottom w:w="15" w:type="dxa"/>
            <w:right w:w="15" w:type="dxa"/>
          </w:tblCellMar>
        </w:tblPrEx>
        <w:trPr>
          <w:trHeight w:val="172" w:hRule="atLeast"/>
          <w:jc w:val="center"/>
        </w:trPr>
        <w:tc>
          <w:tcPr>
            <w:tcW w:w="7152" w:type="dxa"/>
            <w:gridSpan w:val="3"/>
            <w:tcBorders>
              <w:top w:val="single" w:color="000000" w:sz="4" w:space="0"/>
              <w:left w:val="single" w:color="000000" w:sz="4" w:space="0"/>
              <w:bottom w:val="single" w:color="auto" w:sz="4" w:space="0"/>
              <w:right w:val="single" w:color="000000" w:sz="4" w:space="0"/>
            </w:tcBorders>
            <w:vAlign w:val="center"/>
          </w:tcPr>
          <w:p w14:paraId="3DD76668">
            <w:pPr>
              <w:jc w:val="center"/>
            </w:pPr>
            <w:r>
              <w:rPr>
                <w:rFonts w:hint="eastAsia"/>
              </w:rPr>
              <w:t>合计（元）</w:t>
            </w:r>
          </w:p>
        </w:tc>
        <w:tc>
          <w:tcPr>
            <w:tcW w:w="1779" w:type="dxa"/>
            <w:vMerge w:val="continue"/>
            <w:tcBorders>
              <w:left w:val="single" w:color="000000" w:sz="4" w:space="0"/>
              <w:bottom w:val="single" w:color="auto" w:sz="4" w:space="0"/>
              <w:right w:val="single" w:color="000000" w:sz="4" w:space="0"/>
            </w:tcBorders>
            <w:vAlign w:val="center"/>
          </w:tcPr>
          <w:p w14:paraId="35FA4702">
            <w:pPr>
              <w:jc w:val="center"/>
              <w:rPr>
                <w:rFonts w:hint="eastAsia" w:asciiTheme="minorEastAsia" w:hAnsiTheme="minorEastAsia"/>
                <w:sz w:val="24"/>
                <w:szCs w:val="24"/>
              </w:rPr>
            </w:pPr>
          </w:p>
        </w:tc>
      </w:tr>
    </w:tbl>
    <w:p w14:paraId="3670063D">
      <w:pPr>
        <w:rPr>
          <w:sz w:val="24"/>
          <w:szCs w:val="24"/>
        </w:rPr>
      </w:pPr>
      <w:r>
        <w:rPr>
          <w:rFonts w:hint="eastAsia" w:ascii="Arial" w:hAnsi="Arial" w:eastAsia="宋体" w:cs="Times New Roman"/>
          <w:b/>
          <w:color w:val="FF0000"/>
          <w:sz w:val="24"/>
          <w:szCs w:val="24"/>
        </w:rPr>
        <w:t>本项目控制金额为人民币458400.00</w:t>
      </w:r>
      <w:r>
        <w:rPr>
          <w:rFonts w:hint="eastAsia" w:ascii="Arial" w:hAnsi="Arial" w:eastAsia="宋体" w:cs="Times New Roman"/>
          <w:b/>
          <w:color w:val="0000FF"/>
          <w:sz w:val="24"/>
          <w:szCs w:val="24"/>
        </w:rPr>
        <w:t>元</w:t>
      </w:r>
      <w:r>
        <w:rPr>
          <w:rFonts w:hint="eastAsia" w:ascii="Arial" w:hAnsi="Arial" w:eastAsia="宋体" w:cs="Times New Roman"/>
          <w:b/>
          <w:color w:val="FF0000"/>
          <w:sz w:val="24"/>
          <w:szCs w:val="24"/>
        </w:rPr>
        <w:t>，投标报价超出控制金额将作投标无效处理。</w:t>
      </w:r>
    </w:p>
    <w:p w14:paraId="1EF11270">
      <w:pPr>
        <w:keepNext/>
        <w:keepLines/>
        <w:tabs>
          <w:tab w:val="left" w:pos="1680"/>
        </w:tabs>
        <w:spacing w:before="260" w:after="78" w:afterLines="25"/>
        <w:jc w:val="center"/>
        <w:outlineLvl w:val="2"/>
        <w:rPr>
          <w:rFonts w:ascii="Arial" w:hAnsi="Arial" w:eastAsia="宋体" w:cs="Times New Roman"/>
          <w:b/>
          <w:sz w:val="32"/>
          <w:szCs w:val="32"/>
        </w:rPr>
      </w:pPr>
      <w:r>
        <w:rPr>
          <w:rFonts w:hint="eastAsia" w:ascii="Arial" w:hAnsi="Arial" w:eastAsia="宋体" w:cs="Times New Roman"/>
          <w:b/>
          <w:sz w:val="32"/>
          <w:szCs w:val="32"/>
        </w:rPr>
        <w:t>二、</w:t>
      </w:r>
      <w:r>
        <w:rPr>
          <w:rFonts w:hint="eastAsia" w:ascii="Arial" w:hAnsi="Arial" w:eastAsia="宋体" w:cs="Times New Roman"/>
          <w:b/>
          <w:color w:val="FF0000"/>
          <w:sz w:val="32"/>
          <w:szCs w:val="32"/>
          <w:lang w:eastAsia="zh-CN"/>
        </w:rPr>
        <w:t>服务内容</w:t>
      </w:r>
    </w:p>
    <w:p w14:paraId="3707CECD">
      <w:pPr>
        <w:ind w:firstLine="422" w:firstLineChars="200"/>
        <w:rPr>
          <w:rFonts w:hint="eastAsia" w:asciiTheme="minorEastAsia" w:hAnsiTheme="minorEastAsia" w:eastAsiaTheme="minorEastAsia" w:cstheme="minorEastAsia"/>
          <w:b/>
          <w:bCs w:val="0"/>
          <w:sz w:val="21"/>
          <w:szCs w:val="21"/>
          <w:lang w:val="en-US" w:eastAsia="zh-CN"/>
        </w:rPr>
      </w:pPr>
      <w:r>
        <w:rPr>
          <w:rFonts w:hint="eastAsia" w:asciiTheme="minorEastAsia" w:hAnsiTheme="minorEastAsia" w:eastAsiaTheme="minorEastAsia" w:cstheme="minorEastAsia"/>
          <w:b/>
          <w:bCs w:val="0"/>
          <w:sz w:val="21"/>
          <w:szCs w:val="21"/>
          <w:lang w:val="en-US" w:eastAsia="zh-CN"/>
        </w:rPr>
        <w:t>服务要求</w:t>
      </w:r>
    </w:p>
    <w:p w14:paraId="0645232B">
      <w:pPr>
        <w:ind w:firstLine="420" w:firstLineChars="200"/>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1、配合监管要求</w:t>
      </w:r>
    </w:p>
    <w:p w14:paraId="02FB65A2">
      <w:pPr>
        <w:ind w:firstLine="420" w:firstLineChars="200"/>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(1)投标人提供的服务均须围绕学校的教育教学及管理工作来开展，努力做到对学校的各项工作不产生干扰，遵守学校的管理制度。</w:t>
      </w:r>
    </w:p>
    <w:p w14:paraId="62FFFDCC">
      <w:pPr>
        <w:ind w:firstLine="420" w:firstLineChars="200"/>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(2)投标人应认真配合按照学校针对本项目制订的监督制度、配合学校专门工作人员进行的监督。</w:t>
      </w:r>
    </w:p>
    <w:p w14:paraId="29F8F90A">
      <w:pPr>
        <w:ind w:firstLine="420" w:firstLineChars="200"/>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(3)对学校涉及到本服务项目有关的教育教学及管理等各项工作而提出的配合措施，投标人须尽量配合。具备智能化、信息化的管理能力，具有相关管理软件服务于学校的日常管理工作。</w:t>
      </w:r>
    </w:p>
    <w:p w14:paraId="42FCAEE8">
      <w:pPr>
        <w:ind w:firstLine="420" w:firstLineChars="200"/>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(4)龙华区教育局作为辖区内学校的主管部门，履行监督物业服务企业履行物业管理服务合同的职责，投标人应主动配合。各学校履行监管物业服务企业履行物业管理服务合同的职责。</w:t>
      </w:r>
    </w:p>
    <w:p w14:paraId="2B51DF2F">
      <w:pPr>
        <w:ind w:firstLine="420" w:firstLineChars="200"/>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2、建章立制要求</w:t>
      </w:r>
    </w:p>
    <w:p w14:paraId="52F63902">
      <w:pPr>
        <w:ind w:firstLine="420" w:firstLineChars="200"/>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投标人须建立健全针对本项目所涉及的各类管理制度、服务规范、设备操作规范、安全事故防范方案、维修报请处理及应急响应制度等等，并须得到学校管理部门的批准和备案，以便能够保证为师生提供高效、优质的服务，加强对工作人员的职业道德教育、行为管理、技能培训，保障各种设备的正常运行，杜绝安全事故及设备非自然损坏现象。</w:t>
      </w:r>
    </w:p>
    <w:p w14:paraId="4CEB4C4F">
      <w:pPr>
        <w:ind w:firstLine="420" w:firstLineChars="200"/>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3、环境卫生管理要求</w:t>
      </w:r>
    </w:p>
    <w:p w14:paraId="7D0F5A1E">
      <w:pPr>
        <w:ind w:firstLine="420" w:firstLineChars="200"/>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(1)清洁卫生实行一体化管理，有专业清洁队伍，管理制度完善。</w:t>
      </w:r>
    </w:p>
    <w:p w14:paraId="185E3BBB">
      <w:pPr>
        <w:ind w:firstLine="420" w:firstLineChars="200"/>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(2)负责做好校门前及红线图以内所有的地面、绿化带、建筑物的墙面及附属物、门窗、室内区域(不含学生宿舍房间内、教室内、教师宿舍房间内)所有设施及用具的卫生保洁与管理。</w:t>
      </w:r>
    </w:p>
    <w:p w14:paraId="4BC693EC">
      <w:pPr>
        <w:ind w:firstLine="420" w:firstLineChars="200"/>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(6)负责承担学校教师卫生间的洗水液、纸巾(此类物品由学校购置)的放置与管理。</w:t>
      </w:r>
    </w:p>
    <w:p w14:paraId="76BFDB7C">
      <w:pPr>
        <w:ind w:firstLine="420" w:firstLineChars="200"/>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(7)学校区域内的教学楼、办公楼、图书馆等建筑物公共部位以及绿地、道路、操场等空地的清洁每天不少于二次。</w:t>
      </w:r>
    </w:p>
    <w:p w14:paraId="2A7A2824">
      <w:pPr>
        <w:ind w:firstLine="420" w:firstLineChars="200"/>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(8)具备地面清洁、清洗相关设备，电梯轿厢、操作板、地面等清洁保养每天不少于二次。</w:t>
      </w:r>
    </w:p>
    <w:p w14:paraId="41AE7989">
      <w:pPr>
        <w:ind w:firstLine="420" w:firstLineChars="200"/>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(9)负责学校电扇的清洗、空调室内机表面及过滤网定期清洁，空调主机、中央空调主机等涉及专业拆洗、维护保养和高空作业的内容，由校方自主聘请具有专业资质的维保公司开展。</w:t>
      </w:r>
    </w:p>
    <w:p w14:paraId="3983CDB3">
      <w:pPr>
        <w:ind w:firstLine="420" w:firstLineChars="200"/>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(10)定期开展除“四害”等卫生消杀工作，严格按照上级有关部门规定进行定期的防疫消杀工作，在流行性传染病高发期或爆发期以及春夏孽蚊滋生季节要严格按校方或上级有关部门要求组织消杀。中标单位使用防治有害生物的药物必需符合爱卫办及国家有关部门的规定，并确保安全和效果。</w:t>
      </w:r>
    </w:p>
    <w:p w14:paraId="025F45CC">
      <w:pPr>
        <w:ind w:firstLine="420" w:firstLineChars="200"/>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(11)生活垃圾治理能力；</w:t>
      </w:r>
    </w:p>
    <w:p w14:paraId="128C089E">
      <w:pPr>
        <w:ind w:firstLine="420" w:firstLineChars="200"/>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(12)清洁卫生作业质量标准：</w:t>
      </w:r>
    </w:p>
    <w:tbl>
      <w:tblPr>
        <w:tblStyle w:val="59"/>
        <w:tblW w:w="4998"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58"/>
        <w:gridCol w:w="542"/>
        <w:gridCol w:w="986"/>
        <w:gridCol w:w="1914"/>
        <w:gridCol w:w="1811"/>
        <w:gridCol w:w="1456"/>
        <w:gridCol w:w="1827"/>
      </w:tblGrid>
      <w:tr w14:paraId="785916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307" w:type="pct"/>
            <w:vMerge w:val="restart"/>
            <w:tcBorders>
              <w:left w:val="single" w:color="000000" w:sz="10" w:space="0"/>
              <w:right w:val="single" w:color="000000" w:sz="4" w:space="0"/>
            </w:tcBorders>
            <w:noWrap w:val="0"/>
            <w:vAlign w:val="top"/>
          </w:tcPr>
          <w:p w14:paraId="7AB331BE">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场所</w:t>
            </w:r>
          </w:p>
        </w:tc>
        <w:tc>
          <w:tcPr>
            <w:tcW w:w="840" w:type="pct"/>
            <w:gridSpan w:val="2"/>
            <w:vMerge w:val="restart"/>
            <w:tcBorders>
              <w:left w:val="single" w:color="000000" w:sz="4" w:space="0"/>
              <w:right w:val="single" w:color="000000" w:sz="4" w:space="0"/>
            </w:tcBorders>
            <w:noWrap w:val="0"/>
            <w:vAlign w:val="top"/>
          </w:tcPr>
          <w:p w14:paraId="1BAC009B">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清洁项目</w:t>
            </w:r>
          </w:p>
        </w:tc>
        <w:tc>
          <w:tcPr>
            <w:tcW w:w="2847" w:type="pct"/>
            <w:gridSpan w:val="3"/>
            <w:tcBorders>
              <w:left w:val="single" w:color="000000" w:sz="4" w:space="0"/>
            </w:tcBorders>
            <w:noWrap w:val="0"/>
            <w:vAlign w:val="top"/>
          </w:tcPr>
          <w:p w14:paraId="39B272D8">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清洁内容</w:t>
            </w:r>
          </w:p>
        </w:tc>
        <w:tc>
          <w:tcPr>
            <w:tcW w:w="1004" w:type="pct"/>
            <w:vMerge w:val="restart"/>
            <w:tcBorders>
              <w:right w:val="single" w:color="000000" w:sz="10" w:space="0"/>
            </w:tcBorders>
            <w:noWrap w:val="0"/>
            <w:vAlign w:val="top"/>
          </w:tcPr>
          <w:p w14:paraId="60426C59">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质量标准</w:t>
            </w:r>
          </w:p>
        </w:tc>
      </w:tr>
      <w:tr w14:paraId="332DB5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307" w:type="pct"/>
            <w:vMerge w:val="continue"/>
            <w:tcBorders>
              <w:left w:val="single" w:color="000000" w:sz="10" w:space="0"/>
              <w:right w:val="single" w:color="000000" w:sz="4" w:space="0"/>
            </w:tcBorders>
            <w:noWrap w:val="0"/>
            <w:vAlign w:val="top"/>
          </w:tcPr>
          <w:p w14:paraId="038A6739">
            <w:pPr>
              <w:topLinePunct/>
              <w:rPr>
                <w:rFonts w:hint="eastAsia" w:asciiTheme="minorEastAsia" w:hAnsiTheme="minorEastAsia" w:eastAsiaTheme="minorEastAsia" w:cstheme="minorEastAsia"/>
                <w:sz w:val="21"/>
                <w:szCs w:val="21"/>
              </w:rPr>
            </w:pPr>
          </w:p>
        </w:tc>
        <w:tc>
          <w:tcPr>
            <w:tcW w:w="840" w:type="pct"/>
            <w:gridSpan w:val="2"/>
            <w:vMerge w:val="continue"/>
            <w:tcBorders>
              <w:left w:val="single" w:color="000000" w:sz="4" w:space="0"/>
              <w:right w:val="single" w:color="000000" w:sz="4" w:space="0"/>
            </w:tcBorders>
            <w:noWrap w:val="0"/>
            <w:vAlign w:val="top"/>
          </w:tcPr>
          <w:p w14:paraId="19032407">
            <w:pPr>
              <w:topLinePunct/>
              <w:rPr>
                <w:rFonts w:hint="eastAsia" w:asciiTheme="minorEastAsia" w:hAnsiTheme="minorEastAsia" w:eastAsiaTheme="minorEastAsia" w:cstheme="minorEastAsia"/>
                <w:sz w:val="21"/>
                <w:szCs w:val="21"/>
              </w:rPr>
            </w:pPr>
          </w:p>
        </w:tc>
        <w:tc>
          <w:tcPr>
            <w:tcW w:w="1052" w:type="pct"/>
            <w:tcBorders>
              <w:left w:val="single" w:color="000000" w:sz="4" w:space="0"/>
              <w:right w:val="single" w:color="000000" w:sz="4" w:space="0"/>
            </w:tcBorders>
            <w:noWrap w:val="0"/>
            <w:vAlign w:val="top"/>
          </w:tcPr>
          <w:p w14:paraId="0E814D6B">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每日</w:t>
            </w:r>
          </w:p>
        </w:tc>
        <w:tc>
          <w:tcPr>
            <w:tcW w:w="995" w:type="pct"/>
            <w:tcBorders>
              <w:left w:val="single" w:color="000000" w:sz="4" w:space="0"/>
              <w:right w:val="single" w:color="000000" w:sz="4" w:space="0"/>
            </w:tcBorders>
            <w:noWrap w:val="0"/>
            <w:vAlign w:val="top"/>
          </w:tcPr>
          <w:p w14:paraId="7D84C559">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每周</w:t>
            </w:r>
          </w:p>
        </w:tc>
        <w:tc>
          <w:tcPr>
            <w:tcW w:w="798" w:type="pct"/>
            <w:tcBorders>
              <w:left w:val="single" w:color="000000" w:sz="4" w:space="0"/>
            </w:tcBorders>
            <w:noWrap w:val="0"/>
            <w:vAlign w:val="top"/>
          </w:tcPr>
          <w:p w14:paraId="546F24A9">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每月</w:t>
            </w:r>
          </w:p>
        </w:tc>
        <w:tc>
          <w:tcPr>
            <w:tcW w:w="1004" w:type="pct"/>
            <w:vMerge w:val="continue"/>
            <w:tcBorders>
              <w:right w:val="single" w:color="000000" w:sz="10" w:space="0"/>
            </w:tcBorders>
            <w:noWrap w:val="0"/>
            <w:vAlign w:val="top"/>
          </w:tcPr>
          <w:p w14:paraId="6DCD4D04">
            <w:pPr>
              <w:topLinePunct/>
              <w:rPr>
                <w:rFonts w:hint="eastAsia" w:asciiTheme="minorEastAsia" w:hAnsiTheme="minorEastAsia" w:eastAsiaTheme="minorEastAsia" w:cstheme="minorEastAsia"/>
                <w:sz w:val="21"/>
                <w:szCs w:val="21"/>
              </w:rPr>
            </w:pPr>
          </w:p>
        </w:tc>
      </w:tr>
      <w:tr w14:paraId="2DF106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307" w:type="pct"/>
            <w:vMerge w:val="restart"/>
            <w:tcBorders>
              <w:left w:val="single" w:color="000000" w:sz="10" w:space="0"/>
              <w:right w:val="single" w:color="000000" w:sz="4" w:space="0"/>
            </w:tcBorders>
            <w:noWrap w:val="0"/>
            <w:vAlign w:val="top"/>
          </w:tcPr>
          <w:p w14:paraId="4182157F">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楼层公共部分</w:t>
            </w:r>
          </w:p>
        </w:tc>
        <w:tc>
          <w:tcPr>
            <w:tcW w:w="840" w:type="pct"/>
            <w:gridSpan w:val="2"/>
            <w:tcBorders>
              <w:left w:val="single" w:color="000000" w:sz="4" w:space="0"/>
              <w:right w:val="single" w:color="000000" w:sz="4" w:space="0"/>
            </w:tcBorders>
            <w:noWrap w:val="0"/>
            <w:vAlign w:val="top"/>
          </w:tcPr>
          <w:p w14:paraId="61B92BCA">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地面</w:t>
            </w:r>
          </w:p>
        </w:tc>
        <w:tc>
          <w:tcPr>
            <w:tcW w:w="1052" w:type="pct"/>
            <w:tcBorders>
              <w:left w:val="single" w:color="000000" w:sz="4" w:space="0"/>
              <w:right w:val="single" w:color="000000" w:sz="4" w:space="0"/>
            </w:tcBorders>
            <w:noWrap w:val="0"/>
            <w:vAlign w:val="top"/>
          </w:tcPr>
          <w:p w14:paraId="3978254A">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配合清洁剂湿拖一次，随时保洁</w:t>
            </w:r>
          </w:p>
        </w:tc>
        <w:tc>
          <w:tcPr>
            <w:tcW w:w="995" w:type="pct"/>
            <w:tcBorders>
              <w:left w:val="single" w:color="000000" w:sz="4" w:space="0"/>
              <w:right w:val="single" w:color="000000" w:sz="4" w:space="0"/>
            </w:tcBorders>
            <w:noWrap w:val="0"/>
            <w:vAlign w:val="top"/>
          </w:tcPr>
          <w:p w14:paraId="1051F512">
            <w:pPr>
              <w:topLinePunct/>
              <w:rPr>
                <w:rFonts w:hint="eastAsia" w:asciiTheme="minorEastAsia" w:hAnsiTheme="minorEastAsia" w:eastAsiaTheme="minorEastAsia" w:cstheme="minorEastAsia"/>
                <w:sz w:val="21"/>
                <w:szCs w:val="21"/>
              </w:rPr>
            </w:pPr>
          </w:p>
        </w:tc>
        <w:tc>
          <w:tcPr>
            <w:tcW w:w="798" w:type="pct"/>
            <w:tcBorders>
              <w:left w:val="single" w:color="000000" w:sz="4" w:space="0"/>
              <w:right w:val="single" w:color="000000" w:sz="4" w:space="0"/>
            </w:tcBorders>
            <w:noWrap w:val="0"/>
            <w:vAlign w:val="top"/>
          </w:tcPr>
          <w:p w14:paraId="50EE706A">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清洗一次</w:t>
            </w:r>
          </w:p>
        </w:tc>
        <w:tc>
          <w:tcPr>
            <w:tcW w:w="1004" w:type="pct"/>
            <w:tcBorders>
              <w:left w:val="single" w:color="000000" w:sz="4" w:space="0"/>
              <w:right w:val="single" w:color="000000" w:sz="10" w:space="0"/>
            </w:tcBorders>
            <w:noWrap w:val="0"/>
            <w:vAlign w:val="top"/>
          </w:tcPr>
          <w:p w14:paraId="5BADBA3D">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无灰尘、无污渍、地面光洁</w:t>
            </w:r>
          </w:p>
        </w:tc>
      </w:tr>
      <w:tr w14:paraId="0ED656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307" w:type="pct"/>
            <w:vMerge w:val="continue"/>
            <w:tcBorders>
              <w:left w:val="single" w:color="000000" w:sz="10" w:space="0"/>
              <w:right w:val="single" w:color="000000" w:sz="4" w:space="0"/>
            </w:tcBorders>
            <w:noWrap w:val="0"/>
            <w:vAlign w:val="top"/>
          </w:tcPr>
          <w:p w14:paraId="72DEA5C7">
            <w:pPr>
              <w:topLinePunct/>
              <w:rPr>
                <w:rFonts w:hint="eastAsia" w:asciiTheme="minorEastAsia" w:hAnsiTheme="minorEastAsia" w:eastAsiaTheme="minorEastAsia" w:cstheme="minorEastAsia"/>
                <w:sz w:val="21"/>
                <w:szCs w:val="21"/>
              </w:rPr>
            </w:pPr>
          </w:p>
        </w:tc>
        <w:tc>
          <w:tcPr>
            <w:tcW w:w="840" w:type="pct"/>
            <w:gridSpan w:val="2"/>
            <w:tcBorders>
              <w:left w:val="single" w:color="000000" w:sz="4" w:space="0"/>
              <w:right w:val="single" w:color="000000" w:sz="4" w:space="0"/>
            </w:tcBorders>
            <w:noWrap w:val="0"/>
            <w:vAlign w:val="top"/>
          </w:tcPr>
          <w:p w14:paraId="7A766150">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墙面</w:t>
            </w:r>
          </w:p>
        </w:tc>
        <w:tc>
          <w:tcPr>
            <w:tcW w:w="1052" w:type="pct"/>
            <w:tcBorders>
              <w:left w:val="single" w:color="000000" w:sz="4" w:space="0"/>
              <w:right w:val="single" w:color="000000" w:sz="4" w:space="0"/>
            </w:tcBorders>
            <w:noWrap w:val="0"/>
            <w:vAlign w:val="top"/>
          </w:tcPr>
          <w:p w14:paraId="6376A3E9">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保洁</w:t>
            </w:r>
          </w:p>
        </w:tc>
        <w:tc>
          <w:tcPr>
            <w:tcW w:w="995" w:type="pct"/>
            <w:tcBorders>
              <w:left w:val="single" w:color="000000" w:sz="4" w:space="0"/>
              <w:right w:val="single" w:color="000000" w:sz="4" w:space="0"/>
            </w:tcBorders>
            <w:noWrap w:val="0"/>
            <w:vAlign w:val="top"/>
          </w:tcPr>
          <w:p w14:paraId="1F2431E8">
            <w:pPr>
              <w:topLinePunct/>
              <w:rPr>
                <w:rFonts w:hint="eastAsia" w:asciiTheme="minorEastAsia" w:hAnsiTheme="minorEastAsia" w:eastAsiaTheme="minorEastAsia" w:cstheme="minorEastAsia"/>
                <w:sz w:val="21"/>
                <w:szCs w:val="21"/>
              </w:rPr>
            </w:pPr>
          </w:p>
        </w:tc>
        <w:tc>
          <w:tcPr>
            <w:tcW w:w="798" w:type="pct"/>
            <w:tcBorders>
              <w:left w:val="single" w:color="000000" w:sz="4" w:space="0"/>
              <w:right w:val="single" w:color="000000" w:sz="4" w:space="0"/>
            </w:tcBorders>
            <w:noWrap w:val="0"/>
            <w:vAlign w:val="top"/>
          </w:tcPr>
          <w:p w14:paraId="1A2BD9C7">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除尘一次</w:t>
            </w:r>
          </w:p>
        </w:tc>
        <w:tc>
          <w:tcPr>
            <w:tcW w:w="1004" w:type="pct"/>
            <w:tcBorders>
              <w:left w:val="single" w:color="000000" w:sz="4" w:space="0"/>
              <w:right w:val="single" w:color="000000" w:sz="10" w:space="0"/>
            </w:tcBorders>
            <w:noWrap w:val="0"/>
            <w:vAlign w:val="top"/>
          </w:tcPr>
          <w:p w14:paraId="67B2FC04">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无灰尘、无污渍、表面光洁</w:t>
            </w:r>
          </w:p>
        </w:tc>
      </w:tr>
      <w:tr w14:paraId="55DD3D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307" w:type="pct"/>
            <w:vMerge w:val="continue"/>
            <w:tcBorders>
              <w:left w:val="single" w:color="000000" w:sz="10" w:space="0"/>
              <w:right w:val="single" w:color="000000" w:sz="4" w:space="0"/>
            </w:tcBorders>
            <w:noWrap w:val="0"/>
            <w:vAlign w:val="top"/>
          </w:tcPr>
          <w:p w14:paraId="2159EDAB">
            <w:pPr>
              <w:topLinePunct/>
              <w:rPr>
                <w:rFonts w:hint="eastAsia" w:asciiTheme="minorEastAsia" w:hAnsiTheme="minorEastAsia" w:eastAsiaTheme="minorEastAsia" w:cstheme="minorEastAsia"/>
                <w:sz w:val="21"/>
                <w:szCs w:val="21"/>
              </w:rPr>
            </w:pPr>
          </w:p>
        </w:tc>
        <w:tc>
          <w:tcPr>
            <w:tcW w:w="840" w:type="pct"/>
            <w:gridSpan w:val="2"/>
            <w:tcBorders>
              <w:left w:val="single" w:color="000000" w:sz="4" w:space="0"/>
              <w:right w:val="single" w:color="000000" w:sz="4" w:space="0"/>
            </w:tcBorders>
            <w:noWrap w:val="0"/>
            <w:vAlign w:val="top"/>
          </w:tcPr>
          <w:p w14:paraId="7638AAE2">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消防楼梯</w:t>
            </w:r>
          </w:p>
        </w:tc>
        <w:tc>
          <w:tcPr>
            <w:tcW w:w="1052" w:type="pct"/>
            <w:tcBorders>
              <w:left w:val="single" w:color="000000" w:sz="4" w:space="0"/>
              <w:right w:val="single" w:color="000000" w:sz="4" w:space="0"/>
            </w:tcBorders>
            <w:noWrap w:val="0"/>
            <w:vAlign w:val="top"/>
          </w:tcPr>
          <w:p w14:paraId="04967ACE">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清扫、湿拖一次，</w:t>
            </w:r>
          </w:p>
          <w:p w14:paraId="45334588">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保洁</w:t>
            </w:r>
          </w:p>
        </w:tc>
        <w:tc>
          <w:tcPr>
            <w:tcW w:w="995" w:type="pct"/>
            <w:tcBorders>
              <w:left w:val="single" w:color="000000" w:sz="4" w:space="0"/>
              <w:right w:val="single" w:color="000000" w:sz="4" w:space="0"/>
            </w:tcBorders>
            <w:noWrap w:val="0"/>
            <w:vAlign w:val="top"/>
          </w:tcPr>
          <w:p w14:paraId="646AD8BF">
            <w:pPr>
              <w:topLinePunct/>
              <w:rPr>
                <w:rFonts w:hint="eastAsia" w:asciiTheme="minorEastAsia" w:hAnsiTheme="minorEastAsia" w:eastAsiaTheme="minorEastAsia" w:cstheme="minorEastAsia"/>
                <w:sz w:val="21"/>
                <w:szCs w:val="21"/>
              </w:rPr>
            </w:pPr>
          </w:p>
        </w:tc>
        <w:tc>
          <w:tcPr>
            <w:tcW w:w="798" w:type="pct"/>
            <w:tcBorders>
              <w:left w:val="single" w:color="000000" w:sz="4" w:space="0"/>
              <w:right w:val="single" w:color="000000" w:sz="4" w:space="0"/>
            </w:tcBorders>
            <w:noWrap w:val="0"/>
            <w:vAlign w:val="top"/>
          </w:tcPr>
          <w:p w14:paraId="55B5AA86">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清洗一次</w:t>
            </w:r>
          </w:p>
        </w:tc>
        <w:tc>
          <w:tcPr>
            <w:tcW w:w="1004" w:type="pct"/>
            <w:tcBorders>
              <w:left w:val="single" w:color="000000" w:sz="4" w:space="0"/>
              <w:right w:val="single" w:color="000000" w:sz="10" w:space="0"/>
            </w:tcBorders>
            <w:noWrap w:val="0"/>
            <w:vAlign w:val="top"/>
          </w:tcPr>
          <w:p w14:paraId="7465D0AF">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无灰尘、无污渍、表面光洁</w:t>
            </w:r>
          </w:p>
        </w:tc>
      </w:tr>
      <w:tr w14:paraId="2F361F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307" w:type="pct"/>
            <w:vMerge w:val="continue"/>
            <w:tcBorders>
              <w:left w:val="single" w:color="000000" w:sz="10" w:space="0"/>
              <w:right w:val="single" w:color="000000" w:sz="4" w:space="0"/>
            </w:tcBorders>
            <w:noWrap w:val="0"/>
            <w:vAlign w:val="top"/>
          </w:tcPr>
          <w:p w14:paraId="69D14A7F">
            <w:pPr>
              <w:topLinePunct/>
              <w:rPr>
                <w:rFonts w:hint="eastAsia" w:asciiTheme="minorEastAsia" w:hAnsiTheme="minorEastAsia" w:eastAsiaTheme="minorEastAsia" w:cstheme="minorEastAsia"/>
                <w:sz w:val="21"/>
                <w:szCs w:val="21"/>
              </w:rPr>
            </w:pPr>
          </w:p>
        </w:tc>
        <w:tc>
          <w:tcPr>
            <w:tcW w:w="840" w:type="pct"/>
            <w:gridSpan w:val="2"/>
            <w:tcBorders>
              <w:left w:val="single" w:color="000000" w:sz="4" w:space="0"/>
              <w:right w:val="single" w:color="000000" w:sz="4" w:space="0"/>
            </w:tcBorders>
            <w:noWrap w:val="0"/>
            <w:vAlign w:val="top"/>
          </w:tcPr>
          <w:p w14:paraId="59EE9D85">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楼梯扶手</w:t>
            </w:r>
          </w:p>
        </w:tc>
        <w:tc>
          <w:tcPr>
            <w:tcW w:w="1052" w:type="pct"/>
            <w:tcBorders>
              <w:left w:val="single" w:color="000000" w:sz="4" w:space="0"/>
              <w:right w:val="single" w:color="000000" w:sz="4" w:space="0"/>
            </w:tcBorders>
            <w:noWrap w:val="0"/>
            <w:vAlign w:val="top"/>
          </w:tcPr>
          <w:p w14:paraId="2B190F65">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清抹一次，保洁</w:t>
            </w:r>
          </w:p>
        </w:tc>
        <w:tc>
          <w:tcPr>
            <w:tcW w:w="995" w:type="pct"/>
            <w:tcBorders>
              <w:left w:val="single" w:color="000000" w:sz="4" w:space="0"/>
              <w:right w:val="single" w:color="000000" w:sz="4" w:space="0"/>
            </w:tcBorders>
            <w:noWrap w:val="0"/>
            <w:vAlign w:val="top"/>
          </w:tcPr>
          <w:p w14:paraId="65A10353">
            <w:pPr>
              <w:topLinePunct/>
              <w:rPr>
                <w:rFonts w:hint="eastAsia" w:asciiTheme="minorEastAsia" w:hAnsiTheme="minorEastAsia" w:eastAsiaTheme="minorEastAsia" w:cstheme="minorEastAsia"/>
                <w:sz w:val="21"/>
                <w:szCs w:val="21"/>
              </w:rPr>
            </w:pPr>
          </w:p>
        </w:tc>
        <w:tc>
          <w:tcPr>
            <w:tcW w:w="798" w:type="pct"/>
            <w:tcBorders>
              <w:left w:val="single" w:color="000000" w:sz="4" w:space="0"/>
              <w:right w:val="single" w:color="000000" w:sz="4" w:space="0"/>
            </w:tcBorders>
            <w:noWrap w:val="0"/>
            <w:vAlign w:val="top"/>
          </w:tcPr>
          <w:p w14:paraId="642DBB9B">
            <w:pPr>
              <w:topLinePunct/>
              <w:rPr>
                <w:rFonts w:hint="eastAsia" w:asciiTheme="minorEastAsia" w:hAnsiTheme="minorEastAsia" w:eastAsiaTheme="minorEastAsia" w:cstheme="minorEastAsia"/>
                <w:sz w:val="21"/>
                <w:szCs w:val="21"/>
              </w:rPr>
            </w:pPr>
          </w:p>
        </w:tc>
        <w:tc>
          <w:tcPr>
            <w:tcW w:w="1004" w:type="pct"/>
            <w:tcBorders>
              <w:left w:val="single" w:color="000000" w:sz="4" w:space="0"/>
              <w:right w:val="single" w:color="000000" w:sz="10" w:space="0"/>
            </w:tcBorders>
            <w:noWrap w:val="0"/>
            <w:vAlign w:val="top"/>
          </w:tcPr>
          <w:p w14:paraId="438A5C54">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无灰尘、无污渍</w:t>
            </w:r>
          </w:p>
        </w:tc>
      </w:tr>
      <w:tr w14:paraId="4A3516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307" w:type="pct"/>
            <w:vMerge w:val="continue"/>
            <w:tcBorders>
              <w:left w:val="single" w:color="000000" w:sz="10" w:space="0"/>
              <w:right w:val="single" w:color="000000" w:sz="4" w:space="0"/>
            </w:tcBorders>
            <w:noWrap w:val="0"/>
            <w:vAlign w:val="top"/>
          </w:tcPr>
          <w:p w14:paraId="7942BFF7">
            <w:pPr>
              <w:topLinePunct/>
              <w:rPr>
                <w:rFonts w:hint="eastAsia" w:asciiTheme="minorEastAsia" w:hAnsiTheme="minorEastAsia" w:eastAsiaTheme="minorEastAsia" w:cstheme="minorEastAsia"/>
                <w:sz w:val="21"/>
                <w:szCs w:val="21"/>
              </w:rPr>
            </w:pPr>
          </w:p>
        </w:tc>
        <w:tc>
          <w:tcPr>
            <w:tcW w:w="840" w:type="pct"/>
            <w:gridSpan w:val="2"/>
            <w:tcBorders>
              <w:left w:val="single" w:color="000000" w:sz="4" w:space="0"/>
              <w:right w:val="single" w:color="000000" w:sz="4" w:space="0"/>
            </w:tcBorders>
            <w:noWrap w:val="0"/>
            <w:vAlign w:val="top"/>
          </w:tcPr>
          <w:p w14:paraId="487D9B0F">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楼梯栏杆</w:t>
            </w:r>
          </w:p>
        </w:tc>
        <w:tc>
          <w:tcPr>
            <w:tcW w:w="1052" w:type="pct"/>
            <w:tcBorders>
              <w:left w:val="single" w:color="000000" w:sz="4" w:space="0"/>
              <w:right w:val="single" w:color="000000" w:sz="4" w:space="0"/>
            </w:tcBorders>
            <w:noWrap w:val="0"/>
            <w:vAlign w:val="top"/>
          </w:tcPr>
          <w:p w14:paraId="22327C68">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保洁</w:t>
            </w:r>
          </w:p>
        </w:tc>
        <w:tc>
          <w:tcPr>
            <w:tcW w:w="995" w:type="pct"/>
            <w:tcBorders>
              <w:left w:val="single" w:color="000000" w:sz="4" w:space="0"/>
              <w:right w:val="single" w:color="000000" w:sz="4" w:space="0"/>
            </w:tcBorders>
            <w:noWrap w:val="0"/>
            <w:vAlign w:val="top"/>
          </w:tcPr>
          <w:p w14:paraId="04060D26">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清抹两次</w:t>
            </w:r>
          </w:p>
        </w:tc>
        <w:tc>
          <w:tcPr>
            <w:tcW w:w="798" w:type="pct"/>
            <w:tcBorders>
              <w:left w:val="single" w:color="000000" w:sz="4" w:space="0"/>
              <w:right w:val="single" w:color="000000" w:sz="4" w:space="0"/>
            </w:tcBorders>
            <w:noWrap w:val="0"/>
            <w:vAlign w:val="top"/>
          </w:tcPr>
          <w:p w14:paraId="10A87755">
            <w:pPr>
              <w:topLinePunct/>
              <w:rPr>
                <w:rFonts w:hint="eastAsia" w:asciiTheme="minorEastAsia" w:hAnsiTheme="minorEastAsia" w:eastAsiaTheme="minorEastAsia" w:cstheme="minorEastAsia"/>
                <w:sz w:val="21"/>
                <w:szCs w:val="21"/>
              </w:rPr>
            </w:pPr>
          </w:p>
        </w:tc>
        <w:tc>
          <w:tcPr>
            <w:tcW w:w="1004" w:type="pct"/>
            <w:tcBorders>
              <w:left w:val="single" w:color="000000" w:sz="4" w:space="0"/>
              <w:right w:val="single" w:color="000000" w:sz="10" w:space="0"/>
            </w:tcBorders>
            <w:noWrap w:val="0"/>
            <w:vAlign w:val="top"/>
          </w:tcPr>
          <w:p w14:paraId="5B5CE266">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无灰尘、无污渍</w:t>
            </w:r>
          </w:p>
        </w:tc>
      </w:tr>
      <w:tr w14:paraId="494C87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307" w:type="pct"/>
            <w:vMerge w:val="continue"/>
            <w:tcBorders>
              <w:left w:val="single" w:color="000000" w:sz="10" w:space="0"/>
              <w:right w:val="single" w:color="000000" w:sz="4" w:space="0"/>
            </w:tcBorders>
            <w:noWrap w:val="0"/>
            <w:vAlign w:val="top"/>
          </w:tcPr>
          <w:p w14:paraId="5B6CAA68">
            <w:pPr>
              <w:topLinePunct/>
              <w:rPr>
                <w:rFonts w:hint="eastAsia" w:asciiTheme="minorEastAsia" w:hAnsiTheme="minorEastAsia" w:eastAsiaTheme="minorEastAsia" w:cstheme="minorEastAsia"/>
                <w:sz w:val="21"/>
                <w:szCs w:val="21"/>
              </w:rPr>
            </w:pPr>
          </w:p>
        </w:tc>
        <w:tc>
          <w:tcPr>
            <w:tcW w:w="298" w:type="pct"/>
            <w:vMerge w:val="restart"/>
            <w:tcBorders>
              <w:left w:val="single" w:color="000000" w:sz="4" w:space="0"/>
              <w:bottom w:val="nil"/>
            </w:tcBorders>
            <w:noWrap w:val="0"/>
            <w:vAlign w:val="top"/>
          </w:tcPr>
          <w:p w14:paraId="494D7FAF">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门窗</w:t>
            </w:r>
          </w:p>
        </w:tc>
        <w:tc>
          <w:tcPr>
            <w:tcW w:w="541" w:type="pct"/>
            <w:tcBorders>
              <w:right w:val="single" w:color="000000" w:sz="4" w:space="0"/>
            </w:tcBorders>
            <w:noWrap w:val="0"/>
            <w:vAlign w:val="top"/>
          </w:tcPr>
          <w:p w14:paraId="6B32EB2F">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门、门框</w:t>
            </w:r>
          </w:p>
        </w:tc>
        <w:tc>
          <w:tcPr>
            <w:tcW w:w="1052" w:type="pct"/>
            <w:tcBorders>
              <w:left w:val="single" w:color="000000" w:sz="4" w:space="0"/>
              <w:right w:val="single" w:color="000000" w:sz="4" w:space="0"/>
            </w:tcBorders>
            <w:noWrap w:val="0"/>
            <w:vAlign w:val="top"/>
          </w:tcPr>
          <w:p w14:paraId="2831A345">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保洁</w:t>
            </w:r>
          </w:p>
        </w:tc>
        <w:tc>
          <w:tcPr>
            <w:tcW w:w="995" w:type="pct"/>
            <w:tcBorders>
              <w:left w:val="single" w:color="000000" w:sz="4" w:space="0"/>
              <w:right w:val="single" w:color="000000" w:sz="4" w:space="0"/>
            </w:tcBorders>
            <w:noWrap w:val="0"/>
            <w:vAlign w:val="top"/>
          </w:tcPr>
          <w:p w14:paraId="5A5B6D18">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配合清洁剂擦抹</w:t>
            </w:r>
          </w:p>
          <w:p w14:paraId="2958E124">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一次</w:t>
            </w:r>
          </w:p>
        </w:tc>
        <w:tc>
          <w:tcPr>
            <w:tcW w:w="798" w:type="pct"/>
            <w:tcBorders>
              <w:left w:val="single" w:color="000000" w:sz="4" w:space="0"/>
              <w:right w:val="single" w:color="000000" w:sz="4" w:space="0"/>
            </w:tcBorders>
            <w:noWrap w:val="0"/>
            <w:vAlign w:val="top"/>
          </w:tcPr>
          <w:p w14:paraId="3E50E472">
            <w:pPr>
              <w:topLinePunct/>
              <w:rPr>
                <w:rFonts w:hint="eastAsia" w:asciiTheme="minorEastAsia" w:hAnsiTheme="minorEastAsia" w:eastAsiaTheme="minorEastAsia" w:cstheme="minorEastAsia"/>
                <w:sz w:val="21"/>
                <w:szCs w:val="21"/>
              </w:rPr>
            </w:pPr>
          </w:p>
        </w:tc>
        <w:tc>
          <w:tcPr>
            <w:tcW w:w="1004" w:type="pct"/>
            <w:tcBorders>
              <w:left w:val="single" w:color="000000" w:sz="4" w:space="0"/>
              <w:right w:val="single" w:color="000000" w:sz="10" w:space="0"/>
            </w:tcBorders>
            <w:noWrap w:val="0"/>
            <w:vAlign w:val="top"/>
          </w:tcPr>
          <w:p w14:paraId="1D771388">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无灰尘、无污渍、无手印</w:t>
            </w:r>
          </w:p>
        </w:tc>
      </w:tr>
      <w:tr w14:paraId="225DD7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307" w:type="pct"/>
            <w:vMerge w:val="continue"/>
            <w:tcBorders>
              <w:left w:val="single" w:color="000000" w:sz="10" w:space="0"/>
              <w:right w:val="single" w:color="000000" w:sz="4" w:space="0"/>
            </w:tcBorders>
            <w:noWrap w:val="0"/>
            <w:vAlign w:val="top"/>
          </w:tcPr>
          <w:p w14:paraId="481F58BE">
            <w:pPr>
              <w:topLinePunct/>
              <w:rPr>
                <w:rFonts w:hint="eastAsia" w:asciiTheme="minorEastAsia" w:hAnsiTheme="minorEastAsia" w:eastAsiaTheme="minorEastAsia" w:cstheme="minorEastAsia"/>
                <w:sz w:val="21"/>
                <w:szCs w:val="21"/>
              </w:rPr>
            </w:pPr>
          </w:p>
        </w:tc>
        <w:tc>
          <w:tcPr>
            <w:tcW w:w="298" w:type="pct"/>
            <w:vMerge w:val="continue"/>
            <w:tcBorders>
              <w:top w:val="nil"/>
              <w:left w:val="single" w:color="000000" w:sz="4" w:space="0"/>
              <w:bottom w:val="nil"/>
            </w:tcBorders>
            <w:noWrap w:val="0"/>
            <w:vAlign w:val="top"/>
          </w:tcPr>
          <w:p w14:paraId="374D5205">
            <w:pPr>
              <w:topLinePunct/>
              <w:rPr>
                <w:rFonts w:hint="eastAsia" w:asciiTheme="minorEastAsia" w:hAnsiTheme="minorEastAsia" w:eastAsiaTheme="minorEastAsia" w:cstheme="minorEastAsia"/>
                <w:sz w:val="21"/>
                <w:szCs w:val="21"/>
              </w:rPr>
            </w:pPr>
          </w:p>
        </w:tc>
        <w:tc>
          <w:tcPr>
            <w:tcW w:w="541" w:type="pct"/>
            <w:tcBorders>
              <w:right w:val="single" w:color="000000" w:sz="4" w:space="0"/>
            </w:tcBorders>
            <w:noWrap w:val="0"/>
            <w:vAlign w:val="top"/>
          </w:tcPr>
          <w:p w14:paraId="1C487B66">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窗、窗台</w:t>
            </w:r>
          </w:p>
        </w:tc>
        <w:tc>
          <w:tcPr>
            <w:tcW w:w="1052" w:type="pct"/>
            <w:tcBorders>
              <w:left w:val="single" w:color="000000" w:sz="4" w:space="0"/>
              <w:right w:val="single" w:color="000000" w:sz="4" w:space="0"/>
            </w:tcBorders>
            <w:noWrap w:val="0"/>
            <w:vAlign w:val="top"/>
          </w:tcPr>
          <w:p w14:paraId="395075D4">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保洁</w:t>
            </w:r>
          </w:p>
        </w:tc>
        <w:tc>
          <w:tcPr>
            <w:tcW w:w="995" w:type="pct"/>
            <w:tcBorders>
              <w:left w:val="single" w:color="000000" w:sz="4" w:space="0"/>
              <w:right w:val="single" w:color="000000" w:sz="4" w:space="0"/>
            </w:tcBorders>
            <w:noWrap w:val="0"/>
            <w:vAlign w:val="top"/>
          </w:tcPr>
          <w:p w14:paraId="7BF472AB">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配合清洁剂擦抹一次</w:t>
            </w:r>
          </w:p>
        </w:tc>
        <w:tc>
          <w:tcPr>
            <w:tcW w:w="798" w:type="pct"/>
            <w:tcBorders>
              <w:left w:val="single" w:color="000000" w:sz="4" w:space="0"/>
              <w:right w:val="single" w:color="000000" w:sz="4" w:space="0"/>
            </w:tcBorders>
            <w:noWrap w:val="0"/>
            <w:vAlign w:val="top"/>
          </w:tcPr>
          <w:p w14:paraId="570D5FE4">
            <w:pPr>
              <w:tabs>
                <w:tab w:val="left" w:pos="225"/>
              </w:tabs>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窗帘布、门帘布每学期清洗1次</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(仅限于教室、办公室、教学楼厕所门帘)</w:t>
            </w:r>
          </w:p>
        </w:tc>
        <w:tc>
          <w:tcPr>
            <w:tcW w:w="1004" w:type="pct"/>
            <w:tcBorders>
              <w:left w:val="single" w:color="000000" w:sz="4" w:space="0"/>
              <w:right w:val="single" w:color="000000" w:sz="10" w:space="0"/>
            </w:tcBorders>
            <w:noWrap w:val="0"/>
            <w:vAlign w:val="top"/>
          </w:tcPr>
          <w:p w14:paraId="55DA719A">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无灰尘、无污渍、无手印</w:t>
            </w:r>
          </w:p>
        </w:tc>
      </w:tr>
      <w:tr w14:paraId="3D6C5C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307" w:type="pct"/>
            <w:vMerge w:val="continue"/>
            <w:tcBorders>
              <w:left w:val="single" w:color="000000" w:sz="10" w:space="0"/>
              <w:right w:val="single" w:color="000000" w:sz="4" w:space="0"/>
            </w:tcBorders>
            <w:noWrap w:val="0"/>
            <w:vAlign w:val="top"/>
          </w:tcPr>
          <w:p w14:paraId="2DF9D25E">
            <w:pPr>
              <w:topLinePunct/>
              <w:rPr>
                <w:rFonts w:hint="eastAsia" w:asciiTheme="minorEastAsia" w:hAnsiTheme="minorEastAsia" w:eastAsiaTheme="minorEastAsia" w:cstheme="minorEastAsia"/>
                <w:sz w:val="21"/>
                <w:szCs w:val="21"/>
              </w:rPr>
            </w:pPr>
          </w:p>
        </w:tc>
        <w:tc>
          <w:tcPr>
            <w:tcW w:w="298" w:type="pct"/>
            <w:vMerge w:val="continue"/>
            <w:tcBorders>
              <w:top w:val="nil"/>
              <w:left w:val="single" w:color="000000" w:sz="4" w:space="0"/>
            </w:tcBorders>
            <w:noWrap w:val="0"/>
            <w:vAlign w:val="top"/>
          </w:tcPr>
          <w:p w14:paraId="4C924DE1">
            <w:pPr>
              <w:topLinePunct/>
              <w:rPr>
                <w:rFonts w:hint="eastAsia" w:asciiTheme="minorEastAsia" w:hAnsiTheme="minorEastAsia" w:eastAsiaTheme="minorEastAsia" w:cstheme="minorEastAsia"/>
                <w:sz w:val="21"/>
                <w:szCs w:val="21"/>
              </w:rPr>
            </w:pPr>
          </w:p>
        </w:tc>
        <w:tc>
          <w:tcPr>
            <w:tcW w:w="541" w:type="pct"/>
            <w:tcBorders>
              <w:right w:val="single" w:color="000000" w:sz="4" w:space="0"/>
            </w:tcBorders>
            <w:noWrap w:val="0"/>
            <w:vAlign w:val="top"/>
          </w:tcPr>
          <w:p w14:paraId="6E395711">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门窗玻璃</w:t>
            </w:r>
          </w:p>
        </w:tc>
        <w:tc>
          <w:tcPr>
            <w:tcW w:w="1052" w:type="pct"/>
            <w:tcBorders>
              <w:left w:val="single" w:color="000000" w:sz="4" w:space="0"/>
              <w:right w:val="single" w:color="000000" w:sz="4" w:space="0"/>
            </w:tcBorders>
            <w:noWrap w:val="0"/>
            <w:vAlign w:val="top"/>
          </w:tcPr>
          <w:p w14:paraId="7D1AE00D">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保洁</w:t>
            </w:r>
          </w:p>
        </w:tc>
        <w:tc>
          <w:tcPr>
            <w:tcW w:w="995" w:type="pct"/>
            <w:tcBorders>
              <w:left w:val="single" w:color="000000" w:sz="4" w:space="0"/>
              <w:right w:val="single" w:color="000000" w:sz="4" w:space="0"/>
            </w:tcBorders>
            <w:noWrap w:val="0"/>
            <w:vAlign w:val="top"/>
          </w:tcPr>
          <w:p w14:paraId="030260BA">
            <w:pPr>
              <w:topLinePunct/>
              <w:rPr>
                <w:rFonts w:hint="eastAsia" w:asciiTheme="minorEastAsia" w:hAnsiTheme="minorEastAsia" w:eastAsiaTheme="minorEastAsia" w:cstheme="minorEastAsia"/>
                <w:sz w:val="21"/>
                <w:szCs w:val="21"/>
              </w:rPr>
            </w:pPr>
          </w:p>
        </w:tc>
        <w:tc>
          <w:tcPr>
            <w:tcW w:w="798" w:type="pct"/>
            <w:tcBorders>
              <w:left w:val="single" w:color="000000" w:sz="4" w:space="0"/>
              <w:right w:val="single" w:color="000000" w:sz="4" w:space="0"/>
            </w:tcBorders>
            <w:noWrap w:val="0"/>
            <w:vAlign w:val="top"/>
          </w:tcPr>
          <w:p w14:paraId="4E56F737">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配合清洁剂</w:t>
            </w:r>
          </w:p>
          <w:p w14:paraId="43105CBB">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擦抹一次</w:t>
            </w:r>
          </w:p>
        </w:tc>
        <w:tc>
          <w:tcPr>
            <w:tcW w:w="1004" w:type="pct"/>
            <w:tcBorders>
              <w:left w:val="single" w:color="000000" w:sz="4" w:space="0"/>
              <w:right w:val="single" w:color="000000" w:sz="10" w:space="0"/>
            </w:tcBorders>
            <w:noWrap w:val="0"/>
            <w:vAlign w:val="top"/>
          </w:tcPr>
          <w:p w14:paraId="4F94B570">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无灰尘、无污渍、无手印</w:t>
            </w:r>
          </w:p>
        </w:tc>
      </w:tr>
      <w:tr w14:paraId="2F47F8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307" w:type="pct"/>
            <w:vMerge w:val="continue"/>
            <w:tcBorders>
              <w:left w:val="single" w:color="000000" w:sz="10" w:space="0"/>
              <w:right w:val="single" w:color="000000" w:sz="4" w:space="0"/>
            </w:tcBorders>
            <w:noWrap w:val="0"/>
            <w:vAlign w:val="top"/>
          </w:tcPr>
          <w:p w14:paraId="4A5AAA1A">
            <w:pPr>
              <w:topLinePunct/>
              <w:rPr>
                <w:rFonts w:hint="eastAsia" w:asciiTheme="minorEastAsia" w:hAnsiTheme="minorEastAsia" w:eastAsiaTheme="minorEastAsia" w:cstheme="minorEastAsia"/>
                <w:sz w:val="21"/>
                <w:szCs w:val="21"/>
              </w:rPr>
            </w:pPr>
          </w:p>
        </w:tc>
        <w:tc>
          <w:tcPr>
            <w:tcW w:w="840" w:type="pct"/>
            <w:gridSpan w:val="2"/>
            <w:tcBorders>
              <w:left w:val="single" w:color="000000" w:sz="4" w:space="0"/>
              <w:right w:val="single" w:color="000000" w:sz="4" w:space="0"/>
            </w:tcBorders>
            <w:noWrap w:val="0"/>
            <w:vAlign w:val="top"/>
          </w:tcPr>
          <w:p w14:paraId="20A48F48">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信报箱</w:t>
            </w:r>
          </w:p>
        </w:tc>
        <w:tc>
          <w:tcPr>
            <w:tcW w:w="1052" w:type="pct"/>
            <w:tcBorders>
              <w:left w:val="single" w:color="000000" w:sz="4" w:space="0"/>
              <w:right w:val="single" w:color="000000" w:sz="4" w:space="0"/>
            </w:tcBorders>
            <w:noWrap w:val="0"/>
            <w:vAlign w:val="top"/>
          </w:tcPr>
          <w:p w14:paraId="17CA8BB1">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擦抹一次，保洁</w:t>
            </w:r>
          </w:p>
        </w:tc>
        <w:tc>
          <w:tcPr>
            <w:tcW w:w="995" w:type="pct"/>
            <w:tcBorders>
              <w:left w:val="single" w:color="000000" w:sz="4" w:space="0"/>
              <w:right w:val="single" w:color="000000" w:sz="4" w:space="0"/>
            </w:tcBorders>
            <w:noWrap w:val="0"/>
            <w:vAlign w:val="top"/>
          </w:tcPr>
          <w:p w14:paraId="5F4F4B22">
            <w:pPr>
              <w:topLinePunct/>
              <w:rPr>
                <w:rFonts w:hint="eastAsia" w:asciiTheme="minorEastAsia" w:hAnsiTheme="minorEastAsia" w:eastAsiaTheme="minorEastAsia" w:cstheme="minorEastAsia"/>
                <w:sz w:val="21"/>
                <w:szCs w:val="21"/>
              </w:rPr>
            </w:pPr>
          </w:p>
        </w:tc>
        <w:tc>
          <w:tcPr>
            <w:tcW w:w="798" w:type="pct"/>
            <w:tcBorders>
              <w:left w:val="single" w:color="000000" w:sz="4" w:space="0"/>
              <w:right w:val="single" w:color="000000" w:sz="4" w:space="0"/>
            </w:tcBorders>
            <w:noWrap w:val="0"/>
            <w:vAlign w:val="top"/>
          </w:tcPr>
          <w:p w14:paraId="5287A6C9">
            <w:pPr>
              <w:topLinePunct/>
              <w:rPr>
                <w:rFonts w:hint="eastAsia" w:asciiTheme="minorEastAsia" w:hAnsiTheme="minorEastAsia" w:eastAsiaTheme="minorEastAsia" w:cstheme="minorEastAsia"/>
                <w:sz w:val="21"/>
                <w:szCs w:val="21"/>
              </w:rPr>
            </w:pPr>
          </w:p>
        </w:tc>
        <w:tc>
          <w:tcPr>
            <w:tcW w:w="1004" w:type="pct"/>
            <w:tcBorders>
              <w:left w:val="single" w:color="000000" w:sz="4" w:space="0"/>
              <w:right w:val="single" w:color="000000" w:sz="10" w:space="0"/>
            </w:tcBorders>
            <w:noWrap w:val="0"/>
            <w:vAlign w:val="top"/>
          </w:tcPr>
          <w:p w14:paraId="7073F2EF">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无灰尘、无污渍、无手印</w:t>
            </w:r>
          </w:p>
        </w:tc>
      </w:tr>
      <w:tr w14:paraId="62854F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307" w:type="pct"/>
            <w:vMerge w:val="continue"/>
            <w:tcBorders>
              <w:left w:val="single" w:color="000000" w:sz="10" w:space="0"/>
              <w:right w:val="single" w:color="000000" w:sz="4" w:space="0"/>
            </w:tcBorders>
            <w:noWrap w:val="0"/>
            <w:vAlign w:val="top"/>
          </w:tcPr>
          <w:p w14:paraId="754FA32A">
            <w:pPr>
              <w:topLinePunct/>
              <w:rPr>
                <w:rFonts w:hint="eastAsia" w:asciiTheme="minorEastAsia" w:hAnsiTheme="minorEastAsia" w:eastAsiaTheme="minorEastAsia" w:cstheme="minorEastAsia"/>
                <w:sz w:val="21"/>
                <w:szCs w:val="21"/>
              </w:rPr>
            </w:pPr>
          </w:p>
        </w:tc>
        <w:tc>
          <w:tcPr>
            <w:tcW w:w="840" w:type="pct"/>
            <w:gridSpan w:val="2"/>
            <w:tcBorders>
              <w:left w:val="single" w:color="000000" w:sz="4" w:space="0"/>
              <w:right w:val="single" w:color="000000" w:sz="4" w:space="0"/>
            </w:tcBorders>
            <w:noWrap w:val="0"/>
            <w:vAlign w:val="top"/>
          </w:tcPr>
          <w:p w14:paraId="32971B8C">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墙面低处设施</w:t>
            </w:r>
          </w:p>
        </w:tc>
        <w:tc>
          <w:tcPr>
            <w:tcW w:w="1052" w:type="pct"/>
            <w:tcBorders>
              <w:left w:val="single" w:color="000000" w:sz="4" w:space="0"/>
              <w:right w:val="single" w:color="000000" w:sz="4" w:space="0"/>
            </w:tcBorders>
            <w:noWrap w:val="0"/>
            <w:vAlign w:val="top"/>
          </w:tcPr>
          <w:p w14:paraId="4B924052">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保洁</w:t>
            </w:r>
          </w:p>
        </w:tc>
        <w:tc>
          <w:tcPr>
            <w:tcW w:w="995" w:type="pct"/>
            <w:tcBorders>
              <w:left w:val="single" w:color="000000" w:sz="4" w:space="0"/>
              <w:right w:val="single" w:color="000000" w:sz="4" w:space="0"/>
            </w:tcBorders>
            <w:noWrap w:val="0"/>
            <w:vAlign w:val="top"/>
          </w:tcPr>
          <w:p w14:paraId="37F23CB9">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大清抹一次</w:t>
            </w:r>
          </w:p>
        </w:tc>
        <w:tc>
          <w:tcPr>
            <w:tcW w:w="798" w:type="pct"/>
            <w:tcBorders>
              <w:left w:val="single" w:color="000000" w:sz="4" w:space="0"/>
              <w:right w:val="single" w:color="000000" w:sz="4" w:space="0"/>
            </w:tcBorders>
            <w:noWrap w:val="0"/>
            <w:vAlign w:val="top"/>
          </w:tcPr>
          <w:p w14:paraId="21800D97">
            <w:pPr>
              <w:topLinePunct/>
              <w:rPr>
                <w:rFonts w:hint="eastAsia" w:asciiTheme="minorEastAsia" w:hAnsiTheme="minorEastAsia" w:eastAsiaTheme="minorEastAsia" w:cstheme="minorEastAsia"/>
                <w:sz w:val="21"/>
                <w:szCs w:val="21"/>
              </w:rPr>
            </w:pPr>
          </w:p>
        </w:tc>
        <w:tc>
          <w:tcPr>
            <w:tcW w:w="1004" w:type="pct"/>
            <w:tcBorders>
              <w:left w:val="single" w:color="000000" w:sz="4" w:space="0"/>
              <w:right w:val="single" w:color="000000" w:sz="10" w:space="0"/>
            </w:tcBorders>
            <w:noWrap w:val="0"/>
            <w:vAlign w:val="top"/>
          </w:tcPr>
          <w:p w14:paraId="3DDFCF74">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无灰尘、无污渍</w:t>
            </w:r>
          </w:p>
        </w:tc>
      </w:tr>
      <w:tr w14:paraId="031A77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307" w:type="pct"/>
            <w:vMerge w:val="continue"/>
            <w:tcBorders>
              <w:left w:val="single" w:color="000000" w:sz="10" w:space="0"/>
              <w:right w:val="single" w:color="000000" w:sz="4" w:space="0"/>
            </w:tcBorders>
            <w:noWrap w:val="0"/>
            <w:vAlign w:val="top"/>
          </w:tcPr>
          <w:p w14:paraId="34717A40">
            <w:pPr>
              <w:topLinePunct/>
              <w:rPr>
                <w:rFonts w:hint="eastAsia" w:asciiTheme="minorEastAsia" w:hAnsiTheme="minorEastAsia" w:eastAsiaTheme="minorEastAsia" w:cstheme="minorEastAsia"/>
                <w:sz w:val="21"/>
                <w:szCs w:val="21"/>
              </w:rPr>
            </w:pPr>
          </w:p>
        </w:tc>
        <w:tc>
          <w:tcPr>
            <w:tcW w:w="840" w:type="pct"/>
            <w:gridSpan w:val="2"/>
            <w:tcBorders>
              <w:left w:val="single" w:color="000000" w:sz="4" w:space="0"/>
              <w:right w:val="single" w:color="000000" w:sz="4" w:space="0"/>
            </w:tcBorders>
            <w:noWrap w:val="0"/>
            <w:vAlign w:val="top"/>
          </w:tcPr>
          <w:p w14:paraId="1218E29D">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墙面高处设施，天花及天花设施</w:t>
            </w:r>
          </w:p>
        </w:tc>
        <w:tc>
          <w:tcPr>
            <w:tcW w:w="1052" w:type="pct"/>
            <w:tcBorders>
              <w:left w:val="single" w:color="000000" w:sz="4" w:space="0"/>
              <w:right w:val="single" w:color="000000" w:sz="4" w:space="0"/>
            </w:tcBorders>
            <w:noWrap w:val="0"/>
            <w:vAlign w:val="top"/>
          </w:tcPr>
          <w:p w14:paraId="38F166ED">
            <w:pPr>
              <w:topLinePunct/>
              <w:rPr>
                <w:rFonts w:hint="eastAsia" w:asciiTheme="minorEastAsia" w:hAnsiTheme="minorEastAsia" w:eastAsiaTheme="minorEastAsia" w:cstheme="minorEastAsia"/>
                <w:sz w:val="21"/>
                <w:szCs w:val="21"/>
              </w:rPr>
            </w:pPr>
          </w:p>
        </w:tc>
        <w:tc>
          <w:tcPr>
            <w:tcW w:w="995" w:type="pct"/>
            <w:tcBorders>
              <w:left w:val="single" w:color="000000" w:sz="4" w:space="0"/>
              <w:right w:val="single" w:color="000000" w:sz="4" w:space="0"/>
            </w:tcBorders>
            <w:noWrap w:val="0"/>
            <w:vAlign w:val="top"/>
          </w:tcPr>
          <w:p w14:paraId="5B85AC70">
            <w:pPr>
              <w:topLinePunct/>
              <w:rPr>
                <w:rFonts w:hint="eastAsia" w:asciiTheme="minorEastAsia" w:hAnsiTheme="minorEastAsia" w:eastAsiaTheme="minorEastAsia" w:cstheme="minorEastAsia"/>
                <w:sz w:val="21"/>
                <w:szCs w:val="21"/>
              </w:rPr>
            </w:pPr>
          </w:p>
        </w:tc>
        <w:tc>
          <w:tcPr>
            <w:tcW w:w="798" w:type="pct"/>
            <w:tcBorders>
              <w:left w:val="single" w:color="000000" w:sz="4" w:space="0"/>
              <w:right w:val="single" w:color="000000" w:sz="4" w:space="0"/>
            </w:tcBorders>
            <w:noWrap w:val="0"/>
            <w:vAlign w:val="top"/>
          </w:tcPr>
          <w:p w14:paraId="23862FA8">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大清抹一次，天花每季除尘一次</w:t>
            </w:r>
          </w:p>
        </w:tc>
        <w:tc>
          <w:tcPr>
            <w:tcW w:w="1004" w:type="pct"/>
            <w:tcBorders>
              <w:left w:val="single" w:color="000000" w:sz="4" w:space="0"/>
              <w:right w:val="single" w:color="000000" w:sz="10" w:space="0"/>
            </w:tcBorders>
            <w:noWrap w:val="0"/>
            <w:vAlign w:val="top"/>
          </w:tcPr>
          <w:p w14:paraId="45F06D61">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无灰尘、无污渍</w:t>
            </w:r>
          </w:p>
        </w:tc>
      </w:tr>
      <w:tr w14:paraId="25DFB7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307" w:type="pct"/>
            <w:vMerge w:val="continue"/>
            <w:tcBorders>
              <w:left w:val="single" w:color="000000" w:sz="10" w:space="0"/>
              <w:right w:val="single" w:color="000000" w:sz="4" w:space="0"/>
            </w:tcBorders>
            <w:noWrap w:val="0"/>
            <w:vAlign w:val="top"/>
          </w:tcPr>
          <w:p w14:paraId="388C200B">
            <w:pPr>
              <w:topLinePunct/>
              <w:rPr>
                <w:rFonts w:hint="eastAsia" w:asciiTheme="minorEastAsia" w:hAnsiTheme="minorEastAsia" w:eastAsiaTheme="minorEastAsia" w:cstheme="minorEastAsia"/>
                <w:sz w:val="21"/>
                <w:szCs w:val="21"/>
              </w:rPr>
            </w:pPr>
          </w:p>
        </w:tc>
        <w:tc>
          <w:tcPr>
            <w:tcW w:w="840" w:type="pct"/>
            <w:gridSpan w:val="2"/>
            <w:tcBorders>
              <w:left w:val="single" w:color="000000" w:sz="4" w:space="0"/>
              <w:right w:val="single" w:color="000000" w:sz="4" w:space="0"/>
            </w:tcBorders>
            <w:noWrap w:val="0"/>
            <w:vAlign w:val="top"/>
          </w:tcPr>
          <w:p w14:paraId="28A218E0">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垃圾箱、垃圾桶</w:t>
            </w:r>
          </w:p>
        </w:tc>
        <w:tc>
          <w:tcPr>
            <w:tcW w:w="1052" w:type="pct"/>
            <w:tcBorders>
              <w:left w:val="single" w:color="000000" w:sz="4" w:space="0"/>
              <w:right w:val="single" w:color="000000" w:sz="4" w:space="0"/>
            </w:tcBorders>
            <w:noWrap w:val="0"/>
            <w:vAlign w:val="top"/>
          </w:tcPr>
          <w:p w14:paraId="6F1F546F">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清理二次，清抹一次</w:t>
            </w:r>
          </w:p>
        </w:tc>
        <w:tc>
          <w:tcPr>
            <w:tcW w:w="995" w:type="pct"/>
            <w:tcBorders>
              <w:left w:val="single" w:color="000000" w:sz="4" w:space="0"/>
              <w:right w:val="single" w:color="000000" w:sz="4" w:space="0"/>
            </w:tcBorders>
            <w:noWrap w:val="0"/>
            <w:vAlign w:val="top"/>
          </w:tcPr>
          <w:p w14:paraId="0699DF93">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全面清洁一次</w:t>
            </w:r>
          </w:p>
        </w:tc>
        <w:tc>
          <w:tcPr>
            <w:tcW w:w="798" w:type="pct"/>
            <w:tcBorders>
              <w:left w:val="single" w:color="000000" w:sz="4" w:space="0"/>
              <w:right w:val="single" w:color="000000" w:sz="4" w:space="0"/>
            </w:tcBorders>
            <w:noWrap w:val="0"/>
            <w:vAlign w:val="top"/>
          </w:tcPr>
          <w:p w14:paraId="339CF155">
            <w:pPr>
              <w:topLinePunct/>
              <w:rPr>
                <w:rFonts w:hint="eastAsia" w:asciiTheme="minorEastAsia" w:hAnsiTheme="minorEastAsia" w:eastAsiaTheme="minorEastAsia" w:cstheme="minorEastAsia"/>
                <w:sz w:val="21"/>
                <w:szCs w:val="21"/>
              </w:rPr>
            </w:pPr>
          </w:p>
        </w:tc>
        <w:tc>
          <w:tcPr>
            <w:tcW w:w="1004" w:type="pct"/>
            <w:tcBorders>
              <w:left w:val="single" w:color="000000" w:sz="4" w:space="0"/>
              <w:right w:val="single" w:color="000000" w:sz="10" w:space="0"/>
            </w:tcBorders>
            <w:noWrap w:val="0"/>
            <w:vAlign w:val="top"/>
          </w:tcPr>
          <w:p w14:paraId="0EA21B25">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无异味、无污渍</w:t>
            </w:r>
          </w:p>
        </w:tc>
      </w:tr>
      <w:tr w14:paraId="5AFD0B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307" w:type="pct"/>
            <w:vMerge w:val="continue"/>
            <w:tcBorders>
              <w:left w:val="single" w:color="000000" w:sz="10" w:space="0"/>
              <w:right w:val="single" w:color="000000" w:sz="4" w:space="0"/>
            </w:tcBorders>
            <w:noWrap w:val="0"/>
            <w:vAlign w:val="top"/>
          </w:tcPr>
          <w:p w14:paraId="731C0511">
            <w:pPr>
              <w:topLinePunct/>
              <w:rPr>
                <w:rFonts w:hint="eastAsia" w:asciiTheme="minorEastAsia" w:hAnsiTheme="minorEastAsia" w:eastAsiaTheme="minorEastAsia" w:cstheme="minorEastAsia"/>
                <w:sz w:val="21"/>
                <w:szCs w:val="21"/>
              </w:rPr>
            </w:pPr>
          </w:p>
        </w:tc>
        <w:tc>
          <w:tcPr>
            <w:tcW w:w="840" w:type="pct"/>
            <w:gridSpan w:val="2"/>
            <w:tcBorders>
              <w:left w:val="single" w:color="000000" w:sz="4" w:space="0"/>
              <w:right w:val="single" w:color="000000" w:sz="4" w:space="0"/>
            </w:tcBorders>
            <w:noWrap w:val="0"/>
            <w:vAlign w:val="top"/>
          </w:tcPr>
          <w:p w14:paraId="0DC7A8CC">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屋面、天台</w:t>
            </w:r>
          </w:p>
        </w:tc>
        <w:tc>
          <w:tcPr>
            <w:tcW w:w="1052" w:type="pct"/>
            <w:tcBorders>
              <w:left w:val="single" w:color="000000" w:sz="4" w:space="0"/>
              <w:right w:val="single" w:color="000000" w:sz="4" w:space="0"/>
            </w:tcBorders>
            <w:noWrap w:val="0"/>
            <w:vAlign w:val="top"/>
          </w:tcPr>
          <w:p w14:paraId="3E30F8A8">
            <w:pPr>
              <w:topLinePunct/>
              <w:rPr>
                <w:rFonts w:hint="eastAsia" w:asciiTheme="minorEastAsia" w:hAnsiTheme="minorEastAsia" w:eastAsiaTheme="minorEastAsia" w:cstheme="minorEastAsia"/>
                <w:sz w:val="21"/>
                <w:szCs w:val="21"/>
              </w:rPr>
            </w:pPr>
          </w:p>
        </w:tc>
        <w:tc>
          <w:tcPr>
            <w:tcW w:w="995" w:type="pct"/>
            <w:tcBorders>
              <w:left w:val="single" w:color="000000" w:sz="4" w:space="0"/>
              <w:right w:val="single" w:color="000000" w:sz="4" w:space="0"/>
            </w:tcBorders>
            <w:noWrap w:val="0"/>
            <w:vAlign w:val="top"/>
          </w:tcPr>
          <w:p w14:paraId="06E991D7">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清扫二次</w:t>
            </w:r>
          </w:p>
        </w:tc>
        <w:tc>
          <w:tcPr>
            <w:tcW w:w="798" w:type="pct"/>
            <w:tcBorders>
              <w:left w:val="single" w:color="000000" w:sz="4" w:space="0"/>
              <w:right w:val="single" w:color="000000" w:sz="4" w:space="0"/>
            </w:tcBorders>
            <w:noWrap w:val="0"/>
            <w:vAlign w:val="top"/>
          </w:tcPr>
          <w:p w14:paraId="4C8AF197">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清洗一次</w:t>
            </w:r>
          </w:p>
        </w:tc>
        <w:tc>
          <w:tcPr>
            <w:tcW w:w="1004" w:type="pct"/>
            <w:tcBorders>
              <w:left w:val="single" w:color="000000" w:sz="4" w:space="0"/>
              <w:right w:val="single" w:color="000000" w:sz="10" w:space="0"/>
            </w:tcBorders>
            <w:noWrap w:val="0"/>
            <w:vAlign w:val="top"/>
          </w:tcPr>
          <w:p w14:paraId="5E0EC447">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无杂物、无污渍</w:t>
            </w:r>
          </w:p>
        </w:tc>
      </w:tr>
      <w:tr w14:paraId="10BDDA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307" w:type="pct"/>
            <w:vMerge w:val="restart"/>
            <w:tcBorders>
              <w:left w:val="single" w:color="000000" w:sz="10" w:space="0"/>
              <w:bottom w:val="nil"/>
              <w:right w:val="single" w:color="000000" w:sz="4" w:space="0"/>
            </w:tcBorders>
            <w:noWrap w:val="0"/>
            <w:vAlign w:val="top"/>
          </w:tcPr>
          <w:p w14:paraId="07BDE9A5">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行政办公室</w:t>
            </w:r>
          </w:p>
        </w:tc>
        <w:tc>
          <w:tcPr>
            <w:tcW w:w="840" w:type="pct"/>
            <w:gridSpan w:val="2"/>
            <w:tcBorders>
              <w:left w:val="single" w:color="000000" w:sz="4" w:space="0"/>
              <w:right w:val="single" w:color="000000" w:sz="4" w:space="0"/>
            </w:tcBorders>
            <w:noWrap w:val="0"/>
            <w:vAlign w:val="top"/>
          </w:tcPr>
          <w:p w14:paraId="42574965">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地面</w:t>
            </w:r>
          </w:p>
        </w:tc>
        <w:tc>
          <w:tcPr>
            <w:tcW w:w="1052" w:type="pct"/>
            <w:tcBorders>
              <w:left w:val="single" w:color="000000" w:sz="4" w:space="0"/>
              <w:right w:val="single" w:color="000000" w:sz="4" w:space="0"/>
            </w:tcBorders>
            <w:noWrap w:val="0"/>
            <w:vAlign w:val="top"/>
          </w:tcPr>
          <w:p w14:paraId="3F9933EC">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配合清洁剂湿拖</w:t>
            </w:r>
          </w:p>
          <w:p w14:paraId="6FC0985E">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一次</w:t>
            </w:r>
          </w:p>
        </w:tc>
        <w:tc>
          <w:tcPr>
            <w:tcW w:w="995" w:type="pct"/>
            <w:tcBorders>
              <w:left w:val="single" w:color="000000" w:sz="4" w:space="0"/>
              <w:right w:val="single" w:color="000000" w:sz="4" w:space="0"/>
            </w:tcBorders>
            <w:noWrap w:val="0"/>
            <w:vAlign w:val="top"/>
          </w:tcPr>
          <w:p w14:paraId="484C967D">
            <w:pPr>
              <w:topLinePunct/>
              <w:rPr>
                <w:rFonts w:hint="eastAsia" w:asciiTheme="minorEastAsia" w:hAnsiTheme="minorEastAsia" w:eastAsiaTheme="minorEastAsia" w:cstheme="minorEastAsia"/>
                <w:sz w:val="21"/>
                <w:szCs w:val="21"/>
              </w:rPr>
            </w:pPr>
          </w:p>
        </w:tc>
        <w:tc>
          <w:tcPr>
            <w:tcW w:w="798" w:type="pct"/>
            <w:tcBorders>
              <w:left w:val="single" w:color="000000" w:sz="4" w:space="0"/>
              <w:right w:val="single" w:color="000000" w:sz="4" w:space="0"/>
            </w:tcBorders>
            <w:noWrap w:val="0"/>
            <w:vAlign w:val="top"/>
          </w:tcPr>
          <w:p w14:paraId="7DE3122D">
            <w:pPr>
              <w:topLinePunct/>
              <w:rPr>
                <w:rFonts w:hint="eastAsia" w:asciiTheme="minorEastAsia" w:hAnsiTheme="minorEastAsia" w:eastAsiaTheme="minorEastAsia" w:cstheme="minorEastAsia"/>
                <w:sz w:val="21"/>
                <w:szCs w:val="21"/>
              </w:rPr>
            </w:pPr>
          </w:p>
          <w:p w14:paraId="4C556E34">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清洗一次</w:t>
            </w:r>
          </w:p>
        </w:tc>
        <w:tc>
          <w:tcPr>
            <w:tcW w:w="1004" w:type="pct"/>
            <w:tcBorders>
              <w:left w:val="single" w:color="000000" w:sz="4" w:space="0"/>
              <w:right w:val="single" w:color="000000" w:sz="10" w:space="0"/>
            </w:tcBorders>
            <w:noWrap w:val="0"/>
            <w:vAlign w:val="top"/>
          </w:tcPr>
          <w:p w14:paraId="4A8633C6">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无灰尘、无污渍、</w:t>
            </w:r>
          </w:p>
          <w:p w14:paraId="5EED6CFE">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地面光洁</w:t>
            </w:r>
          </w:p>
        </w:tc>
      </w:tr>
      <w:tr w14:paraId="6AAE5D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307" w:type="pct"/>
            <w:vMerge w:val="continue"/>
            <w:tcBorders>
              <w:top w:val="nil"/>
              <w:left w:val="single" w:color="000000" w:sz="10" w:space="0"/>
              <w:bottom w:val="nil"/>
              <w:right w:val="single" w:color="000000" w:sz="4" w:space="0"/>
            </w:tcBorders>
            <w:noWrap w:val="0"/>
            <w:vAlign w:val="top"/>
          </w:tcPr>
          <w:p w14:paraId="6F782130">
            <w:pPr>
              <w:topLinePunct/>
              <w:rPr>
                <w:rFonts w:hint="eastAsia" w:asciiTheme="minorEastAsia" w:hAnsiTheme="minorEastAsia" w:eastAsiaTheme="minorEastAsia" w:cstheme="minorEastAsia"/>
                <w:sz w:val="21"/>
                <w:szCs w:val="21"/>
              </w:rPr>
            </w:pPr>
          </w:p>
        </w:tc>
        <w:tc>
          <w:tcPr>
            <w:tcW w:w="840" w:type="pct"/>
            <w:gridSpan w:val="2"/>
            <w:tcBorders>
              <w:left w:val="single" w:color="000000" w:sz="4" w:space="0"/>
              <w:right w:val="single" w:color="000000" w:sz="4" w:space="0"/>
            </w:tcBorders>
            <w:noWrap w:val="0"/>
            <w:vAlign w:val="top"/>
          </w:tcPr>
          <w:p w14:paraId="47F50944">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桌椅台面</w:t>
            </w:r>
          </w:p>
        </w:tc>
        <w:tc>
          <w:tcPr>
            <w:tcW w:w="1052" w:type="pct"/>
            <w:tcBorders>
              <w:left w:val="single" w:color="000000" w:sz="4" w:space="0"/>
              <w:right w:val="single" w:color="000000" w:sz="4" w:space="0"/>
            </w:tcBorders>
            <w:noWrap w:val="0"/>
            <w:vAlign w:val="top"/>
          </w:tcPr>
          <w:p w14:paraId="38BC508D">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清抹一次</w:t>
            </w:r>
          </w:p>
        </w:tc>
        <w:tc>
          <w:tcPr>
            <w:tcW w:w="995" w:type="pct"/>
            <w:tcBorders>
              <w:left w:val="single" w:color="000000" w:sz="4" w:space="0"/>
              <w:right w:val="single" w:color="000000" w:sz="4" w:space="0"/>
            </w:tcBorders>
            <w:noWrap w:val="0"/>
            <w:vAlign w:val="top"/>
          </w:tcPr>
          <w:p w14:paraId="475C0D3C">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用洁而亮清抹一</w:t>
            </w:r>
          </w:p>
          <w:p w14:paraId="5C51ACB6">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次</w:t>
            </w:r>
          </w:p>
        </w:tc>
        <w:tc>
          <w:tcPr>
            <w:tcW w:w="798" w:type="pct"/>
            <w:tcBorders>
              <w:left w:val="single" w:color="000000" w:sz="4" w:space="0"/>
              <w:right w:val="single" w:color="000000" w:sz="4" w:space="0"/>
            </w:tcBorders>
            <w:noWrap w:val="0"/>
            <w:vAlign w:val="top"/>
          </w:tcPr>
          <w:p w14:paraId="6C4439F3">
            <w:pPr>
              <w:topLinePunct/>
              <w:rPr>
                <w:rFonts w:hint="eastAsia" w:asciiTheme="minorEastAsia" w:hAnsiTheme="minorEastAsia" w:eastAsiaTheme="minorEastAsia" w:cstheme="minorEastAsia"/>
                <w:sz w:val="21"/>
                <w:szCs w:val="21"/>
              </w:rPr>
            </w:pPr>
          </w:p>
        </w:tc>
        <w:tc>
          <w:tcPr>
            <w:tcW w:w="1004" w:type="pct"/>
            <w:tcBorders>
              <w:left w:val="single" w:color="000000" w:sz="4" w:space="0"/>
              <w:right w:val="single" w:color="000000" w:sz="10" w:space="0"/>
            </w:tcBorders>
            <w:noWrap w:val="0"/>
            <w:vAlign w:val="top"/>
          </w:tcPr>
          <w:p w14:paraId="7C7B5759">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无灰尘、无污渍、表面光洁</w:t>
            </w:r>
          </w:p>
        </w:tc>
      </w:tr>
      <w:tr w14:paraId="249D9E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307" w:type="pct"/>
            <w:vMerge w:val="continue"/>
            <w:tcBorders>
              <w:top w:val="nil"/>
              <w:left w:val="single" w:color="000000" w:sz="10" w:space="0"/>
              <w:bottom w:val="nil"/>
              <w:right w:val="single" w:color="000000" w:sz="4" w:space="0"/>
            </w:tcBorders>
            <w:noWrap w:val="0"/>
            <w:vAlign w:val="top"/>
          </w:tcPr>
          <w:p w14:paraId="172C3C29">
            <w:pPr>
              <w:topLinePunct/>
              <w:rPr>
                <w:rFonts w:hint="eastAsia" w:asciiTheme="minorEastAsia" w:hAnsiTheme="minorEastAsia" w:eastAsiaTheme="minorEastAsia" w:cstheme="minorEastAsia"/>
                <w:sz w:val="21"/>
                <w:szCs w:val="21"/>
              </w:rPr>
            </w:pPr>
          </w:p>
        </w:tc>
        <w:tc>
          <w:tcPr>
            <w:tcW w:w="840" w:type="pct"/>
            <w:gridSpan w:val="2"/>
            <w:tcBorders>
              <w:left w:val="single" w:color="000000" w:sz="4" w:space="0"/>
              <w:right w:val="single" w:color="000000" w:sz="4" w:space="0"/>
            </w:tcBorders>
            <w:noWrap w:val="0"/>
            <w:vAlign w:val="top"/>
          </w:tcPr>
          <w:p w14:paraId="34996E8E">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沙发、茶几</w:t>
            </w:r>
          </w:p>
        </w:tc>
        <w:tc>
          <w:tcPr>
            <w:tcW w:w="1052" w:type="pct"/>
            <w:tcBorders>
              <w:left w:val="single" w:color="000000" w:sz="4" w:space="0"/>
              <w:right w:val="single" w:color="000000" w:sz="4" w:space="0"/>
            </w:tcBorders>
            <w:noWrap w:val="0"/>
            <w:vAlign w:val="top"/>
          </w:tcPr>
          <w:p w14:paraId="13D6CBD0">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清抹一次</w:t>
            </w:r>
          </w:p>
        </w:tc>
        <w:tc>
          <w:tcPr>
            <w:tcW w:w="995" w:type="pct"/>
            <w:tcBorders>
              <w:left w:val="single" w:color="000000" w:sz="4" w:space="0"/>
              <w:right w:val="single" w:color="000000" w:sz="4" w:space="0"/>
            </w:tcBorders>
            <w:noWrap w:val="0"/>
            <w:vAlign w:val="top"/>
          </w:tcPr>
          <w:p w14:paraId="58315198">
            <w:pPr>
              <w:topLinePunct/>
              <w:rPr>
                <w:rFonts w:hint="eastAsia" w:asciiTheme="minorEastAsia" w:hAnsiTheme="minorEastAsia" w:eastAsiaTheme="minorEastAsia" w:cstheme="minorEastAsia"/>
                <w:sz w:val="21"/>
                <w:szCs w:val="21"/>
              </w:rPr>
            </w:pPr>
          </w:p>
        </w:tc>
        <w:tc>
          <w:tcPr>
            <w:tcW w:w="798" w:type="pct"/>
            <w:tcBorders>
              <w:left w:val="single" w:color="000000" w:sz="4" w:space="0"/>
              <w:right w:val="single" w:color="000000" w:sz="4" w:space="0"/>
            </w:tcBorders>
            <w:noWrap w:val="0"/>
            <w:vAlign w:val="top"/>
          </w:tcPr>
          <w:p w14:paraId="69DBEBCA">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打碧丽珠一次</w:t>
            </w:r>
          </w:p>
        </w:tc>
        <w:tc>
          <w:tcPr>
            <w:tcW w:w="1004" w:type="pct"/>
            <w:tcBorders>
              <w:left w:val="single" w:color="000000" w:sz="4" w:space="0"/>
              <w:right w:val="single" w:color="000000" w:sz="10" w:space="0"/>
            </w:tcBorders>
            <w:noWrap w:val="0"/>
            <w:vAlign w:val="top"/>
          </w:tcPr>
          <w:p w14:paraId="1AC539A9">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无灰尘、无污渍、表面光洁</w:t>
            </w:r>
          </w:p>
        </w:tc>
      </w:tr>
      <w:tr w14:paraId="5FF325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307" w:type="pct"/>
            <w:vMerge w:val="continue"/>
            <w:tcBorders>
              <w:top w:val="nil"/>
              <w:left w:val="single" w:color="000000" w:sz="10" w:space="0"/>
              <w:bottom w:val="nil"/>
              <w:right w:val="single" w:color="000000" w:sz="4" w:space="0"/>
            </w:tcBorders>
            <w:noWrap w:val="0"/>
            <w:vAlign w:val="top"/>
          </w:tcPr>
          <w:p w14:paraId="169E2A9B">
            <w:pPr>
              <w:topLinePunct/>
              <w:rPr>
                <w:rFonts w:hint="eastAsia" w:asciiTheme="minorEastAsia" w:hAnsiTheme="minorEastAsia" w:eastAsiaTheme="minorEastAsia" w:cstheme="minorEastAsia"/>
                <w:sz w:val="21"/>
                <w:szCs w:val="21"/>
              </w:rPr>
            </w:pPr>
          </w:p>
        </w:tc>
        <w:tc>
          <w:tcPr>
            <w:tcW w:w="840" w:type="pct"/>
            <w:gridSpan w:val="2"/>
            <w:tcBorders>
              <w:left w:val="single" w:color="000000" w:sz="4" w:space="0"/>
              <w:right w:val="single" w:color="000000" w:sz="4" w:space="0"/>
            </w:tcBorders>
            <w:noWrap w:val="0"/>
            <w:vAlign w:val="top"/>
          </w:tcPr>
          <w:p w14:paraId="1ABE42E8">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墙面低处设施、</w:t>
            </w:r>
          </w:p>
          <w:p w14:paraId="4EBAA9D1">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门窗</w:t>
            </w:r>
          </w:p>
        </w:tc>
        <w:tc>
          <w:tcPr>
            <w:tcW w:w="1052" w:type="pct"/>
            <w:tcBorders>
              <w:left w:val="single" w:color="000000" w:sz="4" w:space="0"/>
              <w:right w:val="single" w:color="000000" w:sz="4" w:space="0"/>
            </w:tcBorders>
            <w:noWrap w:val="0"/>
            <w:vAlign w:val="top"/>
          </w:tcPr>
          <w:p w14:paraId="20C4CAC2">
            <w:pPr>
              <w:topLinePunct/>
              <w:rPr>
                <w:rFonts w:hint="eastAsia" w:asciiTheme="minorEastAsia" w:hAnsiTheme="minorEastAsia" w:eastAsiaTheme="minorEastAsia" w:cstheme="minorEastAsia"/>
                <w:sz w:val="21"/>
                <w:szCs w:val="21"/>
              </w:rPr>
            </w:pPr>
          </w:p>
        </w:tc>
        <w:tc>
          <w:tcPr>
            <w:tcW w:w="995" w:type="pct"/>
            <w:tcBorders>
              <w:left w:val="single" w:color="000000" w:sz="4" w:space="0"/>
              <w:right w:val="single" w:color="000000" w:sz="4" w:space="0"/>
            </w:tcBorders>
            <w:noWrap w:val="0"/>
            <w:vAlign w:val="top"/>
          </w:tcPr>
          <w:p w14:paraId="3FDE677C">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大清抹一次</w:t>
            </w:r>
          </w:p>
        </w:tc>
        <w:tc>
          <w:tcPr>
            <w:tcW w:w="798" w:type="pct"/>
            <w:tcBorders>
              <w:left w:val="single" w:color="000000" w:sz="4" w:space="0"/>
              <w:right w:val="single" w:color="000000" w:sz="4" w:space="0"/>
            </w:tcBorders>
            <w:noWrap w:val="0"/>
            <w:vAlign w:val="top"/>
          </w:tcPr>
          <w:p w14:paraId="40CAE656">
            <w:pPr>
              <w:topLinePunct/>
              <w:rPr>
                <w:rFonts w:hint="eastAsia" w:asciiTheme="minorEastAsia" w:hAnsiTheme="minorEastAsia" w:eastAsiaTheme="minorEastAsia" w:cstheme="minorEastAsia"/>
                <w:sz w:val="21"/>
                <w:szCs w:val="21"/>
              </w:rPr>
            </w:pPr>
          </w:p>
        </w:tc>
        <w:tc>
          <w:tcPr>
            <w:tcW w:w="1004" w:type="pct"/>
            <w:tcBorders>
              <w:left w:val="single" w:color="000000" w:sz="4" w:space="0"/>
              <w:right w:val="single" w:color="000000" w:sz="10" w:space="0"/>
            </w:tcBorders>
            <w:noWrap w:val="0"/>
            <w:vAlign w:val="top"/>
          </w:tcPr>
          <w:p w14:paraId="4C91DA43">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无灰尘、无污渍</w:t>
            </w:r>
          </w:p>
        </w:tc>
      </w:tr>
      <w:tr w14:paraId="031920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307" w:type="pct"/>
            <w:vMerge w:val="continue"/>
            <w:tcBorders>
              <w:top w:val="nil"/>
              <w:left w:val="single" w:color="000000" w:sz="10" w:space="0"/>
              <w:bottom w:val="nil"/>
              <w:right w:val="single" w:color="000000" w:sz="4" w:space="0"/>
            </w:tcBorders>
            <w:noWrap w:val="0"/>
            <w:vAlign w:val="top"/>
          </w:tcPr>
          <w:p w14:paraId="6C6B5198">
            <w:pPr>
              <w:topLinePunct/>
              <w:rPr>
                <w:rFonts w:hint="eastAsia" w:asciiTheme="minorEastAsia" w:hAnsiTheme="minorEastAsia" w:eastAsiaTheme="minorEastAsia" w:cstheme="minorEastAsia"/>
                <w:sz w:val="21"/>
                <w:szCs w:val="21"/>
              </w:rPr>
            </w:pPr>
          </w:p>
        </w:tc>
        <w:tc>
          <w:tcPr>
            <w:tcW w:w="840" w:type="pct"/>
            <w:gridSpan w:val="2"/>
            <w:tcBorders>
              <w:left w:val="single" w:color="000000" w:sz="4" w:space="0"/>
              <w:right w:val="single" w:color="000000" w:sz="4" w:space="0"/>
            </w:tcBorders>
            <w:noWrap w:val="0"/>
            <w:vAlign w:val="top"/>
          </w:tcPr>
          <w:p w14:paraId="09227B0F">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墙面高处设施、天花及天花设</w:t>
            </w:r>
          </w:p>
          <w:p w14:paraId="1CBB3B72">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施</w:t>
            </w:r>
          </w:p>
        </w:tc>
        <w:tc>
          <w:tcPr>
            <w:tcW w:w="1052" w:type="pct"/>
            <w:tcBorders>
              <w:left w:val="single" w:color="000000" w:sz="4" w:space="0"/>
              <w:right w:val="single" w:color="000000" w:sz="4" w:space="0"/>
            </w:tcBorders>
            <w:noWrap w:val="0"/>
            <w:vAlign w:val="top"/>
          </w:tcPr>
          <w:p w14:paraId="2F3387CD">
            <w:pPr>
              <w:topLinePunct/>
              <w:rPr>
                <w:rFonts w:hint="eastAsia" w:asciiTheme="minorEastAsia" w:hAnsiTheme="minorEastAsia" w:eastAsiaTheme="minorEastAsia" w:cstheme="minorEastAsia"/>
                <w:sz w:val="21"/>
                <w:szCs w:val="21"/>
              </w:rPr>
            </w:pPr>
          </w:p>
        </w:tc>
        <w:tc>
          <w:tcPr>
            <w:tcW w:w="995" w:type="pct"/>
            <w:tcBorders>
              <w:left w:val="single" w:color="000000" w:sz="4" w:space="0"/>
              <w:right w:val="single" w:color="000000" w:sz="4" w:space="0"/>
            </w:tcBorders>
            <w:noWrap w:val="0"/>
            <w:vAlign w:val="top"/>
          </w:tcPr>
          <w:p w14:paraId="4222C27A">
            <w:pPr>
              <w:topLinePunct/>
              <w:rPr>
                <w:rFonts w:hint="eastAsia" w:asciiTheme="minorEastAsia" w:hAnsiTheme="minorEastAsia" w:eastAsiaTheme="minorEastAsia" w:cstheme="minorEastAsia"/>
                <w:sz w:val="21"/>
                <w:szCs w:val="21"/>
              </w:rPr>
            </w:pPr>
          </w:p>
        </w:tc>
        <w:tc>
          <w:tcPr>
            <w:tcW w:w="798" w:type="pct"/>
            <w:tcBorders>
              <w:left w:val="single" w:color="000000" w:sz="4" w:space="0"/>
              <w:right w:val="single" w:color="000000" w:sz="4" w:space="0"/>
            </w:tcBorders>
            <w:noWrap w:val="0"/>
            <w:vAlign w:val="top"/>
          </w:tcPr>
          <w:p w14:paraId="6FA90ED4">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大清抹一次，天花每季除尘一次</w:t>
            </w:r>
          </w:p>
        </w:tc>
        <w:tc>
          <w:tcPr>
            <w:tcW w:w="1004" w:type="pct"/>
            <w:tcBorders>
              <w:left w:val="single" w:color="000000" w:sz="4" w:space="0"/>
              <w:right w:val="single" w:color="000000" w:sz="10" w:space="0"/>
            </w:tcBorders>
            <w:noWrap w:val="0"/>
            <w:vAlign w:val="top"/>
          </w:tcPr>
          <w:p w14:paraId="12E25C20">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无灰尘、无污渍</w:t>
            </w:r>
          </w:p>
        </w:tc>
      </w:tr>
      <w:tr w14:paraId="0207D4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307" w:type="pct"/>
            <w:vMerge w:val="continue"/>
            <w:tcBorders>
              <w:top w:val="nil"/>
              <w:left w:val="single" w:color="000000" w:sz="10" w:space="0"/>
              <w:right w:val="single" w:color="000000" w:sz="4" w:space="0"/>
            </w:tcBorders>
            <w:noWrap w:val="0"/>
            <w:vAlign w:val="top"/>
          </w:tcPr>
          <w:p w14:paraId="54FAD05B">
            <w:pPr>
              <w:topLinePunct/>
              <w:rPr>
                <w:rFonts w:hint="eastAsia" w:asciiTheme="minorEastAsia" w:hAnsiTheme="minorEastAsia" w:eastAsiaTheme="minorEastAsia" w:cstheme="minorEastAsia"/>
                <w:sz w:val="21"/>
                <w:szCs w:val="21"/>
              </w:rPr>
            </w:pPr>
          </w:p>
        </w:tc>
        <w:tc>
          <w:tcPr>
            <w:tcW w:w="840" w:type="pct"/>
            <w:gridSpan w:val="2"/>
            <w:tcBorders>
              <w:left w:val="single" w:color="000000" w:sz="4" w:space="0"/>
              <w:right w:val="single" w:color="000000" w:sz="4" w:space="0"/>
            </w:tcBorders>
            <w:noWrap w:val="0"/>
            <w:vAlign w:val="top"/>
          </w:tcPr>
          <w:p w14:paraId="75CF2756">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垃圾处理</w:t>
            </w:r>
          </w:p>
        </w:tc>
        <w:tc>
          <w:tcPr>
            <w:tcW w:w="1052" w:type="pct"/>
            <w:tcBorders>
              <w:left w:val="single" w:color="000000" w:sz="4" w:space="0"/>
              <w:right w:val="single" w:color="000000" w:sz="4" w:space="0"/>
            </w:tcBorders>
            <w:noWrap w:val="0"/>
            <w:vAlign w:val="top"/>
          </w:tcPr>
          <w:p w14:paraId="38528013">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一天一次</w:t>
            </w:r>
          </w:p>
        </w:tc>
        <w:tc>
          <w:tcPr>
            <w:tcW w:w="995" w:type="pct"/>
            <w:tcBorders>
              <w:left w:val="single" w:color="000000" w:sz="4" w:space="0"/>
              <w:right w:val="single" w:color="000000" w:sz="4" w:space="0"/>
            </w:tcBorders>
            <w:noWrap w:val="0"/>
            <w:vAlign w:val="top"/>
          </w:tcPr>
          <w:p w14:paraId="429CC78A">
            <w:pPr>
              <w:topLinePunct/>
              <w:rPr>
                <w:rFonts w:hint="eastAsia" w:asciiTheme="minorEastAsia" w:hAnsiTheme="minorEastAsia" w:eastAsiaTheme="minorEastAsia" w:cstheme="minorEastAsia"/>
                <w:sz w:val="21"/>
                <w:szCs w:val="21"/>
              </w:rPr>
            </w:pPr>
          </w:p>
        </w:tc>
        <w:tc>
          <w:tcPr>
            <w:tcW w:w="798" w:type="pct"/>
            <w:tcBorders>
              <w:left w:val="single" w:color="000000" w:sz="4" w:space="0"/>
              <w:right w:val="single" w:color="000000" w:sz="4" w:space="0"/>
            </w:tcBorders>
            <w:noWrap w:val="0"/>
            <w:vAlign w:val="top"/>
          </w:tcPr>
          <w:p w14:paraId="7D5B6D0D">
            <w:pPr>
              <w:topLinePunct/>
              <w:rPr>
                <w:rFonts w:hint="eastAsia" w:asciiTheme="minorEastAsia" w:hAnsiTheme="minorEastAsia" w:eastAsiaTheme="minorEastAsia" w:cstheme="minorEastAsia"/>
                <w:sz w:val="21"/>
                <w:szCs w:val="21"/>
              </w:rPr>
            </w:pPr>
          </w:p>
        </w:tc>
        <w:tc>
          <w:tcPr>
            <w:tcW w:w="1004" w:type="pct"/>
            <w:tcBorders>
              <w:left w:val="single" w:color="000000" w:sz="4" w:space="0"/>
              <w:right w:val="single" w:color="000000" w:sz="10" w:space="0"/>
            </w:tcBorders>
            <w:noWrap w:val="0"/>
            <w:vAlign w:val="top"/>
          </w:tcPr>
          <w:p w14:paraId="2FB92A9F">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无溢出垃圾</w:t>
            </w:r>
          </w:p>
        </w:tc>
      </w:tr>
      <w:tr w14:paraId="01E22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307" w:type="pct"/>
            <w:vMerge w:val="restart"/>
            <w:tcBorders>
              <w:left w:val="single" w:color="000000" w:sz="10" w:space="0"/>
              <w:right w:val="single" w:color="000000" w:sz="4" w:space="0"/>
            </w:tcBorders>
            <w:noWrap w:val="0"/>
            <w:vAlign w:val="top"/>
          </w:tcPr>
          <w:p w14:paraId="718B2D23">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外围部分</w:t>
            </w:r>
          </w:p>
        </w:tc>
        <w:tc>
          <w:tcPr>
            <w:tcW w:w="840" w:type="pct"/>
            <w:gridSpan w:val="2"/>
            <w:tcBorders>
              <w:left w:val="single" w:color="000000" w:sz="4" w:space="0"/>
              <w:right w:val="single" w:color="000000" w:sz="4" w:space="0"/>
            </w:tcBorders>
            <w:noWrap w:val="0"/>
            <w:vAlign w:val="top"/>
          </w:tcPr>
          <w:p w14:paraId="50FCAD1F">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路面、停车场、</w:t>
            </w:r>
          </w:p>
          <w:p w14:paraId="7FE1F07C">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大门</w:t>
            </w:r>
          </w:p>
        </w:tc>
        <w:tc>
          <w:tcPr>
            <w:tcW w:w="1052" w:type="pct"/>
            <w:tcBorders>
              <w:left w:val="single" w:color="000000" w:sz="4" w:space="0"/>
              <w:right w:val="single" w:color="000000" w:sz="4" w:space="0"/>
            </w:tcBorders>
            <w:noWrap w:val="0"/>
            <w:vAlign w:val="top"/>
          </w:tcPr>
          <w:p w14:paraId="7D29DC67">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清扫一次、随时保洁</w:t>
            </w:r>
          </w:p>
        </w:tc>
        <w:tc>
          <w:tcPr>
            <w:tcW w:w="995" w:type="pct"/>
            <w:tcBorders>
              <w:left w:val="single" w:color="000000" w:sz="4" w:space="0"/>
              <w:right w:val="single" w:color="000000" w:sz="4" w:space="0"/>
            </w:tcBorders>
            <w:noWrap w:val="0"/>
            <w:vAlign w:val="top"/>
          </w:tcPr>
          <w:p w14:paraId="757D2591">
            <w:pPr>
              <w:topLinePunct/>
              <w:rPr>
                <w:rFonts w:hint="eastAsia" w:asciiTheme="minorEastAsia" w:hAnsiTheme="minorEastAsia" w:eastAsiaTheme="minorEastAsia" w:cstheme="minorEastAsia"/>
                <w:sz w:val="21"/>
                <w:szCs w:val="21"/>
              </w:rPr>
            </w:pPr>
          </w:p>
        </w:tc>
        <w:tc>
          <w:tcPr>
            <w:tcW w:w="798" w:type="pct"/>
            <w:tcBorders>
              <w:left w:val="single" w:color="000000" w:sz="4" w:space="0"/>
              <w:right w:val="single" w:color="000000" w:sz="4" w:space="0"/>
            </w:tcBorders>
            <w:noWrap w:val="0"/>
            <w:vAlign w:val="top"/>
          </w:tcPr>
          <w:p w14:paraId="36CAE6FF">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冲洗一次</w:t>
            </w:r>
          </w:p>
        </w:tc>
        <w:tc>
          <w:tcPr>
            <w:tcW w:w="1004" w:type="pct"/>
            <w:tcBorders>
              <w:left w:val="single" w:color="000000" w:sz="4" w:space="0"/>
              <w:right w:val="single" w:color="000000" w:sz="10" w:space="0"/>
            </w:tcBorders>
            <w:noWrap w:val="0"/>
            <w:vAlign w:val="top"/>
          </w:tcPr>
          <w:p w14:paraId="4508F0A9">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无垃圾、无杂物</w:t>
            </w:r>
          </w:p>
        </w:tc>
      </w:tr>
      <w:tr w14:paraId="7B9F40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307" w:type="pct"/>
            <w:vMerge w:val="continue"/>
            <w:tcBorders>
              <w:left w:val="single" w:color="000000" w:sz="10" w:space="0"/>
              <w:right w:val="single" w:color="000000" w:sz="4" w:space="0"/>
            </w:tcBorders>
            <w:noWrap w:val="0"/>
            <w:vAlign w:val="top"/>
          </w:tcPr>
          <w:p w14:paraId="3CCC4312">
            <w:pPr>
              <w:topLinePunct/>
              <w:rPr>
                <w:rFonts w:hint="eastAsia" w:asciiTheme="minorEastAsia" w:hAnsiTheme="minorEastAsia" w:eastAsiaTheme="minorEastAsia" w:cstheme="minorEastAsia"/>
                <w:sz w:val="21"/>
                <w:szCs w:val="21"/>
              </w:rPr>
            </w:pPr>
          </w:p>
        </w:tc>
        <w:tc>
          <w:tcPr>
            <w:tcW w:w="840" w:type="pct"/>
            <w:gridSpan w:val="2"/>
            <w:tcBorders>
              <w:left w:val="single" w:color="000000" w:sz="4" w:space="0"/>
              <w:right w:val="single" w:color="000000" w:sz="4" w:space="0"/>
            </w:tcBorders>
            <w:noWrap w:val="0"/>
            <w:vAlign w:val="top"/>
          </w:tcPr>
          <w:p w14:paraId="251F84AC">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绿化带</w:t>
            </w:r>
          </w:p>
        </w:tc>
        <w:tc>
          <w:tcPr>
            <w:tcW w:w="1052" w:type="pct"/>
            <w:tcBorders>
              <w:left w:val="single" w:color="000000" w:sz="4" w:space="0"/>
              <w:right w:val="single" w:color="000000" w:sz="4" w:space="0"/>
            </w:tcBorders>
            <w:noWrap w:val="0"/>
            <w:vAlign w:val="top"/>
          </w:tcPr>
          <w:p w14:paraId="6F57EDB0">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保洁</w:t>
            </w:r>
          </w:p>
        </w:tc>
        <w:tc>
          <w:tcPr>
            <w:tcW w:w="995" w:type="pct"/>
            <w:tcBorders>
              <w:left w:val="single" w:color="000000" w:sz="4" w:space="0"/>
              <w:right w:val="single" w:color="000000" w:sz="4" w:space="0"/>
            </w:tcBorders>
            <w:noWrap w:val="0"/>
            <w:vAlign w:val="top"/>
          </w:tcPr>
          <w:p w14:paraId="5FBA74B4">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仔细清拣一次</w:t>
            </w:r>
          </w:p>
        </w:tc>
        <w:tc>
          <w:tcPr>
            <w:tcW w:w="798" w:type="pct"/>
            <w:tcBorders>
              <w:left w:val="single" w:color="000000" w:sz="4" w:space="0"/>
              <w:right w:val="single" w:color="000000" w:sz="4" w:space="0"/>
            </w:tcBorders>
            <w:noWrap w:val="0"/>
            <w:vAlign w:val="top"/>
          </w:tcPr>
          <w:p w14:paraId="31BDD8F3">
            <w:pPr>
              <w:topLinePunct/>
              <w:rPr>
                <w:rFonts w:hint="eastAsia" w:asciiTheme="minorEastAsia" w:hAnsiTheme="minorEastAsia" w:eastAsiaTheme="minorEastAsia" w:cstheme="minorEastAsia"/>
                <w:sz w:val="21"/>
                <w:szCs w:val="21"/>
              </w:rPr>
            </w:pPr>
          </w:p>
        </w:tc>
        <w:tc>
          <w:tcPr>
            <w:tcW w:w="1004" w:type="pct"/>
            <w:tcBorders>
              <w:left w:val="single" w:color="000000" w:sz="4" w:space="0"/>
              <w:right w:val="single" w:color="000000" w:sz="10" w:space="0"/>
            </w:tcBorders>
            <w:noWrap w:val="0"/>
            <w:vAlign w:val="top"/>
          </w:tcPr>
          <w:p w14:paraId="2CA49A3B">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保持植物干净</w:t>
            </w:r>
          </w:p>
        </w:tc>
      </w:tr>
      <w:tr w14:paraId="6C3449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307" w:type="pct"/>
            <w:vMerge w:val="continue"/>
            <w:tcBorders>
              <w:left w:val="single" w:color="000000" w:sz="10" w:space="0"/>
              <w:right w:val="single" w:color="000000" w:sz="4" w:space="0"/>
            </w:tcBorders>
            <w:noWrap w:val="0"/>
            <w:vAlign w:val="top"/>
          </w:tcPr>
          <w:p w14:paraId="765177C5">
            <w:pPr>
              <w:topLinePunct/>
              <w:rPr>
                <w:rFonts w:hint="eastAsia" w:asciiTheme="minorEastAsia" w:hAnsiTheme="minorEastAsia" w:eastAsiaTheme="minorEastAsia" w:cstheme="minorEastAsia"/>
                <w:sz w:val="21"/>
                <w:szCs w:val="21"/>
              </w:rPr>
            </w:pPr>
          </w:p>
        </w:tc>
        <w:tc>
          <w:tcPr>
            <w:tcW w:w="840" w:type="pct"/>
            <w:gridSpan w:val="2"/>
            <w:tcBorders>
              <w:left w:val="single" w:color="000000" w:sz="4" w:space="0"/>
              <w:right w:val="single" w:color="000000" w:sz="4" w:space="0"/>
            </w:tcBorders>
            <w:noWrap w:val="0"/>
            <w:vAlign w:val="top"/>
          </w:tcPr>
          <w:p w14:paraId="0D8578F2">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标牌、宣传栏</w:t>
            </w:r>
          </w:p>
        </w:tc>
        <w:tc>
          <w:tcPr>
            <w:tcW w:w="1052" w:type="pct"/>
            <w:tcBorders>
              <w:left w:val="single" w:color="000000" w:sz="4" w:space="0"/>
              <w:right w:val="single" w:color="000000" w:sz="4" w:space="0"/>
            </w:tcBorders>
            <w:noWrap w:val="0"/>
            <w:vAlign w:val="top"/>
          </w:tcPr>
          <w:p w14:paraId="1ED4D511">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清抹一次</w:t>
            </w:r>
          </w:p>
        </w:tc>
        <w:tc>
          <w:tcPr>
            <w:tcW w:w="995" w:type="pct"/>
            <w:tcBorders>
              <w:left w:val="single" w:color="000000" w:sz="4" w:space="0"/>
              <w:right w:val="single" w:color="000000" w:sz="4" w:space="0"/>
            </w:tcBorders>
            <w:noWrap w:val="0"/>
            <w:vAlign w:val="top"/>
          </w:tcPr>
          <w:p w14:paraId="5DAFDE34">
            <w:pPr>
              <w:topLinePunct/>
              <w:rPr>
                <w:rFonts w:hint="eastAsia" w:asciiTheme="minorEastAsia" w:hAnsiTheme="minorEastAsia" w:eastAsiaTheme="minorEastAsia" w:cstheme="minorEastAsia"/>
                <w:sz w:val="21"/>
                <w:szCs w:val="21"/>
              </w:rPr>
            </w:pPr>
          </w:p>
        </w:tc>
        <w:tc>
          <w:tcPr>
            <w:tcW w:w="798" w:type="pct"/>
            <w:tcBorders>
              <w:left w:val="single" w:color="000000" w:sz="4" w:space="0"/>
              <w:right w:val="single" w:color="000000" w:sz="4" w:space="0"/>
            </w:tcBorders>
            <w:noWrap w:val="0"/>
            <w:vAlign w:val="top"/>
          </w:tcPr>
          <w:p w14:paraId="3B05C2AB">
            <w:pPr>
              <w:topLinePunct/>
              <w:rPr>
                <w:rFonts w:hint="eastAsia" w:asciiTheme="minorEastAsia" w:hAnsiTheme="minorEastAsia" w:eastAsiaTheme="minorEastAsia" w:cstheme="minorEastAsia"/>
                <w:sz w:val="21"/>
                <w:szCs w:val="21"/>
              </w:rPr>
            </w:pPr>
          </w:p>
        </w:tc>
        <w:tc>
          <w:tcPr>
            <w:tcW w:w="1004" w:type="pct"/>
            <w:tcBorders>
              <w:left w:val="single" w:color="000000" w:sz="4" w:space="0"/>
              <w:right w:val="single" w:color="000000" w:sz="10" w:space="0"/>
            </w:tcBorders>
            <w:noWrap w:val="0"/>
            <w:vAlign w:val="top"/>
          </w:tcPr>
          <w:p w14:paraId="540B4516">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无灰尘、无污渍</w:t>
            </w:r>
          </w:p>
        </w:tc>
      </w:tr>
      <w:tr w14:paraId="317DA3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307" w:type="pct"/>
            <w:vMerge w:val="continue"/>
            <w:tcBorders>
              <w:left w:val="single" w:color="000000" w:sz="10" w:space="0"/>
              <w:right w:val="single" w:color="000000" w:sz="4" w:space="0"/>
            </w:tcBorders>
            <w:noWrap w:val="0"/>
            <w:vAlign w:val="top"/>
          </w:tcPr>
          <w:p w14:paraId="6FA210B8">
            <w:pPr>
              <w:topLinePunct/>
              <w:rPr>
                <w:rFonts w:hint="eastAsia" w:asciiTheme="minorEastAsia" w:hAnsiTheme="minorEastAsia" w:eastAsiaTheme="minorEastAsia" w:cstheme="minorEastAsia"/>
                <w:sz w:val="21"/>
                <w:szCs w:val="21"/>
              </w:rPr>
            </w:pPr>
          </w:p>
        </w:tc>
        <w:tc>
          <w:tcPr>
            <w:tcW w:w="840" w:type="pct"/>
            <w:gridSpan w:val="2"/>
            <w:tcBorders>
              <w:left w:val="single" w:color="000000" w:sz="4" w:space="0"/>
              <w:right w:val="single" w:color="000000" w:sz="4" w:space="0"/>
            </w:tcBorders>
            <w:noWrap w:val="0"/>
            <w:vAlign w:val="top"/>
          </w:tcPr>
          <w:p w14:paraId="6939E601">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路灯、射灯</w:t>
            </w:r>
          </w:p>
        </w:tc>
        <w:tc>
          <w:tcPr>
            <w:tcW w:w="1052" w:type="pct"/>
            <w:tcBorders>
              <w:left w:val="single" w:color="000000" w:sz="4" w:space="0"/>
              <w:right w:val="single" w:color="000000" w:sz="4" w:space="0"/>
            </w:tcBorders>
            <w:noWrap w:val="0"/>
            <w:vAlign w:val="top"/>
          </w:tcPr>
          <w:p w14:paraId="5B226973">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保洁</w:t>
            </w:r>
          </w:p>
        </w:tc>
        <w:tc>
          <w:tcPr>
            <w:tcW w:w="995" w:type="pct"/>
            <w:tcBorders>
              <w:left w:val="single" w:color="000000" w:sz="4" w:space="0"/>
              <w:right w:val="single" w:color="000000" w:sz="4" w:space="0"/>
            </w:tcBorders>
            <w:noWrap w:val="0"/>
            <w:vAlign w:val="top"/>
          </w:tcPr>
          <w:p w14:paraId="54C985FD">
            <w:pPr>
              <w:topLinePunct/>
              <w:rPr>
                <w:rFonts w:hint="eastAsia" w:asciiTheme="minorEastAsia" w:hAnsiTheme="minorEastAsia" w:eastAsiaTheme="minorEastAsia" w:cstheme="minorEastAsia"/>
                <w:sz w:val="21"/>
                <w:szCs w:val="21"/>
              </w:rPr>
            </w:pPr>
          </w:p>
        </w:tc>
        <w:tc>
          <w:tcPr>
            <w:tcW w:w="798" w:type="pct"/>
            <w:tcBorders>
              <w:left w:val="single" w:color="000000" w:sz="4" w:space="0"/>
              <w:right w:val="single" w:color="000000" w:sz="4" w:space="0"/>
            </w:tcBorders>
            <w:noWrap w:val="0"/>
            <w:vAlign w:val="top"/>
          </w:tcPr>
          <w:p w14:paraId="0CDEA546">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大清抹一次</w:t>
            </w:r>
          </w:p>
        </w:tc>
        <w:tc>
          <w:tcPr>
            <w:tcW w:w="1004" w:type="pct"/>
            <w:tcBorders>
              <w:left w:val="single" w:color="000000" w:sz="4" w:space="0"/>
              <w:right w:val="single" w:color="000000" w:sz="10" w:space="0"/>
            </w:tcBorders>
            <w:noWrap w:val="0"/>
            <w:vAlign w:val="top"/>
          </w:tcPr>
          <w:p w14:paraId="5B3B643C">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无灰尘、无污渍</w:t>
            </w:r>
          </w:p>
        </w:tc>
      </w:tr>
      <w:tr w14:paraId="3637D4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307" w:type="pct"/>
            <w:vMerge w:val="continue"/>
            <w:tcBorders>
              <w:left w:val="single" w:color="000000" w:sz="10" w:space="0"/>
              <w:right w:val="single" w:color="000000" w:sz="4" w:space="0"/>
            </w:tcBorders>
            <w:noWrap w:val="0"/>
            <w:vAlign w:val="top"/>
          </w:tcPr>
          <w:p w14:paraId="3B3BC1FF">
            <w:pPr>
              <w:topLinePunct/>
              <w:rPr>
                <w:rFonts w:hint="eastAsia" w:asciiTheme="minorEastAsia" w:hAnsiTheme="minorEastAsia" w:eastAsiaTheme="minorEastAsia" w:cstheme="minorEastAsia"/>
                <w:sz w:val="21"/>
                <w:szCs w:val="21"/>
              </w:rPr>
            </w:pPr>
          </w:p>
        </w:tc>
        <w:tc>
          <w:tcPr>
            <w:tcW w:w="840" w:type="pct"/>
            <w:gridSpan w:val="2"/>
            <w:tcBorders>
              <w:left w:val="single" w:color="000000" w:sz="4" w:space="0"/>
              <w:right w:val="single" w:color="000000" w:sz="4" w:space="0"/>
            </w:tcBorders>
            <w:noWrap w:val="0"/>
            <w:vAlign w:val="top"/>
          </w:tcPr>
          <w:p w14:paraId="4B5A5EEC">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雨水井、明沟、</w:t>
            </w:r>
          </w:p>
          <w:p w14:paraId="70A80E1B">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地漏</w:t>
            </w:r>
          </w:p>
        </w:tc>
        <w:tc>
          <w:tcPr>
            <w:tcW w:w="1052" w:type="pct"/>
            <w:tcBorders>
              <w:left w:val="single" w:color="000000" w:sz="4" w:space="0"/>
              <w:right w:val="single" w:color="000000" w:sz="4" w:space="0"/>
            </w:tcBorders>
            <w:noWrap w:val="0"/>
            <w:vAlign w:val="top"/>
          </w:tcPr>
          <w:p w14:paraId="7C0C50D5">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保洁</w:t>
            </w:r>
          </w:p>
        </w:tc>
        <w:tc>
          <w:tcPr>
            <w:tcW w:w="995" w:type="pct"/>
            <w:tcBorders>
              <w:left w:val="single" w:color="000000" w:sz="4" w:space="0"/>
              <w:right w:val="single" w:color="000000" w:sz="4" w:space="0"/>
            </w:tcBorders>
            <w:noWrap w:val="0"/>
            <w:vAlign w:val="top"/>
          </w:tcPr>
          <w:p w14:paraId="2F00CDC2">
            <w:pPr>
              <w:topLinePunct/>
              <w:rPr>
                <w:rFonts w:hint="eastAsia" w:asciiTheme="minorEastAsia" w:hAnsiTheme="minorEastAsia" w:eastAsiaTheme="minorEastAsia" w:cstheme="minorEastAsia"/>
                <w:sz w:val="21"/>
                <w:szCs w:val="21"/>
              </w:rPr>
            </w:pPr>
          </w:p>
        </w:tc>
        <w:tc>
          <w:tcPr>
            <w:tcW w:w="798" w:type="pct"/>
            <w:tcBorders>
              <w:left w:val="single" w:color="000000" w:sz="4" w:space="0"/>
              <w:right w:val="single" w:color="000000" w:sz="4" w:space="0"/>
            </w:tcBorders>
            <w:noWrap w:val="0"/>
            <w:vAlign w:val="top"/>
          </w:tcPr>
          <w:p w14:paraId="0046C25F">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清掏一次</w:t>
            </w:r>
          </w:p>
        </w:tc>
        <w:tc>
          <w:tcPr>
            <w:tcW w:w="1004" w:type="pct"/>
            <w:tcBorders>
              <w:left w:val="single" w:color="000000" w:sz="4" w:space="0"/>
              <w:right w:val="single" w:color="000000" w:sz="10" w:space="0"/>
            </w:tcBorders>
            <w:noWrap w:val="0"/>
            <w:vAlign w:val="top"/>
          </w:tcPr>
          <w:p w14:paraId="329C9E19">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畅通、无积水、无杂物</w:t>
            </w:r>
          </w:p>
        </w:tc>
      </w:tr>
      <w:tr w14:paraId="4592A2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307" w:type="pct"/>
            <w:vMerge w:val="continue"/>
            <w:tcBorders>
              <w:left w:val="single" w:color="000000" w:sz="10" w:space="0"/>
              <w:right w:val="single" w:color="000000" w:sz="4" w:space="0"/>
            </w:tcBorders>
            <w:noWrap w:val="0"/>
            <w:vAlign w:val="top"/>
          </w:tcPr>
          <w:p w14:paraId="25C1CCBD">
            <w:pPr>
              <w:topLinePunct/>
              <w:rPr>
                <w:rFonts w:hint="eastAsia" w:asciiTheme="minorEastAsia" w:hAnsiTheme="minorEastAsia" w:eastAsiaTheme="minorEastAsia" w:cstheme="minorEastAsia"/>
                <w:sz w:val="21"/>
                <w:szCs w:val="21"/>
              </w:rPr>
            </w:pPr>
          </w:p>
        </w:tc>
        <w:tc>
          <w:tcPr>
            <w:tcW w:w="840" w:type="pct"/>
            <w:gridSpan w:val="2"/>
            <w:tcBorders>
              <w:left w:val="single" w:color="000000" w:sz="4" w:space="0"/>
              <w:right w:val="single" w:color="000000" w:sz="4" w:space="0"/>
            </w:tcBorders>
            <w:noWrap w:val="0"/>
            <w:vAlign w:val="top"/>
          </w:tcPr>
          <w:p w14:paraId="4DA56EBF">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消防设施及其他设施</w:t>
            </w:r>
          </w:p>
        </w:tc>
        <w:tc>
          <w:tcPr>
            <w:tcW w:w="1052" w:type="pct"/>
            <w:tcBorders>
              <w:left w:val="single" w:color="000000" w:sz="4" w:space="0"/>
              <w:right w:val="single" w:color="000000" w:sz="4" w:space="0"/>
            </w:tcBorders>
            <w:noWrap w:val="0"/>
            <w:vAlign w:val="top"/>
          </w:tcPr>
          <w:p w14:paraId="1F640D19">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保洁</w:t>
            </w:r>
          </w:p>
        </w:tc>
        <w:tc>
          <w:tcPr>
            <w:tcW w:w="995" w:type="pct"/>
            <w:tcBorders>
              <w:left w:val="single" w:color="000000" w:sz="4" w:space="0"/>
              <w:right w:val="single" w:color="000000" w:sz="4" w:space="0"/>
            </w:tcBorders>
            <w:noWrap w:val="0"/>
            <w:vAlign w:val="top"/>
          </w:tcPr>
          <w:p w14:paraId="20293D9A">
            <w:pPr>
              <w:topLinePunct/>
              <w:rPr>
                <w:rFonts w:hint="eastAsia" w:asciiTheme="minorEastAsia" w:hAnsiTheme="minorEastAsia" w:eastAsiaTheme="minorEastAsia" w:cstheme="minorEastAsia"/>
                <w:sz w:val="21"/>
                <w:szCs w:val="21"/>
              </w:rPr>
            </w:pPr>
          </w:p>
        </w:tc>
        <w:tc>
          <w:tcPr>
            <w:tcW w:w="798" w:type="pct"/>
            <w:tcBorders>
              <w:left w:val="single" w:color="000000" w:sz="4" w:space="0"/>
              <w:right w:val="single" w:color="000000" w:sz="4" w:space="0"/>
            </w:tcBorders>
            <w:noWrap w:val="0"/>
            <w:vAlign w:val="top"/>
          </w:tcPr>
          <w:p w14:paraId="7F936D3C">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全面清洁一次</w:t>
            </w:r>
          </w:p>
        </w:tc>
        <w:tc>
          <w:tcPr>
            <w:tcW w:w="1004" w:type="pct"/>
            <w:tcBorders>
              <w:left w:val="single" w:color="000000" w:sz="4" w:space="0"/>
              <w:right w:val="single" w:color="000000" w:sz="10" w:space="0"/>
            </w:tcBorders>
            <w:noWrap w:val="0"/>
            <w:vAlign w:val="top"/>
          </w:tcPr>
          <w:p w14:paraId="084294E8">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无灰尘、无污渍</w:t>
            </w:r>
          </w:p>
        </w:tc>
      </w:tr>
      <w:tr w14:paraId="3C40A5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307" w:type="pct"/>
            <w:vMerge w:val="continue"/>
            <w:tcBorders>
              <w:left w:val="single" w:color="000000" w:sz="10" w:space="0"/>
              <w:right w:val="single" w:color="000000" w:sz="4" w:space="0"/>
            </w:tcBorders>
            <w:noWrap w:val="0"/>
            <w:vAlign w:val="top"/>
          </w:tcPr>
          <w:p w14:paraId="06682DE4">
            <w:pPr>
              <w:topLinePunct/>
              <w:rPr>
                <w:rFonts w:hint="eastAsia" w:asciiTheme="minorEastAsia" w:hAnsiTheme="minorEastAsia" w:eastAsiaTheme="minorEastAsia" w:cstheme="minorEastAsia"/>
                <w:sz w:val="21"/>
                <w:szCs w:val="21"/>
              </w:rPr>
            </w:pPr>
          </w:p>
        </w:tc>
        <w:tc>
          <w:tcPr>
            <w:tcW w:w="840" w:type="pct"/>
            <w:gridSpan w:val="2"/>
            <w:tcBorders>
              <w:left w:val="single" w:color="000000" w:sz="4" w:space="0"/>
              <w:right w:val="single" w:color="000000" w:sz="4" w:space="0"/>
            </w:tcBorders>
            <w:noWrap w:val="0"/>
            <w:vAlign w:val="top"/>
          </w:tcPr>
          <w:p w14:paraId="35F23A3F">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垃圾桶、垃圾箱</w:t>
            </w:r>
          </w:p>
        </w:tc>
        <w:tc>
          <w:tcPr>
            <w:tcW w:w="1052" w:type="pct"/>
            <w:tcBorders>
              <w:left w:val="single" w:color="000000" w:sz="4" w:space="0"/>
              <w:right w:val="single" w:color="000000" w:sz="4" w:space="0"/>
            </w:tcBorders>
            <w:noWrap w:val="0"/>
            <w:vAlign w:val="top"/>
          </w:tcPr>
          <w:p w14:paraId="45088D8F">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更换垃圾袋一次，及时清抹箱体</w:t>
            </w:r>
          </w:p>
        </w:tc>
        <w:tc>
          <w:tcPr>
            <w:tcW w:w="995" w:type="pct"/>
            <w:tcBorders>
              <w:left w:val="single" w:color="000000" w:sz="4" w:space="0"/>
              <w:right w:val="single" w:color="000000" w:sz="4" w:space="0"/>
            </w:tcBorders>
            <w:noWrap w:val="0"/>
            <w:vAlign w:val="top"/>
          </w:tcPr>
          <w:p w14:paraId="44DC4318">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全面清洁一次</w:t>
            </w:r>
          </w:p>
        </w:tc>
        <w:tc>
          <w:tcPr>
            <w:tcW w:w="798" w:type="pct"/>
            <w:tcBorders>
              <w:left w:val="single" w:color="000000" w:sz="4" w:space="0"/>
              <w:right w:val="single" w:color="000000" w:sz="4" w:space="0"/>
            </w:tcBorders>
            <w:noWrap w:val="0"/>
            <w:vAlign w:val="top"/>
          </w:tcPr>
          <w:p w14:paraId="00E16E69">
            <w:pPr>
              <w:topLinePunct/>
              <w:rPr>
                <w:rFonts w:hint="eastAsia" w:asciiTheme="minorEastAsia" w:hAnsiTheme="minorEastAsia" w:eastAsiaTheme="minorEastAsia" w:cstheme="minorEastAsia"/>
                <w:sz w:val="21"/>
                <w:szCs w:val="21"/>
              </w:rPr>
            </w:pPr>
          </w:p>
        </w:tc>
        <w:tc>
          <w:tcPr>
            <w:tcW w:w="1004" w:type="pct"/>
            <w:tcBorders>
              <w:left w:val="single" w:color="000000" w:sz="4" w:space="0"/>
              <w:right w:val="single" w:color="000000" w:sz="10" w:space="0"/>
            </w:tcBorders>
            <w:noWrap w:val="0"/>
            <w:vAlign w:val="top"/>
          </w:tcPr>
          <w:p w14:paraId="7252CA11">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无异味、无溢出垃圾</w:t>
            </w:r>
          </w:p>
        </w:tc>
      </w:tr>
      <w:tr w14:paraId="78C417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307" w:type="pct"/>
            <w:vMerge w:val="restart"/>
            <w:tcBorders>
              <w:left w:val="single" w:color="000000" w:sz="10" w:space="0"/>
              <w:bottom w:val="nil"/>
              <w:right w:val="single" w:color="000000" w:sz="4" w:space="0"/>
            </w:tcBorders>
            <w:noWrap w:val="0"/>
            <w:vAlign w:val="top"/>
          </w:tcPr>
          <w:p w14:paraId="792D3329">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公共卫生间</w:t>
            </w:r>
          </w:p>
        </w:tc>
        <w:tc>
          <w:tcPr>
            <w:tcW w:w="840" w:type="pct"/>
            <w:gridSpan w:val="2"/>
            <w:tcBorders>
              <w:left w:val="single" w:color="000000" w:sz="4" w:space="0"/>
              <w:right w:val="single" w:color="000000" w:sz="4" w:space="0"/>
            </w:tcBorders>
            <w:noWrap w:val="0"/>
            <w:vAlign w:val="top"/>
          </w:tcPr>
          <w:p w14:paraId="525CA54A">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磁砖墙面、隔板</w:t>
            </w:r>
          </w:p>
        </w:tc>
        <w:tc>
          <w:tcPr>
            <w:tcW w:w="1052" w:type="pct"/>
            <w:tcBorders>
              <w:left w:val="single" w:color="000000" w:sz="4" w:space="0"/>
              <w:right w:val="single" w:color="000000" w:sz="4" w:space="0"/>
            </w:tcBorders>
            <w:noWrap w:val="0"/>
            <w:vAlign w:val="top"/>
          </w:tcPr>
          <w:p w14:paraId="0E014C12">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保洁</w:t>
            </w:r>
          </w:p>
        </w:tc>
        <w:tc>
          <w:tcPr>
            <w:tcW w:w="995" w:type="pct"/>
            <w:tcBorders>
              <w:left w:val="single" w:color="000000" w:sz="4" w:space="0"/>
              <w:right w:val="single" w:color="000000" w:sz="4" w:space="0"/>
            </w:tcBorders>
            <w:noWrap w:val="0"/>
            <w:vAlign w:val="top"/>
          </w:tcPr>
          <w:p w14:paraId="57E54F71">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清抹一次</w:t>
            </w:r>
          </w:p>
        </w:tc>
        <w:tc>
          <w:tcPr>
            <w:tcW w:w="798" w:type="pct"/>
            <w:tcBorders>
              <w:left w:val="single" w:color="000000" w:sz="4" w:space="0"/>
              <w:right w:val="single" w:color="000000" w:sz="4" w:space="0"/>
            </w:tcBorders>
            <w:noWrap w:val="0"/>
            <w:vAlign w:val="top"/>
          </w:tcPr>
          <w:p w14:paraId="5A25917F">
            <w:pPr>
              <w:topLinePunct/>
              <w:rPr>
                <w:rFonts w:hint="eastAsia" w:asciiTheme="minorEastAsia" w:hAnsiTheme="minorEastAsia" w:eastAsiaTheme="minorEastAsia" w:cstheme="minorEastAsia"/>
                <w:sz w:val="21"/>
                <w:szCs w:val="21"/>
              </w:rPr>
            </w:pPr>
          </w:p>
        </w:tc>
        <w:tc>
          <w:tcPr>
            <w:tcW w:w="1004" w:type="pct"/>
            <w:tcBorders>
              <w:left w:val="single" w:color="000000" w:sz="4" w:space="0"/>
              <w:right w:val="single" w:color="000000" w:sz="10" w:space="0"/>
            </w:tcBorders>
            <w:noWrap w:val="0"/>
            <w:vAlign w:val="top"/>
          </w:tcPr>
          <w:p w14:paraId="34B2B384">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无灰尘、无污渍</w:t>
            </w:r>
          </w:p>
        </w:tc>
      </w:tr>
      <w:tr w14:paraId="7D14DA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307" w:type="pct"/>
            <w:vMerge w:val="continue"/>
            <w:tcBorders>
              <w:top w:val="nil"/>
              <w:left w:val="single" w:color="000000" w:sz="10" w:space="0"/>
              <w:bottom w:val="nil"/>
              <w:right w:val="single" w:color="000000" w:sz="4" w:space="0"/>
            </w:tcBorders>
            <w:noWrap w:val="0"/>
            <w:vAlign w:val="top"/>
          </w:tcPr>
          <w:p w14:paraId="20D2E069">
            <w:pPr>
              <w:topLinePunct/>
              <w:rPr>
                <w:rFonts w:hint="eastAsia" w:asciiTheme="minorEastAsia" w:hAnsiTheme="minorEastAsia" w:eastAsiaTheme="minorEastAsia" w:cstheme="minorEastAsia"/>
                <w:sz w:val="21"/>
                <w:szCs w:val="21"/>
              </w:rPr>
            </w:pPr>
          </w:p>
        </w:tc>
        <w:tc>
          <w:tcPr>
            <w:tcW w:w="840" w:type="pct"/>
            <w:gridSpan w:val="2"/>
            <w:tcBorders>
              <w:left w:val="single" w:color="000000" w:sz="4" w:space="0"/>
              <w:right w:val="single" w:color="000000" w:sz="4" w:space="0"/>
            </w:tcBorders>
            <w:noWrap w:val="0"/>
            <w:vAlign w:val="top"/>
          </w:tcPr>
          <w:p w14:paraId="409D979B">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地面</w:t>
            </w:r>
          </w:p>
        </w:tc>
        <w:tc>
          <w:tcPr>
            <w:tcW w:w="1052" w:type="pct"/>
            <w:tcBorders>
              <w:left w:val="single" w:color="000000" w:sz="4" w:space="0"/>
              <w:right w:val="single" w:color="000000" w:sz="4" w:space="0"/>
            </w:tcBorders>
            <w:noWrap w:val="0"/>
            <w:vAlign w:val="top"/>
          </w:tcPr>
          <w:p w14:paraId="5409051C">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拖抹数次，保持干净</w:t>
            </w:r>
          </w:p>
        </w:tc>
        <w:tc>
          <w:tcPr>
            <w:tcW w:w="995" w:type="pct"/>
            <w:tcBorders>
              <w:left w:val="single" w:color="000000" w:sz="4" w:space="0"/>
              <w:right w:val="single" w:color="000000" w:sz="4" w:space="0"/>
            </w:tcBorders>
            <w:noWrap w:val="0"/>
            <w:vAlign w:val="top"/>
          </w:tcPr>
          <w:p w14:paraId="3B426B56">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用洁厕灵清洗一次</w:t>
            </w:r>
          </w:p>
        </w:tc>
        <w:tc>
          <w:tcPr>
            <w:tcW w:w="798" w:type="pct"/>
            <w:tcBorders>
              <w:left w:val="single" w:color="000000" w:sz="4" w:space="0"/>
              <w:right w:val="single" w:color="000000" w:sz="4" w:space="0"/>
            </w:tcBorders>
            <w:noWrap w:val="0"/>
            <w:vAlign w:val="top"/>
          </w:tcPr>
          <w:p w14:paraId="64BAD672">
            <w:pPr>
              <w:topLinePunct/>
              <w:rPr>
                <w:rFonts w:hint="eastAsia" w:asciiTheme="minorEastAsia" w:hAnsiTheme="minorEastAsia" w:eastAsiaTheme="minorEastAsia" w:cstheme="minorEastAsia"/>
                <w:sz w:val="21"/>
                <w:szCs w:val="21"/>
              </w:rPr>
            </w:pPr>
          </w:p>
        </w:tc>
        <w:tc>
          <w:tcPr>
            <w:tcW w:w="1004" w:type="pct"/>
            <w:tcBorders>
              <w:left w:val="single" w:color="000000" w:sz="4" w:space="0"/>
              <w:right w:val="single" w:color="000000" w:sz="10" w:space="0"/>
            </w:tcBorders>
            <w:noWrap w:val="0"/>
            <w:vAlign w:val="top"/>
          </w:tcPr>
          <w:p w14:paraId="51CCE2DA">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无污渍、无垃圾、无异味</w:t>
            </w:r>
          </w:p>
        </w:tc>
      </w:tr>
      <w:tr w14:paraId="5CF758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307" w:type="pct"/>
            <w:vMerge w:val="continue"/>
            <w:tcBorders>
              <w:top w:val="nil"/>
              <w:left w:val="single" w:color="000000" w:sz="10" w:space="0"/>
              <w:bottom w:val="nil"/>
              <w:right w:val="single" w:color="000000" w:sz="4" w:space="0"/>
            </w:tcBorders>
            <w:noWrap w:val="0"/>
            <w:vAlign w:val="top"/>
          </w:tcPr>
          <w:p w14:paraId="7DED5C62">
            <w:pPr>
              <w:topLinePunct/>
              <w:rPr>
                <w:rFonts w:hint="eastAsia" w:asciiTheme="minorEastAsia" w:hAnsiTheme="minorEastAsia" w:eastAsiaTheme="minorEastAsia" w:cstheme="minorEastAsia"/>
                <w:sz w:val="21"/>
                <w:szCs w:val="21"/>
              </w:rPr>
            </w:pPr>
          </w:p>
        </w:tc>
        <w:tc>
          <w:tcPr>
            <w:tcW w:w="840" w:type="pct"/>
            <w:gridSpan w:val="2"/>
            <w:tcBorders>
              <w:left w:val="single" w:color="000000" w:sz="4" w:space="0"/>
              <w:right w:val="single" w:color="000000" w:sz="4" w:space="0"/>
            </w:tcBorders>
            <w:noWrap w:val="0"/>
            <w:vAlign w:val="top"/>
          </w:tcPr>
          <w:p w14:paraId="3EC6CDAC">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小便池、坐厕、洗手盆</w:t>
            </w:r>
          </w:p>
        </w:tc>
        <w:tc>
          <w:tcPr>
            <w:tcW w:w="1052" w:type="pct"/>
            <w:tcBorders>
              <w:left w:val="single" w:color="000000" w:sz="4" w:space="0"/>
              <w:right w:val="single" w:color="000000" w:sz="4" w:space="0"/>
            </w:tcBorders>
            <w:noWrap w:val="0"/>
            <w:vAlign w:val="top"/>
          </w:tcPr>
          <w:p w14:paraId="617E7056">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用强力除渍剂去尿垢黄斑等，用清洁剂清洗干净，随时保洁</w:t>
            </w:r>
          </w:p>
        </w:tc>
        <w:tc>
          <w:tcPr>
            <w:tcW w:w="995" w:type="pct"/>
            <w:tcBorders>
              <w:left w:val="single" w:color="000000" w:sz="4" w:space="0"/>
              <w:right w:val="single" w:color="000000" w:sz="4" w:space="0"/>
            </w:tcBorders>
            <w:noWrap w:val="0"/>
            <w:vAlign w:val="top"/>
          </w:tcPr>
          <w:p w14:paraId="4C7BA828">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用消毒水消毒一次</w:t>
            </w:r>
          </w:p>
        </w:tc>
        <w:tc>
          <w:tcPr>
            <w:tcW w:w="798" w:type="pct"/>
            <w:tcBorders>
              <w:left w:val="single" w:color="000000" w:sz="4" w:space="0"/>
              <w:right w:val="single" w:color="000000" w:sz="4" w:space="0"/>
            </w:tcBorders>
            <w:noWrap w:val="0"/>
            <w:vAlign w:val="top"/>
          </w:tcPr>
          <w:p w14:paraId="6E4AF448">
            <w:pPr>
              <w:topLinePunct/>
              <w:rPr>
                <w:rFonts w:hint="eastAsia" w:asciiTheme="minorEastAsia" w:hAnsiTheme="minorEastAsia" w:eastAsiaTheme="minorEastAsia" w:cstheme="minorEastAsia"/>
                <w:sz w:val="21"/>
                <w:szCs w:val="21"/>
              </w:rPr>
            </w:pPr>
          </w:p>
        </w:tc>
        <w:tc>
          <w:tcPr>
            <w:tcW w:w="1004" w:type="pct"/>
            <w:tcBorders>
              <w:left w:val="single" w:color="000000" w:sz="4" w:space="0"/>
              <w:right w:val="single" w:color="000000" w:sz="10" w:space="0"/>
            </w:tcBorders>
            <w:noWrap w:val="0"/>
            <w:vAlign w:val="top"/>
          </w:tcPr>
          <w:p w14:paraId="43ACEA39">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无污渍、无垃圾、无异味、无黄锈</w:t>
            </w:r>
          </w:p>
        </w:tc>
      </w:tr>
      <w:tr w14:paraId="650B36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307" w:type="pct"/>
            <w:vMerge w:val="continue"/>
            <w:tcBorders>
              <w:top w:val="nil"/>
              <w:left w:val="single" w:color="000000" w:sz="10" w:space="0"/>
              <w:bottom w:val="nil"/>
              <w:right w:val="single" w:color="000000" w:sz="4" w:space="0"/>
            </w:tcBorders>
            <w:noWrap w:val="0"/>
            <w:vAlign w:val="top"/>
          </w:tcPr>
          <w:p w14:paraId="75104788">
            <w:pPr>
              <w:topLinePunct/>
              <w:rPr>
                <w:rFonts w:hint="eastAsia" w:asciiTheme="minorEastAsia" w:hAnsiTheme="minorEastAsia" w:eastAsiaTheme="minorEastAsia" w:cstheme="minorEastAsia"/>
                <w:sz w:val="21"/>
                <w:szCs w:val="21"/>
              </w:rPr>
            </w:pPr>
          </w:p>
        </w:tc>
        <w:tc>
          <w:tcPr>
            <w:tcW w:w="840" w:type="pct"/>
            <w:gridSpan w:val="2"/>
            <w:tcBorders>
              <w:left w:val="single" w:color="000000" w:sz="4" w:space="0"/>
              <w:right w:val="single" w:color="000000" w:sz="4" w:space="0"/>
            </w:tcBorders>
            <w:noWrap w:val="0"/>
            <w:vAlign w:val="top"/>
          </w:tcPr>
          <w:p w14:paraId="2B3272E9">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灯饰</w:t>
            </w:r>
          </w:p>
        </w:tc>
        <w:tc>
          <w:tcPr>
            <w:tcW w:w="1052" w:type="pct"/>
            <w:tcBorders>
              <w:left w:val="single" w:color="000000" w:sz="4" w:space="0"/>
              <w:right w:val="single" w:color="000000" w:sz="4" w:space="0"/>
            </w:tcBorders>
            <w:noWrap w:val="0"/>
            <w:vAlign w:val="top"/>
          </w:tcPr>
          <w:p w14:paraId="50CEBDFD">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保洁</w:t>
            </w:r>
          </w:p>
        </w:tc>
        <w:tc>
          <w:tcPr>
            <w:tcW w:w="995" w:type="pct"/>
            <w:tcBorders>
              <w:left w:val="single" w:color="000000" w:sz="4" w:space="0"/>
              <w:right w:val="single" w:color="000000" w:sz="4" w:space="0"/>
            </w:tcBorders>
            <w:noWrap w:val="0"/>
            <w:vAlign w:val="top"/>
          </w:tcPr>
          <w:p w14:paraId="17AC3121">
            <w:pPr>
              <w:topLinePunct/>
              <w:rPr>
                <w:rFonts w:hint="eastAsia" w:asciiTheme="minorEastAsia" w:hAnsiTheme="minorEastAsia" w:eastAsiaTheme="minorEastAsia" w:cstheme="minorEastAsia"/>
                <w:sz w:val="21"/>
                <w:szCs w:val="21"/>
              </w:rPr>
            </w:pPr>
          </w:p>
        </w:tc>
        <w:tc>
          <w:tcPr>
            <w:tcW w:w="798" w:type="pct"/>
            <w:tcBorders>
              <w:left w:val="single" w:color="000000" w:sz="4" w:space="0"/>
              <w:right w:val="single" w:color="000000" w:sz="4" w:space="0"/>
            </w:tcBorders>
            <w:noWrap w:val="0"/>
            <w:vAlign w:val="top"/>
          </w:tcPr>
          <w:p w14:paraId="1BE8DD60">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清抹一次</w:t>
            </w:r>
          </w:p>
        </w:tc>
        <w:tc>
          <w:tcPr>
            <w:tcW w:w="1004" w:type="pct"/>
            <w:tcBorders>
              <w:left w:val="single" w:color="000000" w:sz="4" w:space="0"/>
              <w:right w:val="single" w:color="000000" w:sz="10" w:space="0"/>
            </w:tcBorders>
            <w:noWrap w:val="0"/>
            <w:vAlign w:val="top"/>
          </w:tcPr>
          <w:p w14:paraId="75FAADB2">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无灰尘、无污渍</w:t>
            </w:r>
          </w:p>
        </w:tc>
      </w:tr>
      <w:tr w14:paraId="35FCB7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307" w:type="pct"/>
            <w:vMerge w:val="continue"/>
            <w:tcBorders>
              <w:top w:val="nil"/>
              <w:left w:val="single" w:color="000000" w:sz="10" w:space="0"/>
              <w:bottom w:val="nil"/>
              <w:right w:val="single" w:color="000000" w:sz="4" w:space="0"/>
            </w:tcBorders>
            <w:noWrap w:val="0"/>
            <w:vAlign w:val="top"/>
          </w:tcPr>
          <w:p w14:paraId="656901C4">
            <w:pPr>
              <w:topLinePunct/>
              <w:rPr>
                <w:rFonts w:hint="eastAsia" w:asciiTheme="minorEastAsia" w:hAnsiTheme="minorEastAsia" w:eastAsiaTheme="minorEastAsia" w:cstheme="minorEastAsia"/>
                <w:sz w:val="21"/>
                <w:szCs w:val="21"/>
              </w:rPr>
            </w:pPr>
          </w:p>
        </w:tc>
        <w:tc>
          <w:tcPr>
            <w:tcW w:w="840" w:type="pct"/>
            <w:gridSpan w:val="2"/>
            <w:tcBorders>
              <w:left w:val="single" w:color="000000" w:sz="4" w:space="0"/>
              <w:right w:val="single" w:color="000000" w:sz="4" w:space="0"/>
            </w:tcBorders>
            <w:noWrap w:val="0"/>
            <w:vAlign w:val="top"/>
          </w:tcPr>
          <w:p w14:paraId="55EDE455">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镜面</w:t>
            </w:r>
          </w:p>
        </w:tc>
        <w:tc>
          <w:tcPr>
            <w:tcW w:w="1052" w:type="pct"/>
            <w:tcBorders>
              <w:left w:val="single" w:color="000000" w:sz="4" w:space="0"/>
              <w:right w:val="single" w:color="000000" w:sz="4" w:space="0"/>
            </w:tcBorders>
            <w:noWrap w:val="0"/>
            <w:vAlign w:val="top"/>
          </w:tcPr>
          <w:p w14:paraId="5E2805A9">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清抹一次，保洁</w:t>
            </w:r>
          </w:p>
        </w:tc>
        <w:tc>
          <w:tcPr>
            <w:tcW w:w="995" w:type="pct"/>
            <w:tcBorders>
              <w:left w:val="single" w:color="000000" w:sz="4" w:space="0"/>
              <w:right w:val="single" w:color="000000" w:sz="4" w:space="0"/>
            </w:tcBorders>
            <w:noWrap w:val="0"/>
            <w:vAlign w:val="top"/>
          </w:tcPr>
          <w:p w14:paraId="7A211BEE">
            <w:pPr>
              <w:topLinePunct/>
              <w:rPr>
                <w:rFonts w:hint="eastAsia" w:asciiTheme="minorEastAsia" w:hAnsiTheme="minorEastAsia" w:eastAsiaTheme="minorEastAsia" w:cstheme="minorEastAsia"/>
                <w:sz w:val="21"/>
                <w:szCs w:val="21"/>
              </w:rPr>
            </w:pPr>
          </w:p>
        </w:tc>
        <w:tc>
          <w:tcPr>
            <w:tcW w:w="798" w:type="pct"/>
            <w:tcBorders>
              <w:left w:val="single" w:color="000000" w:sz="4" w:space="0"/>
              <w:right w:val="single" w:color="000000" w:sz="4" w:space="0"/>
            </w:tcBorders>
            <w:noWrap w:val="0"/>
            <w:vAlign w:val="top"/>
          </w:tcPr>
          <w:p w14:paraId="46402BA1">
            <w:pPr>
              <w:topLinePunct/>
              <w:rPr>
                <w:rFonts w:hint="eastAsia" w:asciiTheme="minorEastAsia" w:hAnsiTheme="minorEastAsia" w:eastAsiaTheme="minorEastAsia" w:cstheme="minorEastAsia"/>
                <w:sz w:val="21"/>
                <w:szCs w:val="21"/>
              </w:rPr>
            </w:pPr>
          </w:p>
        </w:tc>
        <w:tc>
          <w:tcPr>
            <w:tcW w:w="1004" w:type="pct"/>
            <w:tcBorders>
              <w:left w:val="single" w:color="000000" w:sz="4" w:space="0"/>
              <w:right w:val="single" w:color="000000" w:sz="10" w:space="0"/>
            </w:tcBorders>
            <w:noWrap w:val="0"/>
            <w:vAlign w:val="top"/>
          </w:tcPr>
          <w:p w14:paraId="06D5F97E">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无灰尘、无污渍</w:t>
            </w:r>
          </w:p>
        </w:tc>
      </w:tr>
      <w:tr w14:paraId="760C58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307" w:type="pct"/>
            <w:vMerge w:val="continue"/>
            <w:tcBorders>
              <w:top w:val="nil"/>
              <w:left w:val="single" w:color="000000" w:sz="10" w:space="0"/>
              <w:bottom w:val="nil"/>
              <w:right w:val="single" w:color="000000" w:sz="4" w:space="0"/>
            </w:tcBorders>
            <w:noWrap w:val="0"/>
            <w:vAlign w:val="top"/>
          </w:tcPr>
          <w:p w14:paraId="7D4DB583">
            <w:pPr>
              <w:topLinePunct/>
              <w:rPr>
                <w:rFonts w:hint="eastAsia" w:asciiTheme="minorEastAsia" w:hAnsiTheme="minorEastAsia" w:eastAsiaTheme="minorEastAsia" w:cstheme="minorEastAsia"/>
                <w:sz w:val="21"/>
                <w:szCs w:val="21"/>
              </w:rPr>
            </w:pPr>
          </w:p>
        </w:tc>
        <w:tc>
          <w:tcPr>
            <w:tcW w:w="840" w:type="pct"/>
            <w:gridSpan w:val="2"/>
            <w:tcBorders>
              <w:left w:val="single" w:color="000000" w:sz="4" w:space="0"/>
              <w:right w:val="single" w:color="000000" w:sz="4" w:space="0"/>
            </w:tcBorders>
            <w:noWrap w:val="0"/>
            <w:vAlign w:val="top"/>
          </w:tcPr>
          <w:p w14:paraId="38E824DF">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垃圾篓</w:t>
            </w:r>
          </w:p>
        </w:tc>
        <w:tc>
          <w:tcPr>
            <w:tcW w:w="1052" w:type="pct"/>
            <w:tcBorders>
              <w:left w:val="single" w:color="000000" w:sz="4" w:space="0"/>
              <w:right w:val="single" w:color="000000" w:sz="4" w:space="0"/>
            </w:tcBorders>
            <w:noWrap w:val="0"/>
            <w:vAlign w:val="top"/>
          </w:tcPr>
          <w:p w14:paraId="68405BD3">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清倒二次</w:t>
            </w:r>
          </w:p>
        </w:tc>
        <w:tc>
          <w:tcPr>
            <w:tcW w:w="995" w:type="pct"/>
            <w:tcBorders>
              <w:left w:val="single" w:color="000000" w:sz="4" w:space="0"/>
              <w:right w:val="single" w:color="000000" w:sz="4" w:space="0"/>
            </w:tcBorders>
            <w:noWrap w:val="0"/>
            <w:vAlign w:val="top"/>
          </w:tcPr>
          <w:p w14:paraId="269DC308">
            <w:pPr>
              <w:topLinePunct/>
              <w:rPr>
                <w:rFonts w:hint="eastAsia" w:asciiTheme="minorEastAsia" w:hAnsiTheme="minorEastAsia" w:eastAsiaTheme="minorEastAsia" w:cstheme="minorEastAsia"/>
                <w:sz w:val="21"/>
                <w:szCs w:val="21"/>
              </w:rPr>
            </w:pPr>
          </w:p>
        </w:tc>
        <w:tc>
          <w:tcPr>
            <w:tcW w:w="798" w:type="pct"/>
            <w:tcBorders>
              <w:left w:val="single" w:color="000000" w:sz="4" w:space="0"/>
              <w:right w:val="single" w:color="000000" w:sz="4" w:space="0"/>
            </w:tcBorders>
            <w:noWrap w:val="0"/>
            <w:vAlign w:val="top"/>
          </w:tcPr>
          <w:p w14:paraId="78D17331">
            <w:pPr>
              <w:topLinePunct/>
              <w:rPr>
                <w:rFonts w:hint="eastAsia" w:asciiTheme="minorEastAsia" w:hAnsiTheme="minorEastAsia" w:eastAsiaTheme="minorEastAsia" w:cstheme="minorEastAsia"/>
                <w:sz w:val="21"/>
                <w:szCs w:val="21"/>
              </w:rPr>
            </w:pPr>
          </w:p>
        </w:tc>
        <w:tc>
          <w:tcPr>
            <w:tcW w:w="1004" w:type="pct"/>
            <w:tcBorders>
              <w:left w:val="single" w:color="000000" w:sz="4" w:space="0"/>
              <w:right w:val="single" w:color="000000" w:sz="10" w:space="0"/>
            </w:tcBorders>
            <w:noWrap w:val="0"/>
            <w:vAlign w:val="top"/>
          </w:tcPr>
          <w:p w14:paraId="7F18E049">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无异味、无溢出垃圾</w:t>
            </w:r>
          </w:p>
        </w:tc>
      </w:tr>
      <w:tr w14:paraId="712A15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307" w:type="pct"/>
            <w:vMerge w:val="continue"/>
            <w:tcBorders>
              <w:top w:val="nil"/>
              <w:left w:val="single" w:color="000000" w:sz="10" w:space="0"/>
              <w:right w:val="single" w:color="000000" w:sz="4" w:space="0"/>
            </w:tcBorders>
            <w:noWrap w:val="0"/>
            <w:vAlign w:val="top"/>
          </w:tcPr>
          <w:p w14:paraId="7AB4FFE5">
            <w:pPr>
              <w:topLinePunct/>
              <w:rPr>
                <w:rFonts w:hint="eastAsia" w:asciiTheme="minorEastAsia" w:hAnsiTheme="minorEastAsia" w:eastAsiaTheme="minorEastAsia" w:cstheme="minorEastAsia"/>
                <w:sz w:val="21"/>
                <w:szCs w:val="21"/>
              </w:rPr>
            </w:pPr>
          </w:p>
        </w:tc>
        <w:tc>
          <w:tcPr>
            <w:tcW w:w="840" w:type="pct"/>
            <w:gridSpan w:val="2"/>
            <w:tcBorders>
              <w:left w:val="single" w:color="000000" w:sz="4" w:space="0"/>
              <w:right w:val="single" w:color="000000" w:sz="4" w:space="0"/>
            </w:tcBorders>
            <w:noWrap w:val="0"/>
            <w:vAlign w:val="top"/>
          </w:tcPr>
          <w:p w14:paraId="3FBEEBBF">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卫生间下水</w:t>
            </w:r>
          </w:p>
        </w:tc>
        <w:tc>
          <w:tcPr>
            <w:tcW w:w="1052" w:type="pct"/>
            <w:tcBorders>
              <w:left w:val="single" w:color="000000" w:sz="4" w:space="0"/>
              <w:right w:val="single" w:color="000000" w:sz="4" w:space="0"/>
            </w:tcBorders>
            <w:noWrap w:val="0"/>
            <w:vAlign w:val="top"/>
          </w:tcPr>
          <w:p w14:paraId="30299CE8">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堵塞后用疏通机</w:t>
            </w:r>
          </w:p>
          <w:p w14:paraId="2A2E67C2">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疏通</w:t>
            </w:r>
          </w:p>
        </w:tc>
        <w:tc>
          <w:tcPr>
            <w:tcW w:w="995" w:type="pct"/>
            <w:tcBorders>
              <w:left w:val="single" w:color="000000" w:sz="4" w:space="0"/>
              <w:right w:val="single" w:color="000000" w:sz="4" w:space="0"/>
            </w:tcBorders>
            <w:noWrap w:val="0"/>
            <w:vAlign w:val="top"/>
          </w:tcPr>
          <w:p w14:paraId="5AE1DD34">
            <w:pPr>
              <w:topLinePunct/>
              <w:rPr>
                <w:rFonts w:hint="eastAsia" w:asciiTheme="minorEastAsia" w:hAnsiTheme="minorEastAsia" w:eastAsiaTheme="minorEastAsia" w:cstheme="minorEastAsia"/>
                <w:sz w:val="21"/>
                <w:szCs w:val="21"/>
              </w:rPr>
            </w:pPr>
          </w:p>
        </w:tc>
        <w:tc>
          <w:tcPr>
            <w:tcW w:w="798" w:type="pct"/>
            <w:tcBorders>
              <w:left w:val="single" w:color="000000" w:sz="4" w:space="0"/>
              <w:right w:val="single" w:color="000000" w:sz="4" w:space="0"/>
            </w:tcBorders>
            <w:noWrap w:val="0"/>
            <w:vAlign w:val="top"/>
          </w:tcPr>
          <w:p w14:paraId="488DB139">
            <w:pPr>
              <w:topLinePunct/>
              <w:rPr>
                <w:rFonts w:hint="eastAsia" w:asciiTheme="minorEastAsia" w:hAnsiTheme="minorEastAsia" w:eastAsiaTheme="minorEastAsia" w:cstheme="minorEastAsia"/>
                <w:sz w:val="21"/>
                <w:szCs w:val="21"/>
              </w:rPr>
            </w:pPr>
          </w:p>
        </w:tc>
        <w:tc>
          <w:tcPr>
            <w:tcW w:w="1004" w:type="pct"/>
            <w:tcBorders>
              <w:left w:val="single" w:color="000000" w:sz="4" w:space="0"/>
              <w:right w:val="single" w:color="000000" w:sz="10" w:space="0"/>
            </w:tcBorders>
            <w:noWrap w:val="0"/>
            <w:vAlign w:val="top"/>
          </w:tcPr>
          <w:p w14:paraId="0340AF95">
            <w:pPr>
              <w:topLinePun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下水畅通</w:t>
            </w:r>
          </w:p>
        </w:tc>
      </w:tr>
    </w:tbl>
    <w:p w14:paraId="0393B6E1">
      <w:pPr>
        <w:topLinePunct/>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(12)消杀服务工作标准：</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1234"/>
        <w:gridCol w:w="7318"/>
      </w:tblGrid>
      <w:tr w14:paraId="00C22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5" w:hRule="atLeast"/>
          <w:jc w:val="center"/>
        </w:trPr>
        <w:tc>
          <w:tcPr>
            <w:tcW w:w="396" w:type="pct"/>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710E87D6">
            <w:pPr>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消杀</w:t>
            </w:r>
          </w:p>
        </w:tc>
        <w:tc>
          <w:tcPr>
            <w:tcW w:w="66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7A704F96">
            <w:pPr>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药品监控</w:t>
            </w:r>
          </w:p>
        </w:tc>
        <w:tc>
          <w:tcPr>
            <w:tcW w:w="3938" w:type="pct"/>
            <w:tcBorders>
              <w:top w:val="single" w:color="auto" w:sz="4" w:space="0"/>
              <w:left w:val="single" w:color="auto" w:sz="4" w:space="0"/>
              <w:bottom w:val="single" w:color="auto" w:sz="4" w:space="0"/>
              <w:right w:val="single" w:color="auto" w:sz="4" w:space="0"/>
            </w:tcBorders>
            <w:noWrap w:val="0"/>
            <w:vAlign w:val="center"/>
          </w:tcPr>
          <w:p w14:paraId="782EAF15">
            <w:pPr>
              <w:widowControl/>
              <w:numPr>
                <w:ilvl w:val="0"/>
                <w:numId w:val="1"/>
              </w:numPr>
              <w:autoSpaceDE w:val="0"/>
              <w:autoSpaceDN w:val="0"/>
              <w:adjustRightInd w:val="0"/>
              <w:snapToGrid w:val="0"/>
              <w:spacing w:line="360" w:lineRule="exact"/>
              <w:ind w:left="0" w:firstLine="0"/>
              <w:jc w:val="left"/>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所使用的消杀药剂符合国家质量安全标准，具有产品质量监督检验机构所出具的检验报告；</w:t>
            </w:r>
          </w:p>
          <w:p w14:paraId="1C8E0BBD">
            <w:pPr>
              <w:widowControl/>
              <w:numPr>
                <w:ilvl w:val="0"/>
                <w:numId w:val="1"/>
              </w:numPr>
              <w:autoSpaceDE w:val="0"/>
              <w:autoSpaceDN w:val="0"/>
              <w:adjustRightInd w:val="0"/>
              <w:snapToGrid w:val="0"/>
              <w:spacing w:line="360" w:lineRule="exact"/>
              <w:ind w:left="0" w:firstLine="0"/>
              <w:jc w:val="left"/>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药品配置合理、及时更新；</w:t>
            </w:r>
          </w:p>
          <w:p w14:paraId="60396463">
            <w:pPr>
              <w:widowControl/>
              <w:numPr>
                <w:ilvl w:val="0"/>
                <w:numId w:val="1"/>
              </w:numPr>
              <w:autoSpaceDE w:val="0"/>
              <w:autoSpaceDN w:val="0"/>
              <w:adjustRightInd w:val="0"/>
              <w:snapToGrid w:val="0"/>
              <w:spacing w:line="360" w:lineRule="exact"/>
              <w:ind w:left="0" w:firstLine="0"/>
              <w:jc w:val="left"/>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消杀药品投放点设置醒目的警告标识，必要时采取相应防护措施；</w:t>
            </w:r>
          </w:p>
          <w:p w14:paraId="08C01840">
            <w:pPr>
              <w:widowControl/>
              <w:numPr>
                <w:ilvl w:val="0"/>
                <w:numId w:val="1"/>
              </w:numPr>
              <w:autoSpaceDE w:val="0"/>
              <w:autoSpaceDN w:val="0"/>
              <w:adjustRightInd w:val="0"/>
              <w:snapToGrid w:val="0"/>
              <w:spacing w:line="360" w:lineRule="exact"/>
              <w:ind w:left="0" w:firstLine="0"/>
              <w:jc w:val="left"/>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投放点位置、药量记录清晰，鼠药投放后，在规定的时限内应及时回收监管；</w:t>
            </w:r>
          </w:p>
          <w:p w14:paraId="3A98118F">
            <w:pPr>
              <w:widowControl/>
              <w:numPr>
                <w:ilvl w:val="0"/>
                <w:numId w:val="1"/>
              </w:numPr>
              <w:autoSpaceDE w:val="0"/>
              <w:autoSpaceDN w:val="0"/>
              <w:adjustRightInd w:val="0"/>
              <w:snapToGrid w:val="0"/>
              <w:spacing w:line="360" w:lineRule="exact"/>
              <w:ind w:left="0" w:firstLine="0"/>
              <w:jc w:val="left"/>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药品需单独存放、上锁管理。</w:t>
            </w:r>
          </w:p>
        </w:tc>
      </w:tr>
      <w:tr w14:paraId="73F78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96"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00B2E1DE">
            <w:pPr>
              <w:rPr>
                <w:rFonts w:hint="eastAsia" w:asciiTheme="minorEastAsia" w:hAnsiTheme="minorEastAsia" w:eastAsiaTheme="minorEastAsia" w:cstheme="minorEastAsia"/>
                <w:sz w:val="21"/>
                <w:szCs w:val="21"/>
              </w:rPr>
            </w:pPr>
          </w:p>
        </w:tc>
        <w:tc>
          <w:tcPr>
            <w:tcW w:w="66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3D43E82D">
            <w:pPr>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场所频次</w:t>
            </w:r>
          </w:p>
        </w:tc>
        <w:tc>
          <w:tcPr>
            <w:tcW w:w="3938" w:type="pct"/>
            <w:tcBorders>
              <w:top w:val="single" w:color="auto" w:sz="4" w:space="0"/>
              <w:left w:val="single" w:color="auto" w:sz="4" w:space="0"/>
              <w:bottom w:val="single" w:color="auto" w:sz="4" w:space="0"/>
              <w:right w:val="single" w:color="auto" w:sz="4" w:space="0"/>
            </w:tcBorders>
            <w:noWrap w:val="0"/>
            <w:vAlign w:val="center"/>
          </w:tcPr>
          <w:p w14:paraId="4481852B">
            <w:pPr>
              <w:widowControl/>
              <w:numPr>
                <w:ilvl w:val="0"/>
                <w:numId w:val="2"/>
              </w:numPr>
              <w:autoSpaceDE w:val="0"/>
              <w:autoSpaceDN w:val="0"/>
              <w:adjustRightInd w:val="0"/>
              <w:snapToGrid w:val="0"/>
              <w:spacing w:line="360" w:lineRule="exact"/>
              <w:ind w:left="0" w:firstLine="0"/>
              <w:jc w:val="left"/>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垃圾站无蚊虫孳生；</w:t>
            </w:r>
          </w:p>
          <w:p w14:paraId="43C393EE">
            <w:pPr>
              <w:widowControl/>
              <w:numPr>
                <w:ilvl w:val="0"/>
                <w:numId w:val="2"/>
              </w:numPr>
              <w:autoSpaceDE w:val="0"/>
              <w:autoSpaceDN w:val="0"/>
              <w:adjustRightInd w:val="0"/>
              <w:snapToGrid w:val="0"/>
              <w:spacing w:line="360" w:lineRule="exact"/>
              <w:ind w:left="0" w:firstLine="0"/>
              <w:jc w:val="left"/>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排水沟、排污管、污水井、楼宇内少蚊、蝇、蟑螂，无鼠。</w:t>
            </w:r>
          </w:p>
        </w:tc>
      </w:tr>
      <w:tr w14:paraId="3AF31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396"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CB5C132">
            <w:pPr>
              <w:rPr>
                <w:rFonts w:hint="eastAsia" w:asciiTheme="minorEastAsia" w:hAnsiTheme="minorEastAsia" w:eastAsiaTheme="minorEastAsia" w:cstheme="minorEastAsia"/>
                <w:sz w:val="21"/>
                <w:szCs w:val="21"/>
              </w:rPr>
            </w:pPr>
          </w:p>
        </w:tc>
        <w:tc>
          <w:tcPr>
            <w:tcW w:w="66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21AE9AA4">
            <w:pPr>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灭鼠消杀</w:t>
            </w:r>
          </w:p>
        </w:tc>
        <w:tc>
          <w:tcPr>
            <w:tcW w:w="3938" w:type="pct"/>
            <w:tcBorders>
              <w:top w:val="single" w:color="auto" w:sz="4" w:space="0"/>
              <w:left w:val="single" w:color="auto" w:sz="4" w:space="0"/>
              <w:bottom w:val="single" w:color="auto" w:sz="4" w:space="0"/>
              <w:right w:val="single" w:color="auto" w:sz="4" w:space="0"/>
            </w:tcBorders>
            <w:noWrap w:val="0"/>
            <w:vAlign w:val="center"/>
          </w:tcPr>
          <w:p w14:paraId="6096C7EF">
            <w:pPr>
              <w:widowControl/>
              <w:numPr>
                <w:ilvl w:val="0"/>
                <w:numId w:val="3"/>
              </w:numPr>
              <w:autoSpaceDE w:val="0"/>
              <w:autoSpaceDN w:val="0"/>
              <w:adjustRightInd w:val="0"/>
              <w:snapToGrid w:val="0"/>
              <w:spacing w:line="360" w:lineRule="exact"/>
              <w:ind w:left="0" w:firstLine="0"/>
              <w:jc w:val="left"/>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每月两次；</w:t>
            </w:r>
          </w:p>
          <w:p w14:paraId="58CAB139">
            <w:pPr>
              <w:widowControl/>
              <w:numPr>
                <w:ilvl w:val="0"/>
                <w:numId w:val="3"/>
              </w:numPr>
              <w:autoSpaceDE w:val="0"/>
              <w:autoSpaceDN w:val="0"/>
              <w:adjustRightInd w:val="0"/>
              <w:snapToGrid w:val="0"/>
              <w:spacing w:line="360" w:lineRule="exact"/>
              <w:ind w:left="0" w:firstLine="0"/>
              <w:jc w:val="left"/>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建筑物阳性地方无鼠迹和鼠痕，无老鼠活动；</w:t>
            </w:r>
          </w:p>
          <w:p w14:paraId="76D51ADC">
            <w:pPr>
              <w:widowControl/>
              <w:numPr>
                <w:ilvl w:val="0"/>
                <w:numId w:val="3"/>
              </w:numPr>
              <w:autoSpaceDE w:val="0"/>
              <w:autoSpaceDN w:val="0"/>
              <w:adjustRightInd w:val="0"/>
              <w:snapToGrid w:val="0"/>
              <w:spacing w:line="360" w:lineRule="exact"/>
              <w:ind w:left="0" w:firstLine="0"/>
              <w:jc w:val="left"/>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白天在室内外无老鼠活动，绿化地无鼠洞；</w:t>
            </w:r>
          </w:p>
          <w:p w14:paraId="0082B4D3">
            <w:pPr>
              <w:widowControl/>
              <w:numPr>
                <w:ilvl w:val="0"/>
                <w:numId w:val="3"/>
              </w:numPr>
              <w:autoSpaceDE w:val="0"/>
              <w:autoSpaceDN w:val="0"/>
              <w:adjustRightInd w:val="0"/>
              <w:snapToGrid w:val="0"/>
              <w:spacing w:line="360" w:lineRule="exact"/>
              <w:ind w:left="0" w:firstLine="0"/>
              <w:jc w:val="left"/>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楼顶、消防通道、地下室、绿化带白天无老鼠活动。</w:t>
            </w:r>
          </w:p>
        </w:tc>
      </w:tr>
      <w:tr w14:paraId="22D2E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396"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0BEFE228">
            <w:pPr>
              <w:rPr>
                <w:rFonts w:hint="eastAsia" w:asciiTheme="minorEastAsia" w:hAnsiTheme="minorEastAsia" w:eastAsiaTheme="minorEastAsia" w:cstheme="minorEastAsia"/>
                <w:sz w:val="21"/>
                <w:szCs w:val="21"/>
              </w:rPr>
            </w:pPr>
          </w:p>
        </w:tc>
        <w:tc>
          <w:tcPr>
            <w:tcW w:w="66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456E1F02">
            <w:pPr>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灭蝇消杀</w:t>
            </w:r>
          </w:p>
        </w:tc>
        <w:tc>
          <w:tcPr>
            <w:tcW w:w="3938" w:type="pct"/>
            <w:tcBorders>
              <w:top w:val="single" w:color="auto" w:sz="4" w:space="0"/>
              <w:left w:val="single" w:color="auto" w:sz="4" w:space="0"/>
              <w:bottom w:val="single" w:color="auto" w:sz="4" w:space="0"/>
              <w:right w:val="single" w:color="auto" w:sz="4" w:space="0"/>
            </w:tcBorders>
            <w:noWrap w:val="0"/>
            <w:vAlign w:val="center"/>
          </w:tcPr>
          <w:p w14:paraId="0E04705D">
            <w:pPr>
              <w:widowControl/>
              <w:numPr>
                <w:ilvl w:val="0"/>
                <w:numId w:val="4"/>
              </w:numPr>
              <w:autoSpaceDE w:val="0"/>
              <w:autoSpaceDN w:val="0"/>
              <w:adjustRightInd w:val="0"/>
              <w:snapToGrid w:val="0"/>
              <w:spacing w:line="360" w:lineRule="exact"/>
              <w:ind w:left="0" w:firstLine="0"/>
              <w:jc w:val="left"/>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每月四次；</w:t>
            </w:r>
          </w:p>
          <w:p w14:paraId="67C52A65">
            <w:pPr>
              <w:widowControl/>
              <w:numPr>
                <w:ilvl w:val="0"/>
                <w:numId w:val="4"/>
              </w:numPr>
              <w:autoSpaceDE w:val="0"/>
              <w:autoSpaceDN w:val="0"/>
              <w:adjustRightInd w:val="0"/>
              <w:snapToGrid w:val="0"/>
              <w:spacing w:line="360" w:lineRule="exact"/>
              <w:ind w:left="0" w:firstLine="0"/>
              <w:jc w:val="left"/>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建筑物白天和晚上在室内无苍蝇；</w:t>
            </w:r>
          </w:p>
          <w:p w14:paraId="77C54CAF">
            <w:pPr>
              <w:widowControl/>
              <w:numPr>
                <w:ilvl w:val="0"/>
                <w:numId w:val="4"/>
              </w:numPr>
              <w:autoSpaceDE w:val="0"/>
              <w:autoSpaceDN w:val="0"/>
              <w:adjustRightInd w:val="0"/>
              <w:snapToGrid w:val="0"/>
              <w:spacing w:line="360" w:lineRule="exact"/>
              <w:ind w:left="0" w:firstLine="0"/>
              <w:jc w:val="left"/>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垃圾桶、垃圾房检查其周围苍蝇在可见范围内不得超过6只。</w:t>
            </w:r>
          </w:p>
        </w:tc>
      </w:tr>
      <w:tr w14:paraId="62D57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396"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B390B7A">
            <w:pPr>
              <w:rPr>
                <w:rFonts w:hint="eastAsia" w:asciiTheme="minorEastAsia" w:hAnsiTheme="minorEastAsia" w:eastAsiaTheme="minorEastAsia" w:cstheme="minorEastAsia"/>
                <w:sz w:val="21"/>
                <w:szCs w:val="21"/>
              </w:rPr>
            </w:pPr>
          </w:p>
        </w:tc>
        <w:tc>
          <w:tcPr>
            <w:tcW w:w="66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41B3681D">
            <w:pPr>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灭蟑消杀</w:t>
            </w:r>
          </w:p>
        </w:tc>
        <w:tc>
          <w:tcPr>
            <w:tcW w:w="3938" w:type="pct"/>
            <w:tcBorders>
              <w:top w:val="single" w:color="auto" w:sz="4" w:space="0"/>
              <w:left w:val="single" w:color="auto" w:sz="4" w:space="0"/>
              <w:bottom w:val="single" w:color="auto" w:sz="4" w:space="0"/>
              <w:right w:val="single" w:color="auto" w:sz="4" w:space="0"/>
            </w:tcBorders>
            <w:noWrap w:val="0"/>
            <w:vAlign w:val="center"/>
          </w:tcPr>
          <w:p w14:paraId="47AF39D2">
            <w:pPr>
              <w:widowControl/>
              <w:numPr>
                <w:ilvl w:val="0"/>
                <w:numId w:val="5"/>
              </w:numPr>
              <w:autoSpaceDE w:val="0"/>
              <w:autoSpaceDN w:val="0"/>
              <w:adjustRightInd w:val="0"/>
              <w:snapToGrid w:val="0"/>
              <w:spacing w:line="360" w:lineRule="exact"/>
              <w:ind w:left="0" w:firstLine="0"/>
              <w:jc w:val="left"/>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每周2-3次；</w:t>
            </w:r>
          </w:p>
          <w:p w14:paraId="47DB4B5A">
            <w:pPr>
              <w:widowControl/>
              <w:numPr>
                <w:ilvl w:val="0"/>
                <w:numId w:val="5"/>
              </w:numPr>
              <w:autoSpaceDE w:val="0"/>
              <w:autoSpaceDN w:val="0"/>
              <w:adjustRightInd w:val="0"/>
              <w:snapToGrid w:val="0"/>
              <w:spacing w:line="360" w:lineRule="exact"/>
              <w:ind w:left="0" w:firstLine="0"/>
              <w:jc w:val="left"/>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建筑物内白天和晚上在室内无蟑螂活动的痕迹；</w:t>
            </w:r>
          </w:p>
          <w:p w14:paraId="038DF7BF">
            <w:pPr>
              <w:widowControl/>
              <w:numPr>
                <w:ilvl w:val="0"/>
                <w:numId w:val="5"/>
              </w:numPr>
              <w:autoSpaceDE w:val="0"/>
              <w:autoSpaceDN w:val="0"/>
              <w:adjustRightInd w:val="0"/>
              <w:snapToGrid w:val="0"/>
              <w:spacing w:line="360" w:lineRule="exact"/>
              <w:ind w:left="0" w:firstLine="0"/>
              <w:jc w:val="left"/>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下水道、污、雨水井蟑螂平均查见数不超过1只/150平方米。</w:t>
            </w:r>
          </w:p>
        </w:tc>
      </w:tr>
      <w:tr w14:paraId="02F97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396"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1748CE6D">
            <w:pPr>
              <w:rPr>
                <w:rFonts w:hint="eastAsia" w:asciiTheme="minorEastAsia" w:hAnsiTheme="minorEastAsia" w:eastAsiaTheme="minorEastAsia" w:cstheme="minorEastAsia"/>
                <w:sz w:val="21"/>
                <w:szCs w:val="21"/>
              </w:rPr>
            </w:pPr>
          </w:p>
        </w:tc>
        <w:tc>
          <w:tcPr>
            <w:tcW w:w="66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040B0E9E">
            <w:pPr>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灭蚊消杀</w:t>
            </w:r>
          </w:p>
        </w:tc>
        <w:tc>
          <w:tcPr>
            <w:tcW w:w="3938" w:type="pct"/>
            <w:tcBorders>
              <w:top w:val="single" w:color="auto" w:sz="4" w:space="0"/>
              <w:left w:val="single" w:color="auto" w:sz="4" w:space="0"/>
              <w:bottom w:val="single" w:color="auto" w:sz="4" w:space="0"/>
              <w:right w:val="single" w:color="auto" w:sz="4" w:space="0"/>
            </w:tcBorders>
            <w:noWrap w:val="0"/>
            <w:vAlign w:val="center"/>
          </w:tcPr>
          <w:p w14:paraId="4AB4B933">
            <w:pPr>
              <w:widowControl/>
              <w:numPr>
                <w:ilvl w:val="0"/>
                <w:numId w:val="6"/>
              </w:numPr>
              <w:autoSpaceDE w:val="0"/>
              <w:autoSpaceDN w:val="0"/>
              <w:adjustRightInd w:val="0"/>
              <w:snapToGrid w:val="0"/>
              <w:spacing w:line="360" w:lineRule="exact"/>
              <w:ind w:left="0" w:firstLine="0"/>
              <w:jc w:val="left"/>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每月四次；</w:t>
            </w:r>
          </w:p>
          <w:p w14:paraId="3BD97267">
            <w:pPr>
              <w:widowControl/>
              <w:numPr>
                <w:ilvl w:val="0"/>
                <w:numId w:val="6"/>
              </w:numPr>
              <w:autoSpaceDE w:val="0"/>
              <w:autoSpaceDN w:val="0"/>
              <w:adjustRightInd w:val="0"/>
              <w:snapToGrid w:val="0"/>
              <w:spacing w:line="360" w:lineRule="exact"/>
              <w:ind w:left="0" w:firstLine="0"/>
              <w:jc w:val="left"/>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水沟可见范围内无蚊虫。</w:t>
            </w:r>
          </w:p>
        </w:tc>
      </w:tr>
      <w:tr w14:paraId="1094B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96"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33AF0413">
            <w:pPr>
              <w:rPr>
                <w:rFonts w:hint="eastAsia" w:asciiTheme="minorEastAsia" w:hAnsiTheme="minorEastAsia" w:eastAsiaTheme="minorEastAsia" w:cstheme="minorEastAsia"/>
                <w:sz w:val="21"/>
                <w:szCs w:val="21"/>
              </w:rPr>
            </w:pPr>
          </w:p>
        </w:tc>
        <w:tc>
          <w:tcPr>
            <w:tcW w:w="66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3168B0FD">
            <w:pPr>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现场作业</w:t>
            </w:r>
          </w:p>
        </w:tc>
        <w:tc>
          <w:tcPr>
            <w:tcW w:w="3938" w:type="pct"/>
            <w:tcBorders>
              <w:top w:val="single" w:color="auto" w:sz="4" w:space="0"/>
              <w:left w:val="single" w:color="auto" w:sz="4" w:space="0"/>
              <w:bottom w:val="single" w:color="auto" w:sz="4" w:space="0"/>
              <w:right w:val="single" w:color="auto" w:sz="4" w:space="0"/>
            </w:tcBorders>
            <w:noWrap w:val="0"/>
            <w:vAlign w:val="center"/>
          </w:tcPr>
          <w:p w14:paraId="7F489AA6">
            <w:pPr>
              <w:widowControl/>
              <w:numPr>
                <w:ilvl w:val="0"/>
                <w:numId w:val="7"/>
              </w:numPr>
              <w:autoSpaceDE w:val="0"/>
              <w:autoSpaceDN w:val="0"/>
              <w:adjustRightInd w:val="0"/>
              <w:snapToGrid w:val="0"/>
              <w:spacing w:line="360" w:lineRule="exact"/>
              <w:ind w:left="0" w:firstLine="0"/>
              <w:jc w:val="left"/>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张贴消杀通知，告知消杀区域人员安全注意事项；</w:t>
            </w:r>
          </w:p>
          <w:p w14:paraId="6CAF5DA6">
            <w:pPr>
              <w:widowControl/>
              <w:numPr>
                <w:ilvl w:val="0"/>
                <w:numId w:val="7"/>
              </w:numPr>
              <w:autoSpaceDE w:val="0"/>
              <w:autoSpaceDN w:val="0"/>
              <w:adjustRightInd w:val="0"/>
              <w:snapToGrid w:val="0"/>
              <w:spacing w:line="360" w:lineRule="exact"/>
              <w:ind w:left="0" w:firstLine="0"/>
              <w:jc w:val="left"/>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整齐穿戴安全装备（工作帽、专用手套、口罩、专用工作服等）；</w:t>
            </w:r>
          </w:p>
          <w:p w14:paraId="668EC5EA">
            <w:pPr>
              <w:widowControl/>
              <w:numPr>
                <w:ilvl w:val="0"/>
                <w:numId w:val="7"/>
              </w:numPr>
              <w:autoSpaceDE w:val="0"/>
              <w:autoSpaceDN w:val="0"/>
              <w:adjustRightInd w:val="0"/>
              <w:snapToGrid w:val="0"/>
              <w:spacing w:line="360" w:lineRule="exact"/>
              <w:ind w:left="0" w:firstLine="0"/>
              <w:jc w:val="left"/>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携带的警示标志明显、易懂；</w:t>
            </w:r>
          </w:p>
          <w:p w14:paraId="6BA91A56">
            <w:pPr>
              <w:widowControl/>
              <w:numPr>
                <w:ilvl w:val="0"/>
                <w:numId w:val="7"/>
              </w:numPr>
              <w:autoSpaceDE w:val="0"/>
              <w:autoSpaceDN w:val="0"/>
              <w:adjustRightInd w:val="0"/>
              <w:snapToGrid w:val="0"/>
              <w:spacing w:line="360" w:lineRule="exact"/>
              <w:ind w:left="0" w:firstLine="0"/>
              <w:jc w:val="left"/>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清点所携带物品，严禁遗落在作业现场。</w:t>
            </w:r>
          </w:p>
        </w:tc>
      </w:tr>
    </w:tbl>
    <w:p w14:paraId="0D4327B1">
      <w:pPr>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val="en-US" w:eastAsia="zh-CN"/>
        </w:rPr>
        <w:t>4</w:t>
      </w:r>
      <w:r>
        <w:rPr>
          <w:rFonts w:hint="eastAsia" w:asciiTheme="minorEastAsia" w:hAnsiTheme="minorEastAsia" w:eastAsiaTheme="minorEastAsia" w:cstheme="minorEastAsia"/>
          <w:bCs/>
          <w:sz w:val="21"/>
          <w:szCs w:val="21"/>
        </w:rPr>
        <w:t>、治安保卫校园安全管理要求</w:t>
      </w:r>
    </w:p>
    <w:p w14:paraId="67F138C4">
      <w:pPr>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A-人员要求</w:t>
      </w:r>
    </w:p>
    <w:p w14:paraId="52830EFC">
      <w:pPr>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(1)保安人员熟悉校园环境，文明执勤，言语规范，认真负责，人员稳定。</w:t>
      </w:r>
    </w:p>
    <w:p w14:paraId="6836A4FC">
      <w:pPr>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保安人员的素质要求：品德好，形象佳，身体强壮，服务意识强，会讲普通话，具有初中以上文化程度，持有上岗证，无犯罪记录。男身高165cm以上，年龄不超过45周岁；女身高160cm以上，年龄不超过45周岁。退伍军人优先。</w:t>
      </w:r>
    </w:p>
    <w:p w14:paraId="1FB83ACE">
      <w:pPr>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(3)保安配备应满足《深圳市中小学校和幼儿园配备专业保安工作实施方案》(深公(治)字[2010]273号)</w:t>
      </w:r>
    </w:p>
    <w:p w14:paraId="4777A9B8">
      <w:pPr>
        <w:ind w:firstLine="422" w:firstLineChars="200"/>
        <w:rPr>
          <w:rFonts w:hint="eastAsia" w:asciiTheme="minorEastAsia" w:hAnsiTheme="minorEastAsia" w:eastAsiaTheme="minorEastAsia" w:cstheme="minorEastAsia"/>
          <w:b/>
          <w:bCs w:val="0"/>
          <w:sz w:val="21"/>
          <w:szCs w:val="21"/>
        </w:rPr>
      </w:pPr>
      <w:r>
        <w:rPr>
          <w:rFonts w:hint="eastAsia" w:asciiTheme="minorEastAsia" w:hAnsiTheme="minorEastAsia" w:eastAsiaTheme="minorEastAsia" w:cstheme="minorEastAsia"/>
          <w:b/>
          <w:bCs w:val="0"/>
          <w:sz w:val="21"/>
          <w:szCs w:val="21"/>
        </w:rPr>
        <w:t>项目人员要求</w:t>
      </w:r>
    </w:p>
    <w:p w14:paraId="4FC28B9F">
      <w:pPr>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(1)人员管理要求</w:t>
      </w:r>
    </w:p>
    <w:p w14:paraId="66E3BB8F">
      <w:pPr>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a.投标人中标后须提供拟为本项目配备的从业人员上岗证及其它规定应提交的证明文件(幼儿园配备人员需按照相关卫生保健要求进行体检合格后方可录用)。</w:t>
      </w:r>
    </w:p>
    <w:p w14:paraId="5B78D3D8">
      <w:pPr>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b.中标人应针对本项目提出具体的岗位后续培训计划。</w:t>
      </w:r>
    </w:p>
    <w:p w14:paraId="0942B4AE">
      <w:pPr>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c.投标人应承诺24小时内更换工作表现差及出现事故的本项目从业人员。</w:t>
      </w:r>
    </w:p>
    <w:p w14:paraId="7ABF0673">
      <w:pPr>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d.中标人拟委派人员的基本情况必须报学校备案，人员做到相对稳定。</w:t>
      </w:r>
    </w:p>
    <w:p w14:paraId="69045489">
      <w:pPr>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e.中标人须为所有选派到本项目从业人员办理工伤、保险、签订劳动合同等。</w:t>
      </w:r>
    </w:p>
    <w:p w14:paraId="18D1E4BD">
      <w:pPr>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f.中标人依据深圳市政府物业服务收费指导标准意见，与各学校实际情况进行从业人员整合配置。</w:t>
      </w:r>
    </w:p>
    <w:p w14:paraId="0B5FCBD1">
      <w:pPr>
        <w:ind w:firstLine="420" w:firstLineChars="200"/>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g.拟投入的人员应包含安保、保洁以及符合各学校需求。保安、保洁应具备物业相关专业知识，具有较好的统筹协调和沟通管理能力，能够统筹协调各岗位人员，协助学校积极有效的做好管理工作；各专业负责人应具备所在专业的专业知识或专业技能，具备一定的人员管理能力，能够结合学校实际情况，满足学校在各专业领域开展个性化的管理需求服务</w:t>
      </w:r>
      <w:r>
        <w:rPr>
          <w:rFonts w:hint="eastAsia" w:asciiTheme="minorEastAsia" w:hAnsiTheme="minorEastAsia" w:eastAsiaTheme="minorEastAsia" w:cstheme="minorEastAsia"/>
          <w:bCs/>
          <w:sz w:val="21"/>
          <w:szCs w:val="21"/>
        </w:rPr>
        <w:t>。</w:t>
      </w:r>
    </w:p>
    <w:p w14:paraId="01678546">
      <w:pPr>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(2)人员配备</w:t>
      </w:r>
    </w:p>
    <w:p w14:paraId="2F38DC8A">
      <w:pPr>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本项目需确保物业服务需要，保障学校正常运营，服务人员必须至少满足以下配备数量要求：</w:t>
      </w:r>
    </w:p>
    <w:tbl>
      <w:tblPr>
        <w:tblStyle w:val="22"/>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1741"/>
        <w:gridCol w:w="1455"/>
        <w:gridCol w:w="2049"/>
        <w:gridCol w:w="2776"/>
      </w:tblGrid>
      <w:tr w14:paraId="42A1C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680" w:type="pct"/>
            <w:tcBorders>
              <w:top w:val="single" w:color="000000" w:sz="4" w:space="0"/>
              <w:left w:val="single" w:color="000000" w:sz="4" w:space="0"/>
              <w:bottom w:val="single" w:color="000000" w:sz="4" w:space="0"/>
              <w:right w:val="single" w:color="000000" w:sz="4" w:space="0"/>
            </w:tcBorders>
            <w:noWrap w:val="0"/>
            <w:vAlign w:val="center"/>
          </w:tcPr>
          <w:p w14:paraId="68F230B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u w:val="none"/>
              </w:rPr>
            </w:pPr>
            <w:r>
              <w:rPr>
                <w:rFonts w:hint="eastAsia" w:asciiTheme="minorEastAsia" w:hAnsiTheme="minorEastAsia" w:eastAsiaTheme="minorEastAsia" w:cstheme="minorEastAsia"/>
                <w:b/>
                <w:bCs/>
                <w:i w:val="0"/>
                <w:iCs w:val="0"/>
                <w:color w:val="auto"/>
                <w:kern w:val="0"/>
                <w:sz w:val="21"/>
                <w:szCs w:val="21"/>
                <w:u w:val="none"/>
                <w:lang w:val="en-US" w:eastAsia="zh-CN" w:bidi="ar"/>
              </w:rPr>
              <w:t>保安</w:t>
            </w:r>
            <w:r>
              <w:rPr>
                <w:rFonts w:hint="eastAsia" w:asciiTheme="minorEastAsia" w:hAnsiTheme="minorEastAsia" w:eastAsiaTheme="minorEastAsia" w:cstheme="minorEastAsia"/>
                <w:b/>
                <w:bCs/>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b/>
                <w:bCs/>
                <w:i w:val="0"/>
                <w:iCs w:val="0"/>
                <w:color w:val="auto"/>
                <w:kern w:val="0"/>
                <w:sz w:val="21"/>
                <w:szCs w:val="21"/>
                <w:u w:val="none"/>
                <w:lang w:val="en-US" w:eastAsia="zh-CN" w:bidi="ar"/>
              </w:rPr>
              <w:t>（人）</w:t>
            </w:r>
          </w:p>
        </w:tc>
        <w:tc>
          <w:tcPr>
            <w:tcW w:w="937" w:type="pct"/>
            <w:tcBorders>
              <w:top w:val="single" w:color="000000" w:sz="4" w:space="0"/>
              <w:left w:val="single" w:color="000000" w:sz="4" w:space="0"/>
              <w:bottom w:val="single" w:color="000000" w:sz="4" w:space="0"/>
              <w:right w:val="single" w:color="000000" w:sz="4" w:space="0"/>
            </w:tcBorders>
            <w:noWrap w:val="0"/>
            <w:vAlign w:val="center"/>
          </w:tcPr>
          <w:p w14:paraId="3CCC3CB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u w:val="none"/>
              </w:rPr>
            </w:pPr>
            <w:r>
              <w:rPr>
                <w:rFonts w:hint="eastAsia" w:asciiTheme="minorEastAsia" w:hAnsiTheme="minorEastAsia" w:eastAsiaTheme="minorEastAsia" w:cstheme="minorEastAsia"/>
                <w:b/>
                <w:bCs/>
                <w:i w:val="0"/>
                <w:iCs w:val="0"/>
                <w:color w:val="auto"/>
                <w:kern w:val="0"/>
                <w:sz w:val="21"/>
                <w:szCs w:val="21"/>
                <w:u w:val="none"/>
                <w:lang w:val="en-US" w:eastAsia="zh-CN" w:bidi="ar"/>
              </w:rPr>
              <w:t>维修</w:t>
            </w:r>
            <w:r>
              <w:rPr>
                <w:rFonts w:hint="eastAsia" w:asciiTheme="minorEastAsia" w:hAnsiTheme="minorEastAsia" w:eastAsiaTheme="minorEastAsia" w:cstheme="minorEastAsia"/>
                <w:b/>
                <w:bCs/>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b/>
                <w:bCs/>
                <w:i w:val="0"/>
                <w:iCs w:val="0"/>
                <w:color w:val="auto"/>
                <w:kern w:val="0"/>
                <w:sz w:val="21"/>
                <w:szCs w:val="21"/>
                <w:u w:val="none"/>
                <w:lang w:val="en-US" w:eastAsia="zh-CN" w:bidi="ar"/>
              </w:rPr>
              <w:t>（人）</w:t>
            </w:r>
          </w:p>
        </w:tc>
        <w:tc>
          <w:tcPr>
            <w:tcW w:w="783" w:type="pct"/>
            <w:tcBorders>
              <w:top w:val="single" w:color="000000" w:sz="4" w:space="0"/>
              <w:left w:val="single" w:color="000000" w:sz="4" w:space="0"/>
              <w:bottom w:val="single" w:color="000000" w:sz="4" w:space="0"/>
              <w:right w:val="single" w:color="000000" w:sz="4" w:space="0"/>
            </w:tcBorders>
            <w:noWrap w:val="0"/>
            <w:vAlign w:val="center"/>
          </w:tcPr>
          <w:p w14:paraId="35C8CB9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u w:val="none"/>
              </w:rPr>
            </w:pPr>
            <w:r>
              <w:rPr>
                <w:rFonts w:hint="eastAsia" w:asciiTheme="minorEastAsia" w:hAnsiTheme="minorEastAsia" w:eastAsiaTheme="minorEastAsia" w:cstheme="minorEastAsia"/>
                <w:b/>
                <w:bCs/>
                <w:i w:val="0"/>
                <w:iCs w:val="0"/>
                <w:color w:val="auto"/>
                <w:kern w:val="0"/>
                <w:sz w:val="21"/>
                <w:szCs w:val="21"/>
                <w:u w:val="none"/>
                <w:lang w:val="en-US" w:eastAsia="zh-CN" w:bidi="ar"/>
              </w:rPr>
              <w:t>保洁</w:t>
            </w:r>
            <w:r>
              <w:rPr>
                <w:rFonts w:hint="eastAsia" w:asciiTheme="minorEastAsia" w:hAnsiTheme="minorEastAsia" w:eastAsiaTheme="minorEastAsia" w:cstheme="minorEastAsia"/>
                <w:b/>
                <w:bCs/>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b/>
                <w:bCs/>
                <w:i w:val="0"/>
                <w:iCs w:val="0"/>
                <w:color w:val="auto"/>
                <w:kern w:val="0"/>
                <w:sz w:val="21"/>
                <w:szCs w:val="21"/>
                <w:u w:val="none"/>
                <w:lang w:val="en-US" w:eastAsia="zh-CN" w:bidi="ar"/>
              </w:rPr>
              <w:t>（人）</w:t>
            </w:r>
          </w:p>
        </w:tc>
        <w:tc>
          <w:tcPr>
            <w:tcW w:w="1103" w:type="pct"/>
            <w:tcBorders>
              <w:top w:val="single" w:color="000000" w:sz="4" w:space="0"/>
              <w:left w:val="single" w:color="000000" w:sz="4" w:space="0"/>
              <w:bottom w:val="single" w:color="000000" w:sz="4" w:space="0"/>
              <w:right w:val="single" w:color="000000" w:sz="4" w:space="0"/>
            </w:tcBorders>
            <w:noWrap w:val="0"/>
            <w:vAlign w:val="center"/>
          </w:tcPr>
          <w:p w14:paraId="351773D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u w:val="none"/>
              </w:rPr>
            </w:pPr>
            <w:r>
              <w:rPr>
                <w:rFonts w:hint="eastAsia" w:asciiTheme="minorEastAsia" w:hAnsiTheme="minorEastAsia" w:eastAsiaTheme="minorEastAsia" w:cstheme="minorEastAsia"/>
                <w:b/>
                <w:bCs/>
                <w:i w:val="0"/>
                <w:iCs w:val="0"/>
                <w:color w:val="auto"/>
                <w:kern w:val="0"/>
                <w:sz w:val="21"/>
                <w:szCs w:val="21"/>
                <w:u w:val="none"/>
                <w:lang w:val="en-US" w:eastAsia="zh-CN" w:bidi="ar"/>
              </w:rPr>
              <w:t>绿化</w:t>
            </w:r>
            <w:r>
              <w:rPr>
                <w:rFonts w:hint="eastAsia" w:asciiTheme="minorEastAsia" w:hAnsiTheme="minorEastAsia" w:eastAsiaTheme="minorEastAsia" w:cstheme="minorEastAsia"/>
                <w:b/>
                <w:bCs/>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b/>
                <w:bCs/>
                <w:i w:val="0"/>
                <w:iCs w:val="0"/>
                <w:color w:val="auto"/>
                <w:kern w:val="0"/>
                <w:sz w:val="21"/>
                <w:szCs w:val="21"/>
                <w:u w:val="none"/>
                <w:lang w:val="en-US" w:eastAsia="zh-CN" w:bidi="ar"/>
              </w:rPr>
              <w:t>（人）</w:t>
            </w:r>
          </w:p>
        </w:tc>
        <w:tc>
          <w:tcPr>
            <w:tcW w:w="1494" w:type="pct"/>
            <w:tcBorders>
              <w:top w:val="single" w:color="000000" w:sz="4" w:space="0"/>
              <w:left w:val="single" w:color="000000" w:sz="4" w:space="0"/>
              <w:bottom w:val="single" w:color="000000" w:sz="4" w:space="0"/>
              <w:right w:val="single" w:color="000000" w:sz="4" w:space="0"/>
            </w:tcBorders>
            <w:noWrap w:val="0"/>
            <w:vAlign w:val="center"/>
          </w:tcPr>
          <w:p w14:paraId="7086BCB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u w:val="none"/>
              </w:rPr>
            </w:pPr>
            <w:r>
              <w:rPr>
                <w:rFonts w:hint="eastAsia" w:asciiTheme="minorEastAsia" w:hAnsiTheme="minorEastAsia" w:eastAsiaTheme="minorEastAsia" w:cstheme="minorEastAsia"/>
                <w:b/>
                <w:bCs/>
                <w:i w:val="0"/>
                <w:iCs w:val="0"/>
                <w:color w:val="auto"/>
                <w:kern w:val="0"/>
                <w:sz w:val="21"/>
                <w:szCs w:val="21"/>
                <w:u w:val="none"/>
                <w:lang w:val="en-US" w:eastAsia="zh-CN" w:bidi="ar"/>
              </w:rPr>
              <w:t>项目经理</w:t>
            </w:r>
            <w:r>
              <w:rPr>
                <w:rFonts w:hint="eastAsia" w:asciiTheme="minorEastAsia" w:hAnsiTheme="minorEastAsia" w:eastAsiaTheme="minorEastAsia" w:cstheme="minorEastAsia"/>
                <w:b/>
                <w:bCs/>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b/>
                <w:bCs/>
                <w:i w:val="0"/>
                <w:iCs w:val="0"/>
                <w:color w:val="auto"/>
                <w:kern w:val="0"/>
                <w:sz w:val="21"/>
                <w:szCs w:val="21"/>
                <w:u w:val="none"/>
                <w:lang w:val="en-US" w:eastAsia="zh-CN" w:bidi="ar"/>
              </w:rPr>
              <w:t>（人）</w:t>
            </w:r>
          </w:p>
        </w:tc>
      </w:tr>
      <w:tr w14:paraId="23BEB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680" w:type="pct"/>
            <w:tcBorders>
              <w:top w:val="single" w:color="000000" w:sz="4" w:space="0"/>
              <w:left w:val="single" w:color="000000" w:sz="4" w:space="0"/>
              <w:bottom w:val="single" w:color="000000" w:sz="4" w:space="0"/>
              <w:right w:val="single" w:color="000000" w:sz="4" w:space="0"/>
            </w:tcBorders>
            <w:noWrap/>
            <w:vAlign w:val="center"/>
          </w:tcPr>
          <w:p w14:paraId="237186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5</w:t>
            </w:r>
          </w:p>
        </w:tc>
        <w:tc>
          <w:tcPr>
            <w:tcW w:w="937" w:type="pct"/>
            <w:tcBorders>
              <w:top w:val="single" w:color="000000" w:sz="4" w:space="0"/>
              <w:left w:val="single" w:color="000000" w:sz="4" w:space="0"/>
              <w:bottom w:val="single" w:color="000000" w:sz="4" w:space="0"/>
              <w:right w:val="single" w:color="000000" w:sz="4" w:space="0"/>
            </w:tcBorders>
            <w:noWrap/>
            <w:vAlign w:val="center"/>
          </w:tcPr>
          <w:p w14:paraId="129588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783" w:type="pct"/>
            <w:tcBorders>
              <w:top w:val="single" w:color="000000" w:sz="4" w:space="0"/>
              <w:left w:val="single" w:color="000000" w:sz="4" w:space="0"/>
              <w:bottom w:val="single" w:color="000000" w:sz="4" w:space="0"/>
              <w:right w:val="single" w:color="000000" w:sz="4" w:space="0"/>
            </w:tcBorders>
            <w:noWrap w:val="0"/>
            <w:vAlign w:val="center"/>
          </w:tcPr>
          <w:p w14:paraId="79AFD0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1103" w:type="pct"/>
            <w:tcBorders>
              <w:top w:val="single" w:color="000000" w:sz="4" w:space="0"/>
              <w:left w:val="single" w:color="000000" w:sz="4" w:space="0"/>
              <w:bottom w:val="single" w:color="000000" w:sz="4" w:space="0"/>
              <w:right w:val="single" w:color="000000" w:sz="4" w:space="0"/>
            </w:tcBorders>
            <w:noWrap/>
            <w:vAlign w:val="center"/>
          </w:tcPr>
          <w:p w14:paraId="0AF9A8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494" w:type="pct"/>
            <w:tcBorders>
              <w:top w:val="single" w:color="000000" w:sz="4" w:space="0"/>
              <w:left w:val="single" w:color="000000" w:sz="4" w:space="0"/>
              <w:bottom w:val="single" w:color="000000" w:sz="4" w:space="0"/>
              <w:right w:val="single" w:color="000000" w:sz="4" w:space="0"/>
            </w:tcBorders>
            <w:noWrap/>
            <w:vAlign w:val="center"/>
          </w:tcPr>
          <w:p w14:paraId="45225B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r>
    </w:tbl>
    <w:p w14:paraId="030A1336">
      <w:pPr>
        <w:rPr>
          <w:rFonts w:hint="eastAsia" w:asciiTheme="minorEastAsia" w:hAnsiTheme="minorEastAsia" w:eastAsiaTheme="minorEastAsia" w:cstheme="minorEastAsia"/>
          <w:kern w:val="0"/>
          <w:sz w:val="21"/>
          <w:szCs w:val="21"/>
        </w:rPr>
      </w:pPr>
    </w:p>
    <w:p w14:paraId="435FEE1E">
      <w:pPr>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项目成果</w:t>
      </w:r>
    </w:p>
    <w:p w14:paraId="668DCA06">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1、项目成果内容。</w:t>
      </w:r>
    </w:p>
    <w:p w14:paraId="76C10509">
      <w:pPr>
        <w:ind w:firstLine="420" w:firstLineChars="200"/>
        <w:rPr>
          <w:rFonts w:hint="eastAsia"/>
          <w:color w:val="000000"/>
        </w:rPr>
      </w:pPr>
      <w:r>
        <w:rPr>
          <w:rFonts w:hint="eastAsia" w:asciiTheme="minorEastAsia" w:hAnsiTheme="minorEastAsia" w:eastAsiaTheme="minorEastAsia" w:cstheme="minorEastAsia"/>
          <w:sz w:val="21"/>
          <w:szCs w:val="21"/>
        </w:rPr>
        <w:t>2、项目成果归属权。</w:t>
      </w:r>
    </w:p>
    <w:p w14:paraId="0B11A351">
      <w:pPr>
        <w:pStyle w:val="30"/>
        <w:rPr>
          <w:rFonts w:hint="eastAsia"/>
          <w:color w:val="000000"/>
        </w:rPr>
      </w:pPr>
    </w:p>
    <w:p w14:paraId="4190F7F8">
      <w:pPr>
        <w:pStyle w:val="5"/>
        <w:jc w:val="center"/>
      </w:pPr>
      <w:bookmarkStart w:id="14" w:name="_Toc128884461"/>
      <w:r>
        <w:rPr>
          <w:rFonts w:hint="eastAsia"/>
        </w:rPr>
        <w:t>三、服务需求明细</w:t>
      </w:r>
    </w:p>
    <w:tbl>
      <w:tblPr>
        <w:tblStyle w:val="2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
        <w:gridCol w:w="1593"/>
        <w:gridCol w:w="1340"/>
        <w:gridCol w:w="678"/>
        <w:gridCol w:w="692"/>
        <w:gridCol w:w="1197"/>
        <w:gridCol w:w="1328"/>
        <w:gridCol w:w="1240"/>
        <w:gridCol w:w="765"/>
      </w:tblGrid>
      <w:tr w14:paraId="2CB75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41" w:type="pct"/>
            <w:vAlign w:val="center"/>
          </w:tcPr>
          <w:p w14:paraId="7D07432E">
            <w:pPr>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序号</w:t>
            </w:r>
          </w:p>
        </w:tc>
        <w:tc>
          <w:tcPr>
            <w:tcW w:w="858" w:type="pct"/>
            <w:vAlign w:val="center"/>
          </w:tcPr>
          <w:p w14:paraId="2CBE9332">
            <w:pPr>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服务需求名称（标的名称）</w:t>
            </w:r>
          </w:p>
        </w:tc>
        <w:tc>
          <w:tcPr>
            <w:tcW w:w="721" w:type="pct"/>
            <w:vAlign w:val="center"/>
          </w:tcPr>
          <w:p w14:paraId="4CB58998">
            <w:pPr>
              <w:jc w:val="center"/>
              <w:rPr>
                <w:rFonts w:hint="eastAsia" w:asciiTheme="minorEastAsia" w:hAnsiTheme="minorEastAsia" w:eastAsiaTheme="minorEastAsia" w:cstheme="minorEastAsia"/>
                <w:bCs/>
                <w:sz w:val="21"/>
                <w:szCs w:val="21"/>
                <w:lang w:eastAsia="zh-CN"/>
              </w:rPr>
            </w:pPr>
            <w:r>
              <w:rPr>
                <w:rFonts w:hint="eastAsia" w:asciiTheme="minorEastAsia" w:hAnsiTheme="minorEastAsia" w:cstheme="minorEastAsia"/>
                <w:bCs/>
                <w:sz w:val="21"/>
                <w:szCs w:val="21"/>
                <w:lang w:eastAsia="zh-CN"/>
              </w:rPr>
              <w:t>项目细项</w:t>
            </w:r>
          </w:p>
        </w:tc>
        <w:tc>
          <w:tcPr>
            <w:tcW w:w="365" w:type="pct"/>
            <w:vAlign w:val="center"/>
          </w:tcPr>
          <w:p w14:paraId="3ABEE98E">
            <w:pPr>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数量</w:t>
            </w:r>
          </w:p>
        </w:tc>
        <w:tc>
          <w:tcPr>
            <w:tcW w:w="372" w:type="pct"/>
            <w:vAlign w:val="center"/>
          </w:tcPr>
          <w:p w14:paraId="6F9A0AC0">
            <w:pPr>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单位</w:t>
            </w:r>
          </w:p>
        </w:tc>
        <w:tc>
          <w:tcPr>
            <w:tcW w:w="644" w:type="pct"/>
            <w:vAlign w:val="center"/>
          </w:tcPr>
          <w:p w14:paraId="7E9329AA">
            <w:pPr>
              <w:jc w:val="center"/>
              <w:rPr>
                <w:rFonts w:hint="eastAsia" w:asciiTheme="minorEastAsia" w:hAnsiTheme="minorEastAsia" w:eastAsiaTheme="minorEastAsia" w:cstheme="minorEastAsia"/>
                <w:b/>
                <w:bCs/>
                <w:color w:val="FF0000"/>
                <w:sz w:val="21"/>
                <w:szCs w:val="21"/>
              </w:rPr>
            </w:pPr>
            <w:r>
              <w:rPr>
                <w:rFonts w:hint="eastAsia" w:asciiTheme="minorEastAsia" w:hAnsiTheme="minorEastAsia" w:eastAsiaTheme="minorEastAsia" w:cstheme="minorEastAsia"/>
                <w:bCs/>
                <w:sz w:val="21"/>
                <w:szCs w:val="21"/>
                <w:lang w:eastAsia="zh-CN"/>
              </w:rPr>
              <w:t>单价</w:t>
            </w:r>
          </w:p>
        </w:tc>
        <w:tc>
          <w:tcPr>
            <w:tcW w:w="715" w:type="pct"/>
            <w:vAlign w:val="center"/>
          </w:tcPr>
          <w:p w14:paraId="0A8C881B">
            <w:pPr>
              <w:jc w:val="center"/>
              <w:rPr>
                <w:rFonts w:hint="eastAsia" w:asciiTheme="minorEastAsia" w:hAnsiTheme="minorEastAsia" w:eastAsiaTheme="minorEastAsia" w:cstheme="minorEastAsia"/>
                <w:b/>
                <w:bCs/>
                <w:color w:val="FF0000"/>
                <w:sz w:val="21"/>
                <w:szCs w:val="21"/>
              </w:rPr>
            </w:pPr>
            <w:r>
              <w:rPr>
                <w:rFonts w:hint="eastAsia" w:asciiTheme="minorEastAsia" w:hAnsiTheme="minorEastAsia" w:eastAsiaTheme="minorEastAsia" w:cstheme="minorEastAsia"/>
                <w:bCs/>
                <w:sz w:val="21"/>
                <w:szCs w:val="21"/>
                <w:lang w:eastAsia="zh-CN"/>
              </w:rPr>
              <w:t>单项总额（单价乘以数量）</w:t>
            </w:r>
          </w:p>
        </w:tc>
        <w:tc>
          <w:tcPr>
            <w:tcW w:w="668" w:type="pct"/>
            <w:vAlign w:val="center"/>
          </w:tcPr>
          <w:p w14:paraId="64D3CFEF">
            <w:pPr>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
                <w:bCs/>
                <w:color w:val="FF0000"/>
                <w:sz w:val="21"/>
                <w:szCs w:val="21"/>
              </w:rPr>
              <w:t>是否专门面向中小企业</w:t>
            </w:r>
          </w:p>
        </w:tc>
        <w:tc>
          <w:tcPr>
            <w:tcW w:w="412" w:type="pct"/>
            <w:vAlign w:val="center"/>
          </w:tcPr>
          <w:p w14:paraId="6DB03257">
            <w:pPr>
              <w:jc w:val="center"/>
              <w:rPr>
                <w:rFonts w:hint="eastAsia" w:asciiTheme="minorEastAsia" w:hAnsiTheme="minorEastAsia" w:eastAsiaTheme="minorEastAsia" w:cstheme="minorEastAsia"/>
                <w:b/>
                <w:bCs/>
                <w:color w:val="FF0000"/>
                <w:sz w:val="21"/>
                <w:szCs w:val="21"/>
              </w:rPr>
            </w:pPr>
            <w:r>
              <w:rPr>
                <w:rFonts w:hint="eastAsia" w:asciiTheme="minorEastAsia" w:hAnsiTheme="minorEastAsia" w:eastAsiaTheme="minorEastAsia" w:cstheme="minorEastAsia"/>
                <w:b/>
                <w:bCs/>
                <w:color w:val="FF0000"/>
                <w:sz w:val="21"/>
                <w:szCs w:val="21"/>
              </w:rPr>
              <w:t>标的所属行业</w:t>
            </w:r>
          </w:p>
        </w:tc>
      </w:tr>
      <w:tr w14:paraId="78CA1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41" w:type="pct"/>
            <w:vAlign w:val="center"/>
          </w:tcPr>
          <w:p w14:paraId="7B7B1468">
            <w:pPr>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w:t>
            </w:r>
          </w:p>
        </w:tc>
        <w:tc>
          <w:tcPr>
            <w:tcW w:w="858" w:type="pct"/>
            <w:vMerge w:val="restart"/>
            <w:vAlign w:val="center"/>
          </w:tcPr>
          <w:p w14:paraId="556977F7">
            <w:pPr>
              <w:jc w:val="center"/>
              <w:rPr>
                <w:rFonts w:hint="eastAsia" w:asciiTheme="minorEastAsia" w:hAnsiTheme="minorEastAsia" w:eastAsiaTheme="minorEastAsia" w:cstheme="minorEastAsia"/>
                <w:bCs/>
                <w:sz w:val="21"/>
                <w:szCs w:val="21"/>
              </w:rPr>
            </w:pPr>
            <w:r>
              <w:rPr>
                <w:rFonts w:hint="eastAsia" w:eastAsia="宋体"/>
              </w:rPr>
              <w:t>深圳市龙华区未来幼教集团云珑幼儿园物业服务项目</w:t>
            </w:r>
          </w:p>
        </w:tc>
        <w:tc>
          <w:tcPr>
            <w:tcW w:w="721" w:type="pct"/>
            <w:vAlign w:val="center"/>
          </w:tcPr>
          <w:p w14:paraId="6161D9C0">
            <w:pPr>
              <w:jc w:val="center"/>
              <w:rPr>
                <w:rFonts w:hint="eastAsia" w:asciiTheme="minorEastAsia" w:hAnsiTheme="minorEastAsia" w:eastAsiaTheme="minorEastAsia" w:cstheme="minorEastAsia"/>
                <w:bCs/>
                <w:kern w:val="2"/>
                <w:sz w:val="21"/>
                <w:szCs w:val="21"/>
                <w:lang w:val="en-US" w:eastAsia="zh-CN" w:bidi="ar-SA"/>
              </w:rPr>
            </w:pPr>
            <w:r>
              <w:rPr>
                <w:rFonts w:hint="eastAsia" w:asciiTheme="minorEastAsia" w:hAnsiTheme="minorEastAsia" w:eastAsiaTheme="minorEastAsia" w:cstheme="minorEastAsia"/>
                <w:bCs/>
                <w:sz w:val="21"/>
                <w:szCs w:val="21"/>
              </w:rPr>
              <w:t>安保服务</w:t>
            </w:r>
          </w:p>
        </w:tc>
        <w:tc>
          <w:tcPr>
            <w:tcW w:w="365" w:type="pct"/>
            <w:vAlign w:val="top"/>
          </w:tcPr>
          <w:p w14:paraId="1BABF090">
            <w:pPr>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w:t>
            </w:r>
          </w:p>
        </w:tc>
        <w:tc>
          <w:tcPr>
            <w:tcW w:w="372" w:type="pct"/>
            <w:vAlign w:val="top"/>
          </w:tcPr>
          <w:p w14:paraId="5981E828">
            <w:pPr>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项</w:t>
            </w:r>
          </w:p>
        </w:tc>
        <w:tc>
          <w:tcPr>
            <w:tcW w:w="644" w:type="pct"/>
            <w:vAlign w:val="top"/>
          </w:tcPr>
          <w:p w14:paraId="7279B422">
            <w:pPr>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val="en-US" w:eastAsia="zh-CN"/>
              </w:rPr>
              <w:t>40800</w:t>
            </w:r>
            <w:r>
              <w:rPr>
                <w:rFonts w:hint="eastAsia" w:asciiTheme="minorEastAsia" w:hAnsiTheme="minorEastAsia" w:cstheme="minorEastAsia"/>
                <w:bCs/>
                <w:sz w:val="21"/>
                <w:szCs w:val="21"/>
                <w:lang w:val="en-US" w:eastAsia="zh-CN"/>
              </w:rPr>
              <w:t>0</w:t>
            </w:r>
            <w:r>
              <w:rPr>
                <w:rFonts w:hint="eastAsia" w:asciiTheme="minorEastAsia" w:hAnsiTheme="minorEastAsia" w:eastAsiaTheme="minorEastAsia" w:cstheme="minorEastAsia"/>
                <w:bCs/>
                <w:sz w:val="21"/>
                <w:szCs w:val="21"/>
              </w:rPr>
              <w:t>.00</w:t>
            </w:r>
          </w:p>
        </w:tc>
        <w:tc>
          <w:tcPr>
            <w:tcW w:w="715" w:type="pct"/>
            <w:vAlign w:val="top"/>
          </w:tcPr>
          <w:p w14:paraId="7E2A9EF5">
            <w:pPr>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val="en-US" w:eastAsia="zh-CN"/>
              </w:rPr>
              <w:t>40800</w:t>
            </w:r>
            <w:r>
              <w:rPr>
                <w:rFonts w:hint="eastAsia" w:asciiTheme="minorEastAsia" w:hAnsiTheme="minorEastAsia" w:cstheme="minorEastAsia"/>
                <w:bCs/>
                <w:sz w:val="21"/>
                <w:szCs w:val="21"/>
                <w:lang w:val="en-US" w:eastAsia="zh-CN"/>
              </w:rPr>
              <w:t>0</w:t>
            </w:r>
            <w:r>
              <w:rPr>
                <w:rFonts w:hint="eastAsia" w:asciiTheme="minorEastAsia" w:hAnsiTheme="minorEastAsia" w:eastAsiaTheme="minorEastAsia" w:cstheme="minorEastAsia"/>
                <w:bCs/>
                <w:sz w:val="21"/>
                <w:szCs w:val="21"/>
              </w:rPr>
              <w:t>.00</w:t>
            </w:r>
          </w:p>
        </w:tc>
        <w:tc>
          <w:tcPr>
            <w:tcW w:w="668" w:type="pct"/>
            <w:vAlign w:val="center"/>
          </w:tcPr>
          <w:p w14:paraId="7AB63796">
            <w:pPr>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否</w:t>
            </w:r>
          </w:p>
        </w:tc>
        <w:tc>
          <w:tcPr>
            <w:tcW w:w="412" w:type="pct"/>
            <w:vAlign w:val="center"/>
          </w:tcPr>
          <w:p w14:paraId="5FAAD93A">
            <w:pPr>
              <w:jc w:val="center"/>
              <w:rPr>
                <w:rFonts w:hint="eastAsia" w:asciiTheme="minorEastAsia" w:hAnsiTheme="minorEastAsia" w:eastAsiaTheme="minorEastAsia" w:cstheme="minorEastAsia"/>
                <w:bCs/>
                <w:sz w:val="21"/>
                <w:szCs w:val="21"/>
                <w:lang w:eastAsia="zh-CN"/>
              </w:rPr>
            </w:pPr>
            <w:r>
              <w:rPr>
                <w:rFonts w:hint="eastAsia" w:asciiTheme="minorEastAsia" w:hAnsiTheme="minorEastAsia" w:cstheme="minorEastAsia"/>
                <w:bCs/>
                <w:sz w:val="21"/>
                <w:szCs w:val="21"/>
                <w:lang w:eastAsia="zh-CN"/>
              </w:rPr>
              <w:t>物业管理</w:t>
            </w:r>
          </w:p>
        </w:tc>
      </w:tr>
      <w:tr w14:paraId="68675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41" w:type="pct"/>
            <w:vAlign w:val="center"/>
          </w:tcPr>
          <w:p w14:paraId="4F1200AF">
            <w:pPr>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w:t>
            </w:r>
          </w:p>
        </w:tc>
        <w:tc>
          <w:tcPr>
            <w:tcW w:w="858" w:type="pct"/>
            <w:vMerge w:val="continue"/>
            <w:vAlign w:val="center"/>
          </w:tcPr>
          <w:p w14:paraId="07D045EA">
            <w:pPr>
              <w:jc w:val="center"/>
              <w:rPr>
                <w:rFonts w:hint="eastAsia" w:asciiTheme="minorEastAsia" w:hAnsiTheme="minorEastAsia" w:eastAsiaTheme="minorEastAsia" w:cstheme="minorEastAsia"/>
                <w:bCs/>
                <w:sz w:val="21"/>
                <w:szCs w:val="21"/>
              </w:rPr>
            </w:pPr>
          </w:p>
        </w:tc>
        <w:tc>
          <w:tcPr>
            <w:tcW w:w="721" w:type="pct"/>
            <w:vAlign w:val="center"/>
          </w:tcPr>
          <w:p w14:paraId="4CF9BD05">
            <w:pPr>
              <w:jc w:val="center"/>
              <w:rPr>
                <w:rFonts w:hint="eastAsia" w:asciiTheme="minorEastAsia" w:hAnsiTheme="minorEastAsia" w:eastAsiaTheme="minorEastAsia" w:cstheme="minorEastAsia"/>
                <w:bCs/>
                <w:kern w:val="2"/>
                <w:sz w:val="21"/>
                <w:szCs w:val="21"/>
                <w:lang w:val="en-US" w:eastAsia="zh-CN" w:bidi="ar-SA"/>
              </w:rPr>
            </w:pPr>
            <w:r>
              <w:rPr>
                <w:rFonts w:hint="eastAsia" w:asciiTheme="minorEastAsia" w:hAnsiTheme="minorEastAsia" w:eastAsiaTheme="minorEastAsia" w:cstheme="minorEastAsia"/>
                <w:bCs/>
                <w:sz w:val="21"/>
                <w:szCs w:val="21"/>
              </w:rPr>
              <w:t>保洁服务</w:t>
            </w:r>
          </w:p>
        </w:tc>
        <w:tc>
          <w:tcPr>
            <w:tcW w:w="365" w:type="pct"/>
            <w:vAlign w:val="top"/>
          </w:tcPr>
          <w:p w14:paraId="53244AD1">
            <w:pPr>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w:t>
            </w:r>
          </w:p>
        </w:tc>
        <w:tc>
          <w:tcPr>
            <w:tcW w:w="372" w:type="pct"/>
            <w:vAlign w:val="top"/>
          </w:tcPr>
          <w:p w14:paraId="36514EAD">
            <w:pPr>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项</w:t>
            </w:r>
          </w:p>
        </w:tc>
        <w:tc>
          <w:tcPr>
            <w:tcW w:w="644" w:type="pct"/>
            <w:vAlign w:val="top"/>
          </w:tcPr>
          <w:p w14:paraId="0DECADF8">
            <w:pPr>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50400.00</w:t>
            </w:r>
          </w:p>
        </w:tc>
        <w:tc>
          <w:tcPr>
            <w:tcW w:w="715" w:type="pct"/>
            <w:vAlign w:val="top"/>
          </w:tcPr>
          <w:p w14:paraId="7F14FFBE">
            <w:pPr>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50400.00</w:t>
            </w:r>
          </w:p>
        </w:tc>
        <w:tc>
          <w:tcPr>
            <w:tcW w:w="668" w:type="pct"/>
            <w:vAlign w:val="center"/>
          </w:tcPr>
          <w:p w14:paraId="7E5681C3">
            <w:pPr>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否</w:t>
            </w:r>
          </w:p>
        </w:tc>
        <w:tc>
          <w:tcPr>
            <w:tcW w:w="412" w:type="pct"/>
            <w:vAlign w:val="center"/>
          </w:tcPr>
          <w:p w14:paraId="603A3A71">
            <w:pPr>
              <w:jc w:val="center"/>
              <w:rPr>
                <w:rFonts w:hint="eastAsia" w:asciiTheme="minorEastAsia" w:hAnsiTheme="minorEastAsia" w:eastAsiaTheme="minorEastAsia" w:cstheme="minorEastAsia"/>
                <w:bCs/>
                <w:sz w:val="21"/>
                <w:szCs w:val="21"/>
                <w:highlight w:val="yellow"/>
              </w:rPr>
            </w:pPr>
            <w:r>
              <w:rPr>
                <w:rFonts w:hint="eastAsia" w:asciiTheme="minorEastAsia" w:hAnsiTheme="minorEastAsia" w:cstheme="minorEastAsia"/>
                <w:bCs/>
                <w:sz w:val="21"/>
                <w:szCs w:val="21"/>
                <w:lang w:eastAsia="zh-CN"/>
              </w:rPr>
              <w:t>物业管理</w:t>
            </w:r>
          </w:p>
        </w:tc>
      </w:tr>
      <w:tr w14:paraId="7D859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3204" w:type="pct"/>
            <w:gridSpan w:val="6"/>
            <w:vAlign w:val="center"/>
          </w:tcPr>
          <w:p w14:paraId="25B596BB">
            <w:pPr>
              <w:jc w:val="center"/>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lang w:eastAsia="zh-CN"/>
              </w:rPr>
              <w:t>合计</w:t>
            </w:r>
          </w:p>
        </w:tc>
        <w:tc>
          <w:tcPr>
            <w:tcW w:w="715" w:type="pct"/>
            <w:vAlign w:val="center"/>
          </w:tcPr>
          <w:p w14:paraId="3351EC91">
            <w:pPr>
              <w:jc w:val="center"/>
              <w:rPr>
                <w:rFonts w:hint="eastAsia" w:asciiTheme="minorEastAsia" w:hAnsiTheme="minorEastAsia" w:eastAsiaTheme="minorEastAsia" w:cstheme="minorEastAsia"/>
                <w:bCs/>
                <w:sz w:val="21"/>
                <w:szCs w:val="21"/>
                <w:lang w:val="en-US"/>
              </w:rPr>
            </w:pPr>
            <w:r>
              <w:rPr>
                <w:rFonts w:hint="eastAsia" w:asciiTheme="minorEastAsia" w:hAnsiTheme="minorEastAsia" w:eastAsiaTheme="minorEastAsia" w:cstheme="minorEastAsia"/>
                <w:bCs/>
                <w:sz w:val="21"/>
                <w:szCs w:val="21"/>
                <w:lang w:val="en-US" w:eastAsia="zh-CN"/>
              </w:rPr>
              <w:t>458400.00</w:t>
            </w:r>
          </w:p>
        </w:tc>
        <w:tc>
          <w:tcPr>
            <w:tcW w:w="668" w:type="pct"/>
            <w:vAlign w:val="center"/>
          </w:tcPr>
          <w:p w14:paraId="057FCA0F">
            <w:pPr>
              <w:jc w:val="center"/>
              <w:rPr>
                <w:rFonts w:hint="default" w:asciiTheme="minorEastAsia" w:hAnsiTheme="minorEastAsia" w:eastAsiaTheme="minorEastAsia" w:cstheme="minorEastAsia"/>
                <w:bCs/>
                <w:sz w:val="21"/>
                <w:szCs w:val="21"/>
                <w:lang w:val="en-US" w:eastAsia="zh-CN"/>
              </w:rPr>
            </w:pPr>
            <w:r>
              <w:rPr>
                <w:rFonts w:hint="eastAsia" w:asciiTheme="minorEastAsia" w:hAnsiTheme="minorEastAsia" w:cstheme="minorEastAsia"/>
                <w:bCs/>
                <w:sz w:val="21"/>
                <w:szCs w:val="21"/>
                <w:lang w:val="en-US" w:eastAsia="zh-CN"/>
              </w:rPr>
              <w:t>/</w:t>
            </w:r>
          </w:p>
        </w:tc>
        <w:tc>
          <w:tcPr>
            <w:tcW w:w="412" w:type="pct"/>
            <w:vAlign w:val="center"/>
          </w:tcPr>
          <w:p w14:paraId="29AB28E9">
            <w:pPr>
              <w:jc w:val="center"/>
              <w:rPr>
                <w:rFonts w:hint="eastAsia" w:asciiTheme="minorEastAsia" w:hAnsiTheme="minorEastAsia" w:eastAsiaTheme="minorEastAsia" w:cstheme="minorEastAsia"/>
                <w:bCs/>
                <w:sz w:val="21"/>
                <w:szCs w:val="21"/>
                <w:highlight w:val="yellow"/>
                <w:lang w:val="en-US" w:eastAsia="zh-CN"/>
              </w:rPr>
            </w:pPr>
            <w:r>
              <w:rPr>
                <w:rFonts w:hint="eastAsia" w:asciiTheme="minorEastAsia" w:hAnsiTheme="minorEastAsia" w:cstheme="minorEastAsia"/>
                <w:bCs/>
                <w:sz w:val="21"/>
                <w:szCs w:val="21"/>
                <w:highlight w:val="yellow"/>
                <w:lang w:val="en-US" w:eastAsia="zh-CN"/>
              </w:rPr>
              <w:t>/</w:t>
            </w:r>
          </w:p>
        </w:tc>
      </w:tr>
    </w:tbl>
    <w:p w14:paraId="28E2DB15">
      <w:pPr>
        <w:pStyle w:val="5"/>
      </w:pPr>
    </w:p>
    <w:p w14:paraId="4983A6B7">
      <w:pPr>
        <w:pStyle w:val="5"/>
        <w:jc w:val="center"/>
      </w:pPr>
      <w:r>
        <w:rPr>
          <w:rFonts w:hint="eastAsia"/>
        </w:rPr>
        <w:t>四、实质性条款</w:t>
      </w:r>
    </w:p>
    <w:tbl>
      <w:tblPr>
        <w:tblStyle w:val="22"/>
        <w:tblW w:w="8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7483"/>
      </w:tblGrid>
      <w:tr w14:paraId="0BE86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05" w:type="dxa"/>
            <w:vAlign w:val="center"/>
          </w:tcPr>
          <w:p w14:paraId="48F50317">
            <w:r>
              <w:rPr>
                <w:rFonts w:hint="eastAsia"/>
              </w:rPr>
              <w:t>序号</w:t>
            </w:r>
          </w:p>
        </w:tc>
        <w:tc>
          <w:tcPr>
            <w:tcW w:w="7483" w:type="dxa"/>
            <w:vAlign w:val="center"/>
          </w:tcPr>
          <w:p w14:paraId="475955FD">
            <w:pPr>
              <w:jc w:val="center"/>
            </w:pPr>
            <w:r>
              <w:rPr>
                <w:rFonts w:hint="eastAsia"/>
              </w:rPr>
              <w:t>实质性条款具体内容</w:t>
            </w:r>
          </w:p>
        </w:tc>
      </w:tr>
      <w:tr w14:paraId="15DB2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Pr>
          <w:p w14:paraId="57EDBF73">
            <w:pPr>
              <w:adjustRightInd w:val="0"/>
              <w:snapToGrid w:val="0"/>
              <w:spacing w:line="360" w:lineRule="auto"/>
              <w:jc w:val="center"/>
            </w:pPr>
            <w:r>
              <w:rPr>
                <w:rFonts w:hint="eastAsia" w:ascii="宋体" w:hAnsi="宋体"/>
                <w:kern w:val="0"/>
                <w:szCs w:val="21"/>
              </w:rPr>
              <w:t>1</w:t>
            </w:r>
          </w:p>
        </w:tc>
        <w:tc>
          <w:tcPr>
            <w:tcW w:w="7483" w:type="dxa"/>
          </w:tcPr>
          <w:p w14:paraId="0719571F">
            <w:pPr>
              <w:rPr>
                <w:color w:val="FF0000"/>
              </w:rPr>
            </w:pPr>
            <w:r>
              <w:rPr>
                <w:rFonts w:hint="eastAsia"/>
                <w:color w:val="FF0000"/>
              </w:rPr>
              <w:t>满足本项目标★的条款要求</w:t>
            </w:r>
          </w:p>
        </w:tc>
      </w:tr>
      <w:bookmarkEnd w:id="14"/>
    </w:tbl>
    <w:p w14:paraId="1597F95D">
      <w:pPr>
        <w:rPr>
          <w:b/>
          <w:color w:val="FF0000"/>
        </w:rPr>
      </w:pPr>
      <w:r>
        <w:rPr>
          <w:rFonts w:hint="eastAsia"/>
          <w:b/>
          <w:color w:val="FF0000"/>
        </w:rPr>
        <w:t>注</w:t>
      </w:r>
      <w:r>
        <w:rPr>
          <w:rFonts w:hint="eastAsia"/>
        </w:rPr>
        <w:t>：</w:t>
      </w:r>
      <w:r>
        <w:rPr>
          <w:rFonts w:hint="eastAsia"/>
          <w:b/>
          <w:color w:val="FF0000"/>
        </w:rPr>
        <w:t>上表所列内容为不可负偏离条款，负偏离将视为未实质性满足招标文件要求，作投标无效处理。投标人是否满足以上实质性条款要求，以《实质性条款响应情况表》响应为准。如投标人中标后被发现不能满足以上实质性条款要求的，采购单位有权拒绝签订合同，一切后果由投标人承担。</w:t>
      </w:r>
    </w:p>
    <w:p w14:paraId="1B951543">
      <w:pPr>
        <w:keepNext/>
        <w:keepLines/>
        <w:tabs>
          <w:tab w:val="left" w:pos="1680"/>
        </w:tabs>
        <w:spacing w:before="260" w:after="78" w:afterLines="25"/>
        <w:jc w:val="center"/>
        <w:outlineLvl w:val="2"/>
        <w:rPr>
          <w:rFonts w:ascii="Arial" w:hAnsi="Arial" w:eastAsia="宋体" w:cs="Times New Roman"/>
          <w:b/>
          <w:bCs/>
          <w:color w:val="FF0000"/>
          <w:sz w:val="32"/>
          <w:szCs w:val="32"/>
        </w:rPr>
      </w:pPr>
      <w:r>
        <w:rPr>
          <w:rFonts w:hint="eastAsia" w:eastAsia="宋体"/>
          <w:b/>
          <w:color w:val="FF0000"/>
          <w:sz w:val="32"/>
          <w:szCs w:val="32"/>
        </w:rPr>
        <w:t>五</w:t>
      </w:r>
      <w:r>
        <w:rPr>
          <w:rFonts w:hint="eastAsia" w:ascii="Arial" w:hAnsi="Arial" w:eastAsia="宋体" w:cs="Times New Roman"/>
          <w:b/>
          <w:bCs/>
          <w:color w:val="FF0000"/>
          <w:sz w:val="32"/>
          <w:szCs w:val="32"/>
        </w:rPr>
        <w:t>、其他服务内容及要求</w:t>
      </w:r>
    </w:p>
    <w:p w14:paraId="69543FF5">
      <w:pPr>
        <w:widowControl/>
        <w:ind w:firstLine="420"/>
        <w:jc w:val="left"/>
        <w:rPr>
          <w:rFonts w:hint="eastAsia" w:ascii="宋体" w:hAnsi="宋体"/>
          <w:b/>
          <w:bCs/>
          <w:szCs w:val="21"/>
        </w:rPr>
      </w:pPr>
      <w:r>
        <w:rPr>
          <w:rFonts w:hint="eastAsia" w:ascii="宋体" w:hAnsi="宋体"/>
          <w:b/>
          <w:bCs/>
          <w:szCs w:val="21"/>
        </w:rPr>
        <w:t>（1）</w:t>
      </w:r>
      <w:r>
        <w:rPr>
          <w:rFonts w:hint="eastAsia" w:ascii="宋体" w:hAnsi="宋体"/>
          <w:b/>
          <w:bCs/>
          <w:szCs w:val="21"/>
          <w:highlight w:val="yellow"/>
        </w:rPr>
        <w:t>★</w:t>
      </w:r>
      <w:r>
        <w:rPr>
          <w:rFonts w:hint="eastAsia" w:ascii="宋体" w:hAnsi="宋体"/>
          <w:b/>
          <w:bCs/>
          <w:szCs w:val="21"/>
        </w:rPr>
        <w:t>采购单位交办的其它后勤保障服务</w:t>
      </w:r>
    </w:p>
    <w:p w14:paraId="7DF67EAF">
      <w:pPr>
        <w:widowControl/>
        <w:ind w:firstLine="420"/>
        <w:jc w:val="left"/>
        <w:rPr>
          <w:rFonts w:hint="eastAsia" w:ascii="宋体" w:hAnsi="宋体"/>
          <w:szCs w:val="21"/>
        </w:rPr>
      </w:pPr>
      <w:r>
        <w:rPr>
          <w:rFonts w:hint="eastAsia" w:ascii="宋体" w:hAnsi="宋体"/>
          <w:szCs w:val="21"/>
        </w:rPr>
        <w:t>①服务内容。根据采购单位要求对采购单位重大活动及其它勤杂工作提供后勤保障服务，具体包括：报刊、信件及包裹物品的接收与寄存管理，校级大型考试、大型活动提供协助及服务，负责校园文化设施设备的管理等。</w:t>
      </w:r>
    </w:p>
    <w:p w14:paraId="1F89CB44">
      <w:pPr>
        <w:widowControl/>
        <w:ind w:firstLine="420"/>
        <w:jc w:val="left"/>
        <w:rPr>
          <w:rFonts w:hint="eastAsia" w:ascii="宋体" w:hAnsi="宋体"/>
          <w:szCs w:val="21"/>
        </w:rPr>
      </w:pPr>
      <w:r>
        <w:rPr>
          <w:rFonts w:hint="eastAsia" w:ascii="宋体" w:hAnsi="宋体"/>
          <w:szCs w:val="21"/>
        </w:rPr>
        <w:t>②服务技术标准：</w:t>
      </w:r>
    </w:p>
    <w:p w14:paraId="408E1B42">
      <w:pPr>
        <w:widowControl/>
        <w:ind w:firstLine="420"/>
        <w:jc w:val="left"/>
        <w:rPr>
          <w:rFonts w:hint="eastAsia" w:ascii="宋体" w:hAnsi="宋体"/>
          <w:szCs w:val="21"/>
        </w:rPr>
      </w:pPr>
      <w:r>
        <w:rPr>
          <w:rFonts w:hint="eastAsia" w:ascii="宋体" w:hAnsi="宋体"/>
          <w:szCs w:val="21"/>
        </w:rPr>
        <w:t>1）报刊、信件及包裹物品的接收与寄存管理。协助采购单位或师生代接收和临时托管每天的报刊、杂志、信件、快递包裹物品等，确保物品不遗失，保证相关人员及时收取。</w:t>
      </w:r>
    </w:p>
    <w:p w14:paraId="6AB6C789">
      <w:pPr>
        <w:widowControl/>
        <w:ind w:firstLine="420"/>
        <w:jc w:val="left"/>
        <w:rPr>
          <w:rFonts w:hint="eastAsia" w:ascii="宋体" w:hAnsi="宋体"/>
          <w:szCs w:val="21"/>
        </w:rPr>
      </w:pPr>
      <w:r>
        <w:rPr>
          <w:rFonts w:hint="eastAsia" w:ascii="宋体" w:hAnsi="宋体"/>
          <w:szCs w:val="21"/>
        </w:rPr>
        <w:t>2）为校级大型考试、大型活动提供协助及服务，包括活动场地布置、活动场地卫生保洁服务、搬运课桌椅等家具、教学仪器、图书及办公用品等设施设备。</w:t>
      </w:r>
    </w:p>
    <w:p w14:paraId="6CA30092">
      <w:pPr>
        <w:widowControl/>
        <w:ind w:firstLine="420"/>
        <w:jc w:val="left"/>
        <w:rPr>
          <w:rFonts w:hint="eastAsia" w:ascii="宋体" w:hAnsi="宋体"/>
          <w:szCs w:val="21"/>
        </w:rPr>
      </w:pPr>
      <w:r>
        <w:rPr>
          <w:rFonts w:hint="eastAsia" w:ascii="宋体" w:hAnsi="宋体"/>
          <w:szCs w:val="21"/>
        </w:rPr>
        <w:t>3）负责校园文化设施设备的管理，营造良好的校园文化氛围，包含对采购单位各类校园文化装饰物、标牌进行清洗及维护，悬挂和拆除校园内外横幅，张贴和清除各类物品。</w:t>
      </w:r>
    </w:p>
    <w:p w14:paraId="65845EFC">
      <w:pPr>
        <w:widowControl/>
        <w:ind w:firstLine="420"/>
        <w:jc w:val="left"/>
        <w:rPr>
          <w:rFonts w:hint="eastAsia" w:ascii="宋体" w:hAnsi="宋体"/>
          <w:szCs w:val="21"/>
        </w:rPr>
      </w:pPr>
      <w:r>
        <w:rPr>
          <w:rFonts w:hint="eastAsia" w:ascii="宋体" w:hAnsi="宋体"/>
          <w:b/>
          <w:bCs/>
          <w:szCs w:val="21"/>
        </w:rPr>
        <w:t>（2）</w:t>
      </w:r>
      <w:r>
        <w:rPr>
          <w:rFonts w:hint="eastAsia" w:ascii="宋体" w:hAnsi="宋体"/>
          <w:b/>
          <w:bCs/>
          <w:szCs w:val="21"/>
          <w:highlight w:val="yellow"/>
        </w:rPr>
        <w:t>★</w:t>
      </w:r>
      <w:r>
        <w:rPr>
          <w:rFonts w:hint="eastAsia" w:ascii="宋体" w:hAnsi="宋体"/>
          <w:b/>
          <w:bCs/>
          <w:szCs w:val="21"/>
        </w:rPr>
        <w:t>提供中标人在投标文件中承诺的其他事项及法律、法规和委托管理合同规定的其他物业管理服务。</w:t>
      </w:r>
      <w:r>
        <w:rPr>
          <w:rFonts w:hint="eastAsia" w:ascii="宋体" w:hAnsi="宋体"/>
          <w:szCs w:val="21"/>
          <w:lang w:eastAsia="zh-CN"/>
        </w:rPr>
        <w:t>备注：</w:t>
      </w:r>
      <w:r>
        <w:rPr>
          <w:rFonts w:hint="eastAsia" w:ascii="宋体" w:hAnsi="宋体"/>
          <w:szCs w:val="21"/>
        </w:rPr>
        <w:t>以上服务，不另外计费，包含在本项目的费用中。</w:t>
      </w:r>
    </w:p>
    <w:p w14:paraId="45B8881E">
      <w:pPr>
        <w:widowControl/>
        <w:ind w:firstLine="420"/>
        <w:jc w:val="left"/>
        <w:rPr>
          <w:rFonts w:hint="eastAsia" w:ascii="宋体" w:hAnsi="宋体"/>
          <w:szCs w:val="21"/>
        </w:rPr>
      </w:pPr>
      <w:r>
        <w:rPr>
          <w:rFonts w:hint="eastAsia" w:ascii="宋体" w:hAnsi="宋体"/>
          <w:b/>
          <w:bCs/>
          <w:szCs w:val="21"/>
          <w:lang w:eastAsia="zh-CN"/>
        </w:rPr>
        <w:t>（</w:t>
      </w:r>
      <w:r>
        <w:rPr>
          <w:rFonts w:hint="eastAsia" w:ascii="宋体" w:hAnsi="宋体"/>
          <w:b/>
          <w:bCs/>
          <w:szCs w:val="21"/>
          <w:lang w:val="en-US" w:eastAsia="zh-CN"/>
        </w:rPr>
        <w:t>3</w:t>
      </w:r>
      <w:r>
        <w:rPr>
          <w:rFonts w:hint="eastAsia" w:ascii="宋体" w:hAnsi="宋体"/>
          <w:b/>
          <w:bCs/>
          <w:szCs w:val="21"/>
          <w:lang w:eastAsia="zh-CN"/>
        </w:rPr>
        <w:t>）</w:t>
      </w:r>
      <w:r>
        <w:rPr>
          <w:rFonts w:hint="eastAsia" w:ascii="宋体" w:hAnsi="宋体"/>
          <w:b/>
          <w:bCs/>
          <w:szCs w:val="21"/>
          <w:highlight w:val="yellow"/>
        </w:rPr>
        <w:t>★</w:t>
      </w:r>
      <w:r>
        <w:rPr>
          <w:rFonts w:hint="eastAsia" w:ascii="宋体" w:hAnsi="宋体"/>
          <w:b/>
          <w:bCs/>
          <w:szCs w:val="21"/>
        </w:rPr>
        <w:t>服务期限</w:t>
      </w:r>
      <w:r>
        <w:rPr>
          <w:rFonts w:hint="eastAsia" w:ascii="宋体" w:hAnsi="宋体"/>
          <w:b/>
          <w:bCs/>
          <w:szCs w:val="21"/>
          <w:lang w:eastAsia="zh-CN"/>
        </w:rPr>
        <w:t>：</w:t>
      </w:r>
      <w:r>
        <w:rPr>
          <w:rFonts w:hint="eastAsia" w:ascii="宋体" w:hAnsi="宋体"/>
          <w:szCs w:val="21"/>
        </w:rPr>
        <w:t>项目为长期服务项目，合同一年一签，合同履行期限最长不得超过36个月。</w:t>
      </w:r>
    </w:p>
    <w:p w14:paraId="1A22E4DD">
      <w:pPr>
        <w:widowControl/>
        <w:ind w:firstLine="420"/>
        <w:jc w:val="left"/>
        <w:rPr>
          <w:rFonts w:hint="eastAsia" w:ascii="宋体" w:hAnsi="宋体"/>
          <w:szCs w:val="21"/>
        </w:rPr>
      </w:pPr>
      <w:r>
        <w:rPr>
          <w:rFonts w:hint="eastAsia" w:ascii="宋体" w:hAnsi="宋体"/>
          <w:b/>
          <w:bCs/>
          <w:szCs w:val="21"/>
          <w:lang w:eastAsia="zh-CN"/>
        </w:rPr>
        <w:t>（</w:t>
      </w:r>
      <w:r>
        <w:rPr>
          <w:rFonts w:hint="eastAsia" w:ascii="宋体" w:hAnsi="宋体"/>
          <w:b/>
          <w:bCs/>
          <w:szCs w:val="21"/>
          <w:lang w:val="en-US" w:eastAsia="zh-CN"/>
        </w:rPr>
        <w:t>4</w:t>
      </w:r>
      <w:r>
        <w:rPr>
          <w:rFonts w:hint="eastAsia" w:ascii="宋体" w:hAnsi="宋体"/>
          <w:b/>
          <w:bCs/>
          <w:szCs w:val="21"/>
          <w:lang w:eastAsia="zh-CN"/>
        </w:rPr>
        <w:t>）</w:t>
      </w:r>
      <w:r>
        <w:rPr>
          <w:rFonts w:hint="eastAsia" w:ascii="宋体" w:hAnsi="宋体"/>
          <w:b/>
          <w:bCs/>
          <w:szCs w:val="21"/>
          <w:highlight w:val="yellow"/>
        </w:rPr>
        <w:t>★</w:t>
      </w:r>
      <w:r>
        <w:rPr>
          <w:rFonts w:hint="eastAsia" w:ascii="宋体" w:hAnsi="宋体"/>
          <w:b/>
          <w:bCs/>
          <w:szCs w:val="21"/>
        </w:rPr>
        <w:t>付款方式</w:t>
      </w:r>
      <w:r>
        <w:rPr>
          <w:rFonts w:hint="eastAsia" w:ascii="宋体" w:hAnsi="宋体"/>
          <w:b/>
          <w:bCs/>
          <w:szCs w:val="21"/>
          <w:lang w:eastAsia="zh-CN"/>
        </w:rPr>
        <w:t>：</w:t>
      </w:r>
      <w:r>
        <w:rPr>
          <w:rFonts w:hint="eastAsia" w:ascii="宋体" w:hAnsi="宋体"/>
          <w:szCs w:val="21"/>
        </w:rPr>
        <w:t>根据服务实际情况，按月据实结算。</w:t>
      </w:r>
    </w:p>
    <w:p w14:paraId="12756477">
      <w:pPr>
        <w:widowControl/>
        <w:ind w:firstLine="420"/>
        <w:jc w:val="left"/>
        <w:rPr>
          <w:rFonts w:hint="eastAsia" w:ascii="宋体" w:hAnsi="宋体"/>
          <w:szCs w:val="21"/>
        </w:rPr>
      </w:pPr>
      <w:r>
        <w:rPr>
          <w:rFonts w:hint="eastAsia" w:ascii="宋体" w:hAnsi="宋体"/>
          <w:szCs w:val="21"/>
        </w:rPr>
        <w:t>因财政资金拨款未到位而导致甲方未在约定期限内支付合同费用的，中标供应商不得要求采购人承担逾期付款的违约责任。每次付款前，中标供应商应需先提供相应额度的正规发票给采购人，以便办理支付手续。</w:t>
      </w:r>
    </w:p>
    <w:p w14:paraId="6C645958">
      <w:pPr>
        <w:widowControl/>
        <w:ind w:firstLine="420"/>
        <w:jc w:val="left"/>
        <w:rPr>
          <w:rFonts w:hint="eastAsia" w:ascii="宋体" w:hAnsi="宋体"/>
          <w:szCs w:val="21"/>
        </w:rPr>
      </w:pPr>
      <w:r>
        <w:rPr>
          <w:rFonts w:hint="eastAsia" w:ascii="宋体" w:hAnsi="宋体"/>
          <w:b/>
          <w:bCs/>
          <w:szCs w:val="21"/>
          <w:highlight w:val="yellow"/>
        </w:rPr>
        <w:t>说明：带“★”指标项为实质性条款，如出现负偏离，将被视为未实质性满足招标文件要求作投标无效处理。</w:t>
      </w:r>
    </w:p>
    <w:p w14:paraId="498A669E">
      <w:pPr>
        <w:pStyle w:val="11"/>
      </w:pPr>
    </w:p>
    <w:p w14:paraId="166C17C9">
      <w:pPr>
        <w:pStyle w:val="6"/>
        <w:spacing w:before="156" w:beforeLines="50" w:after="156" w:afterLines="50" w:line="416" w:lineRule="auto"/>
        <w:jc w:val="center"/>
        <w:rPr>
          <w:rFonts w:hint="eastAsia"/>
          <w:szCs w:val="28"/>
        </w:rPr>
      </w:pPr>
      <w:r>
        <w:rPr>
          <w:rFonts w:hint="eastAsia"/>
          <w:szCs w:val="28"/>
        </w:rPr>
        <w:t>六、其他重要条款</w:t>
      </w:r>
    </w:p>
    <w:p w14:paraId="64206B8C">
      <w:pPr>
        <w:ind w:firstLine="420" w:firstLineChars="200"/>
        <w:rPr>
          <w:bCs/>
          <w:szCs w:val="21"/>
        </w:rPr>
      </w:pPr>
      <w:r>
        <w:rPr>
          <w:rFonts w:hint="eastAsia"/>
          <w:bCs/>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3870431C">
      <w:pPr>
        <w:ind w:firstLine="420" w:firstLineChars="200"/>
        <w:rPr>
          <w:bCs/>
          <w:szCs w:val="21"/>
        </w:rPr>
      </w:pPr>
      <w:r>
        <w:rPr>
          <w:rFonts w:hint="eastAsia"/>
          <w:bCs/>
          <w:szCs w:val="21"/>
        </w:rPr>
        <w:t>2、投标人应充分了解项目的位置、情况、道路及任何其它足以影响投标报价的情况，任何因忽视或误解项目情况而导致的索赔或服务期限延长申请将不获批准。</w:t>
      </w:r>
    </w:p>
    <w:p w14:paraId="7B055B01">
      <w:pPr>
        <w:ind w:firstLine="420" w:firstLineChars="200"/>
        <w:rPr>
          <w:bCs/>
          <w:szCs w:val="21"/>
        </w:rPr>
      </w:pPr>
      <w:r>
        <w:rPr>
          <w:rFonts w:hint="eastAsia"/>
          <w:bCs/>
          <w:szCs w:val="21"/>
        </w:rPr>
        <w:t>3、投标人不得期望通过索赔等方式获取补偿，否则，除可能遭到拒绝外，还可能将被作为不良行为记录在案，并可能影响其以后参加政府采购的项目投标。各投标人在投标报价时，应充分考虑投标报价的风险。</w:t>
      </w:r>
    </w:p>
    <w:p w14:paraId="7AC295E8">
      <w:pPr>
        <w:ind w:firstLine="420" w:firstLineChars="200"/>
        <w:rPr>
          <w:bCs/>
          <w:szCs w:val="21"/>
        </w:rPr>
      </w:pPr>
      <w:r>
        <w:rPr>
          <w:rFonts w:hint="eastAsia"/>
          <w:bCs/>
          <w:szCs w:val="21"/>
        </w:rPr>
        <w:t>4、除政府采购合同继续履行将损害国家利益和社会公共利益外，双方当事人不得擅自变更、中止或者终止合同。</w:t>
      </w:r>
    </w:p>
    <w:p w14:paraId="1FEA74EC">
      <w:pPr>
        <w:ind w:firstLine="420" w:firstLineChars="200"/>
        <w:rPr>
          <w:rFonts w:hint="eastAsia" w:ascii="宋体" w:hAnsi="宋体" w:eastAsia="宋体" w:cs="Times New Roman"/>
          <w:b/>
          <w:bCs/>
          <w:kern w:val="0"/>
          <w:sz w:val="28"/>
          <w:szCs w:val="28"/>
        </w:rPr>
      </w:pPr>
      <w:r>
        <w:rPr>
          <w:rFonts w:hint="eastAsia"/>
          <w:bCs/>
          <w:szCs w:val="21"/>
        </w:rPr>
        <w:t>5、“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p>
    <w:p w14:paraId="0F147152">
      <w:pPr>
        <w:keepNext/>
        <w:keepLines/>
        <w:adjustRightInd w:val="0"/>
        <w:spacing w:line="320" w:lineRule="atLeast"/>
        <w:jc w:val="center"/>
        <w:textAlignment w:val="baseline"/>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第四章</w:t>
      </w:r>
      <w:r>
        <w:rPr>
          <w:rFonts w:ascii="宋体" w:hAnsi="宋体" w:eastAsia="宋体" w:cs="Times New Roman"/>
          <w:b/>
          <w:bCs/>
          <w:kern w:val="0"/>
          <w:sz w:val="28"/>
          <w:szCs w:val="28"/>
        </w:rPr>
        <w:t xml:space="preserve"> </w:t>
      </w:r>
      <w:r>
        <w:rPr>
          <w:rFonts w:hint="eastAsia" w:ascii="宋体" w:hAnsi="宋体" w:eastAsia="宋体" w:cs="Times New Roman"/>
          <w:b/>
          <w:bCs/>
          <w:kern w:val="0"/>
          <w:sz w:val="28"/>
          <w:szCs w:val="28"/>
        </w:rPr>
        <w:t xml:space="preserve"> 投标文件组成要求及格式</w:t>
      </w:r>
    </w:p>
    <w:p w14:paraId="0E7DDB2E">
      <w:pPr>
        <w:pStyle w:val="2"/>
      </w:pPr>
      <w:bookmarkStart w:id="15" w:name="_Hlk72257167"/>
    </w:p>
    <w:bookmarkEnd w:id="15"/>
    <w:p w14:paraId="34E27ED1">
      <w:pPr>
        <w:widowControl/>
        <w:spacing w:line="320" w:lineRule="atLeast"/>
        <w:jc w:val="left"/>
        <w:outlineLvl w:val="2"/>
        <w:rPr>
          <w:rFonts w:hint="eastAsia" w:ascii="宋体" w:hAnsi="宋体" w:eastAsia="黑体" w:cs="Times New Roman"/>
          <w:bCs/>
          <w:kern w:val="44"/>
          <w:sz w:val="24"/>
          <w:szCs w:val="24"/>
        </w:rPr>
      </w:pPr>
      <w:r>
        <w:rPr>
          <w:rFonts w:hint="eastAsia" w:ascii="宋体" w:hAnsi="宋体" w:eastAsia="黑体" w:cs="Times New Roman"/>
          <w:bCs/>
          <w:kern w:val="44"/>
          <w:sz w:val="24"/>
          <w:szCs w:val="24"/>
        </w:rPr>
        <w:t>投标文件组成：</w:t>
      </w:r>
    </w:p>
    <w:p w14:paraId="21293F40">
      <w:pPr>
        <w:ind w:firstLine="1200" w:firstLineChars="500"/>
        <w:outlineLvl w:val="0"/>
        <w:rPr>
          <w:rFonts w:hint="eastAsia" w:ascii="宋体" w:hAnsi="宋体"/>
          <w:sz w:val="24"/>
        </w:rPr>
      </w:pPr>
      <w:bookmarkStart w:id="16" w:name="_Hlk72257771"/>
      <w:r>
        <w:rPr>
          <w:rFonts w:hint="eastAsia" w:ascii="宋体" w:hAnsi="宋体"/>
          <w:sz w:val="24"/>
        </w:rPr>
        <w:t>1.投标文件正文，主要包括以下内容：</w:t>
      </w:r>
    </w:p>
    <w:p w14:paraId="325D3886">
      <w:pPr>
        <w:ind w:left="718" w:leftChars="342" w:firstLine="1417" w:firstLineChars="675"/>
        <w:rPr>
          <w:szCs w:val="21"/>
        </w:rPr>
      </w:pPr>
      <w:r>
        <w:rPr>
          <w:rFonts w:hint="eastAsia"/>
          <w:szCs w:val="21"/>
        </w:rPr>
        <w:t>（1）</w:t>
      </w:r>
      <w:bookmarkStart w:id="17" w:name="_Hlk72070784"/>
      <w:r>
        <w:rPr>
          <w:rFonts w:hint="eastAsia"/>
          <w:szCs w:val="21"/>
        </w:rPr>
        <w:t>投标函</w:t>
      </w:r>
      <w:bookmarkEnd w:id="17"/>
    </w:p>
    <w:p w14:paraId="2B8101CD">
      <w:pPr>
        <w:ind w:left="718" w:leftChars="342" w:firstLine="1417" w:firstLineChars="675"/>
        <w:rPr>
          <w:szCs w:val="21"/>
        </w:rPr>
      </w:pPr>
      <w:r>
        <w:rPr>
          <w:rFonts w:hint="eastAsia"/>
          <w:szCs w:val="21"/>
        </w:rPr>
        <w:t>（2）</w:t>
      </w:r>
      <w:bookmarkStart w:id="18" w:name="_Hlk72062521"/>
      <w:r>
        <w:rPr>
          <w:rFonts w:hint="eastAsia"/>
          <w:szCs w:val="21"/>
        </w:rPr>
        <w:t>政府采购投标及履约承诺函</w:t>
      </w:r>
      <w:bookmarkEnd w:id="18"/>
    </w:p>
    <w:p w14:paraId="6BE57F36">
      <w:pPr>
        <w:ind w:left="718" w:leftChars="342" w:firstLine="1417" w:firstLineChars="675"/>
        <w:rPr>
          <w:szCs w:val="21"/>
        </w:rPr>
      </w:pPr>
      <w:r>
        <w:rPr>
          <w:rFonts w:hint="eastAsia"/>
          <w:szCs w:val="21"/>
        </w:rPr>
        <w:t>（</w:t>
      </w:r>
      <w:r>
        <w:rPr>
          <w:szCs w:val="21"/>
        </w:rPr>
        <w:t>3</w:t>
      </w:r>
      <w:r>
        <w:rPr>
          <w:rFonts w:hint="eastAsia"/>
          <w:szCs w:val="21"/>
        </w:rPr>
        <w:t>）投标人情况及资格证明文件</w:t>
      </w:r>
    </w:p>
    <w:p w14:paraId="522E7F17">
      <w:pPr>
        <w:ind w:left="718" w:leftChars="342" w:firstLine="1417" w:firstLineChars="675"/>
        <w:rPr>
          <w:szCs w:val="21"/>
        </w:rPr>
      </w:pPr>
      <w:bookmarkStart w:id="19" w:name="_Hlk72257201"/>
      <w:r>
        <w:rPr>
          <w:rFonts w:hint="eastAsia"/>
          <w:szCs w:val="21"/>
        </w:rPr>
        <w:t>（</w:t>
      </w:r>
      <w:r>
        <w:rPr>
          <w:szCs w:val="21"/>
        </w:rPr>
        <w:t>4</w:t>
      </w:r>
      <w:r>
        <w:rPr>
          <w:rFonts w:hint="eastAsia"/>
          <w:szCs w:val="21"/>
        </w:rPr>
        <w:t>）项目详细报价</w:t>
      </w:r>
    </w:p>
    <w:bookmarkEnd w:id="19"/>
    <w:p w14:paraId="35123F7C">
      <w:pPr>
        <w:ind w:left="718" w:leftChars="342" w:firstLine="1417" w:firstLineChars="675"/>
        <w:rPr>
          <w:szCs w:val="21"/>
        </w:rPr>
      </w:pPr>
      <w:r>
        <w:rPr>
          <w:rFonts w:hint="eastAsia"/>
          <w:szCs w:val="21"/>
        </w:rPr>
        <w:t>（5）供应商基本情况表</w:t>
      </w:r>
    </w:p>
    <w:p w14:paraId="0ECDA68A">
      <w:pPr>
        <w:ind w:firstLine="1200" w:firstLineChars="500"/>
        <w:outlineLvl w:val="0"/>
        <w:rPr>
          <w:rFonts w:hint="eastAsia" w:ascii="宋体" w:hAnsi="宋体"/>
          <w:sz w:val="24"/>
        </w:rPr>
      </w:pPr>
      <w:r>
        <w:rPr>
          <w:rFonts w:hint="eastAsia" w:ascii="宋体" w:hAnsi="宋体"/>
          <w:sz w:val="24"/>
        </w:rPr>
        <w:t>2.投标文件附件：主要包括以下内容：</w:t>
      </w:r>
    </w:p>
    <w:p w14:paraId="392A6978">
      <w:pPr>
        <w:ind w:firstLine="2100" w:firstLineChars="1000"/>
        <w:rPr>
          <w:szCs w:val="21"/>
        </w:rPr>
      </w:pPr>
      <w:r>
        <w:rPr>
          <w:rFonts w:hint="eastAsia"/>
          <w:szCs w:val="21"/>
        </w:rPr>
        <w:t>（1）法定代表人（负责人）证明书</w:t>
      </w:r>
    </w:p>
    <w:p w14:paraId="62E1076F">
      <w:pPr>
        <w:ind w:left="718" w:leftChars="342" w:firstLine="1417" w:firstLineChars="675"/>
        <w:rPr>
          <w:szCs w:val="21"/>
        </w:rPr>
      </w:pPr>
      <w:r>
        <w:rPr>
          <w:rFonts w:hint="eastAsia"/>
          <w:szCs w:val="21"/>
        </w:rPr>
        <w:t>（2）投标文件签署授权委托书</w:t>
      </w:r>
    </w:p>
    <w:p w14:paraId="08A3D7F8">
      <w:pPr>
        <w:ind w:left="718" w:leftChars="342" w:firstLine="1417" w:firstLineChars="675"/>
        <w:rPr>
          <w:szCs w:val="21"/>
        </w:rPr>
      </w:pPr>
      <w:r>
        <w:rPr>
          <w:rFonts w:hint="eastAsia"/>
          <w:szCs w:val="21"/>
        </w:rPr>
        <w:t>（3）实质性条款响应情况表</w:t>
      </w:r>
    </w:p>
    <w:p w14:paraId="13E9B56A">
      <w:pPr>
        <w:ind w:left="718" w:leftChars="342" w:firstLine="1417" w:firstLineChars="675"/>
        <w:rPr>
          <w:szCs w:val="21"/>
        </w:rPr>
      </w:pPr>
      <w:r>
        <w:rPr>
          <w:rFonts w:hint="eastAsia"/>
          <w:szCs w:val="21"/>
        </w:rPr>
        <w:t>（</w:t>
      </w:r>
      <w:r>
        <w:rPr>
          <w:szCs w:val="21"/>
        </w:rPr>
        <w:t>4</w:t>
      </w:r>
      <w:r>
        <w:rPr>
          <w:rFonts w:hint="eastAsia"/>
          <w:szCs w:val="21"/>
        </w:rPr>
        <w:t>）</w:t>
      </w:r>
      <w:r>
        <w:rPr>
          <w:rFonts w:hint="eastAsia" w:ascii="宋体" w:hAnsi="宋体" w:eastAsia="宋体" w:cs="Times New Roman"/>
          <w:szCs w:val="21"/>
        </w:rPr>
        <w:t>实施方案</w:t>
      </w:r>
    </w:p>
    <w:p w14:paraId="67BE8F0E">
      <w:pPr>
        <w:ind w:left="718" w:leftChars="342" w:firstLine="1417" w:firstLineChars="675"/>
        <w:rPr>
          <w:szCs w:val="21"/>
        </w:rPr>
      </w:pPr>
      <w:r>
        <w:rPr>
          <w:rFonts w:hint="eastAsia"/>
          <w:szCs w:val="21"/>
        </w:rPr>
        <w:t>（</w:t>
      </w:r>
      <w:r>
        <w:rPr>
          <w:szCs w:val="21"/>
        </w:rPr>
        <w:t>5</w:t>
      </w:r>
      <w:r>
        <w:rPr>
          <w:rFonts w:hint="eastAsia"/>
          <w:szCs w:val="21"/>
        </w:rPr>
        <w:t>）</w:t>
      </w:r>
      <w:r>
        <w:rPr>
          <w:rFonts w:hint="eastAsia" w:ascii="宋体" w:hAnsi="宋体" w:eastAsia="宋体" w:cs="Times New Roman"/>
          <w:szCs w:val="21"/>
        </w:rPr>
        <w:t>项目重点难点分析、应对措施及相关的合理化建议</w:t>
      </w:r>
    </w:p>
    <w:p w14:paraId="5C3E8AC6">
      <w:pPr>
        <w:ind w:left="718" w:leftChars="342" w:firstLine="1417" w:firstLineChars="675"/>
        <w:rPr>
          <w:szCs w:val="21"/>
        </w:rPr>
      </w:pPr>
      <w:r>
        <w:rPr>
          <w:rFonts w:hint="eastAsia"/>
          <w:szCs w:val="21"/>
        </w:rPr>
        <w:t>（6）</w:t>
      </w:r>
      <w:r>
        <w:rPr>
          <w:rFonts w:hint="eastAsia" w:ascii="宋体" w:hAnsi="宋体"/>
          <w:szCs w:val="21"/>
        </w:rPr>
        <w:t>质量保障措施及方案</w:t>
      </w:r>
    </w:p>
    <w:p w14:paraId="43A325BD">
      <w:pPr>
        <w:ind w:left="718" w:leftChars="342" w:firstLine="1417" w:firstLineChars="675"/>
        <w:rPr>
          <w:szCs w:val="21"/>
        </w:rPr>
      </w:pPr>
      <w:r>
        <w:rPr>
          <w:rFonts w:hint="eastAsia"/>
          <w:szCs w:val="21"/>
        </w:rPr>
        <w:t>（7）项目完成（服务期满）后的服务承诺</w:t>
      </w:r>
    </w:p>
    <w:p w14:paraId="7264EFCB">
      <w:pPr>
        <w:ind w:left="718" w:leftChars="342" w:firstLine="1417" w:firstLineChars="675"/>
        <w:rPr>
          <w:szCs w:val="21"/>
        </w:rPr>
      </w:pPr>
      <w:r>
        <w:rPr>
          <w:rFonts w:hint="eastAsia"/>
          <w:szCs w:val="21"/>
        </w:rPr>
        <w:t>（8）项目拟使用的车辆（场地、工具、机器）情况</w:t>
      </w:r>
    </w:p>
    <w:p w14:paraId="6483420B">
      <w:pPr>
        <w:ind w:left="718" w:leftChars="342" w:firstLine="1417" w:firstLineChars="675"/>
        <w:rPr>
          <w:szCs w:val="21"/>
        </w:rPr>
      </w:pPr>
      <w:r>
        <w:rPr>
          <w:rFonts w:hint="eastAsia"/>
          <w:szCs w:val="21"/>
        </w:rPr>
        <w:t>（9）拟安排的项目团队成员情况</w:t>
      </w:r>
    </w:p>
    <w:p w14:paraId="25130288">
      <w:pPr>
        <w:ind w:left="2136" w:leftChars="1017"/>
        <w:rPr>
          <w:szCs w:val="21"/>
        </w:rPr>
      </w:pPr>
      <w:r>
        <w:rPr>
          <w:rFonts w:hint="eastAsia"/>
          <w:szCs w:val="21"/>
        </w:rPr>
        <w:t>（10）投标人通过相关认证情况</w:t>
      </w:r>
    </w:p>
    <w:p w14:paraId="4E41EE6C">
      <w:pPr>
        <w:ind w:left="718" w:leftChars="342" w:firstLine="1417" w:firstLineChars="675"/>
        <w:rPr>
          <w:szCs w:val="21"/>
        </w:rPr>
      </w:pPr>
      <w:r>
        <w:rPr>
          <w:rFonts w:hint="eastAsia"/>
          <w:szCs w:val="21"/>
        </w:rPr>
        <w:t>（11）投标人获奖情况</w:t>
      </w:r>
    </w:p>
    <w:p w14:paraId="03730C78">
      <w:pPr>
        <w:ind w:left="718" w:leftChars="342" w:firstLine="1417" w:firstLineChars="675"/>
        <w:rPr>
          <w:szCs w:val="21"/>
        </w:rPr>
      </w:pPr>
      <w:r>
        <w:rPr>
          <w:rFonts w:hint="eastAsia"/>
          <w:szCs w:val="21"/>
        </w:rPr>
        <w:t>（12）同类项目业绩</w:t>
      </w:r>
    </w:p>
    <w:p w14:paraId="3757B56C">
      <w:pPr>
        <w:ind w:left="718" w:leftChars="342" w:firstLine="1417" w:firstLineChars="675"/>
        <w:rPr>
          <w:szCs w:val="21"/>
        </w:rPr>
      </w:pPr>
      <w:r>
        <w:rPr>
          <w:rFonts w:hint="eastAsia"/>
          <w:szCs w:val="21"/>
        </w:rPr>
        <w:t>（13）履约评价情况</w:t>
      </w:r>
    </w:p>
    <w:p w14:paraId="685859B1">
      <w:pPr>
        <w:ind w:left="718" w:leftChars="342" w:firstLine="1417" w:firstLineChars="675"/>
        <w:rPr>
          <w:szCs w:val="21"/>
        </w:rPr>
      </w:pPr>
      <w:r>
        <w:rPr>
          <w:rFonts w:hint="eastAsia"/>
          <w:szCs w:val="21"/>
        </w:rPr>
        <w:t>（14）投标人认为需要加以说明的其他内容</w:t>
      </w:r>
    </w:p>
    <w:p w14:paraId="34C51A7A">
      <w:pPr>
        <w:ind w:left="718" w:leftChars="342" w:firstLine="1417" w:firstLineChars="675"/>
        <w:rPr>
          <w:rFonts w:hint="eastAsia" w:ascii="宋体" w:hAnsi="宋体"/>
          <w:szCs w:val="21"/>
        </w:rPr>
      </w:pPr>
      <w:r>
        <w:rPr>
          <w:rFonts w:hint="eastAsia" w:ascii="宋体" w:hAnsi="宋体"/>
          <w:szCs w:val="21"/>
        </w:rPr>
        <w:t>…………</w:t>
      </w:r>
    </w:p>
    <w:p w14:paraId="41CB1489">
      <w:pPr>
        <w:spacing w:line="320" w:lineRule="atLeast"/>
        <w:rPr>
          <w:rFonts w:hint="eastAsia" w:ascii="宋体" w:hAnsi="宋体"/>
          <w:b/>
          <w:sz w:val="24"/>
          <w:szCs w:val="24"/>
        </w:rPr>
      </w:pPr>
      <w:r>
        <w:rPr>
          <w:rFonts w:hint="eastAsia" w:ascii="宋体" w:hAnsi="宋体"/>
          <w:b/>
          <w:sz w:val="24"/>
          <w:szCs w:val="24"/>
        </w:rPr>
        <w:t>备注：</w:t>
      </w:r>
    </w:p>
    <w:p w14:paraId="62C9D2A7">
      <w:pPr>
        <w:snapToGrid w:val="0"/>
        <w:spacing w:line="320" w:lineRule="atLeast"/>
        <w:ind w:firstLine="482" w:firstLineChars="200"/>
        <w:rPr>
          <w:rFonts w:hint="eastAsia" w:ascii="宋体" w:hAnsi="宋体"/>
          <w:b/>
          <w:sz w:val="24"/>
          <w:szCs w:val="24"/>
        </w:rPr>
      </w:pPr>
      <w:r>
        <w:rPr>
          <w:rFonts w:hint="eastAsia" w:ascii="宋体" w:hAnsi="宋体"/>
          <w:b/>
          <w:sz w:val="24"/>
          <w:szCs w:val="24"/>
        </w:rPr>
        <w:t>1.本项目为网上电子投标项目，投标文件不需法人或授权委托人另行签字，无需加盖单位公章，招标文件另有规定的除外。</w:t>
      </w:r>
    </w:p>
    <w:p w14:paraId="5220885F">
      <w:pPr>
        <w:snapToGrid w:val="0"/>
        <w:spacing w:after="78" w:afterLines="25"/>
        <w:ind w:firstLine="482" w:firstLineChars="200"/>
        <w:rPr>
          <w:rFonts w:hint="eastAsia" w:ascii="宋体" w:hAnsi="宋体" w:eastAsia="黑体" w:cs="Times New Roman"/>
          <w:bCs/>
          <w:kern w:val="44"/>
          <w:sz w:val="32"/>
          <w:szCs w:val="32"/>
        </w:rPr>
      </w:pPr>
      <w:bookmarkStart w:id="20" w:name="_Hlk72263559"/>
      <w:r>
        <w:rPr>
          <w:rFonts w:hint="eastAsia" w:ascii="宋体" w:hAnsi="宋体"/>
          <w:b/>
          <w:sz w:val="24"/>
          <w:szCs w:val="24"/>
        </w:rPr>
        <w:t>2.关于填写“开标一览表”的说明：“开标一览表”中除“投标总价”外，其他信息不作评审依据。</w:t>
      </w:r>
      <w:bookmarkEnd w:id="16"/>
      <w:bookmarkEnd w:id="20"/>
      <w:r>
        <w:rPr>
          <w:rFonts w:ascii="宋体" w:hAnsi="宋体" w:eastAsia="黑体" w:cs="Times New Roman"/>
          <w:bCs/>
          <w:kern w:val="44"/>
          <w:sz w:val="32"/>
          <w:szCs w:val="32"/>
        </w:rPr>
        <w:br w:type="page"/>
      </w:r>
    </w:p>
    <w:p w14:paraId="7F0B86F5">
      <w:pPr>
        <w:widowControl/>
        <w:jc w:val="left"/>
        <w:outlineLvl w:val="2"/>
        <w:rPr>
          <w:rFonts w:hint="eastAsia" w:ascii="宋体" w:hAnsi="宋体" w:eastAsia="宋体" w:cs="宋体"/>
          <w:b/>
          <w:color w:val="FF0000"/>
          <w:kern w:val="0"/>
          <w:sz w:val="32"/>
          <w:szCs w:val="32"/>
        </w:rPr>
      </w:pPr>
      <w:r>
        <w:rPr>
          <w:rFonts w:hint="eastAsia" w:ascii="宋体" w:hAnsi="宋体" w:eastAsia="宋体" w:cs="宋体"/>
          <w:b/>
          <w:color w:val="FF0000"/>
          <w:kern w:val="0"/>
          <w:sz w:val="32"/>
          <w:szCs w:val="32"/>
        </w:rPr>
        <w:t>（一）投标文件正文</w:t>
      </w:r>
    </w:p>
    <w:p w14:paraId="28F2E830">
      <w:pPr>
        <w:pStyle w:val="6"/>
        <w:jc w:val="center"/>
        <w:rPr>
          <w:rFonts w:hint="eastAsia" w:ascii="黑体" w:eastAsia="黑体"/>
          <w:b w:val="0"/>
          <w:sz w:val="24"/>
        </w:rPr>
      </w:pPr>
      <w:r>
        <w:rPr>
          <w:rFonts w:hint="eastAsia" w:ascii="黑体" w:eastAsia="黑体"/>
          <w:b w:val="0"/>
          <w:sz w:val="24"/>
        </w:rPr>
        <w:t>一、投标函</w:t>
      </w:r>
    </w:p>
    <w:p w14:paraId="776099FC">
      <w:pPr>
        <w:spacing w:line="360" w:lineRule="auto"/>
        <w:rPr>
          <w:rFonts w:hint="eastAsia" w:ascii="宋体" w:hAnsi="宋体"/>
          <w:szCs w:val="21"/>
        </w:rPr>
      </w:pPr>
      <w:bookmarkStart w:id="21" w:name="_Hlk72257506"/>
      <w:r>
        <w:rPr>
          <w:rFonts w:hint="eastAsia" w:ascii="宋体" w:hAnsi="宋体"/>
          <w:szCs w:val="21"/>
        </w:rPr>
        <w:t>致：</w:t>
      </w:r>
      <w:r>
        <w:rPr>
          <w:rFonts w:hint="eastAsia" w:ascii="宋体" w:hAnsi="宋体"/>
          <w:szCs w:val="21"/>
          <w:u w:val="single"/>
        </w:rPr>
        <w:t xml:space="preserve">  </w:t>
      </w:r>
      <w:r>
        <w:rPr>
          <w:rFonts w:hint="eastAsia" w:ascii="宋体" w:hAnsi="宋体"/>
          <w:color w:val="FF0000"/>
          <w:szCs w:val="21"/>
          <w:u w:val="single"/>
        </w:rPr>
        <w:t>深圳公共资源交易中心</w:t>
      </w:r>
      <w:r>
        <w:rPr>
          <w:rFonts w:hint="eastAsia" w:ascii="宋体" w:hAnsi="宋体"/>
          <w:szCs w:val="21"/>
          <w:u w:val="single"/>
        </w:rPr>
        <w:t xml:space="preserve">  </w:t>
      </w:r>
    </w:p>
    <w:p w14:paraId="0E4E6C24">
      <w:pPr>
        <w:ind w:firstLine="420" w:firstLineChars="200"/>
        <w:rPr>
          <w:rFonts w:hint="eastAsia" w:ascii="宋体" w:hAnsi="宋体"/>
          <w:szCs w:val="21"/>
        </w:rPr>
      </w:pPr>
      <w:bookmarkStart w:id="22" w:name="_Hlk73818812"/>
      <w:r>
        <w:rPr>
          <w:rFonts w:hint="eastAsia"/>
          <w:szCs w:val="21"/>
        </w:rPr>
        <w:t>1、根据已收到贵单位的项目编号为</w:t>
      </w:r>
      <w:r>
        <w:rPr>
          <w:rFonts w:hint="eastAsia"/>
          <w:szCs w:val="21"/>
          <w:u w:val="thick"/>
        </w:rPr>
        <w:t xml:space="preserve">                 </w:t>
      </w:r>
      <w:r>
        <w:rPr>
          <w:rFonts w:hint="eastAsia"/>
          <w:szCs w:val="21"/>
        </w:rPr>
        <w:t>的</w:t>
      </w:r>
      <w:r>
        <w:rPr>
          <w:rFonts w:hint="eastAsia"/>
          <w:szCs w:val="21"/>
          <w:u w:val="thick"/>
        </w:rPr>
        <w:t xml:space="preserve">   （项目名称）   </w:t>
      </w:r>
      <w:r>
        <w:rPr>
          <w:rFonts w:hint="eastAsia"/>
          <w:szCs w:val="21"/>
        </w:rPr>
        <w:t>项目的招标文件，遵照《深圳经济特区政府采购条例》和《深圳网上政府采购管理暂行办法》等有关规定，我单位经研究上述招标文件的专用条款及通用条款后，</w:t>
      </w:r>
      <w:bookmarkStart w:id="23" w:name="_Hlk72263588"/>
      <w:r>
        <w:rPr>
          <w:rFonts w:hint="eastAsia"/>
          <w:szCs w:val="21"/>
        </w:rPr>
        <w:t>愿意按照招标文件要求承包上述项目并修补其任何缺陷。</w:t>
      </w:r>
      <w:bookmarkEnd w:id="23"/>
    </w:p>
    <w:p w14:paraId="4ABDC4FE">
      <w:pPr>
        <w:ind w:firstLine="420" w:firstLineChars="200"/>
        <w:rPr>
          <w:rFonts w:hint="eastAsia" w:ascii="宋体" w:hAnsi="宋体"/>
          <w:szCs w:val="21"/>
        </w:rPr>
      </w:pPr>
      <w:r>
        <w:rPr>
          <w:rFonts w:ascii="宋体" w:hAnsi="宋体"/>
          <w:szCs w:val="21"/>
        </w:rPr>
        <w:t>2</w:t>
      </w:r>
      <w:r>
        <w:rPr>
          <w:rFonts w:hint="eastAsia" w:ascii="宋体" w:hAnsi="宋体"/>
          <w:szCs w:val="21"/>
        </w:rPr>
        <w:t>、</w:t>
      </w:r>
      <w:bookmarkStart w:id="24" w:name="_Hlk73819847"/>
      <w:r>
        <w:rPr>
          <w:rFonts w:hint="eastAsia" w:ascii="宋体" w:hAnsi="宋体"/>
          <w:szCs w:val="21"/>
        </w:rPr>
        <w:t>投标价格见</w:t>
      </w:r>
      <w:r>
        <w:rPr>
          <w:rFonts w:hint="eastAsia"/>
          <w:szCs w:val="21"/>
        </w:rPr>
        <w:t>投标书编制软件中《开标一览表》中填写的投标总价。</w:t>
      </w:r>
      <w:bookmarkEnd w:id="24"/>
    </w:p>
    <w:p w14:paraId="451A1A61">
      <w:pPr>
        <w:ind w:firstLine="420" w:firstLineChars="200"/>
        <w:rPr>
          <w:rFonts w:hint="eastAsia" w:ascii="宋体" w:hAnsi="宋体"/>
          <w:szCs w:val="21"/>
        </w:rPr>
      </w:pPr>
      <w:r>
        <w:rPr>
          <w:rFonts w:hint="eastAsia" w:ascii="宋体" w:hAnsi="宋体"/>
          <w:szCs w:val="21"/>
        </w:rPr>
        <w:t>3、如果我单位中标，我单位将按照招标文件的要求足额提交履约担保。</w:t>
      </w:r>
    </w:p>
    <w:p w14:paraId="12CCB4EB">
      <w:pPr>
        <w:ind w:firstLine="420" w:firstLineChars="200"/>
        <w:rPr>
          <w:rFonts w:hint="eastAsia"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14:paraId="28139D81">
      <w:pPr>
        <w:ind w:firstLine="420" w:firstLineChars="200"/>
        <w:rPr>
          <w:rFonts w:hint="eastAsia" w:ascii="宋体" w:hAnsi="宋体"/>
          <w:szCs w:val="21"/>
        </w:rPr>
      </w:pPr>
      <w:r>
        <w:rPr>
          <w:rFonts w:hint="eastAsia" w:ascii="宋体" w:hAnsi="宋体"/>
          <w:szCs w:val="21"/>
        </w:rPr>
        <w:t>5、除非另外达成协议并生效，贵单位的中标通知书和本投标文件将构成合同的重要内容。</w:t>
      </w:r>
    </w:p>
    <w:p w14:paraId="0AD56260">
      <w:pPr>
        <w:ind w:left="420" w:leftChars="200"/>
        <w:rPr>
          <w:rFonts w:hint="eastAsia" w:ascii="宋体" w:hAnsi="宋体"/>
          <w:szCs w:val="21"/>
        </w:rPr>
      </w:pPr>
      <w:r>
        <w:rPr>
          <w:rFonts w:hint="eastAsia" w:ascii="宋体" w:hAnsi="宋体"/>
          <w:szCs w:val="21"/>
        </w:rPr>
        <w:t>6、我单位理解贵单位将不受必须接受所收到的最低报价或其它任何投标文件的约束。</w:t>
      </w:r>
      <w:bookmarkEnd w:id="22"/>
    </w:p>
    <w:p w14:paraId="3C3203FE">
      <w:pPr>
        <w:ind w:left="420" w:leftChars="200"/>
        <w:rPr>
          <w:rFonts w:hint="eastAsia" w:ascii="宋体" w:hAnsi="宋体"/>
          <w:b/>
          <w:szCs w:val="21"/>
        </w:rPr>
      </w:pPr>
      <w:r>
        <w:rPr>
          <w:rFonts w:hint="eastAsia" w:ascii="宋体" w:hAnsi="宋体"/>
          <w:b/>
          <w:szCs w:val="21"/>
        </w:rPr>
        <w:t>7</w:t>
      </w:r>
      <w:r>
        <w:rPr>
          <w:rFonts w:ascii="宋体" w:hAnsi="宋体"/>
          <w:b/>
          <w:szCs w:val="21"/>
        </w:rPr>
        <w:t>、如我单位提交样品，且未在规定时间内取回样品的，视同放弃取回，同意深圳公共资源交易中心对我单位提交的样品进行清理。</w:t>
      </w:r>
    </w:p>
    <w:p w14:paraId="123E9DD6">
      <w:pPr>
        <w:ind w:left="420" w:leftChars="200" w:firstLine="210" w:firstLineChars="100"/>
        <w:rPr>
          <w:szCs w:val="21"/>
        </w:rPr>
      </w:pPr>
    </w:p>
    <w:p w14:paraId="55C22806">
      <w:pPr>
        <w:ind w:left="420" w:leftChars="200" w:firstLine="210" w:firstLineChars="100"/>
        <w:rPr>
          <w:szCs w:val="21"/>
        </w:rPr>
      </w:pPr>
      <w:r>
        <w:rPr>
          <w:rFonts w:hint="eastAsia"/>
          <w:szCs w:val="21"/>
        </w:rPr>
        <w:t>投标人：</w:t>
      </w:r>
      <w:r>
        <w:rPr>
          <w:rFonts w:hint="eastAsia"/>
          <w:szCs w:val="21"/>
          <w:u w:val="thick"/>
        </w:rPr>
        <w:t xml:space="preserve">                   </w:t>
      </w:r>
      <w:r>
        <w:rPr>
          <w:rFonts w:hint="eastAsia"/>
          <w:szCs w:val="21"/>
        </w:rPr>
        <w:t xml:space="preserve">  ；  </w:t>
      </w:r>
    </w:p>
    <w:p w14:paraId="5A3384D6">
      <w:pPr>
        <w:ind w:left="420" w:leftChars="200" w:firstLine="210" w:firstLineChars="100"/>
        <w:rPr>
          <w:szCs w:val="21"/>
        </w:rPr>
      </w:pPr>
      <w:r>
        <w:rPr>
          <w:rFonts w:hint="eastAsia"/>
          <w:szCs w:val="21"/>
        </w:rPr>
        <w:t>单位地址：</w:t>
      </w:r>
      <w:r>
        <w:rPr>
          <w:rFonts w:hint="eastAsia"/>
          <w:szCs w:val="21"/>
          <w:u w:val="thick"/>
        </w:rPr>
        <w:t xml:space="preserve">                                            </w:t>
      </w:r>
      <w:r>
        <w:rPr>
          <w:rFonts w:hint="eastAsia"/>
          <w:szCs w:val="21"/>
        </w:rPr>
        <w:t>；</w:t>
      </w:r>
    </w:p>
    <w:p w14:paraId="21FCA1DC">
      <w:pPr>
        <w:ind w:left="420" w:leftChars="200" w:firstLine="210" w:firstLineChars="100"/>
        <w:rPr>
          <w:szCs w:val="21"/>
        </w:rPr>
      </w:pPr>
      <w:r>
        <w:rPr>
          <w:rFonts w:hint="eastAsia"/>
          <w:szCs w:val="21"/>
        </w:rPr>
        <w:t>法定代表人（负责人）或其授权委托代理人：</w:t>
      </w:r>
      <w:r>
        <w:rPr>
          <w:rFonts w:hint="eastAsia"/>
          <w:szCs w:val="21"/>
          <w:u w:val="thick"/>
        </w:rPr>
        <w:t xml:space="preserve">                       </w:t>
      </w:r>
      <w:r>
        <w:rPr>
          <w:rFonts w:hint="eastAsia"/>
          <w:szCs w:val="21"/>
        </w:rPr>
        <w:t>；</w:t>
      </w:r>
    </w:p>
    <w:p w14:paraId="30B1F62C">
      <w:pPr>
        <w:ind w:left="420" w:leftChars="200" w:firstLine="210" w:firstLineChars="100"/>
        <w:rPr>
          <w:szCs w:val="21"/>
        </w:rPr>
      </w:pPr>
      <w:r>
        <w:rPr>
          <w:rFonts w:hint="eastAsia"/>
          <w:szCs w:val="21"/>
        </w:rPr>
        <w:t>电话：</w:t>
      </w:r>
      <w:r>
        <w:rPr>
          <w:rFonts w:hint="eastAsia"/>
          <w:szCs w:val="21"/>
          <w:u w:val="thick"/>
        </w:rPr>
        <w:t xml:space="preserve">           </w:t>
      </w:r>
      <w:r>
        <w:rPr>
          <w:rFonts w:hint="eastAsia"/>
          <w:szCs w:val="21"/>
        </w:rPr>
        <w:t xml:space="preserve">；     </w:t>
      </w:r>
    </w:p>
    <w:p w14:paraId="77FBC453">
      <w:pPr>
        <w:ind w:left="420" w:leftChars="200" w:firstLine="210" w:firstLineChars="100"/>
        <w:rPr>
          <w:sz w:val="24"/>
        </w:rPr>
      </w:pPr>
      <w:r>
        <w:rPr>
          <w:rFonts w:hint="eastAsia" w:ascii="宋体" w:hAnsi="宋体"/>
          <w:szCs w:val="21"/>
        </w:rPr>
        <w:t>日期：</w:t>
      </w:r>
      <w:r>
        <w:rPr>
          <w:rFonts w:hint="eastAsia" w:ascii="宋体" w:hAnsi="宋体"/>
          <w:szCs w:val="21"/>
          <w:u w:val="thick"/>
        </w:rPr>
        <w:t xml:space="preserve">       </w:t>
      </w:r>
      <w:r>
        <w:rPr>
          <w:rFonts w:hint="eastAsia" w:ascii="宋体" w:hAnsi="宋体"/>
          <w:szCs w:val="21"/>
        </w:rPr>
        <w:t>年</w:t>
      </w:r>
      <w:r>
        <w:rPr>
          <w:rFonts w:hint="eastAsia" w:ascii="宋体" w:hAnsi="宋体"/>
          <w:szCs w:val="21"/>
          <w:u w:val="thick"/>
        </w:rPr>
        <w:t xml:space="preserve">     </w:t>
      </w:r>
      <w:r>
        <w:rPr>
          <w:rFonts w:hint="eastAsia" w:ascii="宋体" w:hAnsi="宋体"/>
          <w:szCs w:val="21"/>
        </w:rPr>
        <w:t>月</w:t>
      </w:r>
      <w:r>
        <w:rPr>
          <w:rFonts w:hint="eastAsia" w:ascii="宋体" w:hAnsi="宋体"/>
          <w:szCs w:val="21"/>
          <w:u w:val="thick"/>
        </w:rPr>
        <w:t xml:space="preserve">    </w:t>
      </w:r>
      <w:r>
        <w:rPr>
          <w:rFonts w:hint="eastAsia" w:ascii="宋体" w:hAnsi="宋体"/>
          <w:szCs w:val="21"/>
        </w:rPr>
        <w:t>日</w:t>
      </w:r>
      <w:r>
        <w:rPr>
          <w:rFonts w:hint="eastAsia"/>
          <w:sz w:val="24"/>
        </w:rPr>
        <w:t xml:space="preserve">                                </w:t>
      </w:r>
    </w:p>
    <w:p w14:paraId="31577CF6">
      <w:pPr>
        <w:rPr>
          <w:rFonts w:hint="eastAsia" w:ascii="黑体" w:hAnsi="宋体" w:eastAsia="黑体"/>
        </w:rPr>
      </w:pPr>
    </w:p>
    <w:p w14:paraId="2026853A">
      <w:pPr>
        <w:rPr>
          <w:rFonts w:hint="eastAsia" w:ascii="黑体" w:hAnsi="宋体" w:eastAsia="黑体"/>
        </w:rPr>
      </w:pPr>
    </w:p>
    <w:bookmarkEnd w:id="21"/>
    <w:p w14:paraId="16B0821A">
      <w:pPr>
        <w:pStyle w:val="6"/>
        <w:jc w:val="center"/>
        <w:rPr>
          <w:rFonts w:hint="eastAsia" w:ascii="黑体" w:eastAsia="黑体"/>
          <w:b w:val="0"/>
          <w:sz w:val="24"/>
        </w:rPr>
      </w:pPr>
      <w:r>
        <w:rPr>
          <w:rFonts w:hint="eastAsia" w:ascii="黑体" w:eastAsia="黑体"/>
          <w:b w:val="0"/>
          <w:sz w:val="24"/>
        </w:rPr>
        <w:t>二、政府采购投标及履约承诺函</w:t>
      </w:r>
    </w:p>
    <w:p w14:paraId="5C4087AB">
      <w:pPr>
        <w:rPr>
          <w:rFonts w:hint="eastAsia" w:ascii="宋体" w:hAnsi="宋体"/>
          <w:color w:val="FF0000"/>
          <w:szCs w:val="21"/>
        </w:rPr>
      </w:pPr>
      <w:bookmarkStart w:id="25" w:name="_Hlk72257530"/>
      <w:r>
        <w:rPr>
          <w:rFonts w:hint="eastAsia" w:ascii="宋体" w:hAnsi="宋体"/>
          <w:color w:val="FF0000"/>
          <w:szCs w:val="21"/>
        </w:rPr>
        <w:t>致：</w:t>
      </w:r>
      <w:r>
        <w:rPr>
          <w:rFonts w:hint="eastAsia" w:ascii="宋体" w:hAnsi="宋体"/>
          <w:color w:val="FF0000"/>
          <w:szCs w:val="21"/>
          <w:u w:val="single"/>
        </w:rPr>
        <w:t>深圳公共资源交易中心</w:t>
      </w:r>
    </w:p>
    <w:p w14:paraId="5B945D28">
      <w:pPr>
        <w:ind w:right="-815" w:firstLine="420" w:firstLineChars="200"/>
        <w:rPr>
          <w:rFonts w:hint="eastAsia" w:ascii="宋体" w:hAnsi="宋体"/>
          <w:szCs w:val="21"/>
        </w:rPr>
      </w:pPr>
      <w:r>
        <w:rPr>
          <w:rFonts w:hint="eastAsia" w:ascii="宋体" w:hAnsi="宋体"/>
          <w:szCs w:val="21"/>
        </w:rPr>
        <w:t>我单位承诺：</w:t>
      </w:r>
    </w:p>
    <w:p w14:paraId="2079BA04">
      <w:pPr>
        <w:ind w:firstLine="420" w:firstLineChars="200"/>
        <w:rPr>
          <w:rFonts w:hint="eastAsia" w:ascii="宋体" w:hAnsi="宋体"/>
          <w:szCs w:val="21"/>
        </w:rPr>
      </w:pPr>
      <w:r>
        <w:rPr>
          <w:rFonts w:hint="eastAsia" w:ascii="宋体" w:hAnsi="宋体"/>
          <w:szCs w:val="21"/>
        </w:rPr>
        <w:t>1.我单位参与本项目</w:t>
      </w:r>
      <w:r>
        <w:rPr>
          <w:rFonts w:hint="eastAsia" w:ascii="宋体" w:hAnsi="宋体"/>
        </w:rPr>
        <w:t>所投标（响应）的货物、工程或服务，不存在侵犯知识产权的情况。</w:t>
      </w:r>
    </w:p>
    <w:p w14:paraId="786E0BEC">
      <w:pPr>
        <w:ind w:firstLine="420" w:firstLineChars="200"/>
        <w:rPr>
          <w:rFonts w:hint="eastAsia" w:ascii="宋体" w:hAnsi="宋体"/>
          <w:szCs w:val="21"/>
        </w:rPr>
      </w:pPr>
      <w:r>
        <w:rPr>
          <w:rFonts w:hint="eastAsia" w:ascii="宋体" w:hAnsi="宋体"/>
          <w:szCs w:val="21"/>
        </w:rPr>
        <w:t>2.我单位参与本项目</w:t>
      </w:r>
      <w:r>
        <w:rPr>
          <w:rFonts w:hint="eastAsia"/>
        </w:rPr>
        <w:t>政府采购活动时不存在被有关部门禁止参与政府采购活动且在有效期内的情况。</w:t>
      </w:r>
    </w:p>
    <w:p w14:paraId="7E429B0C">
      <w:pPr>
        <w:ind w:firstLine="420" w:firstLineChars="200"/>
        <w:rPr>
          <w:rFonts w:hint="eastAsia" w:ascii="宋体" w:hAnsi="宋体"/>
          <w:szCs w:val="21"/>
        </w:rPr>
      </w:pPr>
      <w:r>
        <w:rPr>
          <w:rFonts w:hint="eastAsia" w:ascii="宋体" w:hAnsi="宋体"/>
          <w:szCs w:val="21"/>
        </w:rPr>
        <w:t>3.我单位具备《中华人民共和国政府采购法》第二十二条第一款规定的六项条件。</w:t>
      </w:r>
    </w:p>
    <w:p w14:paraId="6F89AA66">
      <w:pPr>
        <w:ind w:firstLine="420" w:firstLineChars="200"/>
      </w:pPr>
      <w:r>
        <w:rPr>
          <w:rFonts w:hint="eastAsia" w:ascii="宋体" w:hAnsi="宋体"/>
          <w:szCs w:val="21"/>
        </w:rPr>
        <w:t>4.我单位</w:t>
      </w:r>
      <w:r>
        <w:rPr>
          <w:rFonts w:hint="eastAsia"/>
        </w:rPr>
        <w:t>未被列入失信被执行人、重大税收违法案件当事人名单、政府采购严重违法失信行为记录名单。</w:t>
      </w:r>
    </w:p>
    <w:p w14:paraId="3624C4C1">
      <w:pPr>
        <w:ind w:firstLine="420" w:firstLineChars="200"/>
      </w:pPr>
      <w:r>
        <w:rPr>
          <w:rFonts w:hint="eastAsia" w:ascii="Times New Roman" w:eastAsia="宋体"/>
          <w:color w:val="FF0000"/>
        </w:rPr>
        <w:t>5.我单位不存在《深圳市财政局政府采购供应商信用信息管理办法》（深财规〔2023〕3号）列明的严重违法失信行为。</w:t>
      </w:r>
    </w:p>
    <w:p w14:paraId="4745CDD8">
      <w:pPr>
        <w:ind w:firstLine="420" w:firstLineChars="200"/>
        <w:rPr>
          <w:rFonts w:hint="eastAsia" w:ascii="宋体" w:hAnsi="宋体"/>
          <w:szCs w:val="21"/>
        </w:rPr>
      </w:pPr>
      <w:r>
        <w:rPr>
          <w:rFonts w:hint="eastAsia" w:ascii="宋体" w:hAnsi="宋体"/>
          <w:szCs w:val="21"/>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67ABD4F4">
      <w:pPr>
        <w:ind w:firstLine="420" w:firstLineChars="200"/>
        <w:rPr>
          <w:rFonts w:hint="eastAsia"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53DFE409">
      <w:pPr>
        <w:ind w:firstLine="420" w:firstLineChars="200"/>
        <w:rPr>
          <w:rFonts w:hint="eastAsia"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04835407">
      <w:pPr>
        <w:ind w:firstLine="420" w:firstLineChars="200"/>
        <w:rPr>
          <w:rFonts w:hint="eastAsia" w:ascii="宋体" w:hAnsi="宋体"/>
          <w:szCs w:val="21"/>
        </w:rPr>
      </w:pPr>
      <w:r>
        <w:rPr>
          <w:rFonts w:hint="eastAsia" w:ascii="宋体" w:hAnsi="宋体"/>
          <w:szCs w:val="21"/>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6AD19AFF">
      <w:pPr>
        <w:ind w:firstLine="420" w:firstLineChars="200"/>
        <w:rPr>
          <w:rFonts w:hint="eastAsia" w:ascii="宋体" w:hAnsi="宋体"/>
          <w:szCs w:val="21"/>
        </w:rPr>
      </w:pPr>
      <w:r>
        <w:rPr>
          <w:rFonts w:hint="eastAsia" w:ascii="宋体" w:hAnsi="宋体"/>
          <w:szCs w:val="21"/>
        </w:rPr>
        <w:t>9.我单位承诺中标后项目不转包，未经采购人同意不进行分包。</w:t>
      </w:r>
    </w:p>
    <w:p w14:paraId="1A50E42A">
      <w:pPr>
        <w:ind w:firstLine="420" w:firstLineChars="200"/>
        <w:rPr>
          <w:rFonts w:hint="eastAsia" w:ascii="宋体" w:hAnsi="宋体"/>
        </w:rPr>
      </w:pPr>
      <w:r>
        <w:rPr>
          <w:rFonts w:hint="eastAsia" w:ascii="宋体" w:hAnsi="宋体"/>
          <w:szCs w:val="21"/>
        </w:rPr>
        <w:t>10</w:t>
      </w:r>
      <w:r>
        <w:rPr>
          <w:rFonts w:ascii="宋体" w:hAnsi="宋体"/>
          <w:szCs w:val="21"/>
        </w:rPr>
        <w:t>.</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396F05F7">
      <w:pPr>
        <w:ind w:firstLine="420" w:firstLineChars="200"/>
        <w:rPr>
          <w:rFonts w:hint="eastAsia" w:ascii="宋体" w:hAnsi="宋体" w:cs="宋体"/>
          <w:b/>
          <w:kern w:val="0"/>
          <w:szCs w:val="21"/>
        </w:rPr>
      </w:pPr>
      <w:r>
        <w:rPr>
          <w:rFonts w:hint="eastAsia" w:ascii="宋体" w:hAnsi="宋体"/>
        </w:rPr>
        <w:t>11</w:t>
      </w:r>
      <w:r>
        <w:rPr>
          <w:rFonts w:ascii="宋体" w:hAnsi="宋体"/>
        </w:rPr>
        <w:t>.</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号）列明的政府采购强制产品，则所投该产品符合节能产品的认证要求。若所投产品包括数据中心相关设备的，应满足</w:t>
      </w:r>
      <w:r>
        <w:rPr>
          <w:rFonts w:hint="eastAsia"/>
        </w:rPr>
        <w:t>《财政部 生态环境部 工业和信息化部关于印发&lt;绿色数据中心政府采购需求标准（试行）&gt;的通知》</w:t>
      </w:r>
      <w:r>
        <w:rPr>
          <w:rFonts w:hint="eastAsia" w:eastAsia="宋体"/>
        </w:rPr>
        <w:t>（</w:t>
      </w:r>
      <w:r>
        <w:rPr>
          <w:rFonts w:hint="eastAsia"/>
        </w:rPr>
        <w:t>财库〔2023〕7号）</w:t>
      </w:r>
      <w:r>
        <w:rPr>
          <w:rFonts w:hint="eastAsia" w:ascii="Times New Roman" w:eastAsia="宋体"/>
        </w:rPr>
        <w:t>要求。若所投产品涉及国家强制性标准的，所投产品应符合国家强制性标准相关要求。</w:t>
      </w:r>
    </w:p>
    <w:p w14:paraId="15816E1C">
      <w:pPr>
        <w:ind w:firstLine="420" w:firstLineChars="200"/>
        <w:rPr>
          <w:rFonts w:hint="eastAsia" w:ascii="宋体" w:hAnsi="宋体"/>
          <w:bCs/>
        </w:rPr>
      </w:pPr>
      <w:r>
        <w:rPr>
          <w:rFonts w:hint="eastAsia" w:ascii="宋体" w:hAnsi="宋体" w:cs="宋体"/>
          <w:bCs/>
          <w:kern w:val="0"/>
          <w:szCs w:val="21"/>
        </w:rPr>
        <w:t>12.</w:t>
      </w:r>
      <w:r>
        <w:rPr>
          <w:rFonts w:hint="eastAsia" w:ascii="宋体" w:hAnsi="宋体"/>
          <w:bCs/>
        </w:rPr>
        <w:t>我单位已知悉并同意中标（成交）结果信息公示（公开）的内容。</w:t>
      </w:r>
    </w:p>
    <w:p w14:paraId="2D7AD29C">
      <w:pPr>
        <w:ind w:firstLine="420" w:firstLineChars="200"/>
        <w:rPr>
          <w:rFonts w:hint="eastAsia" w:ascii="宋体" w:hAnsi="宋体"/>
          <w:bCs/>
        </w:rPr>
      </w:pPr>
      <w:r>
        <w:rPr>
          <w:rFonts w:hint="eastAsia" w:ascii="宋体" w:hAnsi="宋体"/>
          <w:bCs/>
        </w:rPr>
        <w:t>13.</w:t>
      </w:r>
      <w:bookmarkStart w:id="26" w:name="OLE_LINK12"/>
      <w:bookmarkStart w:id="27" w:name="OLE_LINK3"/>
      <w:r>
        <w:rPr>
          <w:rFonts w:hint="eastAsia" w:ascii="宋体" w:hAnsi="宋体"/>
          <w:bCs/>
        </w:rPr>
        <w:t>我单位保证，符合《中华人民共和国政府采购法实施条例》第十八条规定，与其他投标供应商不存在单位负责人为同一人或者存在直接控股、管理关系；不存在为本次采购项目提供整体设计、规范编制或者项目管理、监理、检测等服务的情形。若存在“不同供应商的董事、股东或其他高级管理人员为同一人的”情形的，我单位保证不存在串通投标、恶意串通或者视为串通投标的情形</w:t>
      </w:r>
      <w:bookmarkEnd w:id="26"/>
      <w:r>
        <w:rPr>
          <w:rFonts w:hint="eastAsia" w:ascii="宋体" w:hAnsi="宋体"/>
          <w:bCs/>
        </w:rPr>
        <w:t>。</w:t>
      </w:r>
      <w:bookmarkEnd w:id="27"/>
    </w:p>
    <w:p w14:paraId="48B2B3E6">
      <w:pPr>
        <w:ind w:firstLine="422" w:firstLineChars="200"/>
        <w:rPr>
          <w:rFonts w:hint="eastAsia" w:ascii="宋体" w:hAnsi="宋体"/>
          <w:b/>
        </w:rPr>
      </w:pPr>
      <w:r>
        <w:rPr>
          <w:rFonts w:hint="eastAsia" w:ascii="宋体" w:hAnsi="宋体"/>
          <w:b/>
        </w:rPr>
        <w:t>14.我单位清楚，如存在违反投标承诺行为情节严重的，将根据《深圳市财政局关于印发&lt;深圳市财政局政府采购供应商信用信息管理办法&gt;的通知》，依法被列入失信信息。</w:t>
      </w:r>
    </w:p>
    <w:p w14:paraId="2BCCFAB7">
      <w:pPr>
        <w:ind w:firstLine="422" w:firstLineChars="200"/>
        <w:rPr>
          <w:rFonts w:hint="eastAsia" w:ascii="宋体" w:hAnsi="宋体"/>
          <w:b/>
        </w:rPr>
      </w:pPr>
    </w:p>
    <w:p w14:paraId="618F1C6B">
      <w:pPr>
        <w:ind w:firstLine="420" w:firstLineChars="200"/>
        <w:rPr>
          <w:rFonts w:hint="eastAsia" w:ascii="宋体" w:hAnsi="宋体"/>
          <w:szCs w:val="21"/>
        </w:rPr>
      </w:pPr>
      <w:r>
        <w:rPr>
          <w:rFonts w:hint="eastAsia" w:ascii="宋体" w:hAnsi="宋体"/>
          <w:szCs w:val="21"/>
        </w:rPr>
        <w:t>以上承诺，如有违反，愿依照国家相关法律法规处理，并承担由此给采购人带来的损失。</w:t>
      </w:r>
    </w:p>
    <w:p w14:paraId="42F84575">
      <w:pPr>
        <w:spacing w:before="78" w:beforeLines="25" w:after="78" w:afterLines="25"/>
        <w:ind w:firstLine="5460" w:firstLineChars="2600"/>
        <w:rPr>
          <w:rFonts w:hint="eastAsia" w:ascii="宋体" w:hAnsi="宋体"/>
          <w:szCs w:val="21"/>
        </w:rPr>
      </w:pPr>
      <w:r>
        <w:rPr>
          <w:rFonts w:hint="eastAsia" w:ascii="宋体" w:hAnsi="宋体"/>
          <w:szCs w:val="21"/>
        </w:rPr>
        <w:t xml:space="preserve">                                    </w:t>
      </w:r>
    </w:p>
    <w:bookmarkEnd w:id="25"/>
    <w:p w14:paraId="43030B88">
      <w:pPr>
        <w:spacing w:before="78" w:beforeLines="25" w:after="78" w:afterLines="25"/>
        <w:jc w:val="right"/>
        <w:rPr>
          <w:rFonts w:eastAsia="宋体"/>
          <w:color w:val="FF0000"/>
        </w:rPr>
      </w:pPr>
      <w:r>
        <w:rPr>
          <w:rFonts w:hint="eastAsia"/>
          <w:color w:val="FF0000"/>
          <w:szCs w:val="21"/>
        </w:rPr>
        <w:t>投标人：</w:t>
      </w:r>
      <w:r>
        <w:rPr>
          <w:rFonts w:hint="eastAsia"/>
          <w:color w:val="FF0000"/>
          <w:szCs w:val="21"/>
          <w:u w:val="thick"/>
        </w:rPr>
        <w:t xml:space="preserve">                           </w:t>
      </w:r>
      <w:r>
        <w:rPr>
          <w:rFonts w:hint="eastAsia"/>
          <w:color w:val="FF0000"/>
          <w:szCs w:val="21"/>
        </w:rPr>
        <w:t>.</w:t>
      </w:r>
    </w:p>
    <w:p w14:paraId="50BFBEFE">
      <w:pPr>
        <w:jc w:val="right"/>
        <w:rPr>
          <w:rFonts w:hint="eastAsia" w:ascii="宋体" w:hAnsi="宋体"/>
          <w:color w:val="FF0000"/>
          <w:szCs w:val="21"/>
        </w:rPr>
      </w:pPr>
      <w:r>
        <w:rPr>
          <w:rFonts w:hint="eastAsia" w:ascii="宋体" w:hAnsi="宋体"/>
          <w:color w:val="FF0000"/>
          <w:szCs w:val="21"/>
        </w:rPr>
        <w:t>日期：</w:t>
      </w:r>
      <w:r>
        <w:rPr>
          <w:rFonts w:hint="eastAsia"/>
          <w:color w:val="FF0000"/>
          <w:szCs w:val="21"/>
          <w:u w:val="thick"/>
        </w:rPr>
        <w:t xml:space="preserve">        </w:t>
      </w:r>
      <w:r>
        <w:rPr>
          <w:rFonts w:hint="eastAsia" w:ascii="宋体" w:hAnsi="宋体"/>
          <w:color w:val="FF0000"/>
          <w:szCs w:val="21"/>
        </w:rPr>
        <w:t>年</w:t>
      </w:r>
      <w:r>
        <w:rPr>
          <w:rFonts w:hint="eastAsia"/>
          <w:color w:val="FF0000"/>
          <w:szCs w:val="21"/>
          <w:u w:val="thick"/>
        </w:rPr>
        <w:t xml:space="preserve">       </w:t>
      </w:r>
      <w:r>
        <w:rPr>
          <w:rFonts w:hint="eastAsia" w:ascii="宋体" w:hAnsi="宋体"/>
          <w:color w:val="FF0000"/>
          <w:szCs w:val="21"/>
        </w:rPr>
        <w:t>月</w:t>
      </w:r>
      <w:r>
        <w:rPr>
          <w:rFonts w:hint="eastAsia"/>
          <w:color w:val="FF0000"/>
          <w:szCs w:val="21"/>
          <w:u w:val="thick"/>
        </w:rPr>
        <w:t xml:space="preserve">       </w:t>
      </w:r>
      <w:r>
        <w:rPr>
          <w:rFonts w:hint="eastAsia" w:ascii="宋体" w:hAnsi="宋体"/>
          <w:color w:val="FF0000"/>
          <w:szCs w:val="21"/>
        </w:rPr>
        <w:t>日</w:t>
      </w:r>
    </w:p>
    <w:p w14:paraId="383C1046">
      <w:pPr>
        <w:ind w:firstLine="645"/>
        <w:rPr>
          <w:rFonts w:hint="eastAsia" w:ascii="宋体" w:hAnsi="宋体"/>
          <w:szCs w:val="21"/>
        </w:rPr>
      </w:pPr>
    </w:p>
    <w:p w14:paraId="4B75E96C">
      <w:pPr>
        <w:rPr>
          <w:rFonts w:ascii="宋体"/>
          <w:b/>
          <w:szCs w:val="21"/>
        </w:rPr>
      </w:pPr>
    </w:p>
    <w:p w14:paraId="3FBF1C71">
      <w:pPr>
        <w:ind w:firstLine="482" w:firstLineChars="200"/>
        <w:jc w:val="center"/>
        <w:rPr>
          <w:rFonts w:hint="eastAsia" w:hAnsi="宋体"/>
          <w:b/>
          <w:bCs/>
          <w:sz w:val="24"/>
        </w:rPr>
      </w:pPr>
    </w:p>
    <w:p w14:paraId="645A72A8">
      <w:pPr>
        <w:pStyle w:val="6"/>
        <w:jc w:val="center"/>
        <w:rPr>
          <w:rFonts w:hint="eastAsia" w:ascii="黑体" w:eastAsia="黑体"/>
          <w:b w:val="0"/>
          <w:sz w:val="24"/>
          <w:szCs w:val="24"/>
        </w:rPr>
      </w:pPr>
      <w:r>
        <w:rPr>
          <w:rFonts w:hint="eastAsia" w:ascii="黑体" w:eastAsia="黑体"/>
          <w:b w:val="0"/>
          <w:sz w:val="24"/>
          <w:szCs w:val="24"/>
        </w:rPr>
        <w:t>三、投标人情况及资格证明文件</w:t>
      </w:r>
    </w:p>
    <w:p w14:paraId="71BA8E69">
      <w:pPr>
        <w:rPr>
          <w:b/>
          <w:bCs/>
          <w:sz w:val="24"/>
        </w:rPr>
      </w:pPr>
    </w:p>
    <w:p w14:paraId="761546FA">
      <w:pPr>
        <w:ind w:firstLine="2640" w:firstLineChars="1100"/>
        <w:outlineLvl w:val="3"/>
        <w:rPr>
          <w:rFonts w:hint="eastAsia" w:ascii="黑体" w:hAnsi="宋体" w:eastAsia="黑体"/>
          <w:bCs/>
          <w:kern w:val="0"/>
          <w:sz w:val="24"/>
          <w:szCs w:val="32"/>
        </w:rPr>
      </w:pPr>
      <w:bookmarkStart w:id="28" w:name="_Hlk72257590"/>
      <w:r>
        <w:rPr>
          <w:rFonts w:hint="eastAsia" w:ascii="黑体" w:hAnsi="宋体" w:eastAsia="黑体"/>
          <w:bCs/>
          <w:kern w:val="0"/>
          <w:sz w:val="24"/>
          <w:szCs w:val="32"/>
        </w:rPr>
        <w:t>（一）投标人资格证明文件</w:t>
      </w:r>
    </w:p>
    <w:p w14:paraId="5EFA725A">
      <w:pPr>
        <w:spacing w:before="156" w:beforeLines="50"/>
        <w:ind w:firstLine="422" w:firstLineChars="200"/>
        <w:rPr>
          <w:b/>
          <w:bCs/>
          <w:color w:val="FF0000"/>
        </w:rPr>
      </w:pPr>
      <w:r>
        <w:rPr>
          <w:rFonts w:hint="eastAsia"/>
          <w:b/>
          <w:bCs/>
          <w:color w:val="FF0000"/>
        </w:rPr>
        <w:t>（特别提示：投标人须按本招标文件第一册第一章招标公告 “申请人的资格要求”（即投标人资格要求）提供相关的资格证明资料，未提供或提供不完整、不符合要求的，将作投标无效处理，其中要求提供《政府采购投标及履约承诺函》且已在“二、政府采购投标及履约承诺函”章节中提供了，此处可不重复提供，《供应商基本情况表》为必填内容，须按照相应格式及节点在“信息不公开部分”提供。）</w:t>
      </w:r>
    </w:p>
    <w:p w14:paraId="24629352">
      <w:pPr>
        <w:rPr>
          <w:b/>
          <w:bCs/>
          <w:sz w:val="24"/>
        </w:rPr>
      </w:pPr>
    </w:p>
    <w:p w14:paraId="511638E2">
      <w:pPr>
        <w:ind w:firstLine="480" w:firstLineChars="200"/>
        <w:outlineLvl w:val="3"/>
        <w:rPr>
          <w:rFonts w:hint="eastAsia" w:ascii="黑体" w:hAnsi="宋体" w:eastAsia="黑体"/>
          <w:bCs/>
          <w:kern w:val="0"/>
          <w:sz w:val="24"/>
          <w:szCs w:val="32"/>
        </w:rPr>
      </w:pPr>
      <w:bookmarkStart w:id="29" w:name="_Hlk72257908"/>
      <w:r>
        <w:rPr>
          <w:rFonts w:hint="eastAsia" w:ascii="黑体" w:hAnsi="宋体" w:eastAsia="黑体"/>
          <w:bCs/>
          <w:kern w:val="0"/>
          <w:sz w:val="24"/>
          <w:szCs w:val="32"/>
        </w:rPr>
        <w:t>（二）中小企业声明函、残疾人福利性单位声明函及监狱企业声明函</w:t>
      </w:r>
    </w:p>
    <w:bookmarkEnd w:id="28"/>
    <w:p w14:paraId="50D7E7AD">
      <w:pPr>
        <w:jc w:val="left"/>
        <w:outlineLvl w:val="3"/>
        <w:rPr>
          <w:rFonts w:hint="eastAsia" w:ascii="黑体" w:hAnsi="宋体" w:eastAsia="黑体"/>
          <w:bCs/>
          <w:kern w:val="0"/>
          <w:sz w:val="24"/>
          <w:szCs w:val="32"/>
        </w:rPr>
      </w:pPr>
    </w:p>
    <w:p w14:paraId="1CDDF844">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填写指引：</w:t>
      </w:r>
    </w:p>
    <w:p w14:paraId="5657C8E7">
      <w:pPr>
        <w:ind w:firstLine="420" w:firstLineChars="200"/>
        <w:outlineLvl w:val="3"/>
        <w:rPr>
          <w:rFonts w:hint="eastAsia" w:ascii="黑体" w:hAnsi="黑体" w:eastAsia="黑体"/>
          <w:color w:val="FF0000"/>
          <w:szCs w:val="21"/>
        </w:rPr>
      </w:pPr>
      <w:r>
        <w:rPr>
          <w:rFonts w:hint="eastAsia" w:ascii="黑体" w:hAnsi="宋体" w:eastAsia="黑体"/>
          <w:bCs/>
          <w:color w:val="FF0000"/>
          <w:kern w:val="0"/>
          <w:szCs w:val="21"/>
        </w:rPr>
        <w:t>1、该部分内容由投标人根据自身实际情况填写，不符合要求的投标人可以不填写或直接删除相应的声明函。</w:t>
      </w:r>
      <w:r>
        <w:rPr>
          <w:rFonts w:hint="eastAsia" w:ascii="黑体" w:hAnsi="黑体" w:eastAsia="黑体"/>
          <w:color w:val="FF0000"/>
          <w:szCs w:val="21"/>
        </w:rPr>
        <w:t>投标人提供的声明函不属实的，属于提供虚假资料谋取中标，依照《中华人民共和国政府采购法》等国家有关规定追究相应责任。</w:t>
      </w:r>
    </w:p>
    <w:p w14:paraId="17FAA14A">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2、该部分内容填写需要参考的相关文件：</w:t>
      </w:r>
    </w:p>
    <w:p w14:paraId="6692B557">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1</w:t>
      </w:r>
      <w:r>
        <w:rPr>
          <w:rFonts w:hint="eastAsia" w:ascii="黑体" w:hAnsi="黑体" w:eastAsia="黑体"/>
          <w:color w:val="FF0000"/>
          <w:szCs w:val="21"/>
        </w:rPr>
        <w:t>)财政部《政府采购促进中小企业发展管理办法》（财库〔2020〕46号）</w:t>
      </w:r>
    </w:p>
    <w:p w14:paraId="7743D2BC">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2</w:t>
      </w:r>
      <w:r>
        <w:rPr>
          <w:rFonts w:hint="eastAsia" w:ascii="黑体" w:hAnsi="黑体" w:eastAsia="黑体"/>
          <w:color w:val="FF0000"/>
          <w:szCs w:val="21"/>
        </w:rPr>
        <w:t>)</w:t>
      </w:r>
      <w:bookmarkStart w:id="30" w:name="_Hlk71925120"/>
      <w:r>
        <w:rPr>
          <w:rFonts w:hint="eastAsia" w:ascii="黑体" w:hAnsi="黑体" w:eastAsia="黑体"/>
          <w:color w:val="FF0000"/>
          <w:szCs w:val="21"/>
        </w:rPr>
        <w:t>《工业和信息化部、国家统计局、国家发展和改革委员会、财政部关于印发中小企业划型标准规定的通知》（工信部联企业〔2011〕300号</w:t>
      </w:r>
      <w:bookmarkEnd w:id="30"/>
      <w:r>
        <w:rPr>
          <w:rFonts w:hint="eastAsia" w:ascii="黑体" w:hAnsi="黑体" w:eastAsia="黑体"/>
          <w:color w:val="FF0000"/>
          <w:szCs w:val="21"/>
        </w:rPr>
        <w:t>）</w:t>
      </w:r>
    </w:p>
    <w:p w14:paraId="7291BDA0">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(3)《统计上大中小微型企业划分办法(2017)》（国统字〔2017〕213号）</w:t>
      </w:r>
    </w:p>
    <w:p w14:paraId="5A410BF8">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(4)《关于促进残疾人就业政府采购政策的通知》（财库〔2017〕141号）</w:t>
      </w:r>
    </w:p>
    <w:p w14:paraId="1F65C3B5">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(5)《关于政府采购支持监狱企业发展有关问题的通知》（财库〔2014〕68号）</w:t>
      </w:r>
    </w:p>
    <w:p w14:paraId="61A5FABE">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3、请依照提供的格式和内容填写声明函，不要随意变更格式；声明函不需要盖章或签字；</w:t>
      </w:r>
      <w:r>
        <w:rPr>
          <w:rFonts w:hint="eastAsia" w:ascii="黑体" w:hAnsi="黑体" w:eastAsia="黑体"/>
          <w:color w:val="FF0000"/>
          <w:szCs w:val="21"/>
        </w:rPr>
        <w:t>满足多项优惠政策的投标人，不重复享受多项价格扣除政策。</w:t>
      </w:r>
    </w:p>
    <w:p w14:paraId="4486C0B1">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4、声明函具体填写要求：</w:t>
      </w:r>
    </w:p>
    <w:p w14:paraId="1ABB6DDC">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（1）声明是中小企业须填写《中小企业声明函》的以下内容：</w:t>
      </w:r>
    </w:p>
    <w:p w14:paraId="7DF53F23">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第一处，在“单位名称”下划线处如实填写采购人名称（深圳公共资源交易中心不是本项目的采购人，而是组织实施机构）；</w:t>
      </w:r>
    </w:p>
    <w:p w14:paraId="10051464">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第二处，在“项目名称”下划线处如实填写采购文件中确定的项目名称。对于分包方式面向中小企业采购的项目，应标明中小企业的具体分包内容；对于以联合体方式面向中小企业采购的项目，应标明联合体中中小企业所承担的具体内容；</w:t>
      </w:r>
    </w:p>
    <w:p w14:paraId="10295649">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第三处，在“标的名称”下划线处填写所采购标的具体名称（以招标文件第一册第三章用户需求书“服务需求明细”的“服务需求名称（标的名称）”一栏为准）；如果涉及多项服务（标的）为同一企业承接的，“标的名称”下划线处可以如实填写多项服务；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049DB416">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第四处，在“采购文件中明确的所属行业”下划线处填写采购标的对应的中小企业划分标准所属行业（所属行业以招标文件第一册第三章用户需求书“服务需求明细”的“标的所属行业”一栏为准），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分包部分采购标的涉及的服务承接商本身的所属行业保持一致；</w:t>
      </w:r>
    </w:p>
    <w:p w14:paraId="3F3A836F">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第五处，在“企业名称”下划线处如实填写</w:t>
      </w:r>
      <w:r>
        <w:rPr>
          <w:rFonts w:hint="eastAsia" w:ascii="黑体" w:hAnsi="宋体" w:eastAsia="黑体"/>
          <w:b/>
          <w:color w:val="FF0000"/>
          <w:kern w:val="0"/>
          <w:szCs w:val="21"/>
        </w:rPr>
        <w:t>服务承接商名称。</w:t>
      </w:r>
      <w:r>
        <w:rPr>
          <w:rFonts w:hint="eastAsia" w:ascii="黑体" w:hAnsi="宋体" w:eastAsia="黑体"/>
          <w:bCs/>
          <w:color w:val="FF0000"/>
          <w:kern w:val="0"/>
          <w:szCs w:val="21"/>
        </w:rPr>
        <w:t>对于分包方式面向中小企业采购的项目，“企业名称”应填写分包部分采购标的对应的服务承接商；对于以联合体方式面向中小企业采购的项目，“企业名称”应填写联合体中中小企业承担采购标的对应的服务承接商；</w:t>
      </w:r>
    </w:p>
    <w:p w14:paraId="5196508B">
      <w:pPr>
        <w:ind w:firstLine="420" w:firstLineChars="200"/>
        <w:outlineLvl w:val="3"/>
        <w:rPr>
          <w:rFonts w:hint="eastAsia" w:ascii="黑体" w:hAnsi="宋体" w:eastAsia="黑体"/>
          <w:bCs/>
          <w:color w:val="FF0000"/>
          <w:kern w:val="0"/>
          <w:szCs w:val="21"/>
        </w:rPr>
      </w:pPr>
      <w:r>
        <w:rPr>
          <w:rFonts w:hint="eastAsia" w:ascii="黑体" w:hAnsi="宋体" w:eastAsia="黑体" w:cs="Times New Roman"/>
          <w:bCs/>
          <w:color w:val="FF0000"/>
          <w:kern w:val="0"/>
          <w:szCs w:val="21"/>
        </w:rPr>
        <w:t>第六、</w:t>
      </w:r>
      <w:r>
        <w:rPr>
          <w:rFonts w:hint="eastAsia" w:ascii="黑体" w:hAnsi="宋体" w:eastAsia="黑体"/>
          <w:bCs/>
          <w:color w:val="FF0000"/>
          <w:kern w:val="0"/>
          <w:szCs w:val="21"/>
        </w:rPr>
        <w:t>七、八处，在“从业人员”、“营业收入”、“资产总额”下划线处如实填写从业人员、营业收入、资产总额。从业人员、资产总额指标以上年度末数据为依据，营业收入指标以上年度累计数据为依据。无上年度数据的新成立企业可不填报。</w:t>
      </w:r>
    </w:p>
    <w:p w14:paraId="2CEF9F61">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第九处，在“中型企业、小型企业、微型企业”下划线处应依据企业上年度从业人员、营业收入、资产总额等指标，按照《中小企业划型标准规定》（工信部联企业〔2011〕300号）、《金融业企业划型标准规定》（银发〔2015〕309号），判断《中小企业声明函》载明的服务承接商是否属于采购文件所属行业的中型企业/小型企业/微型企业。</w:t>
      </w:r>
    </w:p>
    <w:p w14:paraId="489F45D3">
      <w:pPr>
        <w:pStyle w:val="30"/>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2）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4963E526">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（3）事业单位、社会组织等非企业主体不享受中小企业扶持政策。</w:t>
      </w:r>
    </w:p>
    <w:p w14:paraId="4C3712E3">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（4）声明是残疾人福利性单位须填写《残疾人福利性单位声明函》的相关内容，具体参照以上《中小企业声明函》填写要求执行。</w:t>
      </w:r>
    </w:p>
    <w:p w14:paraId="3C793B6A">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（5）声明是监狱企业须填写《监狱企业声明函》的三项内容（填写位置的字体已加粗），具体参照以上《中小企业声明函》填写要求执行。</w:t>
      </w:r>
    </w:p>
    <w:p w14:paraId="2E0AC464">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5、本项目属于服务类项目，相关服务承接商应当为中小企业或残疾人福利性单位或监狱企业，如包含硬件设备、产品等货物采购的，不再对其中涉及的货物制造商作出要求。</w:t>
      </w:r>
    </w:p>
    <w:p w14:paraId="7082DABA">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6、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566C6DAC">
      <w:pPr>
        <w:ind w:firstLine="420" w:firstLineChars="200"/>
      </w:pPr>
      <w:r>
        <w:rPr>
          <w:rFonts w:hint="eastAsia" w:ascii="黑体" w:hAnsi="宋体" w:eastAsia="黑体"/>
          <w:bCs/>
          <w:color w:val="FF0000"/>
          <w:kern w:val="0"/>
          <w:szCs w:val="21"/>
        </w:rPr>
        <w:t>7、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607F0281">
      <w:pPr>
        <w:ind w:firstLine="420" w:firstLineChars="200"/>
      </w:pPr>
    </w:p>
    <w:bookmarkEnd w:id="29"/>
    <w:p w14:paraId="0E485E06">
      <w:pPr>
        <w:numPr>
          <w:ilvl w:val="0"/>
          <w:numId w:val="8"/>
        </w:numPr>
        <w:jc w:val="center"/>
        <w:outlineLvl w:val="3"/>
      </w:pPr>
      <w:bookmarkStart w:id="31" w:name="OLE_LINK4"/>
      <w:r>
        <w:rPr>
          <w:b/>
          <w:sz w:val="24"/>
        </w:rPr>
        <w:t>中小企业声明函（</w:t>
      </w:r>
      <w:r>
        <w:rPr>
          <w:rFonts w:hint="eastAsia"/>
          <w:b/>
          <w:sz w:val="24"/>
        </w:rPr>
        <w:t>服务</w:t>
      </w:r>
      <w:r>
        <w:rPr>
          <w:b/>
          <w:sz w:val="24"/>
        </w:rPr>
        <w:t>）</w:t>
      </w:r>
    </w:p>
    <w:p w14:paraId="580D0CBC">
      <w:pPr>
        <w:spacing w:line="360" w:lineRule="auto"/>
        <w:ind w:firstLine="420" w:firstLineChars="200"/>
        <w:outlineLvl w:val="3"/>
        <w:rPr>
          <w:rFonts w:hint="eastAsia" w:asciiTheme="minorEastAsia" w:hAnsiTheme="minorEastAsia" w:cstheme="minorEastAsia"/>
          <w:szCs w:val="21"/>
        </w:rPr>
      </w:pPr>
      <w:r>
        <w:rPr>
          <w:rFonts w:hint="eastAsia" w:asciiTheme="minorEastAsia" w:hAnsiTheme="minorEastAsia" w:cstheme="minorEastAsia"/>
          <w:szCs w:val="21"/>
        </w:rPr>
        <w:t>本公司（联合体）郑重声明，根据《政府采购促进中小企业发展管理办法》（财库﹝2020﹞46号）的规定，本公司（联合体）参加</w:t>
      </w:r>
      <w:r>
        <w:rPr>
          <w:rFonts w:hint="eastAsia" w:asciiTheme="minorEastAsia" w:hAnsiTheme="minorEastAsia" w:cstheme="minorEastAsia"/>
          <w:b/>
          <w:bCs/>
          <w:i/>
          <w:iCs/>
          <w:szCs w:val="21"/>
          <w:u w:val="single"/>
        </w:rPr>
        <w:t xml:space="preserve">    （单位名称）    </w:t>
      </w:r>
      <w:r>
        <w:rPr>
          <w:rFonts w:hint="eastAsia" w:asciiTheme="minorEastAsia" w:hAnsiTheme="minorEastAsia" w:cstheme="minorEastAsia"/>
          <w:szCs w:val="21"/>
        </w:rPr>
        <w:t>的</w:t>
      </w:r>
      <w:r>
        <w:rPr>
          <w:rFonts w:hint="eastAsia" w:asciiTheme="minorEastAsia" w:hAnsiTheme="minorEastAsia" w:cstheme="minorEastAsia"/>
          <w:b/>
          <w:bCs/>
          <w:i/>
          <w:iCs/>
          <w:szCs w:val="21"/>
          <w:u w:val="single"/>
        </w:rPr>
        <w:t xml:space="preserve">    （项目名称）    </w:t>
      </w:r>
      <w:r>
        <w:rPr>
          <w:rFonts w:hint="eastAsia" w:asciiTheme="minorEastAsia" w:hAnsiTheme="minorEastAsia" w:cstheme="minorEastAsia"/>
          <w:szCs w:val="21"/>
        </w:rPr>
        <w:t>采购活动，服务全部由符合政策要求的中小企业承接。相关企业（含联合体中的中小企业、签订分包意向协议的中小企业）的具体情况如下：</w:t>
      </w:r>
    </w:p>
    <w:p w14:paraId="5C2CE467">
      <w:pPr>
        <w:spacing w:line="360" w:lineRule="auto"/>
        <w:ind w:firstLine="420" w:firstLineChars="200"/>
        <w:outlineLvl w:val="3"/>
        <w:rPr>
          <w:rFonts w:hint="eastAsia" w:asciiTheme="minorEastAsia" w:hAnsiTheme="minorEastAsia" w:cstheme="minorEastAsia"/>
          <w:szCs w:val="21"/>
        </w:rPr>
      </w:pPr>
      <w:r>
        <w:rPr>
          <w:rFonts w:hint="eastAsia" w:asciiTheme="minorEastAsia" w:hAnsiTheme="minorEastAsia" w:cstheme="minorEastAsia"/>
          <w:szCs w:val="21"/>
        </w:rPr>
        <w:t>1.</w:t>
      </w:r>
      <w:r>
        <w:rPr>
          <w:rFonts w:hint="eastAsia" w:asciiTheme="minorEastAsia" w:hAnsiTheme="minorEastAsia" w:cstheme="minorEastAsia"/>
          <w:b/>
          <w:bCs/>
          <w:i/>
          <w:iCs/>
          <w:szCs w:val="21"/>
          <w:u w:val="single"/>
        </w:rPr>
        <w:t xml:space="preserve">    （标的名称）     </w:t>
      </w:r>
      <w:r>
        <w:rPr>
          <w:rFonts w:hint="eastAsia" w:asciiTheme="minorEastAsia" w:hAnsiTheme="minorEastAsia" w:cstheme="minorEastAsia"/>
          <w:szCs w:val="21"/>
        </w:rPr>
        <w:t>，属于</w:t>
      </w:r>
      <w:r>
        <w:rPr>
          <w:rFonts w:hint="eastAsia" w:asciiTheme="minorEastAsia" w:hAnsiTheme="minorEastAsia" w:cstheme="minorEastAsia"/>
          <w:b/>
          <w:bCs/>
          <w:i/>
          <w:iCs/>
          <w:szCs w:val="21"/>
          <w:u w:val="single"/>
        </w:rPr>
        <w:t xml:space="preserve">    （采购文件中明确的所属行业）    </w:t>
      </w:r>
      <w:r>
        <w:rPr>
          <w:rFonts w:hint="eastAsia" w:asciiTheme="minorEastAsia" w:hAnsiTheme="minorEastAsia" w:cstheme="minorEastAsia"/>
          <w:szCs w:val="21"/>
        </w:rPr>
        <w:t>行业；承接企业为</w:t>
      </w:r>
      <w:r>
        <w:rPr>
          <w:rFonts w:hint="eastAsia" w:asciiTheme="minorEastAsia" w:hAnsiTheme="minorEastAsia" w:cstheme="minorEastAsia"/>
          <w:b/>
          <w:bCs/>
          <w:i/>
          <w:iCs/>
          <w:szCs w:val="21"/>
          <w:u w:val="single"/>
        </w:rPr>
        <w:t xml:space="preserve">    （企业名称，要求承接企业本身所属行业应当与招标文件要求的行业相一致）    </w:t>
      </w:r>
      <w:r>
        <w:rPr>
          <w:rFonts w:hint="eastAsia" w:asciiTheme="minorEastAsia" w:hAnsiTheme="minorEastAsia" w:cstheme="minorEastAsia"/>
          <w:szCs w:val="21"/>
        </w:rPr>
        <w:t>，从业人员</w:t>
      </w:r>
      <w:r>
        <w:rPr>
          <w:rFonts w:hint="eastAsia" w:asciiTheme="minorEastAsia" w:hAnsiTheme="minorEastAsia" w:cstheme="minorEastAsia"/>
          <w:b/>
          <w:bCs/>
          <w:i/>
          <w:iCs/>
          <w:szCs w:val="21"/>
          <w:u w:val="single"/>
        </w:rPr>
        <w:t xml:space="preserve">        </w:t>
      </w:r>
      <w:r>
        <w:rPr>
          <w:rFonts w:hint="eastAsia" w:asciiTheme="minorEastAsia" w:hAnsiTheme="minorEastAsia" w:cstheme="minorEastAsia"/>
          <w:szCs w:val="21"/>
        </w:rPr>
        <w:t>人，营业收入为</w:t>
      </w:r>
      <w:r>
        <w:rPr>
          <w:rFonts w:hint="eastAsia" w:asciiTheme="minorEastAsia" w:hAnsiTheme="minorEastAsia" w:cstheme="minorEastAsia"/>
          <w:b/>
          <w:bCs/>
          <w:i/>
          <w:iCs/>
          <w:szCs w:val="21"/>
          <w:u w:val="single"/>
        </w:rPr>
        <w:t xml:space="preserve">        </w:t>
      </w:r>
      <w:r>
        <w:rPr>
          <w:rFonts w:hint="eastAsia" w:asciiTheme="minorEastAsia" w:hAnsiTheme="minorEastAsia" w:cstheme="minorEastAsia"/>
          <w:szCs w:val="21"/>
        </w:rPr>
        <w:t>万元，资产总额为</w:t>
      </w:r>
      <w:r>
        <w:rPr>
          <w:rFonts w:hint="eastAsia" w:asciiTheme="minorEastAsia" w:hAnsiTheme="minorEastAsia" w:cstheme="minorEastAsia"/>
          <w:b/>
          <w:bCs/>
          <w:i/>
          <w:iCs/>
          <w:szCs w:val="21"/>
          <w:u w:val="single"/>
        </w:rPr>
        <w:t xml:space="preserve">        </w:t>
      </w:r>
      <w:r>
        <w:rPr>
          <w:rFonts w:hint="eastAsia" w:asciiTheme="minorEastAsia" w:hAnsiTheme="minorEastAsia" w:cstheme="minorEastAsia"/>
          <w:szCs w:val="21"/>
        </w:rPr>
        <w:t>万元，属于</w:t>
      </w:r>
      <w:r>
        <w:rPr>
          <w:rFonts w:hint="eastAsia" w:asciiTheme="minorEastAsia" w:hAnsiTheme="minorEastAsia" w:cstheme="minorEastAsia"/>
          <w:b/>
          <w:bCs/>
          <w:i/>
          <w:iCs/>
          <w:szCs w:val="21"/>
          <w:u w:val="single"/>
        </w:rPr>
        <w:t xml:space="preserve">    （中型企业、小型企业、微型企业）    </w:t>
      </w:r>
      <w:r>
        <w:rPr>
          <w:rFonts w:hint="eastAsia" w:asciiTheme="minorEastAsia" w:hAnsiTheme="minorEastAsia" w:cstheme="minorEastAsia"/>
          <w:szCs w:val="21"/>
        </w:rPr>
        <w:t>；</w:t>
      </w:r>
    </w:p>
    <w:p w14:paraId="5FF6562F">
      <w:pPr>
        <w:spacing w:line="360" w:lineRule="auto"/>
        <w:ind w:firstLine="420" w:firstLineChars="200"/>
        <w:outlineLvl w:val="3"/>
        <w:rPr>
          <w:rFonts w:hint="eastAsia" w:asciiTheme="minorEastAsia" w:hAnsiTheme="minorEastAsia" w:cstheme="minorEastAsia"/>
          <w:szCs w:val="21"/>
        </w:rPr>
      </w:pPr>
      <w:r>
        <w:rPr>
          <w:rFonts w:hint="eastAsia" w:asciiTheme="minorEastAsia" w:hAnsiTheme="minorEastAsia" w:cstheme="minorEastAsia"/>
          <w:szCs w:val="21"/>
        </w:rPr>
        <w:t>2.</w:t>
      </w:r>
      <w:r>
        <w:rPr>
          <w:rFonts w:hint="eastAsia" w:asciiTheme="minorEastAsia" w:hAnsiTheme="minorEastAsia" w:cstheme="minorEastAsia"/>
          <w:b/>
          <w:bCs/>
          <w:i/>
          <w:iCs/>
          <w:szCs w:val="21"/>
          <w:u w:val="single"/>
        </w:rPr>
        <w:t xml:space="preserve">    （标的名称）     </w:t>
      </w:r>
      <w:r>
        <w:rPr>
          <w:rFonts w:hint="eastAsia" w:asciiTheme="minorEastAsia" w:hAnsiTheme="minorEastAsia" w:cstheme="minorEastAsia"/>
          <w:szCs w:val="21"/>
        </w:rPr>
        <w:t>，属于</w:t>
      </w:r>
      <w:r>
        <w:rPr>
          <w:rFonts w:hint="eastAsia" w:asciiTheme="minorEastAsia" w:hAnsiTheme="minorEastAsia" w:cstheme="minorEastAsia"/>
          <w:b/>
          <w:bCs/>
          <w:i/>
          <w:iCs/>
          <w:szCs w:val="21"/>
          <w:u w:val="single"/>
        </w:rPr>
        <w:t xml:space="preserve">    （采购文件中明确的所属行业）    </w:t>
      </w:r>
      <w:r>
        <w:rPr>
          <w:rFonts w:hint="eastAsia" w:asciiTheme="minorEastAsia" w:hAnsiTheme="minorEastAsia" w:cstheme="minorEastAsia"/>
          <w:szCs w:val="21"/>
        </w:rPr>
        <w:t>行业；承接企业为</w:t>
      </w:r>
      <w:r>
        <w:rPr>
          <w:rFonts w:hint="eastAsia" w:asciiTheme="minorEastAsia" w:hAnsiTheme="minorEastAsia" w:cstheme="minorEastAsia"/>
          <w:b/>
          <w:bCs/>
          <w:i/>
          <w:iCs/>
          <w:szCs w:val="21"/>
          <w:u w:val="single"/>
        </w:rPr>
        <w:t xml:space="preserve">    （企业名称，要求承接企业本身所属行业应当与招标文件要求的行业相一致）    </w:t>
      </w:r>
      <w:r>
        <w:rPr>
          <w:rFonts w:hint="eastAsia" w:asciiTheme="minorEastAsia" w:hAnsiTheme="minorEastAsia" w:cstheme="minorEastAsia"/>
          <w:szCs w:val="21"/>
        </w:rPr>
        <w:t>，从业人员</w:t>
      </w:r>
      <w:r>
        <w:rPr>
          <w:rFonts w:hint="eastAsia" w:asciiTheme="minorEastAsia" w:hAnsiTheme="minorEastAsia" w:cstheme="minorEastAsia"/>
          <w:b/>
          <w:bCs/>
          <w:i/>
          <w:iCs/>
          <w:szCs w:val="21"/>
          <w:u w:val="single"/>
        </w:rPr>
        <w:t xml:space="preserve">        </w:t>
      </w:r>
      <w:r>
        <w:rPr>
          <w:rFonts w:hint="eastAsia" w:asciiTheme="minorEastAsia" w:hAnsiTheme="minorEastAsia" w:cstheme="minorEastAsia"/>
          <w:szCs w:val="21"/>
        </w:rPr>
        <w:t>人，营业收入为</w:t>
      </w:r>
      <w:r>
        <w:rPr>
          <w:rFonts w:hint="eastAsia" w:asciiTheme="minorEastAsia" w:hAnsiTheme="minorEastAsia" w:cstheme="minorEastAsia"/>
          <w:b/>
          <w:bCs/>
          <w:i/>
          <w:iCs/>
          <w:szCs w:val="21"/>
          <w:u w:val="single"/>
        </w:rPr>
        <w:t xml:space="preserve">        </w:t>
      </w:r>
      <w:r>
        <w:rPr>
          <w:rFonts w:hint="eastAsia" w:asciiTheme="minorEastAsia" w:hAnsiTheme="minorEastAsia" w:cstheme="minorEastAsia"/>
          <w:szCs w:val="21"/>
        </w:rPr>
        <w:t>万元，资产总额为</w:t>
      </w:r>
      <w:r>
        <w:rPr>
          <w:rFonts w:hint="eastAsia" w:asciiTheme="minorEastAsia" w:hAnsiTheme="minorEastAsia" w:cstheme="minorEastAsia"/>
          <w:b/>
          <w:bCs/>
          <w:i/>
          <w:iCs/>
          <w:szCs w:val="21"/>
          <w:u w:val="single"/>
        </w:rPr>
        <w:t xml:space="preserve">        </w:t>
      </w:r>
      <w:r>
        <w:rPr>
          <w:rFonts w:hint="eastAsia" w:asciiTheme="minorEastAsia" w:hAnsiTheme="minorEastAsia" w:cstheme="minorEastAsia"/>
          <w:szCs w:val="21"/>
        </w:rPr>
        <w:t>万元，属于</w:t>
      </w:r>
      <w:r>
        <w:rPr>
          <w:rFonts w:hint="eastAsia" w:asciiTheme="minorEastAsia" w:hAnsiTheme="minorEastAsia" w:cstheme="minorEastAsia"/>
          <w:b/>
          <w:bCs/>
          <w:i/>
          <w:iCs/>
          <w:szCs w:val="21"/>
          <w:u w:val="single"/>
        </w:rPr>
        <w:t xml:space="preserve">    （中型企业、小型企业、微型企业）    </w:t>
      </w:r>
      <w:r>
        <w:rPr>
          <w:rFonts w:hint="eastAsia" w:asciiTheme="minorEastAsia" w:hAnsiTheme="minorEastAsia" w:cstheme="minorEastAsia"/>
          <w:szCs w:val="21"/>
        </w:rPr>
        <w:t>；</w:t>
      </w:r>
    </w:p>
    <w:p w14:paraId="28E860BF">
      <w:pPr>
        <w:spacing w:line="360" w:lineRule="auto"/>
        <w:ind w:firstLine="420" w:firstLineChars="200"/>
        <w:outlineLvl w:val="3"/>
        <w:rPr>
          <w:rFonts w:hint="eastAsia" w:asciiTheme="minorEastAsia" w:hAnsiTheme="minorEastAsia" w:cstheme="minorEastAsia"/>
          <w:szCs w:val="21"/>
        </w:rPr>
      </w:pPr>
      <w:r>
        <w:rPr>
          <w:rFonts w:hint="eastAsia" w:asciiTheme="minorEastAsia" w:hAnsiTheme="minorEastAsia" w:cstheme="minorEastAsia"/>
          <w:szCs w:val="21"/>
        </w:rPr>
        <w:t>……</w:t>
      </w:r>
    </w:p>
    <w:p w14:paraId="04A3216D">
      <w:pPr>
        <w:spacing w:line="360" w:lineRule="auto"/>
        <w:ind w:firstLine="420" w:firstLineChars="200"/>
        <w:outlineLvl w:val="3"/>
        <w:rPr>
          <w:rFonts w:hint="eastAsia" w:asciiTheme="minorEastAsia" w:hAnsiTheme="minorEastAsia" w:cstheme="minorEastAsia"/>
          <w:szCs w:val="21"/>
        </w:rPr>
      </w:pPr>
      <w:r>
        <w:rPr>
          <w:rFonts w:hint="eastAsia" w:asciiTheme="minorEastAsia" w:hAnsiTheme="minorEastAsia" w:cstheme="minorEastAsia"/>
          <w:szCs w:val="21"/>
        </w:rPr>
        <w:t>以上企业，不属于大企业的分支机构，不存在控股股东为大企业的情形，也不存在与大企业的负责人为同一人的情形。</w:t>
      </w:r>
    </w:p>
    <w:p w14:paraId="44552D85">
      <w:pPr>
        <w:spacing w:line="360" w:lineRule="auto"/>
        <w:ind w:firstLine="420" w:firstLineChars="200"/>
        <w:outlineLvl w:val="3"/>
        <w:rPr>
          <w:rFonts w:hint="eastAsia" w:asciiTheme="minorEastAsia" w:hAnsiTheme="minorEastAsia" w:cstheme="minorEastAsia"/>
          <w:szCs w:val="21"/>
        </w:rPr>
      </w:pPr>
      <w:r>
        <w:rPr>
          <w:rFonts w:hint="eastAsia" w:asciiTheme="minorEastAsia" w:hAnsiTheme="minorEastAsia" w:cstheme="minorEastAsia"/>
          <w:szCs w:val="21"/>
        </w:rPr>
        <w:t>本企业对上述声明内容的真实性负责。如有虚假，将依法承担相应责任。</w:t>
      </w:r>
    </w:p>
    <w:p w14:paraId="06DCE7A0">
      <w:pPr>
        <w:spacing w:line="360" w:lineRule="auto"/>
        <w:ind w:firstLine="420" w:firstLineChars="200"/>
        <w:outlineLvl w:val="3"/>
        <w:rPr>
          <w:rFonts w:hint="eastAsia" w:asciiTheme="minorEastAsia" w:hAnsiTheme="minorEastAsia" w:cstheme="minorEastAsia"/>
          <w:szCs w:val="21"/>
        </w:rPr>
      </w:pPr>
      <w:bookmarkStart w:id="32" w:name="_Hlk73562275"/>
      <w:r>
        <w:rPr>
          <w:rFonts w:hint="eastAsia" w:asciiTheme="minorEastAsia" w:hAnsiTheme="minorEastAsia" w:cstheme="minorEastAsia"/>
          <w:szCs w:val="21"/>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32"/>
    </w:p>
    <w:p w14:paraId="07F84D14">
      <w:pPr>
        <w:ind w:firstLine="420" w:firstLineChars="200"/>
      </w:pPr>
    </w:p>
    <w:p w14:paraId="6206DBA0">
      <w:pPr>
        <w:jc w:val="center"/>
        <w:outlineLvl w:val="3"/>
        <w:rPr>
          <w:b/>
          <w:sz w:val="24"/>
        </w:rPr>
      </w:pPr>
      <w:r>
        <w:rPr>
          <w:rFonts w:hint="eastAsia"/>
          <w:b/>
          <w:sz w:val="24"/>
        </w:rPr>
        <w:t>2、残疾人福利性单位声明函（服务类）</w:t>
      </w:r>
    </w:p>
    <w:p w14:paraId="2861822C">
      <w:pPr>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cstheme="minorEastAsia"/>
          <w:b/>
          <w:bCs/>
          <w:i/>
          <w:iCs/>
          <w:szCs w:val="21"/>
          <w:u w:val="single"/>
        </w:rPr>
        <w:t xml:space="preserve">    （单位名称）    </w:t>
      </w:r>
      <w:r>
        <w:rPr>
          <w:rFonts w:hint="eastAsia" w:asciiTheme="minorEastAsia" w:hAnsiTheme="minorEastAsia" w:cstheme="minorEastAsia"/>
          <w:szCs w:val="21"/>
        </w:rPr>
        <w:t>单位的</w:t>
      </w:r>
      <w:r>
        <w:rPr>
          <w:rFonts w:hint="eastAsia" w:asciiTheme="minorEastAsia" w:hAnsiTheme="minorEastAsia" w:cstheme="minorEastAsia"/>
          <w:b/>
          <w:bCs/>
          <w:i/>
          <w:iCs/>
          <w:szCs w:val="21"/>
          <w:u w:val="single"/>
        </w:rPr>
        <w:t xml:space="preserve">    （项目名称）    </w:t>
      </w:r>
      <w:r>
        <w:rPr>
          <w:rFonts w:hint="eastAsia" w:asciiTheme="minorEastAsia" w:hAnsiTheme="minorEastAsia" w:cstheme="minorEastAsia"/>
          <w:szCs w:val="21"/>
        </w:rPr>
        <w:t>项目采购活动由本单位提供服务。</w:t>
      </w:r>
    </w:p>
    <w:p w14:paraId="36586B7E">
      <w:pPr>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本单位对上述声明的真实性负责。如有虚假，将依法承担相应责任。</w:t>
      </w:r>
    </w:p>
    <w:p w14:paraId="48C17C18">
      <w:pPr>
        <w:spacing w:line="360" w:lineRule="auto"/>
        <w:ind w:firstLine="420" w:firstLineChars="200"/>
        <w:rPr>
          <w:rFonts w:hint="eastAsia" w:ascii="宋体" w:hAnsi="宋体"/>
          <w:szCs w:val="21"/>
        </w:rPr>
      </w:pPr>
      <w:r>
        <w:rPr>
          <w:rFonts w:hint="eastAsia" w:asciiTheme="minorEastAsia" w:hAnsiTheme="minorEastAsia" w:cstheme="minorEastAsia"/>
          <w:szCs w:val="21"/>
        </w:rPr>
        <w:t>本投标人已知悉《财政部民政部中国残疾人联合会关于促进残疾人就业政府采购政策的通知》（财库〔2017〕141号）的规定，承诺提供的声明函内容是真实的，如提供声明函内容不实，则依法追究相关法律责任。</w:t>
      </w:r>
    </w:p>
    <w:p w14:paraId="766C7276">
      <w:pPr>
        <w:ind w:firstLine="420" w:firstLineChars="200"/>
        <w:rPr>
          <w:rFonts w:hint="eastAsia" w:ascii="宋体" w:hAnsi="宋体"/>
          <w:szCs w:val="21"/>
        </w:rPr>
      </w:pPr>
    </w:p>
    <w:p w14:paraId="595015FF">
      <w:pPr>
        <w:jc w:val="center"/>
        <w:outlineLvl w:val="3"/>
        <w:rPr>
          <w:b/>
          <w:sz w:val="24"/>
        </w:rPr>
      </w:pPr>
      <w:r>
        <w:rPr>
          <w:rFonts w:hint="eastAsia"/>
          <w:b/>
          <w:sz w:val="24"/>
        </w:rPr>
        <w:t>3、监狱企业声明函【服务类，监狱企业如需享受优惠政策，还须另行提供省级以上监狱管理局、戒毒管理局（含新疆生产建设兵团）出具的监狱企业证明文件】</w:t>
      </w:r>
    </w:p>
    <w:p w14:paraId="04F180CE">
      <w:pPr>
        <w:ind w:firstLine="420" w:firstLineChars="200"/>
        <w:rPr>
          <w:rFonts w:hint="eastAsia" w:ascii="宋体" w:hAnsi="宋体"/>
          <w:szCs w:val="21"/>
        </w:rPr>
      </w:pPr>
      <w:r>
        <w:rPr>
          <w:rFonts w:hint="eastAsia" w:ascii="宋体" w:hAnsi="宋体"/>
          <w:szCs w:val="21"/>
        </w:rPr>
        <w:t>本投标人郑重声明，根据《财政部司法部关于政府采购支持监狱企业发展有关问题的通知》（财库〔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号）的规定，本投标人</w:t>
      </w:r>
      <w:r>
        <w:rPr>
          <w:rFonts w:ascii="宋体" w:hAnsi="宋体"/>
          <w:szCs w:val="21"/>
        </w:rPr>
        <w:t>参加</w:t>
      </w:r>
      <w:r>
        <w:rPr>
          <w:rFonts w:ascii="宋体" w:hAnsi="宋体"/>
          <w:b/>
          <w:bCs/>
          <w:szCs w:val="21"/>
          <w:u w:val="single"/>
        </w:rPr>
        <w:t>（</w:t>
      </w:r>
      <w:r>
        <w:rPr>
          <w:rFonts w:hint="eastAsia" w:ascii="宋体" w:hAnsi="宋体"/>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w:t>
      </w:r>
      <w:r>
        <w:rPr>
          <w:rFonts w:hint="eastAsia" w:ascii="宋体" w:hAnsi="宋体"/>
          <w:szCs w:val="21"/>
        </w:rPr>
        <w:t>服务</w:t>
      </w:r>
      <w:r>
        <w:rPr>
          <w:rFonts w:ascii="宋体" w:hAnsi="宋体"/>
          <w:szCs w:val="21"/>
        </w:rPr>
        <w:t>全部由符合政策要求的</w:t>
      </w:r>
      <w:r>
        <w:rPr>
          <w:rFonts w:hint="eastAsia" w:ascii="宋体" w:hAnsi="宋体"/>
          <w:szCs w:val="21"/>
        </w:rPr>
        <w:t>监狱企业承接</w:t>
      </w:r>
      <w:r>
        <w:rPr>
          <w:rFonts w:ascii="宋体" w:hAnsi="宋体"/>
          <w:szCs w:val="21"/>
        </w:rPr>
        <w:t>。相关</w:t>
      </w:r>
      <w:r>
        <w:rPr>
          <w:rFonts w:hint="eastAsia" w:ascii="宋体" w:hAnsi="宋体"/>
          <w:szCs w:val="21"/>
        </w:rPr>
        <w:t>监狱企业</w:t>
      </w:r>
      <w:r>
        <w:rPr>
          <w:rFonts w:ascii="宋体" w:hAnsi="宋体"/>
          <w:szCs w:val="21"/>
        </w:rPr>
        <w:t>的具体情况如下：</w:t>
      </w:r>
    </w:p>
    <w:p w14:paraId="3BB51755">
      <w:pPr>
        <w:ind w:firstLine="420" w:firstLineChars="200"/>
        <w:rPr>
          <w:rFonts w:hint="eastAsia" w:ascii="宋体" w:hAnsi="宋体"/>
          <w:szCs w:val="21"/>
        </w:rPr>
      </w:pPr>
      <w:r>
        <w:rPr>
          <w:rFonts w:ascii="宋体" w:hAnsi="宋体"/>
          <w:szCs w:val="21"/>
        </w:rPr>
        <w:t>1.</w:t>
      </w:r>
      <w:r>
        <w:rPr>
          <w:rFonts w:ascii="宋体" w:hAnsi="宋体"/>
          <w:b/>
          <w:bCs/>
          <w:szCs w:val="21"/>
          <w:u w:val="single"/>
        </w:rPr>
        <w:t xml:space="preserve"> </w:t>
      </w:r>
      <w:r>
        <w:rPr>
          <w:rFonts w:ascii="宋体" w:hAnsi="宋体"/>
          <w:b/>
          <w:bCs/>
          <w:i/>
          <w:iCs/>
          <w:szCs w:val="21"/>
          <w:u w:val="single"/>
        </w:rPr>
        <w:t>（标的名称</w:t>
      </w:r>
      <w:r>
        <w:rPr>
          <w:rFonts w:ascii="宋体" w:hAnsi="宋体"/>
          <w:b/>
          <w:bCs/>
          <w:szCs w:val="21"/>
          <w:u w:val="single"/>
        </w:rPr>
        <w:t>）</w:t>
      </w:r>
      <w:r>
        <w:rPr>
          <w:rFonts w:ascii="宋体" w:hAnsi="宋体"/>
          <w:szCs w:val="21"/>
        </w:rPr>
        <w:t xml:space="preserve"> </w:t>
      </w:r>
      <w:r>
        <w:rPr>
          <w:rFonts w:hint="eastAsia" w:ascii="宋体" w:hAnsi="宋体"/>
          <w:szCs w:val="21"/>
        </w:rPr>
        <w:t>，承接单位</w:t>
      </w:r>
      <w:r>
        <w:rPr>
          <w:rFonts w:ascii="宋体" w:hAnsi="宋体"/>
          <w:szCs w:val="21"/>
        </w:rPr>
        <w:t>为</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ascii="宋体" w:hAnsi="宋体"/>
          <w:szCs w:val="21"/>
        </w:rPr>
        <w:t>，属于</w:t>
      </w:r>
      <w:r>
        <w:rPr>
          <w:rFonts w:hint="eastAsia" w:ascii="宋体" w:hAnsi="宋体"/>
          <w:b/>
          <w:bCs/>
          <w:i/>
          <w:iCs/>
          <w:szCs w:val="21"/>
          <w:u w:val="single"/>
        </w:rPr>
        <w:t>监狱企业</w:t>
      </w:r>
      <w:r>
        <w:rPr>
          <w:rFonts w:ascii="宋体" w:hAnsi="宋体"/>
          <w:szCs w:val="21"/>
        </w:rPr>
        <w:t>；</w:t>
      </w:r>
    </w:p>
    <w:p w14:paraId="309D64BD">
      <w:pPr>
        <w:ind w:firstLine="420" w:firstLineChars="200"/>
        <w:rPr>
          <w:rFonts w:hint="eastAsia" w:ascii="宋体" w:hAnsi="宋体"/>
          <w:szCs w:val="21"/>
        </w:rPr>
      </w:pPr>
      <w:r>
        <w:rPr>
          <w:rFonts w:ascii="宋体" w:hAnsi="宋体"/>
          <w:szCs w:val="21"/>
        </w:rPr>
        <w:t>2.</w:t>
      </w:r>
      <w:r>
        <w:rPr>
          <w:rFonts w:ascii="宋体" w:hAnsi="宋体"/>
          <w:b/>
          <w:bCs/>
          <w:szCs w:val="21"/>
          <w:u w:val="single"/>
        </w:rPr>
        <w:t xml:space="preserve"> </w:t>
      </w:r>
      <w:r>
        <w:rPr>
          <w:rFonts w:ascii="宋体" w:hAnsi="宋体"/>
          <w:b/>
          <w:bCs/>
          <w:i/>
          <w:iCs/>
          <w:szCs w:val="21"/>
          <w:u w:val="single"/>
        </w:rPr>
        <w:t>（标的名称）</w:t>
      </w:r>
      <w:r>
        <w:rPr>
          <w:rFonts w:ascii="宋体" w:hAnsi="宋体"/>
          <w:i/>
          <w:iCs/>
          <w:szCs w:val="21"/>
        </w:rPr>
        <w:t xml:space="preserve"> </w:t>
      </w:r>
      <w:r>
        <w:rPr>
          <w:rFonts w:hint="eastAsia" w:ascii="宋体" w:hAnsi="宋体"/>
          <w:szCs w:val="21"/>
        </w:rPr>
        <w:t>，承接单位</w:t>
      </w:r>
      <w:r>
        <w:rPr>
          <w:rFonts w:ascii="宋体" w:hAnsi="宋体"/>
          <w:szCs w:val="21"/>
        </w:rPr>
        <w:t>为</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ascii="宋体" w:hAnsi="宋体"/>
          <w:szCs w:val="21"/>
        </w:rPr>
        <w:t>，属于</w:t>
      </w:r>
      <w:r>
        <w:rPr>
          <w:rFonts w:hint="eastAsia" w:ascii="宋体" w:hAnsi="宋体"/>
          <w:b/>
          <w:bCs/>
          <w:i/>
          <w:iCs/>
          <w:szCs w:val="21"/>
          <w:u w:val="single"/>
        </w:rPr>
        <w:t>监狱企业</w:t>
      </w:r>
      <w:r>
        <w:rPr>
          <w:rFonts w:hint="eastAsia" w:ascii="宋体" w:hAnsi="宋体"/>
          <w:szCs w:val="21"/>
        </w:rPr>
        <w:t>。</w:t>
      </w:r>
    </w:p>
    <w:p w14:paraId="001B0663">
      <w:pPr>
        <w:ind w:firstLine="420" w:firstLineChars="200"/>
        <w:outlineLvl w:val="3"/>
        <w:rPr>
          <w:rFonts w:hint="eastAsia" w:ascii="宋体" w:hAnsi="宋体"/>
          <w:szCs w:val="21"/>
        </w:rPr>
      </w:pPr>
      <w:r>
        <w:rPr>
          <w:rFonts w:ascii="宋体" w:hAnsi="宋体"/>
          <w:szCs w:val="21"/>
        </w:rPr>
        <w:t xml:space="preserve">…… </w:t>
      </w:r>
    </w:p>
    <w:p w14:paraId="4DC24105">
      <w:pPr>
        <w:ind w:firstLine="420" w:firstLineChars="200"/>
        <w:rPr>
          <w:rFonts w:hint="eastAsia" w:ascii="宋体" w:hAnsi="宋体"/>
          <w:szCs w:val="21"/>
        </w:rPr>
      </w:pPr>
      <w:r>
        <w:rPr>
          <w:rFonts w:ascii="宋体" w:hAnsi="宋体"/>
          <w:szCs w:val="21"/>
        </w:rPr>
        <w:t>本</w:t>
      </w:r>
      <w:r>
        <w:rPr>
          <w:rFonts w:hint="eastAsia" w:ascii="宋体" w:hAnsi="宋体"/>
          <w:szCs w:val="21"/>
        </w:rPr>
        <w:t>投标人</w:t>
      </w:r>
      <w:r>
        <w:rPr>
          <w:rFonts w:ascii="宋体" w:hAnsi="宋体"/>
          <w:szCs w:val="21"/>
        </w:rPr>
        <w:t>对上述声明内容的真实性负责。如有虚假，将依法承担相应责任。</w:t>
      </w:r>
    </w:p>
    <w:p w14:paraId="1AAC2DB8">
      <w:pPr>
        <w:ind w:firstLine="420" w:firstLineChars="200"/>
        <w:rPr>
          <w:rFonts w:hint="eastAsia" w:ascii="宋体" w:hAnsi="宋体"/>
          <w:szCs w:val="21"/>
        </w:rPr>
      </w:pPr>
      <w:r>
        <w:rPr>
          <w:rFonts w:hint="eastAsia" w:ascii="宋体" w:hAnsi="宋体"/>
          <w:szCs w:val="21"/>
        </w:rPr>
        <w:t>附：省级以上监狱管理局、戒毒管理局（含新疆生产建设兵团）出具的监狱企业证明文件。</w:t>
      </w:r>
    </w:p>
    <w:bookmarkEnd w:id="31"/>
    <w:p w14:paraId="7B8E82BF">
      <w:pPr>
        <w:keepNext/>
        <w:keepLines/>
        <w:pageBreakBefore/>
        <w:adjustRightInd w:val="0"/>
        <w:snapToGrid w:val="0"/>
        <w:spacing w:line="360" w:lineRule="auto"/>
        <w:jc w:val="center"/>
        <w:textAlignment w:val="baseline"/>
        <w:outlineLvl w:val="3"/>
        <w:rPr>
          <w:rFonts w:hint="eastAsia" w:ascii="宋体" w:hAnsi="宋体" w:eastAsia="宋体" w:cs="Times New Roman"/>
          <w:b/>
          <w:bCs/>
          <w:kern w:val="0"/>
          <w:sz w:val="24"/>
          <w:szCs w:val="20"/>
        </w:rPr>
      </w:pPr>
      <w:r>
        <w:rPr>
          <w:rFonts w:hint="eastAsia" w:ascii="黑体" w:eastAsia="黑体"/>
          <w:sz w:val="24"/>
          <w:szCs w:val="24"/>
        </w:rPr>
        <w:t>四、</w:t>
      </w:r>
      <w:r>
        <w:rPr>
          <w:rFonts w:hint="eastAsia" w:ascii="宋体" w:hAnsi="宋体" w:eastAsia="宋体" w:cs="Times New Roman"/>
          <w:b/>
          <w:bCs/>
          <w:kern w:val="0"/>
          <w:sz w:val="24"/>
          <w:szCs w:val="20"/>
        </w:rPr>
        <w:t>分项报价清单</w:t>
      </w:r>
    </w:p>
    <w:p w14:paraId="320780B9">
      <w:pPr>
        <w:spacing w:after="78" w:afterLines="25" w:line="300" w:lineRule="auto"/>
        <w:rPr>
          <w:rFonts w:ascii="Arial" w:hAnsi="Arial" w:eastAsia="宋体" w:cs="Arial"/>
          <w:szCs w:val="24"/>
        </w:rPr>
      </w:pPr>
      <w:r>
        <w:rPr>
          <w:rFonts w:hint="eastAsia" w:ascii="Arial" w:hAnsi="Arial" w:eastAsia="宋体" w:cs="Arial"/>
          <w:color w:val="000000"/>
          <w:szCs w:val="24"/>
        </w:rPr>
        <w:t>投标单位（投标人）名称：</w:t>
      </w:r>
      <w:r>
        <w:rPr>
          <w:rFonts w:ascii="Arial" w:hAnsi="Arial" w:eastAsia="宋体" w:cs="Arial"/>
          <w:color w:val="000000"/>
          <w:szCs w:val="24"/>
          <w:u w:val="single"/>
        </w:rPr>
        <w:t xml:space="preserve">                          </w:t>
      </w:r>
    </w:p>
    <w:p w14:paraId="0B4065B5">
      <w:pPr>
        <w:tabs>
          <w:tab w:val="left" w:pos="720"/>
        </w:tabs>
        <w:ind w:firstLine="3132" w:firstLineChars="1300"/>
        <w:rPr>
          <w:b/>
          <w:sz w:val="24"/>
        </w:rPr>
      </w:pPr>
      <w:r>
        <w:rPr>
          <w:rFonts w:hint="eastAsia"/>
          <w:b/>
          <w:sz w:val="24"/>
        </w:rPr>
        <w:t>（一）分项报价表</w:t>
      </w:r>
    </w:p>
    <w:tbl>
      <w:tblPr>
        <w:tblStyle w:val="22"/>
        <w:tblW w:w="8613" w:type="dxa"/>
        <w:tblInd w:w="0" w:type="dxa"/>
        <w:tblLayout w:type="fixed"/>
        <w:tblCellMar>
          <w:top w:w="0" w:type="dxa"/>
          <w:left w:w="108" w:type="dxa"/>
          <w:bottom w:w="0" w:type="dxa"/>
          <w:right w:w="108" w:type="dxa"/>
        </w:tblCellMar>
      </w:tblPr>
      <w:tblGrid>
        <w:gridCol w:w="618"/>
        <w:gridCol w:w="1016"/>
        <w:gridCol w:w="3152"/>
        <w:gridCol w:w="1559"/>
        <w:gridCol w:w="2268"/>
      </w:tblGrid>
      <w:tr w14:paraId="4014F7D1">
        <w:tblPrEx>
          <w:tblCellMar>
            <w:top w:w="0" w:type="dxa"/>
            <w:left w:w="108" w:type="dxa"/>
            <w:bottom w:w="0" w:type="dxa"/>
            <w:right w:w="108" w:type="dxa"/>
          </w:tblCellMar>
        </w:tblPrEx>
        <w:trPr>
          <w:trHeight w:val="285" w:hRule="atLeast"/>
        </w:trPr>
        <w:tc>
          <w:tcPr>
            <w:tcW w:w="618" w:type="dxa"/>
            <w:tcBorders>
              <w:top w:val="single" w:color="auto" w:sz="8" w:space="0"/>
              <w:left w:val="single" w:color="auto" w:sz="8" w:space="0"/>
              <w:bottom w:val="single" w:color="auto" w:sz="4" w:space="0"/>
              <w:right w:val="single" w:color="auto" w:sz="4" w:space="0"/>
            </w:tcBorders>
            <w:shd w:val="clear" w:color="000000" w:fill="E7E6E6"/>
            <w:vAlign w:val="center"/>
          </w:tcPr>
          <w:p w14:paraId="3948203A">
            <w:pPr>
              <w:widowControl/>
              <w:jc w:val="center"/>
              <w:rPr>
                <w:rFonts w:hint="eastAsia" w:ascii="宋体" w:hAnsi="宋体" w:cs="宋体"/>
                <w:b/>
                <w:bCs/>
                <w:kern w:val="0"/>
                <w:sz w:val="20"/>
                <w:szCs w:val="20"/>
              </w:rPr>
            </w:pPr>
            <w:r>
              <w:rPr>
                <w:rFonts w:hint="eastAsia" w:ascii="宋体" w:hAnsi="宋体" w:cs="宋体"/>
                <w:b/>
                <w:bCs/>
                <w:kern w:val="0"/>
                <w:sz w:val="20"/>
                <w:szCs w:val="20"/>
              </w:rPr>
              <w:t>序号</w:t>
            </w:r>
          </w:p>
        </w:tc>
        <w:tc>
          <w:tcPr>
            <w:tcW w:w="4168" w:type="dxa"/>
            <w:gridSpan w:val="2"/>
            <w:tcBorders>
              <w:top w:val="single" w:color="auto" w:sz="8" w:space="0"/>
              <w:left w:val="nil"/>
              <w:bottom w:val="single" w:color="auto" w:sz="4" w:space="0"/>
              <w:right w:val="single" w:color="auto" w:sz="4" w:space="0"/>
            </w:tcBorders>
            <w:shd w:val="clear" w:color="000000" w:fill="E7E6E6"/>
            <w:vAlign w:val="center"/>
          </w:tcPr>
          <w:p w14:paraId="56BE15C3">
            <w:pPr>
              <w:widowControl/>
              <w:jc w:val="center"/>
              <w:rPr>
                <w:rFonts w:hint="eastAsia" w:ascii="宋体" w:hAnsi="宋体" w:cs="宋体"/>
                <w:b/>
                <w:bCs/>
                <w:kern w:val="0"/>
                <w:sz w:val="20"/>
                <w:szCs w:val="20"/>
              </w:rPr>
            </w:pPr>
            <w:r>
              <w:rPr>
                <w:rFonts w:hint="eastAsia" w:ascii="宋体" w:hAnsi="宋体" w:cs="宋体"/>
                <w:b/>
                <w:bCs/>
                <w:kern w:val="0"/>
                <w:sz w:val="20"/>
                <w:szCs w:val="20"/>
              </w:rPr>
              <w:t>需求名称</w:t>
            </w:r>
          </w:p>
        </w:tc>
        <w:tc>
          <w:tcPr>
            <w:tcW w:w="1559" w:type="dxa"/>
            <w:tcBorders>
              <w:top w:val="single" w:color="auto" w:sz="8" w:space="0"/>
              <w:left w:val="nil"/>
              <w:bottom w:val="single" w:color="auto" w:sz="4" w:space="0"/>
              <w:right w:val="single" w:color="auto" w:sz="4" w:space="0"/>
            </w:tcBorders>
            <w:shd w:val="clear" w:color="000000" w:fill="E7E6E6"/>
            <w:vAlign w:val="center"/>
          </w:tcPr>
          <w:p w14:paraId="52F954AC">
            <w:pPr>
              <w:widowControl/>
              <w:jc w:val="center"/>
              <w:rPr>
                <w:rFonts w:hint="eastAsia" w:ascii="宋体" w:hAnsi="宋体" w:cs="宋体"/>
                <w:b/>
                <w:bCs/>
                <w:kern w:val="0"/>
                <w:sz w:val="20"/>
                <w:szCs w:val="20"/>
              </w:rPr>
            </w:pPr>
            <w:r>
              <w:rPr>
                <w:rFonts w:hint="eastAsia" w:ascii="宋体" w:hAnsi="宋体" w:cs="宋体"/>
                <w:b/>
                <w:bCs/>
                <w:kern w:val="0"/>
                <w:sz w:val="20"/>
                <w:szCs w:val="20"/>
              </w:rPr>
              <w:t>金额（元）</w:t>
            </w:r>
          </w:p>
        </w:tc>
        <w:tc>
          <w:tcPr>
            <w:tcW w:w="2268" w:type="dxa"/>
            <w:tcBorders>
              <w:top w:val="single" w:color="auto" w:sz="8" w:space="0"/>
              <w:left w:val="nil"/>
              <w:bottom w:val="single" w:color="auto" w:sz="4" w:space="0"/>
              <w:right w:val="single" w:color="auto" w:sz="8" w:space="0"/>
            </w:tcBorders>
            <w:shd w:val="clear" w:color="000000" w:fill="E7E6E6"/>
            <w:vAlign w:val="center"/>
          </w:tcPr>
          <w:p w14:paraId="017B7088">
            <w:pPr>
              <w:widowControl/>
              <w:jc w:val="center"/>
              <w:rPr>
                <w:rFonts w:hint="eastAsia" w:ascii="宋体" w:hAnsi="宋体" w:cs="宋体"/>
                <w:b/>
                <w:bCs/>
                <w:kern w:val="0"/>
                <w:sz w:val="20"/>
                <w:szCs w:val="20"/>
              </w:rPr>
            </w:pPr>
            <w:r>
              <w:rPr>
                <w:rFonts w:hint="eastAsia" w:ascii="宋体" w:hAnsi="宋体" w:cs="宋体"/>
                <w:b/>
                <w:bCs/>
                <w:kern w:val="0"/>
                <w:sz w:val="20"/>
                <w:szCs w:val="20"/>
              </w:rPr>
              <w:t>说明</w:t>
            </w:r>
          </w:p>
        </w:tc>
      </w:tr>
      <w:tr w14:paraId="74559CD0">
        <w:tblPrEx>
          <w:tblCellMar>
            <w:top w:w="0" w:type="dxa"/>
            <w:left w:w="108" w:type="dxa"/>
            <w:bottom w:w="0" w:type="dxa"/>
            <w:right w:w="108" w:type="dxa"/>
          </w:tblCellMar>
        </w:tblPrEx>
        <w:trPr>
          <w:trHeight w:val="285" w:hRule="atLeast"/>
        </w:trPr>
        <w:tc>
          <w:tcPr>
            <w:tcW w:w="618" w:type="dxa"/>
            <w:tcBorders>
              <w:top w:val="single" w:color="auto" w:sz="4" w:space="0"/>
              <w:left w:val="single" w:color="auto" w:sz="8" w:space="0"/>
              <w:bottom w:val="single" w:color="auto" w:sz="4" w:space="0"/>
              <w:right w:val="single" w:color="auto" w:sz="4" w:space="0"/>
            </w:tcBorders>
            <w:shd w:val="clear" w:color="auto" w:fill="auto"/>
            <w:vAlign w:val="center"/>
          </w:tcPr>
          <w:p w14:paraId="64AD6CCB">
            <w:pPr>
              <w:widowControl/>
              <w:jc w:val="center"/>
              <w:rPr>
                <w:rFonts w:hint="eastAsia" w:ascii="宋体" w:hAnsi="宋体" w:cs="宋体"/>
                <w:kern w:val="0"/>
                <w:sz w:val="20"/>
                <w:szCs w:val="20"/>
              </w:rPr>
            </w:pPr>
            <w:r>
              <w:rPr>
                <w:rFonts w:hint="eastAsia" w:ascii="宋体" w:hAnsi="宋体" w:cs="宋体"/>
                <w:kern w:val="0"/>
                <w:sz w:val="20"/>
                <w:szCs w:val="20"/>
              </w:rPr>
              <w:t>一</w:t>
            </w:r>
          </w:p>
        </w:tc>
        <w:tc>
          <w:tcPr>
            <w:tcW w:w="4168" w:type="dxa"/>
            <w:gridSpan w:val="2"/>
            <w:tcBorders>
              <w:top w:val="single" w:color="auto" w:sz="4" w:space="0"/>
              <w:left w:val="nil"/>
              <w:bottom w:val="single" w:color="auto" w:sz="4" w:space="0"/>
              <w:right w:val="single" w:color="auto" w:sz="4" w:space="0"/>
            </w:tcBorders>
            <w:shd w:val="clear" w:color="auto" w:fill="auto"/>
            <w:vAlign w:val="center"/>
          </w:tcPr>
          <w:p w14:paraId="77732E3B">
            <w:pPr>
              <w:widowControl/>
              <w:jc w:val="center"/>
              <w:rPr>
                <w:rFonts w:hint="eastAsia"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p>
        </w:tc>
        <w:tc>
          <w:tcPr>
            <w:tcW w:w="1559" w:type="dxa"/>
            <w:tcBorders>
              <w:top w:val="single" w:color="auto" w:sz="4" w:space="0"/>
              <w:left w:val="nil"/>
              <w:bottom w:val="single" w:color="auto" w:sz="4" w:space="0"/>
              <w:right w:val="single" w:color="auto" w:sz="4" w:space="0"/>
            </w:tcBorders>
            <w:shd w:val="clear" w:color="000000" w:fill="FFFFFF"/>
            <w:vAlign w:val="center"/>
          </w:tcPr>
          <w:p w14:paraId="7733BA27">
            <w:pPr>
              <w:widowControl/>
              <w:jc w:val="right"/>
              <w:rPr>
                <w:rFonts w:hint="eastAsia" w:ascii="宋体" w:hAnsi="宋体" w:cs="宋体"/>
                <w:kern w:val="0"/>
                <w:sz w:val="20"/>
                <w:szCs w:val="20"/>
              </w:rPr>
            </w:pPr>
            <w:r>
              <w:rPr>
                <w:rFonts w:hint="eastAsia" w:ascii="宋体" w:hAnsi="宋体" w:cs="宋体"/>
                <w:kern w:val="0"/>
                <w:sz w:val="20"/>
                <w:szCs w:val="20"/>
              </w:rPr>
              <w:t>　</w:t>
            </w:r>
          </w:p>
        </w:tc>
        <w:tc>
          <w:tcPr>
            <w:tcW w:w="2268" w:type="dxa"/>
            <w:tcBorders>
              <w:top w:val="single" w:color="auto" w:sz="4" w:space="0"/>
              <w:left w:val="nil"/>
              <w:bottom w:val="single" w:color="auto" w:sz="4" w:space="0"/>
              <w:right w:val="single" w:color="auto" w:sz="8" w:space="0"/>
            </w:tcBorders>
            <w:shd w:val="clear" w:color="auto" w:fill="auto"/>
            <w:vAlign w:val="center"/>
          </w:tcPr>
          <w:p w14:paraId="0B59E980">
            <w:pPr>
              <w:widowControl/>
              <w:jc w:val="left"/>
              <w:rPr>
                <w:rFonts w:hint="eastAsia" w:ascii="宋体" w:hAnsi="宋体" w:cs="宋体"/>
                <w:kern w:val="0"/>
                <w:sz w:val="20"/>
                <w:szCs w:val="20"/>
              </w:rPr>
            </w:pPr>
          </w:p>
        </w:tc>
      </w:tr>
      <w:tr w14:paraId="64969CB2">
        <w:tblPrEx>
          <w:tblCellMar>
            <w:top w:w="0" w:type="dxa"/>
            <w:left w:w="108" w:type="dxa"/>
            <w:bottom w:w="0" w:type="dxa"/>
            <w:right w:w="108" w:type="dxa"/>
          </w:tblCellMar>
        </w:tblPrEx>
        <w:trPr>
          <w:trHeight w:val="480" w:hRule="atLeast"/>
        </w:trPr>
        <w:tc>
          <w:tcPr>
            <w:tcW w:w="618" w:type="dxa"/>
            <w:vMerge w:val="restart"/>
            <w:tcBorders>
              <w:top w:val="nil"/>
              <w:left w:val="single" w:color="auto" w:sz="8" w:space="0"/>
              <w:right w:val="single" w:color="auto" w:sz="4" w:space="0"/>
            </w:tcBorders>
            <w:shd w:val="clear" w:color="auto" w:fill="auto"/>
            <w:vAlign w:val="center"/>
          </w:tcPr>
          <w:p w14:paraId="5D3A6B73">
            <w:pPr>
              <w:widowControl/>
              <w:jc w:val="center"/>
              <w:rPr>
                <w:rFonts w:hint="eastAsia" w:ascii="宋体" w:hAnsi="宋体" w:cs="宋体"/>
                <w:kern w:val="0"/>
                <w:sz w:val="20"/>
                <w:szCs w:val="20"/>
              </w:rPr>
            </w:pPr>
            <w:r>
              <w:rPr>
                <w:rFonts w:hint="eastAsia" w:ascii="宋体" w:hAnsi="宋体" w:cs="宋体"/>
                <w:kern w:val="0"/>
                <w:sz w:val="20"/>
                <w:szCs w:val="20"/>
              </w:rPr>
              <w:t>二</w:t>
            </w:r>
          </w:p>
        </w:tc>
        <w:tc>
          <w:tcPr>
            <w:tcW w:w="1016" w:type="dxa"/>
            <w:vMerge w:val="restart"/>
            <w:tcBorders>
              <w:top w:val="nil"/>
              <w:left w:val="single" w:color="auto" w:sz="4" w:space="0"/>
              <w:bottom w:val="single" w:color="auto" w:sz="4" w:space="0"/>
              <w:right w:val="single" w:color="auto" w:sz="4" w:space="0"/>
            </w:tcBorders>
            <w:shd w:val="clear" w:color="auto" w:fill="auto"/>
            <w:vAlign w:val="center"/>
          </w:tcPr>
          <w:p w14:paraId="646EBA61">
            <w:pPr>
              <w:widowControl/>
              <w:jc w:val="center"/>
              <w:rPr>
                <w:rFonts w:hint="eastAsia"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r>
              <w:rPr>
                <w:rFonts w:hint="eastAsia" w:ascii="宋体" w:hAnsi="宋体" w:cs="宋体"/>
                <w:kern w:val="0"/>
                <w:sz w:val="20"/>
                <w:szCs w:val="20"/>
              </w:rPr>
              <w:t>费用</w:t>
            </w:r>
          </w:p>
        </w:tc>
        <w:tc>
          <w:tcPr>
            <w:tcW w:w="3152" w:type="dxa"/>
            <w:tcBorders>
              <w:top w:val="nil"/>
              <w:left w:val="nil"/>
              <w:bottom w:val="single" w:color="auto" w:sz="4" w:space="0"/>
              <w:right w:val="single" w:color="auto" w:sz="4" w:space="0"/>
            </w:tcBorders>
            <w:shd w:val="clear" w:color="auto" w:fill="auto"/>
            <w:vAlign w:val="center"/>
          </w:tcPr>
          <w:p w14:paraId="4BEE506D">
            <w:pPr>
              <w:widowControl/>
              <w:jc w:val="left"/>
              <w:rPr>
                <w:rFonts w:hint="eastAsia"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169CCA6A">
            <w:pPr>
              <w:widowControl/>
              <w:jc w:val="right"/>
              <w:rPr>
                <w:rFonts w:hint="eastAsia" w:ascii="宋体" w:hAnsi="宋体" w:cs="宋体"/>
                <w:kern w:val="0"/>
                <w:sz w:val="20"/>
                <w:szCs w:val="20"/>
              </w:rPr>
            </w:pPr>
            <w:r>
              <w:rPr>
                <w:rFonts w:hint="eastAsia" w:ascii="宋体" w:hAnsi="宋体" w:cs="宋体"/>
                <w:kern w:val="0"/>
                <w:sz w:val="20"/>
                <w:szCs w:val="20"/>
              </w:rPr>
              <w:t>　</w:t>
            </w:r>
          </w:p>
        </w:tc>
        <w:tc>
          <w:tcPr>
            <w:tcW w:w="2268" w:type="dxa"/>
            <w:vMerge w:val="restart"/>
            <w:tcBorders>
              <w:top w:val="nil"/>
              <w:left w:val="nil"/>
              <w:right w:val="single" w:color="auto" w:sz="8" w:space="0"/>
            </w:tcBorders>
            <w:shd w:val="clear" w:color="auto" w:fill="auto"/>
            <w:vAlign w:val="center"/>
          </w:tcPr>
          <w:p w14:paraId="4D3625E1">
            <w:pPr>
              <w:widowControl/>
              <w:jc w:val="left"/>
              <w:rPr>
                <w:rFonts w:hint="eastAsia" w:ascii="宋体" w:hAnsi="宋体" w:cs="宋体"/>
                <w:kern w:val="0"/>
                <w:sz w:val="20"/>
                <w:szCs w:val="20"/>
              </w:rPr>
            </w:pPr>
            <w:r>
              <w:rPr>
                <w:rFonts w:hint="eastAsia" w:ascii="宋体" w:hAnsi="宋体" w:cs="宋体"/>
                <w:kern w:val="0"/>
                <w:sz w:val="20"/>
                <w:szCs w:val="20"/>
              </w:rPr>
              <w:t>　</w:t>
            </w:r>
          </w:p>
        </w:tc>
      </w:tr>
      <w:tr w14:paraId="1263C984">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14:paraId="79085E77">
            <w:pPr>
              <w:jc w:val="center"/>
              <w:rPr>
                <w:rFonts w:hint="eastAsia"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6E245390">
            <w:pPr>
              <w:widowControl/>
              <w:jc w:val="left"/>
              <w:rPr>
                <w:rFonts w:hint="eastAsia" w:ascii="宋体" w:hAnsi="宋体" w:cs="宋体"/>
                <w:kern w:val="0"/>
                <w:sz w:val="20"/>
                <w:szCs w:val="20"/>
              </w:rPr>
            </w:pPr>
          </w:p>
        </w:tc>
        <w:tc>
          <w:tcPr>
            <w:tcW w:w="3152" w:type="dxa"/>
            <w:tcBorders>
              <w:top w:val="nil"/>
              <w:left w:val="nil"/>
              <w:bottom w:val="single" w:color="auto" w:sz="4" w:space="0"/>
              <w:right w:val="single" w:color="auto" w:sz="4" w:space="0"/>
            </w:tcBorders>
            <w:shd w:val="clear" w:color="auto" w:fill="auto"/>
            <w:vAlign w:val="center"/>
          </w:tcPr>
          <w:p w14:paraId="4A1DB10D">
            <w:pPr>
              <w:widowControl/>
              <w:jc w:val="left"/>
              <w:rPr>
                <w:rFonts w:hint="eastAsia"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0D732056">
            <w:pPr>
              <w:widowControl/>
              <w:jc w:val="right"/>
              <w:rPr>
                <w:rFonts w:hint="eastAsia"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shd w:val="clear" w:color="auto" w:fill="auto"/>
            <w:vAlign w:val="center"/>
          </w:tcPr>
          <w:p w14:paraId="508A1D5B">
            <w:pPr>
              <w:jc w:val="left"/>
              <w:rPr>
                <w:rFonts w:hint="eastAsia" w:ascii="宋体" w:hAnsi="宋体" w:cs="宋体"/>
                <w:kern w:val="0"/>
                <w:sz w:val="20"/>
                <w:szCs w:val="20"/>
              </w:rPr>
            </w:pPr>
          </w:p>
        </w:tc>
      </w:tr>
      <w:tr w14:paraId="59AB5538">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14:paraId="64415C18">
            <w:pPr>
              <w:jc w:val="center"/>
              <w:rPr>
                <w:rFonts w:hint="eastAsia"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10B01DF5">
            <w:pPr>
              <w:widowControl/>
              <w:jc w:val="left"/>
              <w:rPr>
                <w:rFonts w:hint="eastAsia" w:ascii="宋体" w:hAnsi="宋体" w:cs="宋体"/>
                <w:kern w:val="0"/>
                <w:sz w:val="20"/>
                <w:szCs w:val="20"/>
              </w:rPr>
            </w:pPr>
          </w:p>
        </w:tc>
        <w:tc>
          <w:tcPr>
            <w:tcW w:w="3152" w:type="dxa"/>
            <w:tcBorders>
              <w:top w:val="nil"/>
              <w:left w:val="nil"/>
              <w:bottom w:val="single" w:color="auto" w:sz="4" w:space="0"/>
              <w:right w:val="single" w:color="auto" w:sz="4" w:space="0"/>
            </w:tcBorders>
            <w:shd w:val="clear" w:color="auto" w:fill="auto"/>
            <w:vAlign w:val="center"/>
          </w:tcPr>
          <w:p w14:paraId="1B1CCBAC">
            <w:pPr>
              <w:widowControl/>
              <w:jc w:val="left"/>
              <w:rPr>
                <w:rFonts w:hint="eastAsia"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18B89D23">
            <w:pPr>
              <w:widowControl/>
              <w:jc w:val="right"/>
              <w:rPr>
                <w:rFonts w:hint="eastAsia"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shd w:val="clear" w:color="auto" w:fill="auto"/>
            <w:vAlign w:val="center"/>
          </w:tcPr>
          <w:p w14:paraId="4BC39482">
            <w:pPr>
              <w:jc w:val="left"/>
              <w:rPr>
                <w:rFonts w:hint="eastAsia" w:ascii="宋体" w:hAnsi="宋体" w:cs="宋体"/>
                <w:kern w:val="0"/>
                <w:sz w:val="20"/>
                <w:szCs w:val="20"/>
              </w:rPr>
            </w:pPr>
          </w:p>
        </w:tc>
      </w:tr>
      <w:tr w14:paraId="7DB0FD11">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14:paraId="4D72A232">
            <w:pPr>
              <w:jc w:val="center"/>
              <w:rPr>
                <w:rFonts w:hint="eastAsia"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1F5575D4">
            <w:pPr>
              <w:widowControl/>
              <w:jc w:val="left"/>
              <w:rPr>
                <w:rFonts w:hint="eastAsia" w:ascii="宋体" w:hAnsi="宋体" w:cs="宋体"/>
                <w:kern w:val="0"/>
                <w:sz w:val="20"/>
                <w:szCs w:val="20"/>
              </w:rPr>
            </w:pPr>
          </w:p>
        </w:tc>
        <w:tc>
          <w:tcPr>
            <w:tcW w:w="3152" w:type="dxa"/>
            <w:tcBorders>
              <w:top w:val="nil"/>
              <w:left w:val="nil"/>
              <w:bottom w:val="single" w:color="auto" w:sz="4" w:space="0"/>
              <w:right w:val="single" w:color="auto" w:sz="4" w:space="0"/>
            </w:tcBorders>
            <w:shd w:val="clear" w:color="auto" w:fill="auto"/>
            <w:vAlign w:val="center"/>
          </w:tcPr>
          <w:p w14:paraId="31F9C59F">
            <w:pPr>
              <w:widowControl/>
              <w:jc w:val="left"/>
              <w:rPr>
                <w:rFonts w:hint="eastAsia"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5D972FDD">
            <w:pPr>
              <w:widowControl/>
              <w:jc w:val="right"/>
              <w:rPr>
                <w:rFonts w:hint="eastAsia"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shd w:val="clear" w:color="auto" w:fill="auto"/>
            <w:vAlign w:val="center"/>
          </w:tcPr>
          <w:p w14:paraId="21DBC0B2">
            <w:pPr>
              <w:jc w:val="left"/>
              <w:rPr>
                <w:rFonts w:hint="eastAsia" w:ascii="宋体" w:hAnsi="宋体" w:cs="宋体"/>
                <w:kern w:val="0"/>
                <w:sz w:val="20"/>
                <w:szCs w:val="20"/>
              </w:rPr>
            </w:pPr>
          </w:p>
        </w:tc>
      </w:tr>
      <w:tr w14:paraId="1B7FAE9A">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14:paraId="1D42B3ED">
            <w:pPr>
              <w:jc w:val="center"/>
              <w:rPr>
                <w:rFonts w:hint="eastAsia"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586CA541">
            <w:pPr>
              <w:widowControl/>
              <w:jc w:val="left"/>
              <w:rPr>
                <w:rFonts w:hint="eastAsia" w:ascii="宋体" w:hAnsi="宋体" w:cs="宋体"/>
                <w:kern w:val="0"/>
                <w:sz w:val="20"/>
                <w:szCs w:val="20"/>
              </w:rPr>
            </w:pPr>
          </w:p>
        </w:tc>
        <w:tc>
          <w:tcPr>
            <w:tcW w:w="3152" w:type="dxa"/>
            <w:tcBorders>
              <w:top w:val="nil"/>
              <w:left w:val="nil"/>
              <w:bottom w:val="single" w:color="auto" w:sz="4" w:space="0"/>
              <w:right w:val="single" w:color="auto" w:sz="4" w:space="0"/>
            </w:tcBorders>
            <w:shd w:val="clear" w:color="auto" w:fill="auto"/>
            <w:vAlign w:val="center"/>
          </w:tcPr>
          <w:p w14:paraId="4D66D0B7">
            <w:pPr>
              <w:widowControl/>
              <w:jc w:val="left"/>
              <w:rPr>
                <w:rFonts w:hint="eastAsia"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3A212B62">
            <w:pPr>
              <w:widowControl/>
              <w:jc w:val="right"/>
              <w:rPr>
                <w:rFonts w:hint="eastAsia"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shd w:val="clear" w:color="auto" w:fill="auto"/>
            <w:vAlign w:val="center"/>
          </w:tcPr>
          <w:p w14:paraId="5F2ADD82">
            <w:pPr>
              <w:jc w:val="left"/>
              <w:rPr>
                <w:rFonts w:hint="eastAsia" w:ascii="宋体" w:hAnsi="宋体" w:cs="宋体"/>
                <w:kern w:val="0"/>
                <w:sz w:val="20"/>
                <w:szCs w:val="20"/>
              </w:rPr>
            </w:pPr>
          </w:p>
        </w:tc>
      </w:tr>
      <w:tr w14:paraId="720BAA68">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14:paraId="71C80F42">
            <w:pPr>
              <w:jc w:val="center"/>
              <w:rPr>
                <w:rFonts w:hint="eastAsia"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7857FC88">
            <w:pPr>
              <w:widowControl/>
              <w:jc w:val="left"/>
              <w:rPr>
                <w:rFonts w:hint="eastAsia" w:ascii="宋体" w:hAnsi="宋体" w:cs="宋体"/>
                <w:kern w:val="0"/>
                <w:sz w:val="20"/>
                <w:szCs w:val="20"/>
              </w:rPr>
            </w:pPr>
          </w:p>
        </w:tc>
        <w:tc>
          <w:tcPr>
            <w:tcW w:w="3152" w:type="dxa"/>
            <w:tcBorders>
              <w:top w:val="nil"/>
              <w:left w:val="nil"/>
              <w:bottom w:val="single" w:color="auto" w:sz="4" w:space="0"/>
              <w:right w:val="single" w:color="auto" w:sz="4" w:space="0"/>
            </w:tcBorders>
            <w:shd w:val="clear" w:color="auto" w:fill="auto"/>
            <w:vAlign w:val="center"/>
          </w:tcPr>
          <w:p w14:paraId="3BAA43B2">
            <w:pPr>
              <w:widowControl/>
              <w:jc w:val="left"/>
              <w:rPr>
                <w:rFonts w:hint="eastAsia"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729144EF">
            <w:pPr>
              <w:widowControl/>
              <w:jc w:val="right"/>
              <w:rPr>
                <w:rFonts w:hint="eastAsia"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bottom w:val="single" w:color="auto" w:sz="4" w:space="0"/>
              <w:right w:val="single" w:color="auto" w:sz="8" w:space="0"/>
            </w:tcBorders>
            <w:shd w:val="clear" w:color="auto" w:fill="auto"/>
            <w:vAlign w:val="center"/>
          </w:tcPr>
          <w:p w14:paraId="3A657E2D">
            <w:pPr>
              <w:widowControl/>
              <w:jc w:val="left"/>
              <w:rPr>
                <w:rFonts w:hint="eastAsia" w:ascii="宋体" w:hAnsi="宋体" w:cs="宋体"/>
                <w:kern w:val="0"/>
                <w:sz w:val="20"/>
                <w:szCs w:val="20"/>
              </w:rPr>
            </w:pPr>
          </w:p>
        </w:tc>
      </w:tr>
      <w:tr w14:paraId="5AFF5E34">
        <w:tblPrEx>
          <w:tblCellMar>
            <w:top w:w="0" w:type="dxa"/>
            <w:left w:w="108" w:type="dxa"/>
            <w:bottom w:w="0" w:type="dxa"/>
            <w:right w:w="108" w:type="dxa"/>
          </w:tblCellMar>
        </w:tblPrEx>
        <w:trPr>
          <w:trHeight w:val="285" w:hRule="atLeast"/>
        </w:trPr>
        <w:tc>
          <w:tcPr>
            <w:tcW w:w="618" w:type="dxa"/>
            <w:vMerge w:val="continue"/>
            <w:tcBorders>
              <w:left w:val="single" w:color="auto" w:sz="8" w:space="0"/>
              <w:bottom w:val="single" w:color="auto" w:sz="4" w:space="0"/>
              <w:right w:val="single" w:color="auto" w:sz="4" w:space="0"/>
            </w:tcBorders>
            <w:shd w:val="clear" w:color="000000" w:fill="FFFFFF"/>
            <w:vAlign w:val="center"/>
          </w:tcPr>
          <w:p w14:paraId="6F66F228">
            <w:pPr>
              <w:widowControl/>
              <w:jc w:val="center"/>
              <w:rPr>
                <w:rFonts w:hint="eastAsia"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05063BA0">
            <w:pPr>
              <w:widowControl/>
              <w:jc w:val="center"/>
              <w:rPr>
                <w:rFonts w:hint="eastAsia"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r>
              <w:rPr>
                <w:rFonts w:hint="eastAsia" w:ascii="宋体" w:hAnsi="宋体" w:cs="宋体"/>
                <w:kern w:val="0"/>
                <w:sz w:val="20"/>
                <w:szCs w:val="20"/>
              </w:rPr>
              <w:t>费用小计</w:t>
            </w:r>
          </w:p>
        </w:tc>
        <w:tc>
          <w:tcPr>
            <w:tcW w:w="1559" w:type="dxa"/>
            <w:tcBorders>
              <w:top w:val="nil"/>
              <w:left w:val="nil"/>
              <w:bottom w:val="single" w:color="auto" w:sz="4" w:space="0"/>
              <w:right w:val="single" w:color="auto" w:sz="4" w:space="0"/>
            </w:tcBorders>
            <w:shd w:val="clear" w:color="000000" w:fill="FFFFFF"/>
            <w:vAlign w:val="center"/>
          </w:tcPr>
          <w:p w14:paraId="7D886158">
            <w:pPr>
              <w:widowControl/>
              <w:jc w:val="right"/>
              <w:rPr>
                <w:rFonts w:hint="eastAsia"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061CB7C7">
            <w:pPr>
              <w:widowControl/>
              <w:jc w:val="left"/>
              <w:rPr>
                <w:rFonts w:hint="eastAsia" w:ascii="宋体" w:hAnsi="宋体" w:cs="宋体"/>
                <w:kern w:val="0"/>
                <w:sz w:val="20"/>
                <w:szCs w:val="20"/>
              </w:rPr>
            </w:pPr>
            <w:r>
              <w:rPr>
                <w:rFonts w:hint="eastAsia" w:ascii="宋体" w:hAnsi="宋体" w:cs="宋体"/>
                <w:kern w:val="0"/>
                <w:sz w:val="20"/>
                <w:szCs w:val="20"/>
              </w:rPr>
              <w:t>　</w:t>
            </w:r>
          </w:p>
        </w:tc>
      </w:tr>
      <w:tr w14:paraId="693DC1C2">
        <w:tblPrEx>
          <w:tblCellMar>
            <w:top w:w="0" w:type="dxa"/>
            <w:left w:w="108" w:type="dxa"/>
            <w:bottom w:w="0" w:type="dxa"/>
            <w:right w:w="108" w:type="dxa"/>
          </w:tblCellMar>
        </w:tblPrEx>
        <w:trPr>
          <w:trHeight w:val="285" w:hRule="atLeast"/>
        </w:trPr>
        <w:tc>
          <w:tcPr>
            <w:tcW w:w="618" w:type="dxa"/>
            <w:vMerge w:val="restart"/>
            <w:tcBorders>
              <w:top w:val="nil"/>
              <w:left w:val="single" w:color="auto" w:sz="8" w:space="0"/>
              <w:right w:val="single" w:color="auto" w:sz="4" w:space="0"/>
            </w:tcBorders>
            <w:shd w:val="clear" w:color="000000" w:fill="FFFFFF"/>
            <w:vAlign w:val="center"/>
          </w:tcPr>
          <w:p w14:paraId="7C7A1928">
            <w:pPr>
              <w:widowControl/>
              <w:jc w:val="center"/>
              <w:rPr>
                <w:rFonts w:hint="eastAsia" w:ascii="宋体" w:hAnsi="宋体" w:cs="宋体"/>
                <w:kern w:val="0"/>
                <w:sz w:val="20"/>
                <w:szCs w:val="20"/>
              </w:rPr>
            </w:pPr>
            <w:r>
              <w:rPr>
                <w:rFonts w:hint="eastAsia" w:ascii="宋体" w:hAnsi="宋体" w:cs="宋体"/>
                <w:kern w:val="0"/>
                <w:sz w:val="20"/>
                <w:szCs w:val="20"/>
              </w:rPr>
              <w:t>三</w:t>
            </w:r>
          </w:p>
        </w:tc>
        <w:tc>
          <w:tcPr>
            <w:tcW w:w="1016" w:type="dxa"/>
            <w:vMerge w:val="restart"/>
            <w:tcBorders>
              <w:top w:val="nil"/>
              <w:left w:val="single" w:color="auto" w:sz="4" w:space="0"/>
              <w:bottom w:val="single" w:color="auto" w:sz="4" w:space="0"/>
              <w:right w:val="single" w:color="auto" w:sz="4" w:space="0"/>
            </w:tcBorders>
            <w:shd w:val="clear" w:color="000000" w:fill="FFFFFF"/>
            <w:vAlign w:val="center"/>
          </w:tcPr>
          <w:p w14:paraId="5E9DEDAC">
            <w:pPr>
              <w:widowControl/>
              <w:jc w:val="center"/>
              <w:rPr>
                <w:rFonts w:hint="eastAsia" w:ascii="宋体" w:hAnsi="宋体" w:cs="宋体"/>
                <w:kern w:val="0"/>
                <w:sz w:val="20"/>
                <w:szCs w:val="20"/>
              </w:rPr>
            </w:pPr>
            <w:r>
              <w:rPr>
                <w:rFonts w:hint="eastAsia" w:ascii="宋体" w:hAnsi="宋体" w:cs="宋体"/>
                <w:kern w:val="0"/>
                <w:sz w:val="20"/>
                <w:szCs w:val="20"/>
              </w:rPr>
              <w:t>其他费用</w:t>
            </w:r>
          </w:p>
        </w:tc>
        <w:tc>
          <w:tcPr>
            <w:tcW w:w="3152" w:type="dxa"/>
            <w:tcBorders>
              <w:top w:val="nil"/>
              <w:left w:val="nil"/>
              <w:bottom w:val="single" w:color="auto" w:sz="4" w:space="0"/>
              <w:right w:val="single" w:color="auto" w:sz="4" w:space="0"/>
            </w:tcBorders>
            <w:shd w:val="clear" w:color="000000" w:fill="FFFFFF"/>
            <w:vAlign w:val="center"/>
          </w:tcPr>
          <w:p w14:paraId="56D4707A">
            <w:pPr>
              <w:widowControl/>
              <w:jc w:val="left"/>
              <w:rPr>
                <w:rFonts w:hint="eastAsia"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p>
        </w:tc>
        <w:tc>
          <w:tcPr>
            <w:tcW w:w="1559" w:type="dxa"/>
            <w:tcBorders>
              <w:top w:val="nil"/>
              <w:left w:val="nil"/>
              <w:bottom w:val="single" w:color="auto" w:sz="4" w:space="0"/>
              <w:right w:val="single" w:color="auto" w:sz="4" w:space="0"/>
            </w:tcBorders>
            <w:shd w:val="clear" w:color="000000" w:fill="FFFFFF"/>
            <w:vAlign w:val="center"/>
          </w:tcPr>
          <w:p w14:paraId="056DBA5E">
            <w:pPr>
              <w:widowControl/>
              <w:jc w:val="right"/>
              <w:rPr>
                <w:rFonts w:hint="eastAsia"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19028547">
            <w:pPr>
              <w:widowControl/>
              <w:jc w:val="left"/>
              <w:rPr>
                <w:rFonts w:hint="eastAsia" w:ascii="宋体" w:hAnsi="宋体" w:cs="宋体"/>
                <w:kern w:val="0"/>
                <w:sz w:val="20"/>
                <w:szCs w:val="20"/>
              </w:rPr>
            </w:pPr>
          </w:p>
        </w:tc>
      </w:tr>
      <w:tr w14:paraId="5EB355A1">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000000" w:fill="FFFFFF"/>
            <w:vAlign w:val="center"/>
          </w:tcPr>
          <w:p w14:paraId="1ADD939A">
            <w:pPr>
              <w:jc w:val="center"/>
              <w:rPr>
                <w:rFonts w:hint="eastAsia"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4519220A">
            <w:pPr>
              <w:widowControl/>
              <w:jc w:val="left"/>
              <w:rPr>
                <w:rFonts w:hint="eastAsia" w:ascii="宋体" w:hAnsi="宋体" w:cs="宋体"/>
                <w:kern w:val="0"/>
                <w:sz w:val="20"/>
                <w:szCs w:val="20"/>
              </w:rPr>
            </w:pPr>
          </w:p>
        </w:tc>
        <w:tc>
          <w:tcPr>
            <w:tcW w:w="3152" w:type="dxa"/>
            <w:tcBorders>
              <w:top w:val="nil"/>
              <w:left w:val="nil"/>
              <w:bottom w:val="single" w:color="auto" w:sz="4" w:space="0"/>
              <w:right w:val="single" w:color="auto" w:sz="4" w:space="0"/>
            </w:tcBorders>
            <w:shd w:val="clear" w:color="000000" w:fill="FFFFFF"/>
            <w:vAlign w:val="center"/>
          </w:tcPr>
          <w:p w14:paraId="01DCFE69">
            <w:pPr>
              <w:widowControl/>
              <w:jc w:val="left"/>
              <w:rPr>
                <w:rFonts w:hint="eastAsia" w:ascii="宋体" w:hAnsi="宋体" w:cs="宋体"/>
                <w:kern w:val="0"/>
                <w:sz w:val="20"/>
                <w:szCs w:val="20"/>
              </w:rPr>
            </w:pPr>
          </w:p>
        </w:tc>
        <w:tc>
          <w:tcPr>
            <w:tcW w:w="1559" w:type="dxa"/>
            <w:tcBorders>
              <w:top w:val="nil"/>
              <w:left w:val="nil"/>
              <w:bottom w:val="single" w:color="auto" w:sz="4" w:space="0"/>
              <w:right w:val="single" w:color="auto" w:sz="4" w:space="0"/>
            </w:tcBorders>
            <w:shd w:val="clear" w:color="000000" w:fill="FFFFFF"/>
            <w:vAlign w:val="center"/>
          </w:tcPr>
          <w:p w14:paraId="4ECBF719">
            <w:pPr>
              <w:widowControl/>
              <w:jc w:val="right"/>
              <w:rPr>
                <w:rFonts w:hint="eastAsia"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20136BAA">
            <w:pPr>
              <w:widowControl/>
              <w:jc w:val="left"/>
              <w:rPr>
                <w:rFonts w:hint="eastAsia" w:ascii="宋体" w:hAnsi="宋体" w:cs="宋体"/>
                <w:kern w:val="0"/>
                <w:sz w:val="20"/>
                <w:szCs w:val="20"/>
              </w:rPr>
            </w:pPr>
          </w:p>
        </w:tc>
      </w:tr>
      <w:tr w14:paraId="1603856E">
        <w:tblPrEx>
          <w:tblCellMar>
            <w:top w:w="0" w:type="dxa"/>
            <w:left w:w="108" w:type="dxa"/>
            <w:bottom w:w="0" w:type="dxa"/>
            <w:right w:w="108" w:type="dxa"/>
          </w:tblCellMar>
        </w:tblPrEx>
        <w:trPr>
          <w:trHeight w:val="285" w:hRule="atLeast"/>
        </w:trPr>
        <w:tc>
          <w:tcPr>
            <w:tcW w:w="618" w:type="dxa"/>
            <w:vMerge w:val="continue"/>
            <w:tcBorders>
              <w:left w:val="single" w:color="auto" w:sz="8" w:space="0"/>
              <w:bottom w:val="single" w:color="auto" w:sz="4" w:space="0"/>
              <w:right w:val="single" w:color="auto" w:sz="4" w:space="0"/>
            </w:tcBorders>
            <w:shd w:val="clear" w:color="000000" w:fill="FFFFFF"/>
            <w:vAlign w:val="center"/>
          </w:tcPr>
          <w:p w14:paraId="16057D5B">
            <w:pPr>
              <w:widowControl/>
              <w:jc w:val="center"/>
              <w:rPr>
                <w:rFonts w:hint="eastAsia"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22460B78">
            <w:pPr>
              <w:widowControl/>
              <w:jc w:val="center"/>
              <w:rPr>
                <w:rFonts w:hint="eastAsia" w:ascii="宋体" w:hAnsi="宋体" w:cs="宋体"/>
                <w:kern w:val="0"/>
                <w:sz w:val="20"/>
                <w:szCs w:val="20"/>
              </w:rPr>
            </w:pPr>
            <w:r>
              <w:rPr>
                <w:rFonts w:hint="eastAsia" w:ascii="宋体" w:hAnsi="宋体" w:cs="宋体"/>
                <w:kern w:val="0"/>
                <w:sz w:val="20"/>
                <w:szCs w:val="20"/>
              </w:rPr>
              <w:t>其他费用小计</w:t>
            </w:r>
          </w:p>
        </w:tc>
        <w:tc>
          <w:tcPr>
            <w:tcW w:w="1559" w:type="dxa"/>
            <w:tcBorders>
              <w:top w:val="nil"/>
              <w:left w:val="nil"/>
              <w:bottom w:val="single" w:color="auto" w:sz="4" w:space="0"/>
              <w:right w:val="single" w:color="auto" w:sz="4" w:space="0"/>
            </w:tcBorders>
            <w:shd w:val="clear" w:color="000000" w:fill="FFFFFF"/>
            <w:vAlign w:val="center"/>
          </w:tcPr>
          <w:p w14:paraId="46923C87">
            <w:pPr>
              <w:widowControl/>
              <w:jc w:val="right"/>
              <w:rPr>
                <w:rFonts w:hint="eastAsia"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185027D6">
            <w:pPr>
              <w:widowControl/>
              <w:jc w:val="left"/>
              <w:rPr>
                <w:rFonts w:hint="eastAsia" w:ascii="宋体" w:hAnsi="宋体" w:cs="宋体"/>
                <w:kern w:val="0"/>
                <w:sz w:val="20"/>
                <w:szCs w:val="20"/>
              </w:rPr>
            </w:pPr>
            <w:r>
              <w:rPr>
                <w:rFonts w:hint="eastAsia" w:ascii="宋体" w:hAnsi="宋体" w:cs="宋体"/>
                <w:kern w:val="0"/>
                <w:sz w:val="20"/>
                <w:szCs w:val="20"/>
              </w:rPr>
              <w:t>　</w:t>
            </w:r>
          </w:p>
        </w:tc>
      </w:tr>
      <w:tr w14:paraId="77D531F9">
        <w:tblPrEx>
          <w:tblCellMar>
            <w:top w:w="0" w:type="dxa"/>
            <w:left w:w="108" w:type="dxa"/>
            <w:bottom w:w="0" w:type="dxa"/>
            <w:right w:w="108" w:type="dxa"/>
          </w:tblCellMar>
        </w:tblPrEx>
        <w:trPr>
          <w:trHeight w:val="285" w:hRule="atLeast"/>
        </w:trPr>
        <w:tc>
          <w:tcPr>
            <w:tcW w:w="618" w:type="dxa"/>
            <w:tcBorders>
              <w:top w:val="nil"/>
              <w:left w:val="single" w:color="auto" w:sz="8" w:space="0"/>
              <w:bottom w:val="single" w:color="auto" w:sz="4" w:space="0"/>
              <w:right w:val="single" w:color="auto" w:sz="4" w:space="0"/>
            </w:tcBorders>
            <w:shd w:val="clear" w:color="000000" w:fill="FFFFFF"/>
            <w:vAlign w:val="center"/>
          </w:tcPr>
          <w:p w14:paraId="6EB7EFCA">
            <w:pPr>
              <w:widowControl/>
              <w:jc w:val="center"/>
              <w:rPr>
                <w:rFonts w:hint="eastAsia" w:ascii="宋体" w:hAnsi="宋体" w:cs="宋体"/>
                <w:kern w:val="0"/>
                <w:sz w:val="20"/>
                <w:szCs w:val="20"/>
              </w:rPr>
            </w:pPr>
            <w:r>
              <w:rPr>
                <w:rFonts w:hint="eastAsia" w:ascii="宋体" w:hAnsi="宋体" w:cs="宋体"/>
                <w:kern w:val="0"/>
                <w:sz w:val="20"/>
                <w:szCs w:val="20"/>
              </w:rPr>
              <w:t>四</w:t>
            </w: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7B33FCA0">
            <w:pPr>
              <w:widowControl/>
              <w:jc w:val="left"/>
              <w:rPr>
                <w:rFonts w:hint="eastAsia" w:ascii="宋体" w:hAnsi="宋体" w:cs="宋体"/>
                <w:kern w:val="0"/>
                <w:sz w:val="20"/>
                <w:szCs w:val="20"/>
              </w:rPr>
            </w:pPr>
            <w:r>
              <w:rPr>
                <w:rFonts w:hint="eastAsia" w:ascii="宋体" w:hAnsi="宋体" w:cs="宋体"/>
                <w:kern w:val="0"/>
                <w:sz w:val="20"/>
                <w:szCs w:val="20"/>
              </w:rPr>
              <w:t>税金</w:t>
            </w:r>
          </w:p>
        </w:tc>
        <w:tc>
          <w:tcPr>
            <w:tcW w:w="1559" w:type="dxa"/>
            <w:tcBorders>
              <w:top w:val="nil"/>
              <w:left w:val="nil"/>
              <w:bottom w:val="single" w:color="auto" w:sz="4" w:space="0"/>
              <w:right w:val="single" w:color="auto" w:sz="4" w:space="0"/>
            </w:tcBorders>
            <w:shd w:val="clear" w:color="000000" w:fill="FFFFFF"/>
            <w:vAlign w:val="center"/>
          </w:tcPr>
          <w:p w14:paraId="69BC2621">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684202DC">
            <w:pPr>
              <w:widowControl/>
              <w:jc w:val="left"/>
              <w:rPr>
                <w:rFonts w:hint="eastAsia" w:ascii="宋体" w:hAnsi="宋体" w:cs="宋体"/>
                <w:kern w:val="0"/>
                <w:sz w:val="20"/>
                <w:szCs w:val="20"/>
              </w:rPr>
            </w:pPr>
            <w:r>
              <w:rPr>
                <w:rFonts w:hint="eastAsia" w:ascii="宋体" w:hAnsi="宋体" w:cs="宋体"/>
                <w:kern w:val="0"/>
                <w:sz w:val="20"/>
                <w:szCs w:val="20"/>
              </w:rPr>
              <w:t>　</w:t>
            </w:r>
          </w:p>
        </w:tc>
      </w:tr>
      <w:tr w14:paraId="145188D3">
        <w:tblPrEx>
          <w:tblCellMar>
            <w:top w:w="0" w:type="dxa"/>
            <w:left w:w="108" w:type="dxa"/>
            <w:bottom w:w="0" w:type="dxa"/>
            <w:right w:w="108" w:type="dxa"/>
          </w:tblCellMar>
        </w:tblPrEx>
        <w:trPr>
          <w:trHeight w:val="285" w:hRule="atLeast"/>
        </w:trPr>
        <w:tc>
          <w:tcPr>
            <w:tcW w:w="618" w:type="dxa"/>
            <w:tcBorders>
              <w:top w:val="nil"/>
              <w:left w:val="single" w:color="auto" w:sz="8" w:space="0"/>
              <w:bottom w:val="single" w:color="auto" w:sz="4" w:space="0"/>
              <w:right w:val="single" w:color="auto" w:sz="4" w:space="0"/>
            </w:tcBorders>
            <w:shd w:val="clear" w:color="000000" w:fill="FFFFFF"/>
            <w:vAlign w:val="center"/>
          </w:tcPr>
          <w:p w14:paraId="24E57171">
            <w:pPr>
              <w:widowControl/>
              <w:jc w:val="center"/>
              <w:rPr>
                <w:rFonts w:hint="eastAsia"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02F3A686">
            <w:pPr>
              <w:widowControl/>
              <w:jc w:val="left"/>
              <w:rPr>
                <w:rFonts w:hint="eastAsia" w:ascii="宋体" w:hAnsi="宋体" w:cs="宋体"/>
                <w:kern w:val="0"/>
                <w:sz w:val="20"/>
                <w:szCs w:val="20"/>
              </w:rPr>
            </w:pPr>
            <w:r>
              <w:rPr>
                <w:rFonts w:hint="eastAsia" w:ascii="宋体" w:hAnsi="宋体" w:cs="宋体"/>
                <w:b/>
                <w:bCs/>
                <w:kern w:val="0"/>
                <w:sz w:val="20"/>
                <w:szCs w:val="20"/>
              </w:rPr>
              <w:t>……</w:t>
            </w:r>
          </w:p>
        </w:tc>
        <w:tc>
          <w:tcPr>
            <w:tcW w:w="1559" w:type="dxa"/>
            <w:tcBorders>
              <w:top w:val="nil"/>
              <w:left w:val="nil"/>
              <w:bottom w:val="single" w:color="auto" w:sz="4" w:space="0"/>
              <w:right w:val="single" w:color="auto" w:sz="4" w:space="0"/>
            </w:tcBorders>
            <w:shd w:val="clear" w:color="000000" w:fill="FFFFFF"/>
            <w:vAlign w:val="center"/>
          </w:tcPr>
          <w:p w14:paraId="480A7488">
            <w:pPr>
              <w:widowControl/>
              <w:jc w:val="left"/>
              <w:rPr>
                <w:rFonts w:hint="eastAsia" w:ascii="宋体" w:hAnsi="宋体" w:cs="宋体"/>
                <w:kern w:val="0"/>
                <w:sz w:val="20"/>
                <w:szCs w:val="20"/>
              </w:rPr>
            </w:pPr>
          </w:p>
        </w:tc>
        <w:tc>
          <w:tcPr>
            <w:tcW w:w="2268" w:type="dxa"/>
            <w:tcBorders>
              <w:top w:val="nil"/>
              <w:left w:val="nil"/>
              <w:bottom w:val="single" w:color="auto" w:sz="4" w:space="0"/>
              <w:right w:val="single" w:color="auto" w:sz="8" w:space="0"/>
            </w:tcBorders>
            <w:shd w:val="clear" w:color="000000" w:fill="FFFFFF"/>
            <w:vAlign w:val="center"/>
          </w:tcPr>
          <w:p w14:paraId="746DBD07">
            <w:pPr>
              <w:widowControl/>
              <w:jc w:val="left"/>
              <w:rPr>
                <w:rFonts w:hint="eastAsia" w:ascii="宋体" w:hAnsi="宋体" w:cs="宋体"/>
                <w:kern w:val="0"/>
                <w:sz w:val="20"/>
                <w:szCs w:val="20"/>
              </w:rPr>
            </w:pPr>
          </w:p>
        </w:tc>
      </w:tr>
      <w:tr w14:paraId="2C45789F">
        <w:tblPrEx>
          <w:tblCellMar>
            <w:top w:w="0" w:type="dxa"/>
            <w:left w:w="108" w:type="dxa"/>
            <w:bottom w:w="0" w:type="dxa"/>
            <w:right w:w="108" w:type="dxa"/>
          </w:tblCellMar>
        </w:tblPrEx>
        <w:trPr>
          <w:trHeight w:val="285" w:hRule="atLeast"/>
        </w:trPr>
        <w:tc>
          <w:tcPr>
            <w:tcW w:w="618" w:type="dxa"/>
            <w:tcBorders>
              <w:top w:val="nil"/>
              <w:left w:val="single" w:color="auto" w:sz="8" w:space="0"/>
              <w:bottom w:val="single" w:color="auto" w:sz="4" w:space="0"/>
              <w:right w:val="single" w:color="auto" w:sz="4" w:space="0"/>
            </w:tcBorders>
            <w:shd w:val="clear" w:color="000000" w:fill="FFFFFF"/>
            <w:vAlign w:val="center"/>
          </w:tcPr>
          <w:p w14:paraId="4D57A278">
            <w:pPr>
              <w:widowControl/>
              <w:jc w:val="center"/>
              <w:rPr>
                <w:rFonts w:hint="eastAsia"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740F6F3D">
            <w:pPr>
              <w:widowControl/>
              <w:jc w:val="center"/>
              <w:rPr>
                <w:rFonts w:hint="eastAsia" w:ascii="宋体" w:hAnsi="宋体" w:cs="宋体"/>
                <w:b/>
                <w:bCs/>
                <w:kern w:val="0"/>
                <w:sz w:val="20"/>
                <w:szCs w:val="20"/>
              </w:rPr>
            </w:pPr>
            <w:r>
              <w:rPr>
                <w:rFonts w:hint="eastAsia" w:ascii="宋体" w:hAnsi="宋体" w:cs="宋体"/>
                <w:b/>
                <w:bCs/>
                <w:kern w:val="0"/>
                <w:sz w:val="20"/>
                <w:szCs w:val="20"/>
              </w:rPr>
              <w:t>合计(元)</w:t>
            </w:r>
          </w:p>
        </w:tc>
        <w:tc>
          <w:tcPr>
            <w:tcW w:w="1559" w:type="dxa"/>
            <w:tcBorders>
              <w:top w:val="nil"/>
              <w:left w:val="nil"/>
              <w:bottom w:val="single" w:color="auto" w:sz="4" w:space="0"/>
              <w:right w:val="single" w:color="auto" w:sz="4" w:space="0"/>
            </w:tcBorders>
            <w:shd w:val="clear" w:color="000000" w:fill="FFFFFF"/>
            <w:vAlign w:val="center"/>
          </w:tcPr>
          <w:p w14:paraId="15DA5A21">
            <w:pPr>
              <w:widowControl/>
              <w:jc w:val="right"/>
              <w:rPr>
                <w:rFonts w:hint="eastAsia" w:ascii="宋体" w:hAnsi="宋体" w:cs="宋体"/>
                <w:b/>
                <w:bCs/>
                <w:kern w:val="0"/>
                <w:sz w:val="20"/>
                <w:szCs w:val="20"/>
              </w:rPr>
            </w:pPr>
            <w:r>
              <w:rPr>
                <w:rFonts w:hint="eastAsia" w:ascii="宋体" w:hAnsi="宋体" w:cs="宋体"/>
                <w:b/>
                <w:bCs/>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5DD1A35E">
            <w:pPr>
              <w:widowControl/>
              <w:jc w:val="center"/>
              <w:rPr>
                <w:rFonts w:hint="eastAsia" w:ascii="宋体" w:hAnsi="宋体" w:cs="宋体"/>
                <w:kern w:val="0"/>
                <w:sz w:val="20"/>
                <w:szCs w:val="20"/>
              </w:rPr>
            </w:pPr>
            <w:r>
              <w:rPr>
                <w:rFonts w:hint="eastAsia" w:ascii="宋体" w:hAnsi="宋体" w:cs="宋体"/>
                <w:kern w:val="0"/>
                <w:sz w:val="20"/>
                <w:szCs w:val="20"/>
              </w:rPr>
              <w:t>　以上各项之和</w:t>
            </w:r>
          </w:p>
        </w:tc>
      </w:tr>
    </w:tbl>
    <w:p w14:paraId="72C12701">
      <w:pPr>
        <w:rPr>
          <w:rFonts w:hint="eastAsia" w:hAnsi="宋体"/>
          <w:b/>
          <w:bCs/>
          <w:color w:val="FF0000"/>
          <w:sz w:val="24"/>
        </w:rPr>
      </w:pPr>
      <w:bookmarkStart w:id="33" w:name="OLE_LINK11"/>
      <w:r>
        <w:rPr>
          <w:rFonts w:hint="eastAsia" w:hAnsi="宋体"/>
          <w:b/>
          <w:bCs/>
          <w:color w:val="FF0000"/>
          <w:sz w:val="24"/>
        </w:rPr>
        <w:t>注：</w:t>
      </w:r>
      <w:bookmarkStart w:id="34" w:name="OLE_LINK13"/>
      <w:bookmarkStart w:id="35" w:name="OLE_LINK10"/>
      <w:r>
        <w:rPr>
          <w:rFonts w:hint="eastAsia" w:hAnsi="宋体"/>
          <w:b/>
          <w:bCs/>
          <w:color w:val="FF0000"/>
          <w:sz w:val="24"/>
        </w:rPr>
        <w:t>服务类项目包含硬件设备</w:t>
      </w:r>
      <w:bookmarkEnd w:id="34"/>
      <w:r>
        <w:rPr>
          <w:rFonts w:hint="eastAsia" w:hAnsi="宋体"/>
          <w:b/>
          <w:bCs/>
          <w:color w:val="FF0000"/>
          <w:sz w:val="24"/>
        </w:rPr>
        <w:t>、产品等货物采购的，除了要求供应商响应服务方案及报价外，必须按照招标文件规定的分项报价表格式，要求供应商响应货物标的产品规格型号并逐一分项报价。</w:t>
      </w:r>
    </w:p>
    <w:p w14:paraId="77DBE18F">
      <w:pPr>
        <w:rPr>
          <w:rFonts w:hint="eastAsia" w:hAnsi="宋体"/>
          <w:b/>
          <w:bCs/>
          <w:color w:val="FF0000"/>
          <w:sz w:val="24"/>
        </w:rPr>
      </w:pPr>
    </w:p>
    <w:bookmarkEnd w:id="33"/>
    <w:bookmarkEnd w:id="35"/>
    <w:p w14:paraId="635501DB">
      <w:pPr>
        <w:ind w:firstLine="422" w:firstLineChars="200"/>
        <w:rPr>
          <w:rFonts w:hint="eastAsia" w:hAnsi="宋体"/>
          <w:b/>
          <w:bCs/>
          <w:szCs w:val="21"/>
        </w:rPr>
      </w:pPr>
    </w:p>
    <w:p w14:paraId="642C295E">
      <w:pPr>
        <w:spacing w:after="78" w:afterLines="25" w:line="300" w:lineRule="auto"/>
        <w:rPr>
          <w:rFonts w:ascii="Arial" w:hAnsi="Arial" w:eastAsia="宋体" w:cs="Times New Roman"/>
          <w:b/>
          <w:sz w:val="24"/>
          <w:szCs w:val="24"/>
        </w:rPr>
      </w:pPr>
      <w:r>
        <w:rPr>
          <w:rFonts w:hint="eastAsia" w:ascii="Arial" w:hAnsi="Arial" w:eastAsia="宋体" w:cs="Times New Roman"/>
          <w:b/>
          <w:sz w:val="24"/>
          <w:szCs w:val="24"/>
        </w:rPr>
        <w:t>（二）供应商认为需要涉及的其他内容报价清单</w:t>
      </w:r>
    </w:p>
    <w:p w14:paraId="4D2814AF">
      <w:pPr>
        <w:wordWrap w:val="0"/>
        <w:spacing w:after="78" w:afterLines="25" w:line="300" w:lineRule="auto"/>
        <w:ind w:right="420" w:firstLine="4410" w:firstLineChars="2100"/>
        <w:jc w:val="right"/>
        <w:rPr>
          <w:rFonts w:ascii="Arial" w:hAnsi="Arial" w:eastAsia="宋体" w:cs="Times New Roman"/>
          <w:szCs w:val="21"/>
        </w:rPr>
      </w:pPr>
      <w:r>
        <w:rPr>
          <w:rFonts w:hint="eastAsia" w:ascii="Arial" w:hAnsi="Arial" w:eastAsia="宋体" w:cs="Times New Roman"/>
          <w:szCs w:val="21"/>
        </w:rPr>
        <w:t xml:space="preserve">   </w:t>
      </w:r>
    </w:p>
    <w:p w14:paraId="26722C4D">
      <w:pPr>
        <w:widowControl/>
        <w:jc w:val="left"/>
        <w:rPr>
          <w:rFonts w:ascii="Arial" w:hAnsi="Arial" w:eastAsia="宋体" w:cs="Times New Roman"/>
          <w:b/>
          <w:sz w:val="24"/>
          <w:szCs w:val="24"/>
        </w:rPr>
      </w:pPr>
    </w:p>
    <w:p w14:paraId="5A5538EC">
      <w:pPr>
        <w:rPr>
          <w:rFonts w:hint="eastAsia" w:ascii="宋体" w:hAnsi="宋体"/>
        </w:rPr>
      </w:pPr>
      <w:r>
        <w:t xml:space="preserve">       </w:t>
      </w:r>
      <w:bookmarkStart w:id="36" w:name="_Hlk72260501"/>
      <w:r>
        <w:t xml:space="preserve">  </w:t>
      </w:r>
      <w:r>
        <w:rPr>
          <w:rFonts w:hint="eastAsia" w:ascii="宋体" w:hAnsi="宋体"/>
        </w:rPr>
        <w:t>………………</w:t>
      </w:r>
      <w:bookmarkEnd w:id="36"/>
      <w:r>
        <w:rPr>
          <w:rFonts w:hint="eastAsia" w:ascii="宋体" w:hAnsi="宋体"/>
        </w:rPr>
        <w:t>（根据项目具体情况增加与综合实力评审相关的节点）………………</w:t>
      </w:r>
    </w:p>
    <w:p w14:paraId="69FF4C74">
      <w:pPr>
        <w:rPr>
          <w:b/>
          <w:bCs/>
          <w:color w:val="FF0000"/>
          <w:sz w:val="24"/>
        </w:rPr>
      </w:pPr>
    </w:p>
    <w:p w14:paraId="63596FBC">
      <w:pPr>
        <w:jc w:val="center"/>
        <w:rPr>
          <w:rFonts w:hint="eastAsia" w:ascii="宋体" w:hAnsi="宋体"/>
        </w:rPr>
      </w:pPr>
      <w:r>
        <w:rPr>
          <w:rFonts w:hint="eastAsia"/>
          <w:b/>
          <w:bCs/>
          <w:color w:val="FF0000"/>
          <w:sz w:val="24"/>
        </w:rPr>
        <w:t>★</w:t>
      </w:r>
      <w:r>
        <w:rPr>
          <w:rFonts w:hint="eastAsia" w:ascii="黑体" w:eastAsia="黑体"/>
          <w:sz w:val="24"/>
          <w:szCs w:val="24"/>
        </w:rPr>
        <w:t>五、供应商基本情况表</w:t>
      </w:r>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
        <w:gridCol w:w="702"/>
        <w:gridCol w:w="1666"/>
        <w:gridCol w:w="984"/>
        <w:gridCol w:w="819"/>
        <w:gridCol w:w="1248"/>
        <w:gridCol w:w="1556"/>
        <w:gridCol w:w="1547"/>
      </w:tblGrid>
      <w:tr w14:paraId="16526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pct"/>
            <w:gridSpan w:val="2"/>
            <w:vAlign w:val="center"/>
          </w:tcPr>
          <w:p w14:paraId="399AC10E">
            <w:pPr>
              <w:jc w:val="center"/>
              <w:rPr>
                <w:rFonts w:hint="eastAsia" w:ascii="宋体" w:hAnsi="宋体" w:eastAsia="宋体" w:cs="宋体"/>
                <w:szCs w:val="21"/>
              </w:rPr>
            </w:pPr>
            <w:r>
              <w:rPr>
                <w:rFonts w:hint="eastAsia" w:ascii="宋体" w:hAnsi="宋体" w:eastAsia="宋体" w:cs="宋体"/>
                <w:szCs w:val="21"/>
              </w:rPr>
              <w:t>投标（响应）供应商</w:t>
            </w:r>
          </w:p>
        </w:tc>
        <w:tc>
          <w:tcPr>
            <w:tcW w:w="1427" w:type="pct"/>
            <w:gridSpan w:val="2"/>
            <w:vAlign w:val="center"/>
          </w:tcPr>
          <w:p w14:paraId="12B88CA6">
            <w:pPr>
              <w:jc w:val="center"/>
              <w:rPr>
                <w:rFonts w:hint="eastAsia" w:ascii="宋体" w:hAnsi="宋体" w:eastAsia="宋体" w:cs="宋体"/>
                <w:szCs w:val="21"/>
              </w:rPr>
            </w:pPr>
          </w:p>
        </w:tc>
        <w:tc>
          <w:tcPr>
            <w:tcW w:w="1113" w:type="pct"/>
            <w:gridSpan w:val="2"/>
            <w:vAlign w:val="center"/>
          </w:tcPr>
          <w:p w14:paraId="000A6E43">
            <w:pPr>
              <w:jc w:val="center"/>
              <w:rPr>
                <w:rFonts w:hint="eastAsia" w:ascii="宋体" w:hAnsi="宋体" w:eastAsia="宋体" w:cs="宋体"/>
                <w:szCs w:val="21"/>
              </w:rPr>
            </w:pPr>
            <w:r>
              <w:rPr>
                <w:rFonts w:hint="eastAsia" w:ascii="宋体" w:hAnsi="宋体" w:eastAsia="宋体" w:cs="宋体"/>
                <w:szCs w:val="21"/>
              </w:rPr>
              <w:t>项目名称及编号</w:t>
            </w:r>
          </w:p>
        </w:tc>
        <w:tc>
          <w:tcPr>
            <w:tcW w:w="1669" w:type="pct"/>
            <w:gridSpan w:val="2"/>
            <w:vAlign w:val="center"/>
          </w:tcPr>
          <w:p w14:paraId="21C23601">
            <w:pPr>
              <w:jc w:val="center"/>
              <w:rPr>
                <w:rFonts w:hint="eastAsia" w:ascii="宋体" w:hAnsi="宋体" w:eastAsia="宋体" w:cs="宋体"/>
                <w:szCs w:val="21"/>
              </w:rPr>
            </w:pPr>
          </w:p>
        </w:tc>
      </w:tr>
      <w:tr w14:paraId="41EFB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7A3D52C7">
            <w:pPr>
              <w:jc w:val="center"/>
              <w:rPr>
                <w:rFonts w:hint="eastAsia" w:ascii="宋体" w:hAnsi="宋体" w:eastAsia="宋体" w:cs="宋体"/>
                <w:szCs w:val="21"/>
              </w:rPr>
            </w:pPr>
            <w:r>
              <w:rPr>
                <w:rFonts w:hint="eastAsia" w:ascii="宋体" w:hAnsi="宋体" w:eastAsia="宋体" w:cs="宋体"/>
                <w:b/>
                <w:bCs/>
                <w:szCs w:val="21"/>
              </w:rPr>
              <w:t>投标（响应）供应商相关人员情况</w:t>
            </w:r>
          </w:p>
        </w:tc>
      </w:tr>
      <w:tr w14:paraId="3DAFE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vAlign w:val="center"/>
          </w:tcPr>
          <w:p w14:paraId="223944F4">
            <w:pPr>
              <w:snapToGrid w:val="0"/>
              <w:jc w:val="center"/>
              <w:rPr>
                <w:rFonts w:hint="eastAsia" w:ascii="宋体" w:hAnsi="宋体" w:eastAsia="宋体" w:cs="宋体"/>
                <w:szCs w:val="21"/>
              </w:rPr>
            </w:pPr>
            <w:r>
              <w:rPr>
                <w:rFonts w:hint="eastAsia" w:ascii="宋体" w:hAnsi="宋体" w:eastAsia="宋体" w:cs="宋体"/>
                <w:szCs w:val="21"/>
              </w:rPr>
              <w:t>序号</w:t>
            </w:r>
          </w:p>
        </w:tc>
        <w:tc>
          <w:tcPr>
            <w:tcW w:w="1275" w:type="pct"/>
            <w:gridSpan w:val="2"/>
            <w:tcBorders>
              <w:bottom w:val="single" w:color="auto" w:sz="4" w:space="0"/>
            </w:tcBorders>
            <w:vAlign w:val="center"/>
          </w:tcPr>
          <w:p w14:paraId="3AF5366A">
            <w:pPr>
              <w:jc w:val="center"/>
              <w:rPr>
                <w:rFonts w:hint="eastAsia" w:ascii="宋体" w:hAnsi="宋体" w:eastAsia="宋体" w:cs="宋体"/>
                <w:szCs w:val="21"/>
              </w:rPr>
            </w:pPr>
            <w:r>
              <w:rPr>
                <w:rFonts w:hint="eastAsia" w:ascii="宋体" w:hAnsi="宋体" w:eastAsia="宋体" w:cs="宋体"/>
                <w:szCs w:val="21"/>
              </w:rPr>
              <w:t>职务</w:t>
            </w:r>
          </w:p>
        </w:tc>
        <w:tc>
          <w:tcPr>
            <w:tcW w:w="529" w:type="pct"/>
            <w:tcBorders>
              <w:bottom w:val="single" w:color="auto" w:sz="4" w:space="0"/>
            </w:tcBorders>
            <w:vAlign w:val="center"/>
          </w:tcPr>
          <w:p w14:paraId="63A41192">
            <w:pPr>
              <w:jc w:val="center"/>
              <w:rPr>
                <w:rFonts w:hint="eastAsia" w:ascii="宋体" w:hAnsi="宋体" w:eastAsia="宋体" w:cs="宋体"/>
                <w:szCs w:val="21"/>
              </w:rPr>
            </w:pPr>
            <w:r>
              <w:rPr>
                <w:rFonts w:hint="eastAsia" w:ascii="宋体" w:hAnsi="宋体" w:eastAsia="宋体" w:cs="宋体"/>
                <w:szCs w:val="21"/>
              </w:rPr>
              <w:t>姓名</w:t>
            </w:r>
          </w:p>
        </w:tc>
        <w:tc>
          <w:tcPr>
            <w:tcW w:w="1113" w:type="pct"/>
            <w:gridSpan w:val="2"/>
            <w:tcBorders>
              <w:bottom w:val="single" w:color="auto" w:sz="4" w:space="0"/>
            </w:tcBorders>
            <w:vAlign w:val="center"/>
          </w:tcPr>
          <w:p w14:paraId="1E32801C">
            <w:pPr>
              <w:jc w:val="center"/>
              <w:rPr>
                <w:rFonts w:hint="eastAsia" w:ascii="宋体" w:hAnsi="宋体" w:eastAsia="宋体" w:cs="宋体"/>
                <w:szCs w:val="21"/>
              </w:rPr>
            </w:pPr>
            <w:r>
              <w:rPr>
                <w:rFonts w:hint="eastAsia" w:ascii="宋体" w:hAnsi="宋体" w:eastAsia="宋体" w:cs="宋体"/>
                <w:szCs w:val="21"/>
              </w:rPr>
              <w:t>身份证号码</w:t>
            </w:r>
          </w:p>
        </w:tc>
        <w:tc>
          <w:tcPr>
            <w:tcW w:w="838" w:type="pct"/>
            <w:tcBorders>
              <w:bottom w:val="single" w:color="auto" w:sz="4" w:space="0"/>
            </w:tcBorders>
            <w:vAlign w:val="center"/>
          </w:tcPr>
          <w:p w14:paraId="4995E275">
            <w:pPr>
              <w:snapToGrid w:val="0"/>
              <w:jc w:val="center"/>
              <w:rPr>
                <w:rFonts w:hint="eastAsia" w:ascii="宋体" w:hAnsi="宋体" w:eastAsia="宋体" w:cs="宋体"/>
                <w:szCs w:val="21"/>
              </w:rPr>
            </w:pPr>
            <w:r>
              <w:rPr>
                <w:rFonts w:hint="eastAsia" w:ascii="宋体" w:hAnsi="宋体" w:eastAsia="宋体" w:cs="宋体"/>
                <w:szCs w:val="21"/>
              </w:rPr>
              <w:t>劳动合同</w:t>
            </w:r>
          </w:p>
          <w:p w14:paraId="1A5D8E24">
            <w:pPr>
              <w:snapToGrid w:val="0"/>
              <w:jc w:val="center"/>
              <w:rPr>
                <w:rFonts w:hint="eastAsia" w:ascii="宋体" w:hAnsi="宋体" w:eastAsia="宋体" w:cs="宋体"/>
                <w:szCs w:val="21"/>
              </w:rPr>
            </w:pPr>
            <w:r>
              <w:rPr>
                <w:rFonts w:hint="eastAsia" w:ascii="宋体" w:hAnsi="宋体" w:eastAsia="宋体" w:cs="宋体"/>
                <w:szCs w:val="21"/>
              </w:rPr>
              <w:t>关系单位</w:t>
            </w:r>
          </w:p>
        </w:tc>
        <w:tc>
          <w:tcPr>
            <w:tcW w:w="830" w:type="pct"/>
            <w:tcBorders>
              <w:bottom w:val="single" w:color="auto" w:sz="4" w:space="0"/>
            </w:tcBorders>
            <w:vAlign w:val="center"/>
          </w:tcPr>
          <w:p w14:paraId="41C59BD5">
            <w:pPr>
              <w:snapToGrid w:val="0"/>
              <w:jc w:val="center"/>
              <w:rPr>
                <w:rFonts w:hint="eastAsia" w:ascii="宋体" w:hAnsi="宋体" w:eastAsia="宋体" w:cs="宋体"/>
                <w:szCs w:val="21"/>
              </w:rPr>
            </w:pPr>
            <w:r>
              <w:rPr>
                <w:rFonts w:hint="eastAsia" w:ascii="宋体" w:hAnsi="宋体" w:eastAsia="宋体" w:cs="宋体"/>
                <w:szCs w:val="21"/>
              </w:rPr>
              <w:t>缴纳社会</w:t>
            </w:r>
          </w:p>
          <w:p w14:paraId="1DC3B09E">
            <w:pPr>
              <w:snapToGrid w:val="0"/>
              <w:jc w:val="center"/>
              <w:rPr>
                <w:rFonts w:hint="eastAsia" w:ascii="宋体" w:hAnsi="宋体" w:eastAsia="宋体" w:cs="宋体"/>
                <w:szCs w:val="21"/>
              </w:rPr>
            </w:pPr>
            <w:r>
              <w:rPr>
                <w:rFonts w:hint="eastAsia" w:ascii="宋体" w:hAnsi="宋体" w:eastAsia="宋体" w:cs="宋体"/>
                <w:szCs w:val="21"/>
              </w:rPr>
              <w:t>保险单位</w:t>
            </w:r>
          </w:p>
        </w:tc>
      </w:tr>
      <w:tr w14:paraId="25A3B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vAlign w:val="center"/>
          </w:tcPr>
          <w:p w14:paraId="139046CE">
            <w:pPr>
              <w:jc w:val="center"/>
              <w:rPr>
                <w:rFonts w:hint="eastAsia" w:ascii="宋体" w:hAnsi="宋体" w:eastAsia="宋体" w:cs="宋体"/>
                <w:szCs w:val="21"/>
              </w:rPr>
            </w:pPr>
            <w:r>
              <w:rPr>
                <w:rFonts w:hint="eastAsia" w:ascii="宋体" w:hAnsi="宋体" w:eastAsia="宋体" w:cs="宋体"/>
                <w:szCs w:val="21"/>
              </w:rPr>
              <w:t>1</w:t>
            </w:r>
          </w:p>
        </w:tc>
        <w:tc>
          <w:tcPr>
            <w:tcW w:w="1275" w:type="pct"/>
            <w:gridSpan w:val="2"/>
            <w:tcBorders>
              <w:top w:val="single" w:color="auto" w:sz="4" w:space="0"/>
              <w:left w:val="single" w:color="auto" w:sz="4" w:space="0"/>
              <w:bottom w:val="single" w:color="auto" w:sz="4" w:space="0"/>
              <w:right w:val="single" w:color="auto" w:sz="4" w:space="0"/>
            </w:tcBorders>
            <w:vAlign w:val="center"/>
          </w:tcPr>
          <w:p w14:paraId="0543D1E9">
            <w:pPr>
              <w:spacing w:line="460" w:lineRule="exact"/>
              <w:jc w:val="center"/>
              <w:rPr>
                <w:rFonts w:hint="eastAsia" w:ascii="宋体" w:hAnsi="宋体" w:eastAsia="宋体" w:cs="宋体"/>
                <w:szCs w:val="21"/>
              </w:rPr>
            </w:pPr>
            <w:r>
              <w:rPr>
                <w:rFonts w:hint="eastAsia" w:ascii="宋体" w:hAnsi="宋体" w:eastAsia="宋体" w:cs="宋体"/>
                <w:szCs w:val="21"/>
              </w:rPr>
              <w:t>法定代表人/单位负责人/主要经营负责人</w:t>
            </w:r>
          </w:p>
        </w:tc>
        <w:tc>
          <w:tcPr>
            <w:tcW w:w="529" w:type="pct"/>
            <w:tcBorders>
              <w:top w:val="single" w:color="auto" w:sz="4" w:space="0"/>
              <w:left w:val="single" w:color="auto" w:sz="4" w:space="0"/>
              <w:bottom w:val="single" w:color="auto" w:sz="4" w:space="0"/>
              <w:right w:val="single" w:color="auto" w:sz="4" w:space="0"/>
            </w:tcBorders>
            <w:vAlign w:val="center"/>
          </w:tcPr>
          <w:p w14:paraId="1939A189">
            <w:pPr>
              <w:jc w:val="center"/>
              <w:rPr>
                <w:rFonts w:hint="eastAsia" w:ascii="宋体" w:hAnsi="宋体" w:eastAsia="宋体" w:cs="宋体"/>
                <w:szCs w:val="21"/>
              </w:rPr>
            </w:pPr>
          </w:p>
        </w:tc>
        <w:tc>
          <w:tcPr>
            <w:tcW w:w="1113" w:type="pct"/>
            <w:gridSpan w:val="2"/>
            <w:tcBorders>
              <w:top w:val="single" w:color="auto" w:sz="4" w:space="0"/>
              <w:left w:val="single" w:color="auto" w:sz="4" w:space="0"/>
              <w:bottom w:val="single" w:color="auto" w:sz="4" w:space="0"/>
              <w:right w:val="single" w:color="auto" w:sz="4" w:space="0"/>
            </w:tcBorders>
            <w:vAlign w:val="center"/>
          </w:tcPr>
          <w:p w14:paraId="62DF8EF1">
            <w:pPr>
              <w:jc w:val="center"/>
              <w:rPr>
                <w:rFonts w:hint="eastAsia" w:ascii="宋体" w:hAnsi="宋体" w:eastAsia="宋体" w:cs="宋体"/>
                <w:szCs w:val="21"/>
              </w:rPr>
            </w:pPr>
          </w:p>
        </w:tc>
        <w:tc>
          <w:tcPr>
            <w:tcW w:w="838" w:type="pct"/>
            <w:tcBorders>
              <w:top w:val="single" w:color="auto" w:sz="4" w:space="0"/>
              <w:left w:val="single" w:color="auto" w:sz="4" w:space="0"/>
              <w:bottom w:val="single" w:color="auto" w:sz="4" w:space="0"/>
              <w:right w:val="single" w:color="auto" w:sz="4" w:space="0"/>
            </w:tcBorders>
            <w:vAlign w:val="center"/>
          </w:tcPr>
          <w:p w14:paraId="12C8B360">
            <w:pPr>
              <w:jc w:val="center"/>
              <w:rPr>
                <w:rFonts w:hint="eastAsia" w:ascii="宋体" w:hAnsi="宋体" w:eastAsia="宋体" w:cs="宋体"/>
                <w:szCs w:val="21"/>
              </w:rPr>
            </w:pPr>
          </w:p>
        </w:tc>
        <w:tc>
          <w:tcPr>
            <w:tcW w:w="830" w:type="pct"/>
            <w:tcBorders>
              <w:top w:val="single" w:color="auto" w:sz="4" w:space="0"/>
              <w:left w:val="single" w:color="auto" w:sz="4" w:space="0"/>
              <w:bottom w:val="single" w:color="auto" w:sz="4" w:space="0"/>
              <w:right w:val="single" w:color="auto" w:sz="4" w:space="0"/>
            </w:tcBorders>
            <w:vAlign w:val="center"/>
          </w:tcPr>
          <w:p w14:paraId="7F5301E1">
            <w:pPr>
              <w:jc w:val="center"/>
              <w:rPr>
                <w:rFonts w:hint="eastAsia" w:ascii="宋体" w:hAnsi="宋体" w:eastAsia="宋体" w:cs="宋体"/>
                <w:szCs w:val="21"/>
              </w:rPr>
            </w:pPr>
          </w:p>
        </w:tc>
      </w:tr>
      <w:tr w14:paraId="5FC8B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vAlign w:val="center"/>
          </w:tcPr>
          <w:p w14:paraId="537EB1E2">
            <w:pPr>
              <w:jc w:val="center"/>
              <w:rPr>
                <w:rFonts w:hint="eastAsia" w:ascii="宋体" w:hAnsi="宋体" w:eastAsia="宋体" w:cs="宋体"/>
                <w:szCs w:val="21"/>
              </w:rPr>
            </w:pPr>
            <w:r>
              <w:rPr>
                <w:rFonts w:hint="eastAsia" w:ascii="宋体" w:hAnsi="宋体" w:eastAsia="宋体" w:cs="宋体"/>
                <w:szCs w:val="21"/>
              </w:rPr>
              <w:t>2</w:t>
            </w:r>
          </w:p>
        </w:tc>
        <w:tc>
          <w:tcPr>
            <w:tcW w:w="1275" w:type="pct"/>
            <w:gridSpan w:val="2"/>
            <w:tcBorders>
              <w:top w:val="single" w:color="auto" w:sz="4" w:space="0"/>
              <w:left w:val="single" w:color="auto" w:sz="4" w:space="0"/>
              <w:bottom w:val="single" w:color="auto" w:sz="4" w:space="0"/>
              <w:right w:val="single" w:color="auto" w:sz="4" w:space="0"/>
            </w:tcBorders>
            <w:vAlign w:val="center"/>
          </w:tcPr>
          <w:p w14:paraId="1F86A1CF">
            <w:pPr>
              <w:jc w:val="center"/>
              <w:rPr>
                <w:rFonts w:hint="eastAsia" w:ascii="宋体" w:hAnsi="宋体" w:eastAsia="宋体" w:cs="宋体"/>
                <w:szCs w:val="21"/>
              </w:rPr>
            </w:pPr>
            <w:r>
              <w:rPr>
                <w:rFonts w:hint="eastAsia" w:ascii="宋体" w:hAnsi="宋体" w:eastAsia="宋体" w:cs="宋体"/>
                <w:szCs w:val="21"/>
              </w:rPr>
              <w:t>项目投标授权代表人</w:t>
            </w:r>
          </w:p>
        </w:tc>
        <w:tc>
          <w:tcPr>
            <w:tcW w:w="529" w:type="pct"/>
            <w:tcBorders>
              <w:top w:val="single" w:color="auto" w:sz="4" w:space="0"/>
              <w:left w:val="single" w:color="auto" w:sz="4" w:space="0"/>
              <w:bottom w:val="single" w:color="auto" w:sz="4" w:space="0"/>
              <w:right w:val="single" w:color="auto" w:sz="4" w:space="0"/>
            </w:tcBorders>
            <w:vAlign w:val="center"/>
          </w:tcPr>
          <w:p w14:paraId="4FB10C5D">
            <w:pPr>
              <w:jc w:val="center"/>
              <w:rPr>
                <w:rFonts w:hint="eastAsia" w:ascii="宋体" w:hAnsi="宋体" w:eastAsia="宋体" w:cs="宋体"/>
                <w:szCs w:val="21"/>
              </w:rPr>
            </w:pPr>
          </w:p>
        </w:tc>
        <w:tc>
          <w:tcPr>
            <w:tcW w:w="1113" w:type="pct"/>
            <w:gridSpan w:val="2"/>
            <w:tcBorders>
              <w:top w:val="single" w:color="auto" w:sz="4" w:space="0"/>
              <w:left w:val="single" w:color="auto" w:sz="4" w:space="0"/>
              <w:bottom w:val="single" w:color="auto" w:sz="4" w:space="0"/>
              <w:right w:val="single" w:color="auto" w:sz="4" w:space="0"/>
            </w:tcBorders>
            <w:vAlign w:val="center"/>
          </w:tcPr>
          <w:p w14:paraId="5B2215C1">
            <w:pPr>
              <w:jc w:val="center"/>
              <w:rPr>
                <w:rFonts w:hint="eastAsia" w:ascii="宋体" w:hAnsi="宋体" w:eastAsia="宋体" w:cs="宋体"/>
                <w:szCs w:val="21"/>
              </w:rPr>
            </w:pPr>
          </w:p>
        </w:tc>
        <w:tc>
          <w:tcPr>
            <w:tcW w:w="838" w:type="pct"/>
            <w:tcBorders>
              <w:top w:val="single" w:color="auto" w:sz="4" w:space="0"/>
              <w:left w:val="single" w:color="auto" w:sz="4" w:space="0"/>
              <w:bottom w:val="single" w:color="auto" w:sz="4" w:space="0"/>
              <w:right w:val="single" w:color="auto" w:sz="4" w:space="0"/>
            </w:tcBorders>
            <w:vAlign w:val="center"/>
          </w:tcPr>
          <w:p w14:paraId="5ABC19B9">
            <w:pPr>
              <w:jc w:val="center"/>
              <w:rPr>
                <w:rFonts w:hint="eastAsia" w:ascii="宋体" w:hAnsi="宋体" w:eastAsia="宋体" w:cs="宋体"/>
                <w:szCs w:val="21"/>
              </w:rPr>
            </w:pPr>
          </w:p>
        </w:tc>
        <w:tc>
          <w:tcPr>
            <w:tcW w:w="830" w:type="pct"/>
            <w:tcBorders>
              <w:top w:val="single" w:color="auto" w:sz="4" w:space="0"/>
              <w:left w:val="single" w:color="auto" w:sz="4" w:space="0"/>
              <w:bottom w:val="single" w:color="auto" w:sz="4" w:space="0"/>
              <w:right w:val="single" w:color="auto" w:sz="4" w:space="0"/>
            </w:tcBorders>
            <w:vAlign w:val="center"/>
          </w:tcPr>
          <w:p w14:paraId="3CA92375">
            <w:pPr>
              <w:jc w:val="center"/>
              <w:rPr>
                <w:rFonts w:hint="eastAsia" w:ascii="宋体" w:hAnsi="宋体" w:eastAsia="宋体" w:cs="宋体"/>
                <w:szCs w:val="21"/>
              </w:rPr>
            </w:pPr>
          </w:p>
        </w:tc>
      </w:tr>
      <w:tr w14:paraId="7EE6F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tcBorders>
            <w:vAlign w:val="center"/>
          </w:tcPr>
          <w:p w14:paraId="70D05E99">
            <w:pPr>
              <w:jc w:val="center"/>
              <w:rPr>
                <w:rFonts w:hint="eastAsia" w:ascii="宋体" w:hAnsi="宋体" w:eastAsia="宋体" w:cs="宋体"/>
                <w:szCs w:val="21"/>
              </w:rPr>
            </w:pPr>
            <w:r>
              <w:rPr>
                <w:rFonts w:hint="eastAsia" w:ascii="宋体" w:hAnsi="宋体" w:eastAsia="宋体" w:cs="宋体"/>
                <w:szCs w:val="21"/>
                <w:lang w:bidi="ar"/>
              </w:rPr>
              <w:t>3</w:t>
            </w:r>
          </w:p>
        </w:tc>
        <w:tc>
          <w:tcPr>
            <w:tcW w:w="1275" w:type="pct"/>
            <w:gridSpan w:val="2"/>
            <w:tcBorders>
              <w:top w:val="single" w:color="auto" w:sz="4" w:space="0"/>
            </w:tcBorders>
            <w:vAlign w:val="center"/>
          </w:tcPr>
          <w:p w14:paraId="0AD5F98E">
            <w:pPr>
              <w:jc w:val="center"/>
              <w:rPr>
                <w:rFonts w:hint="eastAsia" w:ascii="宋体" w:hAnsi="宋体" w:eastAsia="宋体" w:cs="宋体"/>
                <w:szCs w:val="21"/>
              </w:rPr>
            </w:pPr>
            <w:r>
              <w:rPr>
                <w:rFonts w:hint="eastAsia" w:ascii="宋体" w:hAnsi="宋体" w:eastAsia="宋体" w:cs="宋体"/>
                <w:szCs w:val="21"/>
              </w:rPr>
              <w:t>项目负责人</w:t>
            </w:r>
          </w:p>
        </w:tc>
        <w:tc>
          <w:tcPr>
            <w:tcW w:w="529" w:type="pct"/>
            <w:tcBorders>
              <w:top w:val="single" w:color="auto" w:sz="4" w:space="0"/>
            </w:tcBorders>
            <w:vAlign w:val="center"/>
          </w:tcPr>
          <w:p w14:paraId="4D56F312">
            <w:pPr>
              <w:jc w:val="center"/>
              <w:rPr>
                <w:rFonts w:hint="eastAsia" w:ascii="宋体" w:hAnsi="宋体" w:eastAsia="宋体" w:cs="宋体"/>
                <w:szCs w:val="21"/>
              </w:rPr>
            </w:pPr>
          </w:p>
        </w:tc>
        <w:tc>
          <w:tcPr>
            <w:tcW w:w="1113" w:type="pct"/>
            <w:gridSpan w:val="2"/>
            <w:tcBorders>
              <w:top w:val="single" w:color="auto" w:sz="4" w:space="0"/>
            </w:tcBorders>
            <w:vAlign w:val="center"/>
          </w:tcPr>
          <w:p w14:paraId="2AB918A5">
            <w:pPr>
              <w:jc w:val="center"/>
              <w:rPr>
                <w:rFonts w:hint="eastAsia" w:ascii="宋体" w:hAnsi="宋体" w:eastAsia="宋体" w:cs="宋体"/>
                <w:szCs w:val="21"/>
              </w:rPr>
            </w:pPr>
          </w:p>
        </w:tc>
        <w:tc>
          <w:tcPr>
            <w:tcW w:w="838" w:type="pct"/>
            <w:tcBorders>
              <w:top w:val="single" w:color="auto" w:sz="4" w:space="0"/>
            </w:tcBorders>
            <w:vAlign w:val="center"/>
          </w:tcPr>
          <w:p w14:paraId="2CD85F5D">
            <w:pPr>
              <w:jc w:val="center"/>
              <w:rPr>
                <w:rFonts w:hint="eastAsia" w:ascii="宋体" w:hAnsi="宋体" w:eastAsia="宋体" w:cs="宋体"/>
                <w:szCs w:val="21"/>
              </w:rPr>
            </w:pPr>
          </w:p>
        </w:tc>
        <w:tc>
          <w:tcPr>
            <w:tcW w:w="830" w:type="pct"/>
            <w:tcBorders>
              <w:top w:val="single" w:color="auto" w:sz="4" w:space="0"/>
            </w:tcBorders>
            <w:vAlign w:val="center"/>
          </w:tcPr>
          <w:p w14:paraId="4B0069DA">
            <w:pPr>
              <w:jc w:val="center"/>
              <w:rPr>
                <w:rFonts w:hint="eastAsia" w:ascii="宋体" w:hAnsi="宋体" w:eastAsia="宋体" w:cs="宋体"/>
                <w:szCs w:val="21"/>
              </w:rPr>
            </w:pPr>
          </w:p>
        </w:tc>
      </w:tr>
      <w:tr w14:paraId="160E2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vAlign w:val="center"/>
          </w:tcPr>
          <w:p w14:paraId="181CFC2E">
            <w:pPr>
              <w:jc w:val="center"/>
              <w:rPr>
                <w:rFonts w:hint="eastAsia" w:ascii="宋体" w:hAnsi="宋体" w:eastAsia="宋体" w:cs="宋体"/>
                <w:szCs w:val="21"/>
              </w:rPr>
            </w:pPr>
            <w:r>
              <w:rPr>
                <w:rFonts w:hint="eastAsia" w:ascii="宋体" w:hAnsi="宋体" w:eastAsia="宋体" w:cs="宋体"/>
                <w:szCs w:val="21"/>
                <w:lang w:bidi="ar"/>
              </w:rPr>
              <w:t>4</w:t>
            </w:r>
          </w:p>
        </w:tc>
        <w:tc>
          <w:tcPr>
            <w:tcW w:w="1275" w:type="pct"/>
            <w:gridSpan w:val="2"/>
            <w:vAlign w:val="center"/>
          </w:tcPr>
          <w:p w14:paraId="4E132464">
            <w:pPr>
              <w:jc w:val="center"/>
              <w:rPr>
                <w:rFonts w:hint="eastAsia" w:ascii="宋体" w:hAnsi="宋体" w:eastAsia="宋体" w:cs="宋体"/>
                <w:szCs w:val="21"/>
              </w:rPr>
            </w:pPr>
            <w:r>
              <w:rPr>
                <w:rFonts w:hint="eastAsia" w:ascii="宋体" w:hAnsi="宋体" w:eastAsia="宋体" w:cs="宋体"/>
                <w:szCs w:val="21"/>
              </w:rPr>
              <w:t>主要技术人员</w:t>
            </w:r>
          </w:p>
        </w:tc>
        <w:tc>
          <w:tcPr>
            <w:tcW w:w="529" w:type="pct"/>
            <w:vAlign w:val="center"/>
          </w:tcPr>
          <w:p w14:paraId="6AFEA95A">
            <w:pPr>
              <w:jc w:val="center"/>
              <w:rPr>
                <w:rFonts w:hint="eastAsia" w:ascii="宋体" w:hAnsi="宋体" w:eastAsia="宋体" w:cs="宋体"/>
                <w:szCs w:val="21"/>
              </w:rPr>
            </w:pPr>
          </w:p>
        </w:tc>
        <w:tc>
          <w:tcPr>
            <w:tcW w:w="1113" w:type="pct"/>
            <w:gridSpan w:val="2"/>
            <w:vAlign w:val="center"/>
          </w:tcPr>
          <w:p w14:paraId="52EC93B1">
            <w:pPr>
              <w:jc w:val="center"/>
              <w:rPr>
                <w:rFonts w:hint="eastAsia" w:ascii="宋体" w:hAnsi="宋体" w:eastAsia="宋体" w:cs="宋体"/>
                <w:szCs w:val="21"/>
              </w:rPr>
            </w:pPr>
          </w:p>
        </w:tc>
        <w:tc>
          <w:tcPr>
            <w:tcW w:w="838" w:type="pct"/>
            <w:vAlign w:val="center"/>
          </w:tcPr>
          <w:p w14:paraId="3F667373">
            <w:pPr>
              <w:jc w:val="center"/>
              <w:rPr>
                <w:rFonts w:hint="eastAsia" w:ascii="宋体" w:hAnsi="宋体" w:eastAsia="宋体" w:cs="宋体"/>
                <w:szCs w:val="21"/>
              </w:rPr>
            </w:pPr>
          </w:p>
        </w:tc>
        <w:tc>
          <w:tcPr>
            <w:tcW w:w="830" w:type="pct"/>
            <w:vAlign w:val="center"/>
          </w:tcPr>
          <w:p w14:paraId="338772CD">
            <w:pPr>
              <w:jc w:val="center"/>
              <w:rPr>
                <w:rFonts w:hint="eastAsia" w:ascii="宋体" w:hAnsi="宋体" w:eastAsia="宋体" w:cs="宋体"/>
                <w:szCs w:val="21"/>
              </w:rPr>
            </w:pPr>
          </w:p>
        </w:tc>
      </w:tr>
      <w:tr w14:paraId="5EADF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vAlign w:val="center"/>
          </w:tcPr>
          <w:p w14:paraId="70A44B6D">
            <w:pPr>
              <w:jc w:val="center"/>
              <w:rPr>
                <w:rFonts w:hint="eastAsia" w:ascii="宋体" w:hAnsi="宋体" w:eastAsia="宋体" w:cs="宋体"/>
                <w:szCs w:val="21"/>
              </w:rPr>
            </w:pPr>
            <w:r>
              <w:rPr>
                <w:rFonts w:hint="eastAsia" w:ascii="宋体" w:hAnsi="宋体" w:eastAsia="宋体" w:cs="宋体"/>
                <w:szCs w:val="21"/>
                <w:lang w:bidi="ar"/>
              </w:rPr>
              <w:t>5</w:t>
            </w:r>
          </w:p>
        </w:tc>
        <w:tc>
          <w:tcPr>
            <w:tcW w:w="1275" w:type="pct"/>
            <w:gridSpan w:val="2"/>
            <w:vAlign w:val="center"/>
          </w:tcPr>
          <w:p w14:paraId="48BF2C28">
            <w:pPr>
              <w:snapToGrid w:val="0"/>
              <w:jc w:val="center"/>
              <w:rPr>
                <w:rFonts w:hint="eastAsia" w:ascii="宋体" w:hAnsi="宋体" w:eastAsia="宋体" w:cs="宋体"/>
                <w:szCs w:val="21"/>
              </w:rPr>
            </w:pPr>
            <w:r>
              <w:rPr>
                <w:rFonts w:hint="eastAsia" w:ascii="宋体" w:hAnsi="宋体" w:eastAsia="宋体" w:cs="宋体"/>
                <w:szCs w:val="21"/>
              </w:rPr>
              <w:t>投标文件编制人员</w:t>
            </w:r>
          </w:p>
        </w:tc>
        <w:tc>
          <w:tcPr>
            <w:tcW w:w="529" w:type="pct"/>
            <w:vAlign w:val="center"/>
          </w:tcPr>
          <w:p w14:paraId="73A3274C">
            <w:pPr>
              <w:jc w:val="center"/>
              <w:rPr>
                <w:rFonts w:hint="eastAsia" w:ascii="宋体" w:hAnsi="宋体" w:eastAsia="宋体" w:cs="宋体"/>
                <w:szCs w:val="21"/>
              </w:rPr>
            </w:pPr>
          </w:p>
        </w:tc>
        <w:tc>
          <w:tcPr>
            <w:tcW w:w="1113" w:type="pct"/>
            <w:gridSpan w:val="2"/>
            <w:vAlign w:val="center"/>
          </w:tcPr>
          <w:p w14:paraId="1FCE352C">
            <w:pPr>
              <w:jc w:val="center"/>
              <w:rPr>
                <w:rFonts w:hint="eastAsia" w:ascii="宋体" w:hAnsi="宋体" w:eastAsia="宋体" w:cs="宋体"/>
                <w:szCs w:val="21"/>
              </w:rPr>
            </w:pPr>
          </w:p>
        </w:tc>
        <w:tc>
          <w:tcPr>
            <w:tcW w:w="838" w:type="pct"/>
            <w:vAlign w:val="center"/>
          </w:tcPr>
          <w:p w14:paraId="47C7FA4C">
            <w:pPr>
              <w:jc w:val="center"/>
              <w:rPr>
                <w:rFonts w:hint="eastAsia" w:ascii="宋体" w:hAnsi="宋体" w:eastAsia="宋体" w:cs="宋体"/>
                <w:szCs w:val="21"/>
              </w:rPr>
            </w:pPr>
          </w:p>
        </w:tc>
        <w:tc>
          <w:tcPr>
            <w:tcW w:w="830" w:type="pct"/>
            <w:vAlign w:val="center"/>
          </w:tcPr>
          <w:p w14:paraId="435A6E07">
            <w:pPr>
              <w:jc w:val="center"/>
              <w:rPr>
                <w:rFonts w:hint="eastAsia" w:ascii="宋体" w:hAnsi="宋体" w:eastAsia="宋体" w:cs="宋体"/>
                <w:szCs w:val="21"/>
              </w:rPr>
            </w:pPr>
          </w:p>
        </w:tc>
      </w:tr>
      <w:tr w14:paraId="1C6C2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5408CC54">
            <w:pPr>
              <w:jc w:val="left"/>
              <w:rPr>
                <w:rFonts w:hint="eastAsia" w:ascii="宋体" w:hAnsi="宋体" w:eastAsia="宋体" w:cs="宋体"/>
                <w:szCs w:val="21"/>
              </w:rPr>
            </w:pPr>
            <w:r>
              <w:rPr>
                <w:rFonts w:hint="eastAsia" w:ascii="宋体" w:hAnsi="宋体" w:eastAsia="宋体" w:cs="宋体"/>
                <w:b/>
                <w:bCs/>
                <w:szCs w:val="21"/>
              </w:rPr>
              <w:t>说明：同一职务有多人担任（如主要技术人员），应分行填写。</w:t>
            </w:r>
          </w:p>
        </w:tc>
      </w:tr>
      <w:tr w14:paraId="5ABDA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vAlign w:val="center"/>
          </w:tcPr>
          <w:p w14:paraId="395A0165">
            <w:pPr>
              <w:jc w:val="center"/>
              <w:rPr>
                <w:rFonts w:hint="eastAsia" w:ascii="宋体" w:hAnsi="宋体" w:eastAsia="宋体" w:cs="宋体"/>
                <w:b/>
                <w:bCs/>
                <w:szCs w:val="21"/>
              </w:rPr>
            </w:pPr>
            <w:r>
              <w:rPr>
                <w:rFonts w:hint="eastAsia" w:ascii="宋体" w:hAnsi="宋体" w:eastAsia="宋体" w:cs="宋体"/>
                <w:b/>
                <w:bCs/>
                <w:szCs w:val="21"/>
              </w:rPr>
              <w:t>投标（响应）供应商关联关系情况</w:t>
            </w:r>
          </w:p>
        </w:tc>
      </w:tr>
      <w:tr w14:paraId="001AF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vAlign w:val="center"/>
          </w:tcPr>
          <w:p w14:paraId="62D55EF3">
            <w:pPr>
              <w:jc w:val="center"/>
              <w:rPr>
                <w:rFonts w:hint="eastAsia" w:ascii="宋体" w:hAnsi="宋体" w:eastAsia="宋体" w:cs="宋体"/>
                <w:szCs w:val="21"/>
                <w:lang w:bidi="ar"/>
              </w:rPr>
            </w:pPr>
            <w:r>
              <w:rPr>
                <w:rFonts w:hint="eastAsia" w:ascii="宋体" w:hAnsi="宋体" w:eastAsia="宋体" w:cs="宋体"/>
                <w:szCs w:val="21"/>
                <w:lang w:bidi="ar"/>
              </w:rPr>
              <w:t>序号</w:t>
            </w:r>
          </w:p>
        </w:tc>
        <w:tc>
          <w:tcPr>
            <w:tcW w:w="1275" w:type="pct"/>
            <w:gridSpan w:val="2"/>
            <w:tcBorders>
              <w:bottom w:val="single" w:color="auto" w:sz="4" w:space="0"/>
            </w:tcBorders>
            <w:vAlign w:val="center"/>
          </w:tcPr>
          <w:p w14:paraId="5B8DD3E1">
            <w:pPr>
              <w:jc w:val="center"/>
              <w:rPr>
                <w:rFonts w:hint="eastAsia" w:ascii="宋体" w:hAnsi="宋体" w:eastAsia="宋体" w:cs="宋体"/>
                <w:szCs w:val="21"/>
              </w:rPr>
            </w:pPr>
            <w:r>
              <w:rPr>
                <w:rFonts w:hint="eastAsia" w:ascii="宋体" w:hAnsi="宋体" w:eastAsia="宋体" w:cs="宋体"/>
                <w:szCs w:val="21"/>
              </w:rPr>
              <w:t>关联关系类型</w:t>
            </w:r>
          </w:p>
        </w:tc>
        <w:tc>
          <w:tcPr>
            <w:tcW w:w="971" w:type="pct"/>
            <w:gridSpan w:val="2"/>
            <w:tcBorders>
              <w:bottom w:val="single" w:color="auto" w:sz="4" w:space="0"/>
            </w:tcBorders>
            <w:vAlign w:val="center"/>
          </w:tcPr>
          <w:p w14:paraId="303377F2">
            <w:pPr>
              <w:jc w:val="center"/>
              <w:rPr>
                <w:rFonts w:hint="eastAsia" w:ascii="宋体" w:hAnsi="宋体" w:eastAsia="宋体" w:cs="宋体"/>
                <w:szCs w:val="21"/>
              </w:rPr>
            </w:pPr>
            <w:r>
              <w:rPr>
                <w:rFonts w:hint="eastAsia" w:ascii="宋体" w:hAnsi="宋体" w:eastAsia="宋体" w:cs="宋体"/>
                <w:szCs w:val="21"/>
              </w:rPr>
              <w:t>关联主体名称</w:t>
            </w:r>
          </w:p>
        </w:tc>
        <w:tc>
          <w:tcPr>
            <w:tcW w:w="2340" w:type="pct"/>
            <w:gridSpan w:val="3"/>
            <w:tcBorders>
              <w:bottom w:val="single" w:color="auto" w:sz="4" w:space="0"/>
            </w:tcBorders>
            <w:vAlign w:val="center"/>
          </w:tcPr>
          <w:p w14:paraId="1FE782A4">
            <w:pPr>
              <w:jc w:val="center"/>
              <w:rPr>
                <w:rFonts w:hint="eastAsia" w:ascii="宋体" w:hAnsi="宋体" w:eastAsia="宋体" w:cs="宋体"/>
                <w:szCs w:val="21"/>
              </w:rPr>
            </w:pPr>
            <w:r>
              <w:rPr>
                <w:rFonts w:hint="eastAsia" w:ascii="宋体" w:hAnsi="宋体" w:eastAsia="宋体" w:cs="宋体"/>
                <w:szCs w:val="21"/>
              </w:rPr>
              <w:t>备注</w:t>
            </w:r>
          </w:p>
        </w:tc>
      </w:tr>
      <w:tr w14:paraId="050FA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vAlign w:val="center"/>
          </w:tcPr>
          <w:p w14:paraId="22DB20D7">
            <w:pPr>
              <w:jc w:val="center"/>
              <w:rPr>
                <w:rFonts w:hint="eastAsia" w:ascii="宋体" w:hAnsi="宋体" w:eastAsia="宋体" w:cs="宋体"/>
                <w:szCs w:val="21"/>
                <w:lang w:bidi="ar"/>
              </w:rPr>
            </w:pPr>
            <w:r>
              <w:rPr>
                <w:rFonts w:hint="eastAsia" w:ascii="宋体" w:hAnsi="宋体" w:eastAsia="宋体" w:cs="宋体"/>
                <w:szCs w:val="21"/>
                <w:lang w:bidi="ar"/>
              </w:rPr>
              <w:t>1</w:t>
            </w:r>
          </w:p>
        </w:tc>
        <w:tc>
          <w:tcPr>
            <w:tcW w:w="1275" w:type="pct"/>
            <w:gridSpan w:val="2"/>
            <w:tcBorders>
              <w:top w:val="single" w:color="auto" w:sz="4" w:space="0"/>
              <w:left w:val="single" w:color="auto" w:sz="4" w:space="0"/>
              <w:bottom w:val="single" w:color="auto" w:sz="4" w:space="0"/>
              <w:right w:val="single" w:color="auto" w:sz="4" w:space="0"/>
            </w:tcBorders>
            <w:vAlign w:val="center"/>
          </w:tcPr>
          <w:p w14:paraId="68C011B7">
            <w:pPr>
              <w:jc w:val="center"/>
              <w:rPr>
                <w:rFonts w:hint="eastAsia" w:ascii="宋体" w:hAnsi="宋体" w:eastAsia="宋体" w:cs="宋体"/>
                <w:szCs w:val="21"/>
              </w:rPr>
            </w:pPr>
            <w:r>
              <w:rPr>
                <w:rFonts w:hint="eastAsia" w:ascii="宋体" w:hAnsi="宋体" w:eastAsia="宋体" w:cs="宋体"/>
                <w:szCs w:val="21"/>
              </w:rPr>
              <w:t>控股股东</w:t>
            </w:r>
          </w:p>
        </w:tc>
        <w:tc>
          <w:tcPr>
            <w:tcW w:w="971" w:type="pct"/>
            <w:gridSpan w:val="2"/>
            <w:tcBorders>
              <w:top w:val="single" w:color="auto" w:sz="4" w:space="0"/>
              <w:left w:val="single" w:color="auto" w:sz="4" w:space="0"/>
              <w:bottom w:val="single" w:color="auto" w:sz="4" w:space="0"/>
              <w:right w:val="single" w:color="auto" w:sz="4" w:space="0"/>
            </w:tcBorders>
            <w:vAlign w:val="center"/>
          </w:tcPr>
          <w:p w14:paraId="6EE6D458">
            <w:pPr>
              <w:jc w:val="center"/>
              <w:rPr>
                <w:rFonts w:hint="eastAsia" w:ascii="宋体" w:hAnsi="宋体" w:eastAsia="宋体" w:cs="宋体"/>
                <w:szCs w:val="21"/>
              </w:rPr>
            </w:pPr>
          </w:p>
        </w:tc>
        <w:tc>
          <w:tcPr>
            <w:tcW w:w="2340" w:type="pct"/>
            <w:gridSpan w:val="3"/>
            <w:tcBorders>
              <w:top w:val="single" w:color="auto" w:sz="4" w:space="0"/>
              <w:left w:val="single" w:color="auto" w:sz="4" w:space="0"/>
              <w:bottom w:val="single" w:color="auto" w:sz="4" w:space="0"/>
              <w:right w:val="single" w:color="auto" w:sz="4" w:space="0"/>
            </w:tcBorders>
            <w:vAlign w:val="center"/>
          </w:tcPr>
          <w:p w14:paraId="713B4223">
            <w:pPr>
              <w:snapToGrid w:val="0"/>
              <w:jc w:val="left"/>
              <w:rPr>
                <w:rFonts w:hint="eastAsia" w:ascii="宋体" w:hAnsi="宋体" w:eastAsia="宋体" w:cs="宋体"/>
                <w:szCs w:val="21"/>
              </w:rPr>
            </w:pPr>
            <w:r>
              <w:rPr>
                <w:rFonts w:hint="eastAsia" w:ascii="宋体" w:hAnsi="宋体" w:eastAsia="宋体" w:cs="宋体"/>
                <w:szCs w:val="21"/>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15120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11" w:type="pct"/>
            <w:tcBorders>
              <w:top w:val="single" w:color="auto" w:sz="4" w:space="0"/>
              <w:left w:val="single" w:color="auto" w:sz="4" w:space="0"/>
              <w:bottom w:val="single" w:color="auto" w:sz="4" w:space="0"/>
              <w:right w:val="single" w:color="auto" w:sz="4" w:space="0"/>
            </w:tcBorders>
            <w:vAlign w:val="center"/>
          </w:tcPr>
          <w:p w14:paraId="7EC67F6C">
            <w:pPr>
              <w:jc w:val="center"/>
              <w:rPr>
                <w:rFonts w:hint="eastAsia" w:ascii="宋体" w:hAnsi="宋体" w:eastAsia="宋体" w:cs="宋体"/>
                <w:szCs w:val="21"/>
                <w:lang w:bidi="ar"/>
              </w:rPr>
            </w:pPr>
            <w:r>
              <w:rPr>
                <w:rFonts w:hint="eastAsia" w:ascii="宋体" w:hAnsi="宋体" w:eastAsia="宋体" w:cs="宋体"/>
                <w:szCs w:val="21"/>
                <w:lang w:bidi="ar"/>
              </w:rPr>
              <w:t>2</w:t>
            </w:r>
          </w:p>
        </w:tc>
        <w:tc>
          <w:tcPr>
            <w:tcW w:w="1275" w:type="pct"/>
            <w:gridSpan w:val="2"/>
            <w:tcBorders>
              <w:top w:val="single" w:color="auto" w:sz="4" w:space="0"/>
              <w:left w:val="single" w:color="auto" w:sz="4" w:space="0"/>
              <w:bottom w:val="single" w:color="auto" w:sz="4" w:space="0"/>
              <w:right w:val="single" w:color="auto" w:sz="4" w:space="0"/>
            </w:tcBorders>
            <w:vAlign w:val="center"/>
          </w:tcPr>
          <w:p w14:paraId="25C87F59">
            <w:pPr>
              <w:jc w:val="center"/>
              <w:rPr>
                <w:rFonts w:hint="eastAsia" w:ascii="宋体" w:hAnsi="宋体" w:eastAsia="宋体" w:cs="宋体"/>
                <w:szCs w:val="21"/>
              </w:rPr>
            </w:pPr>
            <w:r>
              <w:rPr>
                <w:rFonts w:hint="eastAsia" w:ascii="宋体" w:hAnsi="宋体" w:eastAsia="宋体" w:cs="宋体"/>
                <w:szCs w:val="21"/>
              </w:rPr>
              <w:t>管理关系</w:t>
            </w:r>
          </w:p>
        </w:tc>
        <w:tc>
          <w:tcPr>
            <w:tcW w:w="971" w:type="pct"/>
            <w:gridSpan w:val="2"/>
            <w:tcBorders>
              <w:top w:val="single" w:color="auto" w:sz="4" w:space="0"/>
              <w:left w:val="single" w:color="auto" w:sz="4" w:space="0"/>
              <w:bottom w:val="single" w:color="auto" w:sz="4" w:space="0"/>
              <w:right w:val="single" w:color="auto" w:sz="4" w:space="0"/>
            </w:tcBorders>
            <w:vAlign w:val="center"/>
          </w:tcPr>
          <w:p w14:paraId="7AF881C8">
            <w:pPr>
              <w:jc w:val="center"/>
              <w:rPr>
                <w:rFonts w:hint="eastAsia" w:ascii="宋体" w:hAnsi="宋体" w:eastAsia="宋体" w:cs="宋体"/>
                <w:szCs w:val="21"/>
              </w:rPr>
            </w:pPr>
          </w:p>
        </w:tc>
        <w:tc>
          <w:tcPr>
            <w:tcW w:w="2340" w:type="pct"/>
            <w:gridSpan w:val="3"/>
            <w:tcBorders>
              <w:top w:val="single" w:color="auto" w:sz="4" w:space="0"/>
              <w:left w:val="single" w:color="auto" w:sz="4" w:space="0"/>
              <w:bottom w:val="single" w:color="auto" w:sz="4" w:space="0"/>
              <w:right w:val="single" w:color="auto" w:sz="4" w:space="0"/>
            </w:tcBorders>
            <w:vAlign w:val="center"/>
          </w:tcPr>
          <w:p w14:paraId="20191253">
            <w:pPr>
              <w:snapToGrid w:val="0"/>
              <w:jc w:val="left"/>
              <w:rPr>
                <w:rFonts w:hint="eastAsia" w:ascii="宋体" w:hAnsi="宋体" w:eastAsia="宋体" w:cs="宋体"/>
                <w:szCs w:val="21"/>
              </w:rPr>
            </w:pPr>
            <w:r>
              <w:rPr>
                <w:rFonts w:hint="eastAsia" w:ascii="宋体" w:hAnsi="宋体" w:eastAsia="宋体" w:cs="宋体"/>
                <w:szCs w:val="21"/>
              </w:rPr>
              <w:t>指对投标（响应）供应商不具有出资持股关系，但对其存在管理关系的主体。</w:t>
            </w:r>
          </w:p>
        </w:tc>
      </w:tr>
      <w:tr w14:paraId="1AFB0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14:paraId="2194E140">
            <w:pPr>
              <w:snapToGrid w:val="0"/>
              <w:jc w:val="left"/>
              <w:rPr>
                <w:rFonts w:hint="eastAsia" w:ascii="宋体" w:hAnsi="宋体" w:eastAsia="宋体" w:cs="宋体"/>
                <w:b/>
                <w:bCs/>
                <w:color w:val="FF0000"/>
                <w:szCs w:val="21"/>
              </w:rPr>
            </w:pPr>
            <w:r>
              <w:rPr>
                <w:rFonts w:ascii="宋体" w:hAnsi="宋体" w:eastAsia="宋体" w:cs="宋体"/>
                <w:b/>
                <w:bCs/>
                <w:color w:val="FF0000"/>
                <w:szCs w:val="21"/>
              </w:rPr>
              <w:t>说明：1.同一关联关系类型有多个主体的，应分行填写。</w:t>
            </w:r>
          </w:p>
          <w:p w14:paraId="783EBEC2">
            <w:pPr>
              <w:snapToGrid w:val="0"/>
              <w:jc w:val="left"/>
              <w:rPr>
                <w:rFonts w:hint="eastAsia" w:ascii="宋体" w:hAnsi="宋体" w:eastAsia="宋体" w:cs="宋体"/>
                <w:szCs w:val="21"/>
              </w:rPr>
            </w:pPr>
            <w:r>
              <w:rPr>
                <w:rFonts w:ascii="宋体" w:hAnsi="宋体" w:eastAsia="宋体" w:cs="宋体"/>
                <w:b/>
                <w:bCs/>
                <w:color w:val="FF0000"/>
                <w:szCs w:val="21"/>
              </w:rPr>
              <w:t>2.《供应商基本情况表》为必填内容，若存在异常且不符合要求的供应商资格性审查将不予通过，作投标无效处理。</w:t>
            </w:r>
          </w:p>
        </w:tc>
      </w:tr>
    </w:tbl>
    <w:p w14:paraId="7CC70DC0">
      <w:pPr>
        <w:autoSpaceDE w:val="0"/>
        <w:autoSpaceDN w:val="0"/>
        <w:adjustRightInd w:val="0"/>
        <w:snapToGrid w:val="0"/>
        <w:jc w:val="left"/>
        <w:rPr>
          <w:rFonts w:ascii="Arial" w:hAnsi="Arial" w:eastAsia="宋体" w:cs="Times New Roman"/>
          <w:b/>
          <w:sz w:val="24"/>
          <w:szCs w:val="24"/>
        </w:rPr>
      </w:pPr>
    </w:p>
    <w:p w14:paraId="7C5C05F3">
      <w:pPr>
        <w:widowControl/>
        <w:jc w:val="center"/>
        <w:rPr>
          <w:rFonts w:ascii="Arial" w:hAnsi="Arial" w:eastAsia="宋体" w:cs="Times New Roman"/>
          <w:b/>
          <w:sz w:val="24"/>
          <w:szCs w:val="24"/>
        </w:rPr>
      </w:pPr>
    </w:p>
    <w:p w14:paraId="15F52C37">
      <w:pPr>
        <w:widowControl/>
        <w:jc w:val="center"/>
        <w:rPr>
          <w:rFonts w:ascii="Arial" w:hAnsi="Arial" w:eastAsia="宋体" w:cs="Times New Roman"/>
          <w:b/>
          <w:sz w:val="24"/>
          <w:szCs w:val="24"/>
        </w:rPr>
      </w:pPr>
      <w:r>
        <w:rPr>
          <w:rFonts w:hint="eastAsia" w:ascii="Arial" w:hAnsi="Arial" w:eastAsia="宋体" w:cs="Times New Roman"/>
          <w:b/>
          <w:sz w:val="24"/>
          <w:szCs w:val="24"/>
        </w:rPr>
        <w:t>（本章未提供的招标要求的其他文件格式由供应商自拟）</w:t>
      </w:r>
    </w:p>
    <w:p w14:paraId="72425D2E">
      <w:pPr>
        <w:widowControl/>
        <w:jc w:val="center"/>
        <w:rPr>
          <w:rFonts w:ascii="Arial" w:hAnsi="Arial" w:eastAsia="宋体" w:cs="Times New Roman"/>
          <w:szCs w:val="24"/>
        </w:rPr>
      </w:pPr>
      <w:r>
        <w:rPr>
          <w:rFonts w:ascii="Arial" w:hAnsi="Arial" w:eastAsia="宋体" w:cs="Times New Roman"/>
          <w:szCs w:val="24"/>
        </w:rPr>
        <w:br w:type="page"/>
      </w:r>
    </w:p>
    <w:p w14:paraId="52A0C55B">
      <w:pPr>
        <w:spacing w:after="78" w:afterLines="25" w:line="300" w:lineRule="auto"/>
        <w:outlineLvl w:val="2"/>
        <w:rPr>
          <w:rFonts w:ascii="Arial" w:hAnsi="Arial" w:eastAsia="宋体" w:cs="Times New Roman"/>
          <w:b/>
          <w:color w:val="FF0000"/>
          <w:sz w:val="32"/>
          <w:szCs w:val="32"/>
        </w:rPr>
      </w:pPr>
      <w:r>
        <w:rPr>
          <w:rFonts w:hint="eastAsia" w:ascii="Arial" w:hAnsi="Arial" w:eastAsia="宋体" w:cs="Times New Roman"/>
          <w:b/>
          <w:color w:val="FF0000"/>
          <w:sz w:val="32"/>
          <w:szCs w:val="32"/>
        </w:rPr>
        <w:t>（二）投标文件附件</w:t>
      </w:r>
    </w:p>
    <w:p w14:paraId="005DEF0D">
      <w:pPr>
        <w:pStyle w:val="6"/>
        <w:jc w:val="center"/>
        <w:rPr>
          <w:rFonts w:hint="eastAsia" w:ascii="黑体" w:eastAsia="黑体"/>
          <w:b w:val="0"/>
          <w:sz w:val="24"/>
        </w:rPr>
      </w:pPr>
      <w:r>
        <w:rPr>
          <w:rFonts w:hint="eastAsia" w:ascii="黑体" w:eastAsia="黑体"/>
          <w:b w:val="0"/>
          <w:sz w:val="24"/>
        </w:rPr>
        <w:t>一、</w:t>
      </w:r>
      <w:bookmarkStart w:id="37" w:name="_Hlk72092499"/>
      <w:r>
        <w:rPr>
          <w:rFonts w:hint="eastAsia" w:ascii="黑体" w:eastAsia="黑体"/>
          <w:b w:val="0"/>
          <w:sz w:val="24"/>
        </w:rPr>
        <w:t>法定代表人（负责人）证明书</w:t>
      </w:r>
      <w:bookmarkEnd w:id="37"/>
    </w:p>
    <w:p w14:paraId="2054457A">
      <w:pPr>
        <w:rPr>
          <w:sz w:val="24"/>
        </w:rPr>
      </w:pPr>
    </w:p>
    <w:p w14:paraId="47268DEE">
      <w:pPr>
        <w:spacing w:line="360" w:lineRule="auto"/>
        <w:ind w:firstLine="420" w:firstLineChars="200"/>
        <w:rPr>
          <w:rFonts w:eastAsia="宋体"/>
          <w:szCs w:val="21"/>
        </w:rPr>
      </w:pPr>
      <w:r>
        <w:rPr>
          <w:rFonts w:hint="eastAsia"/>
          <w:szCs w:val="21"/>
          <w:u w:val="single"/>
        </w:rPr>
        <w:t xml:space="preserve">                 </w:t>
      </w:r>
      <w:r>
        <w:rPr>
          <w:rFonts w:hint="eastAsia"/>
          <w:szCs w:val="21"/>
        </w:rPr>
        <w:t>（姓名），现任我单位</w:t>
      </w:r>
      <w:r>
        <w:rPr>
          <w:rFonts w:hint="eastAsia"/>
          <w:szCs w:val="21"/>
          <w:u w:val="single"/>
        </w:rPr>
        <w:t xml:space="preserve">             </w:t>
      </w:r>
      <w:r>
        <w:rPr>
          <w:rFonts w:hint="eastAsia"/>
          <w:szCs w:val="21"/>
        </w:rPr>
        <w:t>职务，为法定代表人（负责人），身份证件号为：</w:t>
      </w:r>
      <w:r>
        <w:rPr>
          <w:rFonts w:hint="eastAsia"/>
          <w:szCs w:val="21"/>
          <w:u w:val="single"/>
        </w:rPr>
        <w:t xml:space="preserve">                                     </w:t>
      </w:r>
      <w:r>
        <w:rPr>
          <w:rFonts w:hint="eastAsia"/>
          <w:szCs w:val="21"/>
        </w:rPr>
        <w:t>，联系电话：</w:t>
      </w:r>
      <w:r>
        <w:rPr>
          <w:rFonts w:hint="eastAsia"/>
          <w:szCs w:val="21"/>
          <w:u w:val="single"/>
        </w:rPr>
        <w:t xml:space="preserve">                </w:t>
      </w:r>
      <w:r>
        <w:rPr>
          <w:rFonts w:hint="eastAsia"/>
          <w:szCs w:val="21"/>
        </w:rPr>
        <w:t>。</w:t>
      </w:r>
    </w:p>
    <w:p w14:paraId="0A6B1ADB">
      <w:pPr>
        <w:spacing w:line="360" w:lineRule="auto"/>
        <w:ind w:firstLine="420" w:firstLineChars="200"/>
        <w:rPr>
          <w:szCs w:val="21"/>
        </w:rPr>
      </w:pPr>
      <w:r>
        <w:rPr>
          <w:rFonts w:hint="eastAsia"/>
          <w:szCs w:val="21"/>
        </w:rPr>
        <w:t>特此证明。</w:t>
      </w:r>
    </w:p>
    <w:p w14:paraId="460436D4">
      <w:pPr>
        <w:spacing w:line="360" w:lineRule="auto"/>
        <w:ind w:firstLine="420" w:firstLineChars="200"/>
        <w:rPr>
          <w:szCs w:val="21"/>
        </w:rPr>
      </w:pPr>
      <w:r>
        <w:rPr>
          <w:rFonts w:hint="eastAsia"/>
          <w:szCs w:val="21"/>
        </w:rPr>
        <w:t>说明：1、法定代表人为投标人（企业事业单位、国家机关、社会团体）的主要行政负责人。</w:t>
      </w:r>
    </w:p>
    <w:p w14:paraId="2A21D311">
      <w:pPr>
        <w:numPr>
          <w:ilvl w:val="0"/>
          <w:numId w:val="9"/>
        </w:numPr>
        <w:spacing w:line="360" w:lineRule="auto"/>
        <w:ind w:firstLine="420" w:firstLineChars="200"/>
        <w:rPr>
          <w:szCs w:val="21"/>
        </w:rPr>
      </w:pPr>
      <w:r>
        <w:rPr>
          <w:rFonts w:hint="eastAsia"/>
          <w:szCs w:val="21"/>
          <w:lang w:eastAsia="zh-Hans"/>
        </w:rPr>
        <w:t>本证明书要供法定代表人（负责人）</w:t>
      </w:r>
      <w:r>
        <w:rPr>
          <w:rFonts w:hint="eastAsia"/>
          <w:szCs w:val="21"/>
        </w:rPr>
        <w:t>相关身份证明文件：身份证扫描件（正反两面）；港澳台居民可提供来往通行证扫描件；非中国国籍管辖范围人员，可提供公安部门认可的身份证明材料扫描件。</w:t>
      </w:r>
    </w:p>
    <w:p w14:paraId="767DEE15">
      <w:pPr>
        <w:numPr>
          <w:ilvl w:val="0"/>
          <w:numId w:val="9"/>
        </w:numPr>
        <w:spacing w:line="360" w:lineRule="auto"/>
        <w:ind w:firstLine="420" w:firstLineChars="200"/>
        <w:rPr>
          <w:szCs w:val="21"/>
        </w:rPr>
      </w:pPr>
      <w:r>
        <w:rPr>
          <w:rFonts w:hint="eastAsia"/>
          <w:szCs w:val="21"/>
          <w:lang w:eastAsia="zh-Hans"/>
        </w:rPr>
        <w:t>本项目投标授权代表为法定代表人（负责人）的，无需提供</w:t>
      </w:r>
      <w:r>
        <w:rPr>
          <w:rFonts w:hint="eastAsia"/>
          <w:szCs w:val="21"/>
        </w:rPr>
        <w:t>《投标文件签署授权委托书》</w:t>
      </w:r>
      <w:r>
        <w:rPr>
          <w:rFonts w:hint="eastAsia"/>
          <w:szCs w:val="21"/>
          <w:lang w:eastAsia="zh-Hans"/>
        </w:rPr>
        <w:t>。</w:t>
      </w:r>
    </w:p>
    <w:p w14:paraId="2DE09848">
      <w:pPr>
        <w:numPr>
          <w:ilvl w:val="0"/>
          <w:numId w:val="9"/>
        </w:numPr>
        <w:spacing w:line="360" w:lineRule="auto"/>
        <w:ind w:firstLine="420" w:firstLineChars="200"/>
        <w:rPr>
          <w:szCs w:val="21"/>
        </w:rPr>
      </w:pPr>
      <w:r>
        <w:rPr>
          <w:rFonts w:hint="eastAsia"/>
          <w:szCs w:val="21"/>
        </w:rPr>
        <w:t>内容必须填写真实、清楚，涂改无效，不得转让、买卖。</w:t>
      </w:r>
    </w:p>
    <w:tbl>
      <w:tblPr>
        <w:tblStyle w:val="2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4F30F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4" w:type="dxa"/>
          </w:tcPr>
          <w:p w14:paraId="44E72D10">
            <w:pPr>
              <w:jc w:val="center"/>
            </w:pPr>
            <w:r>
              <w:rPr>
                <w:rFonts w:hint="eastAsia"/>
              </w:rPr>
              <w:t>证件扫描件正面</w:t>
            </w:r>
          </w:p>
          <w:p w14:paraId="2CAD3820">
            <w:pPr>
              <w:pStyle w:val="2"/>
              <w:jc w:val="center"/>
            </w:pPr>
          </w:p>
          <w:p w14:paraId="590BC3DE">
            <w:pPr>
              <w:pStyle w:val="3"/>
              <w:jc w:val="center"/>
            </w:pPr>
          </w:p>
        </w:tc>
        <w:tc>
          <w:tcPr>
            <w:tcW w:w="4265" w:type="dxa"/>
          </w:tcPr>
          <w:p w14:paraId="06AD27DF">
            <w:pPr>
              <w:jc w:val="center"/>
            </w:pPr>
            <w:r>
              <w:rPr>
                <w:rFonts w:hint="eastAsia"/>
              </w:rPr>
              <w:t>证件扫描件反面</w:t>
            </w:r>
          </w:p>
          <w:p w14:paraId="7408AA01">
            <w:pPr>
              <w:pStyle w:val="2"/>
              <w:jc w:val="center"/>
            </w:pPr>
          </w:p>
          <w:p w14:paraId="58FA13F5">
            <w:pPr>
              <w:pStyle w:val="3"/>
              <w:jc w:val="center"/>
            </w:pPr>
          </w:p>
        </w:tc>
      </w:tr>
    </w:tbl>
    <w:p w14:paraId="01FFB4ED">
      <w:pPr>
        <w:rPr>
          <w:b/>
          <w:bCs/>
          <w:color w:val="FF0000"/>
          <w:szCs w:val="21"/>
        </w:rPr>
      </w:pPr>
      <w:r>
        <w:rPr>
          <w:rFonts w:hint="eastAsia"/>
          <w:b/>
          <w:bCs/>
          <w:color w:val="FF0000"/>
          <w:szCs w:val="21"/>
        </w:rPr>
        <w:t>温馨提示：为避免出现《深圳经济特区政府采购条例实施细则》第七十五条第二项所列情形，请投标供应商核实你单位法定代表人、本项目投标授权代表人、项目负责人（如有）、主要技术人员（如有）等是否在贵公司缴纳社会保险。</w:t>
      </w:r>
    </w:p>
    <w:p w14:paraId="70BE6541">
      <w:pPr>
        <w:rPr>
          <w:b/>
          <w:bCs/>
          <w:color w:val="FF0000"/>
          <w:szCs w:val="21"/>
        </w:rPr>
      </w:pPr>
    </w:p>
    <w:p w14:paraId="20F2206D">
      <w:pPr>
        <w:pStyle w:val="6"/>
        <w:spacing w:before="120" w:after="120"/>
        <w:jc w:val="center"/>
        <w:rPr>
          <w:rFonts w:hint="eastAsia" w:ascii="黑体" w:eastAsia="黑体"/>
          <w:b w:val="0"/>
          <w:sz w:val="24"/>
        </w:rPr>
      </w:pPr>
      <w:r>
        <w:rPr>
          <w:rFonts w:hint="eastAsia" w:ascii="黑体" w:eastAsia="黑体"/>
          <w:b w:val="0"/>
          <w:sz w:val="24"/>
        </w:rPr>
        <w:t>二、投标文件签署授权委托书</w:t>
      </w:r>
    </w:p>
    <w:p w14:paraId="6228DD4F">
      <w:pPr>
        <w:spacing w:line="360" w:lineRule="auto"/>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14:paraId="689C167D">
      <w:pPr>
        <w:spacing w:line="360" w:lineRule="auto"/>
        <w:ind w:firstLine="420" w:firstLineChars="200"/>
        <w:rPr>
          <w:szCs w:val="21"/>
        </w:rPr>
      </w:pPr>
      <w:r>
        <w:rPr>
          <w:rFonts w:hint="eastAsia"/>
          <w:szCs w:val="21"/>
        </w:rPr>
        <w:t>代理人无转委托权，特此委托。</w:t>
      </w:r>
    </w:p>
    <w:p w14:paraId="3B7E8C1B">
      <w:pPr>
        <w:spacing w:line="360" w:lineRule="auto"/>
        <w:ind w:firstLine="420" w:firstLineChars="200"/>
        <w:rPr>
          <w:szCs w:val="21"/>
        </w:rPr>
      </w:pPr>
      <w:r>
        <w:rPr>
          <w:rFonts w:hint="eastAsia"/>
          <w:szCs w:val="21"/>
        </w:rPr>
        <w:t>代理人：</w:t>
      </w:r>
      <w:r>
        <w:rPr>
          <w:rFonts w:hint="eastAsia"/>
          <w:szCs w:val="21"/>
          <w:u w:val="single"/>
        </w:rPr>
        <w:t xml:space="preserve">              </w:t>
      </w:r>
      <w:r>
        <w:rPr>
          <w:rFonts w:hint="eastAsia"/>
          <w:szCs w:val="21"/>
        </w:rPr>
        <w:t>；</w:t>
      </w:r>
    </w:p>
    <w:p w14:paraId="1570E818">
      <w:pPr>
        <w:spacing w:line="360" w:lineRule="auto"/>
        <w:ind w:firstLine="420" w:firstLineChars="200"/>
        <w:rPr>
          <w:szCs w:val="21"/>
        </w:rPr>
      </w:pPr>
      <w:r>
        <w:rPr>
          <w:rFonts w:hint="eastAsia"/>
          <w:szCs w:val="21"/>
        </w:rPr>
        <w:t>身份证件号：</w:t>
      </w:r>
      <w:r>
        <w:rPr>
          <w:rFonts w:hint="eastAsia"/>
          <w:szCs w:val="21"/>
          <w:u w:val="single"/>
        </w:rPr>
        <w:t xml:space="preserve">                        </w:t>
      </w:r>
      <w:r>
        <w:rPr>
          <w:rFonts w:hint="eastAsia"/>
          <w:szCs w:val="21"/>
        </w:rPr>
        <w:t>，职务：</w:t>
      </w:r>
      <w:r>
        <w:rPr>
          <w:rFonts w:hint="eastAsia"/>
          <w:szCs w:val="21"/>
          <w:u w:val="single"/>
        </w:rPr>
        <w:t xml:space="preserve">                </w:t>
      </w:r>
      <w:r>
        <w:rPr>
          <w:rFonts w:hint="eastAsia"/>
          <w:szCs w:val="21"/>
        </w:rPr>
        <w:t>；</w:t>
      </w:r>
    </w:p>
    <w:p w14:paraId="44F7D1D9">
      <w:pPr>
        <w:spacing w:line="360" w:lineRule="auto"/>
        <w:ind w:firstLine="420" w:firstLineChars="200"/>
        <w:rPr>
          <w:szCs w:val="21"/>
        </w:rPr>
      </w:pPr>
      <w:r>
        <w:rPr>
          <w:rFonts w:hint="eastAsia"/>
          <w:szCs w:val="21"/>
        </w:rPr>
        <w:t>联系电话：</w:t>
      </w:r>
      <w:r>
        <w:rPr>
          <w:rFonts w:hint="eastAsia"/>
          <w:szCs w:val="21"/>
          <w:u w:val="single"/>
        </w:rPr>
        <w:t xml:space="preserve">            </w:t>
      </w:r>
      <w:r>
        <w:rPr>
          <w:rFonts w:hint="eastAsia"/>
          <w:szCs w:val="21"/>
        </w:rPr>
        <w:t>，手机：</w:t>
      </w:r>
      <w:r>
        <w:rPr>
          <w:rFonts w:hint="eastAsia"/>
          <w:szCs w:val="21"/>
          <w:u w:val="single"/>
        </w:rPr>
        <w:t xml:space="preserve">                   </w:t>
      </w:r>
      <w:r>
        <w:rPr>
          <w:rFonts w:hint="eastAsia"/>
          <w:szCs w:val="21"/>
        </w:rPr>
        <w:t>，电子邮箱：</w:t>
      </w:r>
      <w:r>
        <w:rPr>
          <w:rFonts w:hint="eastAsia"/>
          <w:szCs w:val="21"/>
          <w:u w:val="single"/>
        </w:rPr>
        <w:t xml:space="preserve">                        </w:t>
      </w:r>
      <w:r>
        <w:rPr>
          <w:rFonts w:hint="eastAsia" w:eastAsia="宋体"/>
          <w:szCs w:val="21"/>
        </w:rPr>
        <w:t>；</w:t>
      </w:r>
    </w:p>
    <w:p w14:paraId="0CCA0480">
      <w:pPr>
        <w:spacing w:line="360" w:lineRule="auto"/>
        <w:ind w:firstLine="420" w:firstLineChars="200"/>
        <w:rPr>
          <w:rFonts w:eastAsia="宋体"/>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14:paraId="699C2D7B">
      <w:pPr>
        <w:spacing w:line="360" w:lineRule="auto"/>
        <w:ind w:firstLine="422"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2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49928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1D947567">
            <w:pPr>
              <w:jc w:val="center"/>
            </w:pPr>
            <w:r>
              <w:rPr>
                <w:rFonts w:hint="eastAsia" w:ascii="Times New Roman" w:eastAsia="宋体"/>
              </w:rPr>
              <w:t>证件扫描件正面</w:t>
            </w:r>
          </w:p>
          <w:p w14:paraId="34FC1F13">
            <w:pPr>
              <w:pStyle w:val="2"/>
              <w:jc w:val="center"/>
            </w:pPr>
          </w:p>
          <w:p w14:paraId="6C8E1BB8">
            <w:pPr>
              <w:pStyle w:val="3"/>
              <w:jc w:val="center"/>
            </w:pPr>
          </w:p>
        </w:tc>
        <w:tc>
          <w:tcPr>
            <w:tcW w:w="4265" w:type="dxa"/>
          </w:tcPr>
          <w:p w14:paraId="1E65ECAD">
            <w:pPr>
              <w:jc w:val="center"/>
            </w:pPr>
            <w:r>
              <w:rPr>
                <w:rFonts w:hint="eastAsia" w:ascii="Times New Roman" w:eastAsia="宋体"/>
              </w:rPr>
              <w:t>证件扫描件反面</w:t>
            </w:r>
          </w:p>
          <w:p w14:paraId="31A5117F">
            <w:pPr>
              <w:pStyle w:val="2"/>
              <w:jc w:val="center"/>
            </w:pPr>
          </w:p>
          <w:p w14:paraId="2A2985A7">
            <w:pPr>
              <w:pStyle w:val="3"/>
              <w:jc w:val="center"/>
            </w:pPr>
          </w:p>
        </w:tc>
      </w:tr>
    </w:tbl>
    <w:p w14:paraId="5305DB3B">
      <w:pPr>
        <w:tabs>
          <w:tab w:val="left" w:pos="651"/>
        </w:tabs>
        <w:snapToGrid w:val="0"/>
        <w:rPr>
          <w:rFonts w:ascii="黑体" w:eastAsia="黑体"/>
          <w:kern w:val="0"/>
          <w:sz w:val="24"/>
          <w:szCs w:val="24"/>
        </w:rPr>
      </w:pPr>
      <w:r>
        <w:rPr>
          <w:rFonts w:hint="eastAsia"/>
          <w:b/>
          <w:bCs/>
          <w:color w:val="FF0000"/>
          <w:szCs w:val="21"/>
        </w:rPr>
        <w:t>温馨提示：为避免出现《深圳经济特区政府采购条例实施细则》第七十五条第二项所列情形，请投标供应商核实你单位法定代表人、本项目投标授权代表人、项目负责人（如有）、主要技术人员（如有）等是否在贵公司缴纳社会保险。</w:t>
      </w:r>
    </w:p>
    <w:p w14:paraId="2EDD1765">
      <w:pPr>
        <w:tabs>
          <w:tab w:val="left" w:pos="651"/>
        </w:tabs>
        <w:snapToGrid w:val="0"/>
        <w:jc w:val="center"/>
        <w:rPr>
          <w:rFonts w:ascii="黑体" w:eastAsia="黑体"/>
          <w:kern w:val="0"/>
          <w:sz w:val="24"/>
          <w:szCs w:val="24"/>
        </w:rPr>
      </w:pPr>
    </w:p>
    <w:p w14:paraId="7095D32C">
      <w:pPr>
        <w:tabs>
          <w:tab w:val="left" w:pos="651"/>
        </w:tabs>
        <w:snapToGrid w:val="0"/>
        <w:jc w:val="center"/>
        <w:rPr>
          <w:rFonts w:ascii="黑体" w:eastAsia="黑体"/>
          <w:kern w:val="0"/>
          <w:sz w:val="24"/>
          <w:szCs w:val="24"/>
        </w:rPr>
      </w:pPr>
    </w:p>
    <w:p w14:paraId="4612F6C7">
      <w:pPr>
        <w:tabs>
          <w:tab w:val="left" w:pos="651"/>
        </w:tabs>
        <w:snapToGrid w:val="0"/>
        <w:jc w:val="center"/>
        <w:rPr>
          <w:rFonts w:ascii="黑体" w:eastAsia="黑体"/>
          <w:kern w:val="0"/>
          <w:sz w:val="24"/>
          <w:szCs w:val="24"/>
        </w:rPr>
      </w:pPr>
    </w:p>
    <w:p w14:paraId="2E87F54D">
      <w:pPr>
        <w:tabs>
          <w:tab w:val="left" w:pos="651"/>
        </w:tabs>
        <w:snapToGrid w:val="0"/>
        <w:jc w:val="center"/>
        <w:rPr>
          <w:rFonts w:hint="eastAsia" w:ascii="宋体" w:hAnsi="宋体" w:eastAsia="宋体" w:cs="Times New Roman"/>
          <w:b/>
          <w:bCs/>
          <w:kern w:val="0"/>
          <w:sz w:val="24"/>
          <w:szCs w:val="20"/>
        </w:rPr>
      </w:pPr>
      <w:r>
        <w:rPr>
          <w:rFonts w:hint="eastAsia" w:ascii="黑体" w:eastAsia="黑体"/>
          <w:kern w:val="0"/>
          <w:sz w:val="24"/>
          <w:szCs w:val="24"/>
        </w:rPr>
        <w:t>三、</w:t>
      </w:r>
      <w:bookmarkStart w:id="38" w:name="_Hlk72092634"/>
      <w:r>
        <w:rPr>
          <w:rFonts w:hint="eastAsia" w:ascii="黑体" w:eastAsia="黑体"/>
          <w:kern w:val="0"/>
          <w:sz w:val="24"/>
          <w:szCs w:val="24"/>
        </w:rPr>
        <w:t>实质性条款响应情况表</w:t>
      </w:r>
      <w:bookmarkEnd w:id="38"/>
    </w:p>
    <w:p w14:paraId="2D3E86F2">
      <w:pPr>
        <w:snapToGrid w:val="0"/>
        <w:rPr>
          <w:rFonts w:ascii="Arial" w:hAnsi="Arial" w:eastAsia="宋体" w:cs="Arial"/>
          <w:sz w:val="24"/>
          <w:szCs w:val="24"/>
        </w:rPr>
      </w:pPr>
      <w:r>
        <w:rPr>
          <w:rFonts w:hint="eastAsia" w:ascii="Arial" w:hAnsi="Arial" w:eastAsia="宋体" w:cs="Arial"/>
          <w:color w:val="000000"/>
          <w:sz w:val="24"/>
          <w:szCs w:val="24"/>
        </w:rPr>
        <w:t>投标单位（投标人）名称：</w:t>
      </w:r>
      <w:r>
        <w:rPr>
          <w:rFonts w:ascii="Arial" w:hAnsi="Arial" w:eastAsia="宋体" w:cs="Arial"/>
          <w:color w:val="000000"/>
          <w:sz w:val="24"/>
          <w:szCs w:val="24"/>
          <w:u w:val="single"/>
        </w:rPr>
        <w:t xml:space="preserve">                         </w:t>
      </w:r>
    </w:p>
    <w:p w14:paraId="21553F43">
      <w:pPr>
        <w:snapToGrid w:val="0"/>
        <w:rPr>
          <w:rFonts w:hint="eastAsia" w:cs="Times New Roman" w:asciiTheme="minorEastAsia" w:hAnsiTheme="minorEastAsia"/>
          <w:b/>
          <w:sz w:val="24"/>
          <w:szCs w:val="24"/>
        </w:rPr>
      </w:pPr>
    </w:p>
    <w:tbl>
      <w:tblPr>
        <w:tblStyle w:val="22"/>
        <w:tblW w:w="9403"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602"/>
        <w:gridCol w:w="3901"/>
        <w:gridCol w:w="2176"/>
        <w:gridCol w:w="1732"/>
        <w:gridCol w:w="992"/>
      </w:tblGrid>
      <w:tr w14:paraId="75AAA4F6">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29" w:hRule="atLeast"/>
          <w:jc w:val="center"/>
        </w:trPr>
        <w:tc>
          <w:tcPr>
            <w:tcW w:w="602" w:type="dxa"/>
            <w:vAlign w:val="center"/>
          </w:tcPr>
          <w:p w14:paraId="73491C19">
            <w:pPr>
              <w:jc w:val="center"/>
              <w:rPr>
                <w:rFonts w:hint="eastAsia" w:ascii="宋体" w:hAnsi="宋体" w:eastAsia="宋体" w:cs="Arial"/>
                <w:b/>
                <w:szCs w:val="21"/>
              </w:rPr>
            </w:pPr>
            <w:r>
              <w:rPr>
                <w:rFonts w:hint="eastAsia" w:ascii="宋体" w:hAnsi="宋体" w:eastAsia="宋体" w:cs="Arial"/>
                <w:b/>
                <w:szCs w:val="21"/>
              </w:rPr>
              <w:t>序号</w:t>
            </w:r>
          </w:p>
        </w:tc>
        <w:tc>
          <w:tcPr>
            <w:tcW w:w="3901" w:type="dxa"/>
            <w:vAlign w:val="center"/>
          </w:tcPr>
          <w:p w14:paraId="3D8AB861">
            <w:pPr>
              <w:jc w:val="center"/>
              <w:rPr>
                <w:rFonts w:hint="eastAsia" w:ascii="宋体" w:hAnsi="宋体" w:eastAsia="宋体" w:cs="Arial"/>
                <w:b/>
                <w:szCs w:val="21"/>
              </w:rPr>
            </w:pPr>
            <w:r>
              <w:rPr>
                <w:rFonts w:hint="eastAsia" w:ascii="宋体" w:hAnsi="宋体" w:eastAsia="宋体" w:cs="Arial"/>
                <w:b/>
                <w:szCs w:val="21"/>
              </w:rPr>
              <w:t>实质性条款具体内容</w:t>
            </w:r>
          </w:p>
        </w:tc>
        <w:tc>
          <w:tcPr>
            <w:tcW w:w="2176" w:type="dxa"/>
            <w:vAlign w:val="center"/>
          </w:tcPr>
          <w:p w14:paraId="0C361D80">
            <w:pPr>
              <w:jc w:val="center"/>
              <w:rPr>
                <w:rFonts w:hint="eastAsia" w:ascii="宋体" w:hAnsi="宋体" w:eastAsia="宋体" w:cs="Arial"/>
                <w:b/>
                <w:szCs w:val="21"/>
              </w:rPr>
            </w:pPr>
            <w:r>
              <w:rPr>
                <w:rFonts w:hint="eastAsia" w:ascii="宋体" w:hAnsi="宋体" w:eastAsia="宋体" w:cs="Arial"/>
                <w:b/>
                <w:szCs w:val="21"/>
              </w:rPr>
              <w:t>投标文件响应</w:t>
            </w:r>
          </w:p>
        </w:tc>
        <w:tc>
          <w:tcPr>
            <w:tcW w:w="1732" w:type="dxa"/>
          </w:tcPr>
          <w:p w14:paraId="28748679">
            <w:pPr>
              <w:spacing w:before="156" w:beforeLines="50"/>
              <w:jc w:val="center"/>
              <w:rPr>
                <w:rFonts w:hint="eastAsia" w:ascii="宋体" w:hAnsi="宋体" w:eastAsia="宋体" w:cs="Arial"/>
                <w:b/>
                <w:szCs w:val="21"/>
              </w:rPr>
            </w:pPr>
            <w:r>
              <w:rPr>
                <w:rFonts w:hint="eastAsia" w:ascii="宋体" w:hAnsi="宋体" w:eastAsia="宋体" w:cs="Arial"/>
                <w:b/>
                <w:szCs w:val="21"/>
              </w:rPr>
              <w:t>偏离情况</w:t>
            </w:r>
          </w:p>
        </w:tc>
        <w:tc>
          <w:tcPr>
            <w:tcW w:w="992" w:type="dxa"/>
            <w:vAlign w:val="center"/>
          </w:tcPr>
          <w:p w14:paraId="2F01D27C">
            <w:pPr>
              <w:jc w:val="center"/>
              <w:rPr>
                <w:rFonts w:hint="eastAsia" w:ascii="宋体" w:hAnsi="宋体" w:eastAsia="宋体" w:cs="Arial"/>
                <w:b/>
                <w:szCs w:val="21"/>
              </w:rPr>
            </w:pPr>
            <w:r>
              <w:rPr>
                <w:rFonts w:hint="eastAsia" w:ascii="宋体" w:hAnsi="宋体" w:eastAsia="宋体" w:cs="Arial"/>
                <w:b/>
                <w:szCs w:val="21"/>
              </w:rPr>
              <w:t>说明</w:t>
            </w:r>
          </w:p>
        </w:tc>
      </w:tr>
      <w:tr w14:paraId="61CB56FD">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060" w:hRule="atLeast"/>
          <w:jc w:val="center"/>
        </w:trPr>
        <w:tc>
          <w:tcPr>
            <w:tcW w:w="602" w:type="dxa"/>
            <w:vAlign w:val="center"/>
          </w:tcPr>
          <w:p w14:paraId="3ED2570F">
            <w:pPr>
              <w:adjustRightInd w:val="0"/>
              <w:snapToGrid w:val="0"/>
              <w:spacing w:line="360" w:lineRule="auto"/>
              <w:jc w:val="center"/>
              <w:rPr>
                <w:rFonts w:hint="eastAsia" w:ascii="宋体" w:hAnsi="宋体" w:eastAsia="宋体" w:cs="Times New Roman"/>
                <w:b/>
                <w:color w:val="FF0000"/>
                <w:kern w:val="0"/>
                <w:szCs w:val="21"/>
              </w:rPr>
            </w:pPr>
            <w:r>
              <w:rPr>
                <w:rFonts w:hint="eastAsia" w:ascii="宋体" w:hAnsi="宋体"/>
                <w:kern w:val="0"/>
                <w:szCs w:val="21"/>
              </w:rPr>
              <w:t>1</w:t>
            </w:r>
          </w:p>
        </w:tc>
        <w:tc>
          <w:tcPr>
            <w:tcW w:w="3901" w:type="dxa"/>
            <w:vAlign w:val="center"/>
          </w:tcPr>
          <w:p w14:paraId="3EAE8254">
            <w:pPr>
              <w:jc w:val="left"/>
              <w:rPr>
                <w:rFonts w:hint="eastAsia" w:ascii="宋体" w:hAnsi="宋体" w:eastAsia="宋体" w:cs="Times New Roman"/>
                <w:b/>
                <w:color w:val="FF0000"/>
                <w:kern w:val="0"/>
                <w:szCs w:val="21"/>
              </w:rPr>
            </w:pPr>
            <w:r>
              <w:rPr>
                <w:rFonts w:hint="eastAsia"/>
              </w:rPr>
              <w:t>满足本项目标★的条款要求</w:t>
            </w:r>
          </w:p>
        </w:tc>
        <w:tc>
          <w:tcPr>
            <w:tcW w:w="2176" w:type="dxa"/>
            <w:vAlign w:val="center"/>
          </w:tcPr>
          <w:p w14:paraId="3A14CCAE">
            <w:pPr>
              <w:spacing w:line="300" w:lineRule="auto"/>
              <w:jc w:val="center"/>
              <w:rPr>
                <w:rFonts w:hint="eastAsia" w:ascii="宋体" w:hAnsi="宋体" w:eastAsia="宋体" w:cs="Times New Roman"/>
                <w:b/>
                <w:kern w:val="0"/>
                <w:szCs w:val="21"/>
              </w:rPr>
            </w:pPr>
            <w:r>
              <w:rPr>
                <w:rFonts w:hint="eastAsia" w:ascii="宋体" w:hAnsi="宋体" w:eastAsia="宋体" w:cs="Times New Roman"/>
                <w:b/>
                <w:kern w:val="0"/>
                <w:szCs w:val="21"/>
              </w:rPr>
              <w:t>完全响应</w:t>
            </w:r>
          </w:p>
        </w:tc>
        <w:tc>
          <w:tcPr>
            <w:tcW w:w="1732" w:type="dxa"/>
            <w:vAlign w:val="center"/>
          </w:tcPr>
          <w:p w14:paraId="6BC7C923">
            <w:pPr>
              <w:spacing w:line="300" w:lineRule="auto"/>
              <w:jc w:val="center"/>
              <w:rPr>
                <w:rFonts w:hint="eastAsia" w:ascii="宋体" w:hAnsi="宋体" w:eastAsia="宋体" w:cs="Times New Roman"/>
                <w:b/>
                <w:kern w:val="0"/>
                <w:szCs w:val="21"/>
              </w:rPr>
            </w:pPr>
            <w:r>
              <w:rPr>
                <w:rFonts w:hint="eastAsia" w:ascii="宋体" w:hAnsi="宋体" w:eastAsia="宋体" w:cs="Times New Roman"/>
                <w:b/>
                <w:kern w:val="0"/>
                <w:szCs w:val="21"/>
              </w:rPr>
              <w:t>无偏离</w:t>
            </w:r>
          </w:p>
        </w:tc>
        <w:tc>
          <w:tcPr>
            <w:tcW w:w="992" w:type="dxa"/>
            <w:vAlign w:val="center"/>
          </w:tcPr>
          <w:p w14:paraId="62D45BD3">
            <w:pPr>
              <w:spacing w:line="300" w:lineRule="auto"/>
              <w:jc w:val="center"/>
              <w:rPr>
                <w:rFonts w:hint="eastAsia" w:ascii="宋体" w:hAnsi="宋体" w:eastAsia="宋体" w:cs="Times New Roman"/>
                <w:b/>
                <w:color w:val="FF0000"/>
                <w:kern w:val="0"/>
                <w:szCs w:val="21"/>
              </w:rPr>
            </w:pPr>
          </w:p>
        </w:tc>
      </w:tr>
    </w:tbl>
    <w:p w14:paraId="05435700">
      <w:pPr>
        <w:snapToGrid w:val="0"/>
        <w:rPr>
          <w:rFonts w:hint="eastAsia" w:cs="Times New Roman" w:asciiTheme="minorEastAsia" w:hAnsiTheme="minorEastAsia"/>
          <w:b/>
          <w:sz w:val="24"/>
          <w:szCs w:val="24"/>
        </w:rPr>
      </w:pPr>
      <w:r>
        <w:rPr>
          <w:rFonts w:hint="eastAsia" w:ascii="宋体" w:hAnsi="宋体" w:eastAsia="宋体" w:cs="Times New Roman"/>
          <w:b/>
          <w:sz w:val="24"/>
          <w:szCs w:val="24"/>
        </w:rPr>
        <w:t>填写说明：</w:t>
      </w:r>
    </w:p>
    <w:p w14:paraId="203A5FF3">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1、上表所列各项均为不可负偏离条款。</w:t>
      </w:r>
    </w:p>
    <w:p w14:paraId="7C8B9315">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2、“投标文件响应”一栏应当详细填写投标人自身响应情况，而不能不合理照搬照抄招标文件实质性条款具体内容。</w:t>
      </w:r>
      <w:r>
        <w:rPr>
          <w:rFonts w:hint="eastAsia" w:ascii="宋体" w:hAnsi="宋体" w:cs="宋体"/>
          <w:b/>
          <w:bCs/>
          <w:sz w:val="24"/>
          <w:szCs w:val="24"/>
        </w:rPr>
        <w:t>如完全满足实质性条款具体内容可填写“完全响应”，除招标文件另有注明外，不强制要求逐条列出响应。</w:t>
      </w:r>
    </w:p>
    <w:p w14:paraId="0F47C83C">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3、“偏离情况”一栏应填写</w:t>
      </w:r>
      <w:r>
        <w:rPr>
          <w:rFonts w:hint="eastAsia" w:ascii="宋体" w:hAnsi="宋体" w:cs="宋体"/>
          <w:sz w:val="24"/>
          <w:szCs w:val="24"/>
        </w:rPr>
        <w:t>“</w:t>
      </w:r>
      <w:r>
        <w:rPr>
          <w:rFonts w:hint="eastAsia" w:ascii="宋体" w:hAnsi="宋体" w:cs="宋体"/>
          <w:b/>
          <w:bCs/>
          <w:sz w:val="24"/>
          <w:szCs w:val="24"/>
        </w:rPr>
        <w:t>正偏离</w:t>
      </w:r>
      <w:r>
        <w:rPr>
          <w:rFonts w:hint="eastAsia" w:ascii="宋体" w:hAnsi="宋体" w:cs="宋体"/>
          <w:sz w:val="24"/>
          <w:szCs w:val="24"/>
        </w:rPr>
        <w:t>”或“</w:t>
      </w:r>
      <w:r>
        <w:rPr>
          <w:rFonts w:hint="eastAsia" w:ascii="宋体" w:hAnsi="宋体" w:cs="宋体"/>
          <w:b/>
          <w:bCs/>
          <w:sz w:val="24"/>
          <w:szCs w:val="24"/>
        </w:rPr>
        <w:t>负偏离</w:t>
      </w:r>
      <w:r>
        <w:rPr>
          <w:rFonts w:hint="eastAsia" w:ascii="宋体" w:hAnsi="宋体" w:cs="宋体"/>
          <w:sz w:val="24"/>
          <w:szCs w:val="24"/>
        </w:rPr>
        <w:t>”或“</w:t>
      </w:r>
      <w:r>
        <w:rPr>
          <w:rFonts w:hint="eastAsia" w:ascii="宋体" w:hAnsi="宋体" w:cs="宋体"/>
          <w:b/>
          <w:bCs/>
          <w:sz w:val="24"/>
          <w:szCs w:val="24"/>
        </w:rPr>
        <w:t>无偏离</w:t>
      </w:r>
      <w:r>
        <w:rPr>
          <w:rFonts w:hint="eastAsia" w:ascii="宋体" w:hAnsi="宋体" w:cs="宋体"/>
          <w:sz w:val="24"/>
          <w:szCs w:val="24"/>
        </w:rPr>
        <w:t>”</w:t>
      </w:r>
      <w:r>
        <w:rPr>
          <w:rFonts w:hint="eastAsia" w:ascii="宋体" w:hAnsi="宋体" w:cs="宋体"/>
          <w:bCs/>
          <w:sz w:val="24"/>
          <w:szCs w:val="24"/>
        </w:rPr>
        <w:t>，“正偏离”表示“投标响应优于实质性条款具体内容要求”，“负偏离”表示“投标响应不满足实质性条款具体内容要求”，“无偏离”表示“投标响应与实质性条款具体内容要求一致”。</w:t>
      </w:r>
    </w:p>
    <w:p w14:paraId="30934597">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4、评审委员会有权对投标响应情况作出判断。</w:t>
      </w:r>
    </w:p>
    <w:p w14:paraId="522F68F4">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5、实质性响应条款“投标响应情况”与投标文件其它内容冲突的，以实质性响应条款“投标响应情况”为准。</w:t>
      </w:r>
    </w:p>
    <w:p w14:paraId="02500980">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6、以上实质性条款中要求提供证明材料，需如实提供证明材料扫描件，在“说明”一栏中列明证明材料的位置，以便评审；未要求提供证明材料的，投标人可以不提供。</w:t>
      </w:r>
    </w:p>
    <w:p w14:paraId="29E7B2BC">
      <w:pPr>
        <w:rPr>
          <w:sz w:val="24"/>
        </w:rPr>
      </w:pPr>
      <w:r>
        <w:rPr>
          <w:rFonts w:hint="eastAsia" w:ascii="宋体" w:hAnsi="宋体" w:eastAsia="宋体" w:cs="Times New Roman"/>
          <w:b/>
          <w:bCs/>
          <w:kern w:val="0"/>
          <w:sz w:val="24"/>
          <w:szCs w:val="20"/>
        </w:rPr>
        <w:br w:type="page"/>
      </w:r>
    </w:p>
    <w:p w14:paraId="061E0043">
      <w:pPr>
        <w:ind w:left="718" w:leftChars="342" w:firstLine="1417" w:firstLineChars="675"/>
        <w:rPr>
          <w:szCs w:val="21"/>
        </w:rPr>
      </w:pPr>
      <w:bookmarkStart w:id="39" w:name="_Hlk72062872"/>
      <w:r>
        <w:rPr>
          <w:rFonts w:hint="eastAsia"/>
          <w:szCs w:val="21"/>
        </w:rPr>
        <w:t>四、实施方案</w:t>
      </w:r>
    </w:p>
    <w:p w14:paraId="77C2D8F1">
      <w:pPr>
        <w:ind w:left="718" w:leftChars="342" w:firstLine="1417" w:firstLineChars="675"/>
        <w:rPr>
          <w:szCs w:val="21"/>
        </w:rPr>
      </w:pPr>
      <w:r>
        <w:rPr>
          <w:rFonts w:hint="eastAsia"/>
          <w:szCs w:val="21"/>
        </w:rPr>
        <w:t>五、项目重点难点分析、应对措施及相关的合理化建议</w:t>
      </w:r>
    </w:p>
    <w:p w14:paraId="077DB860">
      <w:pPr>
        <w:ind w:left="718" w:leftChars="342" w:firstLine="1417" w:firstLineChars="675"/>
        <w:rPr>
          <w:szCs w:val="21"/>
        </w:rPr>
      </w:pPr>
      <w:r>
        <w:rPr>
          <w:rFonts w:hint="eastAsia"/>
          <w:szCs w:val="21"/>
        </w:rPr>
        <w:t>六、质量保障措施及方案</w:t>
      </w:r>
    </w:p>
    <w:p w14:paraId="1E74E1FE">
      <w:pPr>
        <w:ind w:left="718" w:leftChars="342" w:firstLine="1417" w:firstLineChars="675"/>
        <w:rPr>
          <w:szCs w:val="21"/>
        </w:rPr>
      </w:pPr>
      <w:r>
        <w:rPr>
          <w:rFonts w:hint="eastAsia"/>
          <w:szCs w:val="21"/>
        </w:rPr>
        <w:t>七、项目完成（服务期满）后的服务承诺</w:t>
      </w:r>
    </w:p>
    <w:p w14:paraId="7AC1E0AE">
      <w:pPr>
        <w:ind w:left="718" w:leftChars="342" w:firstLine="1417" w:firstLineChars="675"/>
        <w:rPr>
          <w:szCs w:val="21"/>
        </w:rPr>
      </w:pPr>
      <w:r>
        <w:rPr>
          <w:rFonts w:hint="eastAsia"/>
          <w:szCs w:val="21"/>
        </w:rPr>
        <w:t>八、项目拟使用的车辆（场地、工具、机器）情况</w:t>
      </w:r>
    </w:p>
    <w:p w14:paraId="5FE4B71D">
      <w:pPr>
        <w:ind w:left="718" w:leftChars="342" w:firstLine="1417" w:firstLineChars="675"/>
        <w:rPr>
          <w:szCs w:val="21"/>
        </w:rPr>
      </w:pPr>
      <w:r>
        <w:rPr>
          <w:rFonts w:hint="eastAsia"/>
          <w:szCs w:val="21"/>
        </w:rPr>
        <w:t>九、拟安排的项目团队成员情况</w:t>
      </w:r>
    </w:p>
    <w:p w14:paraId="75E4E461">
      <w:pPr>
        <w:ind w:left="718" w:leftChars="342" w:firstLine="1417" w:firstLineChars="675"/>
        <w:rPr>
          <w:szCs w:val="21"/>
        </w:rPr>
      </w:pPr>
      <w:r>
        <w:rPr>
          <w:rFonts w:hint="eastAsia"/>
          <w:szCs w:val="21"/>
        </w:rPr>
        <w:t>十、投标人通过相关认证情况</w:t>
      </w:r>
    </w:p>
    <w:p w14:paraId="34F09104">
      <w:pPr>
        <w:ind w:left="718" w:leftChars="342" w:firstLine="1417" w:firstLineChars="675"/>
        <w:rPr>
          <w:szCs w:val="21"/>
        </w:rPr>
      </w:pPr>
      <w:r>
        <w:rPr>
          <w:rFonts w:hint="eastAsia"/>
          <w:szCs w:val="21"/>
        </w:rPr>
        <w:t>十一、投标人获奖情况</w:t>
      </w:r>
    </w:p>
    <w:p w14:paraId="24CE7213">
      <w:pPr>
        <w:ind w:left="718" w:leftChars="342" w:firstLine="1417" w:firstLineChars="675"/>
        <w:rPr>
          <w:szCs w:val="21"/>
        </w:rPr>
      </w:pPr>
      <w:r>
        <w:rPr>
          <w:rFonts w:hint="eastAsia"/>
          <w:szCs w:val="21"/>
        </w:rPr>
        <w:t>十二、同类项目业绩</w:t>
      </w:r>
    </w:p>
    <w:p w14:paraId="2416DEEB">
      <w:pPr>
        <w:ind w:left="718" w:leftChars="342" w:firstLine="1417" w:firstLineChars="675"/>
        <w:rPr>
          <w:szCs w:val="21"/>
        </w:rPr>
      </w:pPr>
      <w:r>
        <w:rPr>
          <w:rFonts w:hint="eastAsia"/>
          <w:szCs w:val="21"/>
        </w:rPr>
        <w:t>十三、履约评价情况</w:t>
      </w:r>
    </w:p>
    <w:p w14:paraId="636AD0A9">
      <w:pPr>
        <w:ind w:left="718" w:leftChars="342" w:firstLine="1417" w:firstLineChars="675"/>
        <w:rPr>
          <w:szCs w:val="21"/>
        </w:rPr>
      </w:pPr>
      <w:r>
        <w:rPr>
          <w:rFonts w:hint="eastAsia"/>
          <w:szCs w:val="21"/>
        </w:rPr>
        <w:t>十四、投标人认为需要加以说明的其他内容</w:t>
      </w:r>
    </w:p>
    <w:bookmarkEnd w:id="39"/>
    <w:p w14:paraId="0684996A">
      <w:pPr>
        <w:widowControl/>
        <w:jc w:val="center"/>
        <w:rPr>
          <w:rFonts w:hint="eastAsia" w:ascii="黑体" w:hAnsi="宋体" w:eastAsia="黑体"/>
          <w:kern w:val="0"/>
          <w:sz w:val="24"/>
          <w:szCs w:val="20"/>
        </w:rPr>
      </w:pPr>
      <w:r>
        <w:rPr>
          <w:rFonts w:hint="eastAsia" w:ascii="黑体" w:hAnsi="宋体" w:eastAsia="黑体"/>
          <w:kern w:val="0"/>
          <w:sz w:val="24"/>
          <w:szCs w:val="20"/>
        </w:rPr>
        <w:t>（一）</w:t>
      </w:r>
      <w:r>
        <w:rPr>
          <w:rFonts w:hint="eastAsia" w:ascii="黑体" w:hAnsi="宋体" w:eastAsia="黑体"/>
          <w:kern w:val="0"/>
          <w:sz w:val="24"/>
          <w:szCs w:val="20"/>
          <w:highlight w:val="yellow"/>
        </w:rPr>
        <w:t>政府采购违法行为风险知悉确认书</w:t>
      </w:r>
    </w:p>
    <w:p w14:paraId="045CE355">
      <w:pPr>
        <w:widowControl/>
        <w:jc w:val="center"/>
        <w:rPr>
          <w:rFonts w:hint="eastAsia" w:ascii="黑体" w:hAnsi="宋体" w:eastAsia="黑体"/>
          <w:kern w:val="0"/>
          <w:sz w:val="24"/>
          <w:szCs w:val="20"/>
        </w:rPr>
      </w:pPr>
    </w:p>
    <w:p w14:paraId="3A890FAE">
      <w:pPr>
        <w:spacing w:after="156" w:afterLines="50" w:line="360" w:lineRule="exact"/>
        <w:ind w:firstLine="482" w:firstLineChars="200"/>
        <w:rPr>
          <w:rFonts w:eastAsia="宋体" w:cs="Times New Roman"/>
          <w:b/>
          <w:bCs/>
          <w:sz w:val="24"/>
        </w:rPr>
      </w:pPr>
      <w:r>
        <w:rPr>
          <w:rFonts w:hint="eastAsia"/>
          <w:b/>
          <w:bCs/>
          <w:sz w:val="24"/>
        </w:rPr>
        <w:t>我</w:t>
      </w:r>
      <w:r>
        <w:rPr>
          <w:rFonts w:hint="eastAsia" w:ascii="Calibri" w:hAnsi="Calibri" w:eastAsia="宋体" w:cs="Times New Roman"/>
          <w:b/>
          <w:bCs/>
          <w:sz w:val="24"/>
          <w:szCs w:val="24"/>
        </w:rPr>
        <w:t>单位</w:t>
      </w:r>
      <w:r>
        <w:rPr>
          <w:rFonts w:hint="eastAsia" w:eastAsia="宋体"/>
          <w:b/>
          <w:bCs/>
          <w:sz w:val="24"/>
        </w:rPr>
        <w:t>在</w:t>
      </w:r>
      <w:r>
        <w:rPr>
          <w:rFonts w:hint="eastAsia"/>
          <w:b/>
          <w:bCs/>
          <w:sz w:val="24"/>
        </w:rPr>
        <w:t>投标前已充分知悉以下情形为参与政府采购活动时的重大风险事项，并承诺已对下述风险提示事项重点排查，</w:t>
      </w:r>
      <w:r>
        <w:rPr>
          <w:rFonts w:hint="eastAsia" w:eastAsia="宋体" w:cs="Times New Roman"/>
          <w:b/>
          <w:bCs/>
          <w:sz w:val="24"/>
        </w:rPr>
        <w:t>若存在下述情况，我单位愿意依法承担被记入供应商诚信档案、罚款、取消参与政府采购资格、吊销营业执照等处罚；构成犯罪的，依法承担刑事责任。</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14:paraId="30DE2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tcPr>
          <w:p w14:paraId="09EBD614">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7811" w:type="dxa"/>
          </w:tcPr>
          <w:p w14:paraId="40770D3F">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供应商参与投标禁止情形</w:t>
            </w:r>
          </w:p>
        </w:tc>
      </w:tr>
      <w:tr w14:paraId="0BBD3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679B1891">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7811" w:type="dxa"/>
            <w:vAlign w:val="center"/>
          </w:tcPr>
          <w:p w14:paraId="0BBF5AB9">
            <w:pPr>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与其他投标供应商的法定代表人、主要经营负责人、投标授权代表人、项目负责人、主要技术人员为</w:t>
            </w:r>
            <w:r>
              <w:rPr>
                <w:rFonts w:hint="eastAsia" w:ascii="仿宋_GB2312" w:hAnsi="仿宋_GB2312" w:eastAsia="仿宋_GB2312" w:cs="仿宋_GB2312"/>
                <w:b/>
                <w:bCs/>
                <w:sz w:val="24"/>
                <w:szCs w:val="24"/>
              </w:rPr>
              <w:t>同一人、属同一单位或者在同一单位缴纳社会保险</w:t>
            </w:r>
            <w:r>
              <w:rPr>
                <w:rFonts w:hint="eastAsia" w:ascii="仿宋_GB2312" w:hAnsi="仿宋_GB2312" w:eastAsia="仿宋_GB2312" w:cs="仿宋_GB2312"/>
                <w:sz w:val="24"/>
                <w:szCs w:val="24"/>
              </w:rPr>
              <w:t>。</w:t>
            </w:r>
          </w:p>
        </w:tc>
      </w:tr>
      <w:tr w14:paraId="0231E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0D0669D5">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7811" w:type="dxa"/>
            <w:vAlign w:val="center"/>
          </w:tcPr>
          <w:p w14:paraId="605362D2">
            <w:pPr>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参与本项目政府采购活动时，与其他投标供应商存在单位负责人为</w:t>
            </w:r>
            <w:r>
              <w:rPr>
                <w:rFonts w:hint="eastAsia" w:ascii="仿宋_GB2312" w:hAnsi="仿宋_GB2312" w:eastAsia="仿宋_GB2312" w:cs="仿宋_GB2312"/>
                <w:b/>
                <w:bCs/>
                <w:sz w:val="24"/>
                <w:szCs w:val="24"/>
              </w:rPr>
              <w:t>同一人或直接控股、管理关系</w:t>
            </w:r>
            <w:r>
              <w:rPr>
                <w:rFonts w:hint="eastAsia" w:ascii="仿宋_GB2312" w:hAnsi="仿宋_GB2312" w:eastAsia="仿宋_GB2312" w:cs="仿宋_GB2312"/>
                <w:sz w:val="24"/>
                <w:szCs w:val="24"/>
              </w:rPr>
              <w:t>。</w:t>
            </w:r>
          </w:p>
        </w:tc>
      </w:tr>
      <w:tr w14:paraId="559DE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52708385">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7811" w:type="dxa"/>
            <w:vAlign w:val="center"/>
          </w:tcPr>
          <w:p w14:paraId="7C5313BC">
            <w:pPr>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与其他投标供应商的投标文件或部分投标文件</w:t>
            </w:r>
            <w:r>
              <w:rPr>
                <w:rFonts w:hint="eastAsia" w:ascii="仿宋_GB2312" w:hAnsi="仿宋_GB2312" w:eastAsia="仿宋_GB2312" w:cs="仿宋_GB2312"/>
                <w:b/>
                <w:bCs/>
                <w:sz w:val="24"/>
                <w:szCs w:val="24"/>
              </w:rPr>
              <w:t>相互混装或存在非正常一致</w:t>
            </w:r>
            <w:r>
              <w:rPr>
                <w:rFonts w:hint="eastAsia" w:ascii="仿宋_GB2312" w:hAnsi="仿宋_GB2312" w:eastAsia="仿宋_GB2312" w:cs="仿宋_GB2312"/>
                <w:sz w:val="24"/>
                <w:szCs w:val="24"/>
              </w:rPr>
              <w:t>。</w:t>
            </w:r>
          </w:p>
        </w:tc>
      </w:tr>
      <w:tr w14:paraId="60439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0E92AC2B">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7811" w:type="dxa"/>
            <w:vAlign w:val="center"/>
          </w:tcPr>
          <w:p w14:paraId="56D00519">
            <w:pPr>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与其他投标供应商的投标文件由</w:t>
            </w:r>
            <w:r>
              <w:rPr>
                <w:rFonts w:hint="eastAsia" w:ascii="仿宋_GB2312" w:hAnsi="仿宋_GB2312" w:eastAsia="仿宋_GB2312" w:cs="仿宋_GB2312"/>
                <w:b/>
                <w:bCs/>
                <w:sz w:val="24"/>
                <w:szCs w:val="24"/>
              </w:rPr>
              <w:t>同一单位或者同一人编制</w:t>
            </w:r>
            <w:r>
              <w:rPr>
                <w:rFonts w:hint="eastAsia" w:ascii="仿宋_GB2312" w:hAnsi="仿宋_GB2312" w:eastAsia="仿宋_GB2312" w:cs="仿宋_GB2312"/>
                <w:sz w:val="24"/>
                <w:szCs w:val="24"/>
              </w:rPr>
              <w:t>，或者使用</w:t>
            </w:r>
            <w:r>
              <w:rPr>
                <w:rFonts w:hint="eastAsia" w:ascii="仿宋_GB2312" w:hAnsi="仿宋_GB2312" w:eastAsia="仿宋_GB2312" w:cs="仿宋_GB2312"/>
                <w:b/>
                <w:bCs/>
                <w:sz w:val="24"/>
                <w:szCs w:val="24"/>
              </w:rPr>
              <w:t>同一设备编制</w:t>
            </w:r>
            <w:r>
              <w:rPr>
                <w:rFonts w:hint="eastAsia" w:ascii="仿宋_GB2312" w:hAnsi="仿宋_GB2312" w:eastAsia="仿宋_GB2312" w:cs="仿宋_GB2312"/>
                <w:sz w:val="24"/>
                <w:szCs w:val="24"/>
              </w:rPr>
              <w:t>（“文件制作机器码”“文件创建标识码”一致）。</w:t>
            </w:r>
          </w:p>
        </w:tc>
      </w:tr>
      <w:tr w14:paraId="13729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331398A0">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7811" w:type="dxa"/>
            <w:vAlign w:val="center"/>
          </w:tcPr>
          <w:p w14:paraId="2DF84EBE">
            <w:pPr>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提供</w:t>
            </w:r>
            <w:r>
              <w:rPr>
                <w:rFonts w:hint="eastAsia" w:ascii="仿宋_GB2312" w:hAnsi="仿宋_GB2312" w:eastAsia="仿宋_GB2312" w:cs="仿宋_GB2312"/>
                <w:b/>
                <w:bCs/>
                <w:sz w:val="24"/>
                <w:szCs w:val="24"/>
              </w:rPr>
              <w:t>未经出具机构核实</w:t>
            </w:r>
            <w:r>
              <w:rPr>
                <w:rFonts w:hint="eastAsia" w:ascii="仿宋_GB2312" w:hAnsi="仿宋_GB2312" w:eastAsia="仿宋_GB2312" w:cs="仿宋_GB2312"/>
                <w:sz w:val="24"/>
                <w:szCs w:val="24"/>
              </w:rPr>
              <w:t>的虚假的检验检测报告、业绩材料、社保缴纳证明、学历学位证书、职称认证证书等材料。</w:t>
            </w:r>
          </w:p>
        </w:tc>
      </w:tr>
      <w:tr w14:paraId="4E5D0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141AAA41">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7811" w:type="dxa"/>
            <w:vAlign w:val="center"/>
          </w:tcPr>
          <w:p w14:paraId="6DD78CEF">
            <w:pPr>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擅自将投标密钥或电子营业执照出借他人使用或未妥善保管。</w:t>
            </w:r>
          </w:p>
        </w:tc>
      </w:tr>
    </w:tbl>
    <w:p w14:paraId="72E39BA3">
      <w:pPr>
        <w:spacing w:before="156" w:beforeLines="50" w:line="380" w:lineRule="exact"/>
        <w:ind w:firstLine="422" w:firstLineChars="200"/>
        <w:rPr>
          <w:b/>
        </w:rPr>
      </w:pPr>
      <w:r>
        <w:rPr>
          <w:rFonts w:hint="eastAsia"/>
          <w:b/>
        </w:rPr>
        <w:t>一、我单位已充分知悉“隐瞒真实情况，提供虚假资料”的法定情形，包括但不限于：</w:t>
      </w:r>
    </w:p>
    <w:p w14:paraId="6300D004">
      <w:pPr>
        <w:spacing w:line="380" w:lineRule="exact"/>
        <w:ind w:firstLine="420" w:firstLineChars="200"/>
      </w:pPr>
      <w:r>
        <w:rPr>
          <w:rFonts w:hint="eastAsia"/>
        </w:rPr>
        <w:t>（一）通过转让或者租借等方式从其他单位获取资格或者资质证书投标的。</w:t>
      </w:r>
    </w:p>
    <w:p w14:paraId="4D31C321">
      <w:pPr>
        <w:spacing w:line="380" w:lineRule="exact"/>
        <w:ind w:firstLine="420" w:firstLineChars="200"/>
      </w:pPr>
      <w:r>
        <w:rPr>
          <w:rFonts w:hint="eastAsia"/>
        </w:rPr>
        <w:t>（二）由其他单位或者其他单位负责人在投标供应商编制的投标文件上加盖印章或者签字的。</w:t>
      </w:r>
    </w:p>
    <w:p w14:paraId="587A2EB6">
      <w:pPr>
        <w:spacing w:line="380" w:lineRule="exact"/>
        <w:ind w:firstLine="420" w:firstLineChars="200"/>
      </w:pPr>
      <w:r>
        <w:rPr>
          <w:rFonts w:hint="eastAsia"/>
        </w:rPr>
        <w:t>（三）项目负责人或者主要技术人员不是本单位人员的。</w:t>
      </w:r>
    </w:p>
    <w:p w14:paraId="37A537FB">
      <w:pPr>
        <w:spacing w:line="380" w:lineRule="exact"/>
        <w:ind w:firstLine="420" w:firstLineChars="200"/>
      </w:pPr>
      <w:r>
        <w:rPr>
          <w:rFonts w:hint="eastAsia"/>
        </w:rPr>
        <w:t>（四）投标保证金不是从投标供应商基本账户转出的。</w:t>
      </w:r>
    </w:p>
    <w:p w14:paraId="39AD32DE">
      <w:pPr>
        <w:spacing w:line="380" w:lineRule="exact"/>
        <w:ind w:firstLine="420" w:firstLineChars="200"/>
      </w:pPr>
      <w:r>
        <w:rPr>
          <w:rFonts w:hint="eastAsia"/>
        </w:rPr>
        <w:t>（五）其他隐瞒真实情况、提供虚假资料的行为。</w:t>
      </w:r>
    </w:p>
    <w:p w14:paraId="6B60D45F">
      <w:pPr>
        <w:spacing w:line="380" w:lineRule="exact"/>
        <w:ind w:firstLine="422" w:firstLineChars="200"/>
        <w:rPr>
          <w:b/>
        </w:rPr>
      </w:pPr>
      <w:r>
        <w:rPr>
          <w:rFonts w:hint="eastAsia"/>
          <w:b/>
        </w:rPr>
        <w:t>二、我单位已充分知悉“与其他采购参加人串通投标”的法定情形，包括但不限于：</w:t>
      </w:r>
    </w:p>
    <w:p w14:paraId="3BB1AC2B">
      <w:pPr>
        <w:spacing w:line="380" w:lineRule="exact"/>
        <w:ind w:firstLine="420" w:firstLineChars="200"/>
      </w:pPr>
      <w:r>
        <w:rPr>
          <w:rFonts w:hint="eastAsia"/>
        </w:rPr>
        <w:t>（一）投标供应商之间相互约定给予未中标的供应商利益补偿。</w:t>
      </w:r>
    </w:p>
    <w:p w14:paraId="3AF0C21D">
      <w:pPr>
        <w:spacing w:line="380" w:lineRule="exact"/>
        <w:ind w:firstLine="420" w:firstLineChars="200"/>
      </w:pPr>
      <w:r>
        <w:rPr>
          <w:rFonts w:hint="eastAsia"/>
        </w:rPr>
        <w:t>（二）不同投标供应商的法定代表人、主要经营负责人、项目投标授权代表人、项目负责人、主要技术人员为同一人、属同一单位或者在同一单位缴纳社会保险。</w:t>
      </w:r>
    </w:p>
    <w:p w14:paraId="5233D4B5">
      <w:pPr>
        <w:spacing w:line="340" w:lineRule="exact"/>
        <w:ind w:firstLine="420" w:firstLineChars="200"/>
      </w:pPr>
      <w:r>
        <w:rPr>
          <w:rFonts w:hint="eastAsia"/>
        </w:rPr>
        <w:t>（三）不同投标供应商的投标文件由同一单位或者同一人编制，或者由同一人分阶段参与编制的。</w:t>
      </w:r>
    </w:p>
    <w:p w14:paraId="6B7C1FFB">
      <w:pPr>
        <w:spacing w:line="340" w:lineRule="exact"/>
        <w:ind w:firstLine="420" w:firstLineChars="200"/>
      </w:pPr>
      <w:r>
        <w:rPr>
          <w:rFonts w:hint="eastAsia"/>
        </w:rPr>
        <w:t>（四）不同投标供应商的投标文件或部分投标文件相互混装。</w:t>
      </w:r>
    </w:p>
    <w:p w14:paraId="1E119FB9">
      <w:pPr>
        <w:spacing w:line="340" w:lineRule="exact"/>
        <w:ind w:firstLine="420" w:firstLineChars="200"/>
      </w:pPr>
      <w:r>
        <w:rPr>
          <w:rFonts w:hint="eastAsia"/>
        </w:rPr>
        <w:t>（五）不同投标供应商的投标文件内容存在非正常一致。</w:t>
      </w:r>
    </w:p>
    <w:p w14:paraId="4FD67863">
      <w:pPr>
        <w:spacing w:line="340" w:lineRule="exact"/>
        <w:ind w:firstLine="420" w:firstLineChars="200"/>
      </w:pPr>
      <w:r>
        <w:rPr>
          <w:rFonts w:hint="eastAsia"/>
        </w:rPr>
        <w:t>（六）由同一单位工作人员为两家以上（含两家）供应商进行同一项投标活动的。</w:t>
      </w:r>
    </w:p>
    <w:p w14:paraId="2AA643B1">
      <w:pPr>
        <w:spacing w:line="340" w:lineRule="exact"/>
        <w:ind w:firstLine="420" w:firstLineChars="200"/>
      </w:pPr>
      <w:r>
        <w:rPr>
          <w:rFonts w:hint="eastAsia"/>
        </w:rPr>
        <w:t>（七）不同投标人的投标报价呈规律性差异。</w:t>
      </w:r>
    </w:p>
    <w:p w14:paraId="3C777101">
      <w:pPr>
        <w:spacing w:line="340" w:lineRule="exact"/>
        <w:ind w:firstLine="420" w:firstLineChars="200"/>
      </w:pPr>
      <w:r>
        <w:rPr>
          <w:rFonts w:hint="eastAsia"/>
        </w:rPr>
        <w:t>（八）不同投标人的投标保证金从同一单位或者个人的账户转出。</w:t>
      </w:r>
    </w:p>
    <w:p w14:paraId="32FDBDAE">
      <w:pPr>
        <w:spacing w:line="340" w:lineRule="exact"/>
        <w:ind w:firstLine="420" w:firstLineChars="200"/>
      </w:pPr>
      <w:r>
        <w:rPr>
          <w:rFonts w:hint="eastAsia"/>
        </w:rPr>
        <w:t>（九）主管部门依照法律、法规认定的其他情形。</w:t>
      </w:r>
    </w:p>
    <w:p w14:paraId="0A31A0BC">
      <w:pPr>
        <w:spacing w:line="340" w:lineRule="exact"/>
        <w:ind w:firstLine="422" w:firstLineChars="200"/>
        <w:rPr>
          <w:b/>
        </w:rPr>
      </w:pPr>
      <w:r>
        <w:rPr>
          <w:rFonts w:hint="eastAsia"/>
          <w:b/>
        </w:rPr>
        <w:t>三、我单位已充分知悉下列情形存在法律风险，在投标前已对相关风险事项进行排查。</w:t>
      </w:r>
    </w:p>
    <w:p w14:paraId="148D6C5B">
      <w:pPr>
        <w:spacing w:line="340" w:lineRule="exact"/>
        <w:ind w:firstLine="420" w:firstLineChars="200"/>
        <w:rPr>
          <w:b/>
        </w:rPr>
      </w:pPr>
      <w:r>
        <w:rPr>
          <w:rFonts w:hint="eastAsia"/>
        </w:rPr>
        <w:t>（一）对于从其他主体获取的投标资料，我单位应审慎核查，确保其真实性。</w:t>
      </w:r>
      <w:r>
        <w:rPr>
          <w:rFonts w:hint="eastAsia"/>
          <w:b/>
        </w:rPr>
        <w:t>如主管部门查实投标文件中存在虚假资料的，无论相关资料是否由第三方或本公司员工提供，均不影响主管部门对供应商存在“隐瞒真实情况，提供虚假资料”违法行为的认定。</w:t>
      </w:r>
    </w:p>
    <w:p w14:paraId="0A9912D5">
      <w:pPr>
        <w:spacing w:line="340" w:lineRule="exact"/>
        <w:ind w:firstLine="420" w:firstLineChars="200"/>
      </w:pPr>
      <w:r>
        <w:rPr>
          <w:rFonts w:hint="eastAsia"/>
        </w:rPr>
        <w:t>（二）对于涉及国家机关出具的公文、证件、证明材料等文件，一旦涉嫌虚假，经查实，主管部门将依法从严处理，并移送有关部门追究法律责任；涉嫌犯罪的，移送司法机关处理。</w:t>
      </w:r>
    </w:p>
    <w:p w14:paraId="01395364">
      <w:pPr>
        <w:spacing w:line="340" w:lineRule="exact"/>
        <w:ind w:firstLine="420" w:firstLineChars="200"/>
      </w:pPr>
      <w:r>
        <w:rPr>
          <w:rFonts w:hint="eastAsia"/>
        </w:rPr>
        <w:t>（三）我单位对投标电子密钥或电子营业执照负有妥善保管、及时变更和续期等主体责任；使用电子密钥或电子营业执照在深圳政府采购网站进行的活动，均具有法律效力，须承担相应的法律后果。若</w:t>
      </w:r>
      <w:r>
        <w:rPr>
          <w:rFonts w:hint="eastAsia"/>
          <w:b/>
          <w:bCs/>
        </w:rPr>
        <w:t>擅自将投标密钥或电子营业执照出借他人使用所造成的法律后果，由我单位自行承担</w:t>
      </w:r>
      <w:r>
        <w:rPr>
          <w:rFonts w:hint="eastAsia"/>
        </w:rPr>
        <w:t>。</w:t>
      </w:r>
    </w:p>
    <w:p w14:paraId="37C09C7A">
      <w:pPr>
        <w:spacing w:line="340" w:lineRule="exact"/>
        <w:ind w:firstLine="422" w:firstLineChars="200"/>
        <w:rPr>
          <w:b/>
        </w:rPr>
      </w:pPr>
      <w:r>
        <w:rPr>
          <w:rFonts w:hint="eastAsia"/>
          <w:b/>
        </w:rPr>
        <w:t>四、我单位已充分知悉政府采购违法、违规行为的法律后果。</w:t>
      </w:r>
    </w:p>
    <w:p w14:paraId="7F84A095">
      <w:pPr>
        <w:spacing w:line="340" w:lineRule="exact"/>
        <w:ind w:firstLine="420" w:firstLineChars="200"/>
      </w:pPr>
      <w:r>
        <w:rPr>
          <w:rFonts w:hint="eastAsia"/>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614A01C1">
      <w:pPr>
        <w:spacing w:line="340" w:lineRule="exact"/>
        <w:ind w:firstLine="420" w:firstLineChars="200"/>
        <w:rPr>
          <w:highlight w:val="yellow"/>
        </w:rPr>
      </w:pPr>
      <w:r>
        <w:rPr>
          <w:rFonts w:hint="eastAsia"/>
          <w:highlight w:val="yellow"/>
        </w:rPr>
        <w:t>以下文字请投标供应商抄写并确认：“我单位已仔细阅读《政府采购违法行为风险知悉确认书》，充分知悉违法行为的法律后果，并承诺将严谨、诚信、依法依规参与政府采购活动”。</w:t>
      </w:r>
    </w:p>
    <w:tbl>
      <w:tblPr>
        <w:tblStyle w:val="44"/>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73BA75DC">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14:paraId="275E7049">
            <w:pPr>
              <w:autoSpaceDE w:val="0"/>
              <w:autoSpaceDN w:val="0"/>
              <w:spacing w:line="340" w:lineRule="exact"/>
              <w:ind w:firstLine="1866"/>
              <w:rPr>
                <w:rFonts w:hint="eastAsia" w:ascii="宋体" w:hAnsi="宋体" w:eastAsia="宋体"/>
                <w:spacing w:val="-4"/>
                <w:kern w:val="0"/>
                <w:szCs w:val="21"/>
              </w:rPr>
            </w:pPr>
          </w:p>
        </w:tc>
      </w:tr>
      <w:tr w14:paraId="3014B83E">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1811E560">
            <w:pPr>
              <w:autoSpaceDE w:val="0"/>
              <w:autoSpaceDN w:val="0"/>
              <w:spacing w:line="340" w:lineRule="exact"/>
              <w:ind w:firstLine="1866"/>
              <w:rPr>
                <w:rFonts w:hint="eastAsia" w:ascii="宋体" w:hAnsi="宋体" w:eastAsia="宋体"/>
                <w:spacing w:val="-4"/>
                <w:kern w:val="0"/>
                <w:szCs w:val="21"/>
              </w:rPr>
            </w:pPr>
          </w:p>
        </w:tc>
      </w:tr>
      <w:tr w14:paraId="27E21149">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6217D50D">
            <w:pPr>
              <w:autoSpaceDE w:val="0"/>
              <w:autoSpaceDN w:val="0"/>
              <w:spacing w:line="340" w:lineRule="exact"/>
              <w:ind w:firstLine="1866"/>
              <w:rPr>
                <w:rFonts w:hint="eastAsia" w:ascii="宋体" w:hAnsi="宋体" w:eastAsia="宋体"/>
                <w:spacing w:val="-4"/>
                <w:kern w:val="0"/>
                <w:szCs w:val="21"/>
              </w:rPr>
            </w:pPr>
          </w:p>
        </w:tc>
      </w:tr>
      <w:tr w14:paraId="04313596">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14:paraId="72733351">
            <w:pPr>
              <w:autoSpaceDE w:val="0"/>
              <w:autoSpaceDN w:val="0"/>
              <w:spacing w:line="340" w:lineRule="exact"/>
              <w:ind w:firstLine="1866"/>
              <w:rPr>
                <w:rFonts w:hint="eastAsia" w:ascii="宋体" w:hAnsi="宋体" w:eastAsia="宋体"/>
                <w:spacing w:val="-4"/>
                <w:kern w:val="0"/>
                <w:szCs w:val="21"/>
              </w:rPr>
            </w:pPr>
          </w:p>
        </w:tc>
      </w:tr>
    </w:tbl>
    <w:p w14:paraId="013E3C0B">
      <w:pPr>
        <w:widowControl/>
        <w:wordWrap w:val="0"/>
        <w:autoSpaceDE w:val="0"/>
        <w:autoSpaceDN w:val="0"/>
        <w:spacing w:line="340" w:lineRule="exact"/>
        <w:ind w:right="808" w:firstLine="404" w:firstLineChars="200"/>
        <w:jc w:val="right"/>
        <w:rPr>
          <w:rFonts w:hint="eastAsia" w:ascii="宋体" w:hAnsi="宋体" w:eastAsia="宋体"/>
          <w:spacing w:val="-4"/>
          <w:kern w:val="0"/>
          <w:szCs w:val="21"/>
        </w:rPr>
      </w:pPr>
    </w:p>
    <w:p w14:paraId="0818253C">
      <w:pPr>
        <w:widowControl/>
        <w:wordWrap w:val="0"/>
        <w:autoSpaceDE w:val="0"/>
        <w:autoSpaceDN w:val="0"/>
        <w:spacing w:line="340" w:lineRule="exact"/>
        <w:ind w:right="808" w:firstLine="404" w:firstLineChars="200"/>
        <w:jc w:val="right"/>
        <w:rPr>
          <w:rFonts w:hint="eastAsia" w:ascii="宋体" w:hAnsi="宋体" w:eastAsia="宋体"/>
          <w:spacing w:val="-4"/>
          <w:kern w:val="0"/>
          <w:szCs w:val="21"/>
          <w:u w:val="single"/>
        </w:rPr>
      </w:pPr>
      <w:r>
        <w:rPr>
          <w:rFonts w:hint="eastAsia" w:ascii="宋体" w:hAnsi="宋体" w:eastAsia="宋体"/>
          <w:spacing w:val="-4"/>
          <w:kern w:val="0"/>
          <w:szCs w:val="21"/>
        </w:rPr>
        <w:t>单位负责人签名：</w:t>
      </w:r>
      <w:r>
        <w:rPr>
          <w:rFonts w:hint="eastAsia" w:ascii="宋体" w:hAnsi="宋体" w:eastAsia="宋体"/>
          <w:spacing w:val="-4"/>
          <w:kern w:val="0"/>
          <w:szCs w:val="21"/>
          <w:u w:val="single"/>
        </w:rPr>
        <w:t xml:space="preserve">              </w:t>
      </w:r>
    </w:p>
    <w:p w14:paraId="7C01ED11">
      <w:pPr>
        <w:widowControl/>
        <w:wordWrap w:val="0"/>
        <w:autoSpaceDE w:val="0"/>
        <w:autoSpaceDN w:val="0"/>
        <w:spacing w:line="340" w:lineRule="exact"/>
        <w:ind w:right="808" w:firstLine="404" w:firstLineChars="200"/>
        <w:jc w:val="center"/>
        <w:rPr>
          <w:rFonts w:hint="eastAsia" w:ascii="宋体" w:hAnsi="宋体" w:eastAsia="宋体"/>
          <w:spacing w:val="-4"/>
          <w:kern w:val="0"/>
          <w:szCs w:val="21"/>
          <w:u w:val="single"/>
        </w:rPr>
      </w:pPr>
      <w:r>
        <w:rPr>
          <w:rFonts w:hint="eastAsia" w:ascii="宋体" w:hAnsi="宋体" w:eastAsia="宋体"/>
          <w:spacing w:val="-4"/>
          <w:kern w:val="0"/>
          <w:szCs w:val="21"/>
        </w:rPr>
        <w:t xml:space="preserve">                                 （加盖公章）</w:t>
      </w:r>
    </w:p>
    <w:p w14:paraId="5B73DE98">
      <w:pPr>
        <w:widowControl/>
        <w:wordWrap w:val="0"/>
        <w:autoSpaceDE w:val="0"/>
        <w:autoSpaceDN w:val="0"/>
        <w:spacing w:line="340" w:lineRule="exact"/>
        <w:ind w:right="808" w:firstLine="404" w:firstLineChars="200"/>
        <w:jc w:val="right"/>
        <w:rPr>
          <w:rFonts w:hint="eastAsia" w:ascii="宋体" w:hAnsi="宋体" w:eastAsia="宋体"/>
          <w:spacing w:val="-4"/>
          <w:kern w:val="0"/>
          <w:szCs w:val="21"/>
          <w:u w:val="single"/>
        </w:rPr>
      </w:pPr>
      <w:r>
        <w:rPr>
          <w:rFonts w:hint="eastAsia" w:ascii="宋体" w:hAnsi="宋体" w:eastAsia="宋体"/>
          <w:spacing w:val="-4"/>
          <w:kern w:val="0"/>
          <w:szCs w:val="21"/>
        </w:rPr>
        <w:t xml:space="preserve">     日期：</w:t>
      </w:r>
      <w:r>
        <w:rPr>
          <w:rFonts w:hint="eastAsia" w:ascii="宋体" w:hAnsi="宋体" w:eastAsia="宋体"/>
          <w:spacing w:val="-4"/>
          <w:kern w:val="0"/>
          <w:szCs w:val="21"/>
          <w:u w:val="single"/>
        </w:rPr>
        <w:t xml:space="preserve">              </w:t>
      </w:r>
    </w:p>
    <w:p w14:paraId="3A8C5299">
      <w:pPr>
        <w:widowControl/>
        <w:autoSpaceDE w:val="0"/>
        <w:autoSpaceDN w:val="0"/>
        <w:spacing w:line="340" w:lineRule="exact"/>
        <w:ind w:firstLine="406" w:firstLineChars="200"/>
        <w:jc w:val="left"/>
        <w:rPr>
          <w:rFonts w:hint="eastAsia" w:ascii="宋体" w:hAnsi="宋体" w:eastAsia="宋体"/>
          <w:b/>
          <w:bCs/>
          <w:spacing w:val="-4"/>
          <w:kern w:val="0"/>
          <w:szCs w:val="21"/>
        </w:rPr>
      </w:pPr>
    </w:p>
    <w:p w14:paraId="7359BD9D">
      <w:pPr>
        <w:widowControl/>
        <w:autoSpaceDE w:val="0"/>
        <w:autoSpaceDN w:val="0"/>
        <w:spacing w:line="340" w:lineRule="exact"/>
        <w:ind w:firstLine="406" w:firstLineChars="200"/>
        <w:jc w:val="left"/>
        <w:rPr>
          <w:rFonts w:hint="eastAsia" w:ascii="宋体" w:hAnsi="宋体" w:eastAsia="宋体"/>
          <w:b/>
          <w:bCs/>
          <w:spacing w:val="-4"/>
          <w:kern w:val="0"/>
          <w:szCs w:val="21"/>
        </w:rPr>
      </w:pPr>
      <w:r>
        <w:rPr>
          <w:rFonts w:hint="eastAsia" w:ascii="宋体" w:hAnsi="宋体" w:eastAsia="宋体"/>
          <w:b/>
          <w:bCs/>
          <w:spacing w:val="-4"/>
          <w:kern w:val="0"/>
          <w:szCs w:val="21"/>
        </w:rPr>
        <w:t>注：</w:t>
      </w:r>
      <w:r>
        <w:rPr>
          <w:rFonts w:hint="eastAsia" w:ascii="宋体" w:hAnsi="宋体"/>
          <w:b/>
          <w:bCs/>
          <w:spacing w:val="-4"/>
          <w:kern w:val="0"/>
          <w:szCs w:val="21"/>
        </w:rPr>
        <w:t>1.</w:t>
      </w:r>
      <w:r>
        <w:rPr>
          <w:rFonts w:hint="eastAsia" w:ascii="宋体" w:hAnsi="宋体" w:eastAsia="宋体"/>
          <w:b/>
          <w:bCs/>
          <w:spacing w:val="-4"/>
          <w:kern w:val="0"/>
          <w:szCs w:val="21"/>
        </w:rPr>
        <w:t>《政府采购违法行为风险知悉确认书》需由投标供应商负责人签字并加盖单位公章后，扫描上传至投标文件一并提交。</w:t>
      </w:r>
    </w:p>
    <w:p w14:paraId="4DE540D8">
      <w:pPr>
        <w:pStyle w:val="30"/>
        <w:ind w:firstLine="422" w:firstLineChars="200"/>
        <w:rPr>
          <w:b/>
          <w:bCs/>
        </w:rPr>
      </w:pPr>
      <w:r>
        <w:rPr>
          <w:rFonts w:hint="eastAsia"/>
          <w:b/>
          <w:bCs/>
        </w:rPr>
        <w:t>2.根据《深圳市财政局关于在采购文件及深圳政府采购智慧平台增设供应商投标特别警示条款等事宜的通知》（深财购〔2025〕7号）的要求，《政府采购违法行为风险知悉确认书》用于对供应商违法行为的提醒，不作为供应商资格性审查及符合性审查条件。</w:t>
      </w:r>
    </w:p>
    <w:p w14:paraId="511615A3">
      <w:pPr>
        <w:widowControl/>
        <w:autoSpaceDE w:val="0"/>
        <w:autoSpaceDN w:val="0"/>
        <w:spacing w:line="400" w:lineRule="exact"/>
        <w:ind w:firstLine="404" w:firstLineChars="200"/>
        <w:jc w:val="left"/>
        <w:rPr>
          <w:rFonts w:hint="eastAsia" w:ascii="宋体" w:hAnsi="宋体"/>
          <w:color w:val="FF0000"/>
          <w:spacing w:val="-4"/>
          <w:kern w:val="0"/>
          <w:szCs w:val="21"/>
        </w:rPr>
      </w:pPr>
    </w:p>
    <w:p w14:paraId="5453269E">
      <w:pPr>
        <w:widowControl/>
        <w:autoSpaceDE w:val="0"/>
        <w:autoSpaceDN w:val="0"/>
        <w:spacing w:line="400" w:lineRule="exact"/>
        <w:ind w:right="1414" w:firstLine="480" w:firstLineChars="200"/>
        <w:jc w:val="right"/>
        <w:rPr>
          <w:kern w:val="0"/>
          <w:sz w:val="24"/>
        </w:rPr>
      </w:pPr>
    </w:p>
    <w:p w14:paraId="10FF8263">
      <w:pPr>
        <w:widowControl/>
        <w:autoSpaceDE w:val="0"/>
        <w:autoSpaceDN w:val="0"/>
        <w:spacing w:line="400" w:lineRule="exact"/>
        <w:ind w:right="1414" w:firstLine="480" w:firstLineChars="200"/>
        <w:jc w:val="right"/>
        <w:rPr>
          <w:kern w:val="0"/>
          <w:sz w:val="24"/>
        </w:rPr>
      </w:pPr>
    </w:p>
    <w:p w14:paraId="494E4589">
      <w:pPr>
        <w:widowControl/>
        <w:autoSpaceDE w:val="0"/>
        <w:autoSpaceDN w:val="0"/>
        <w:spacing w:line="400" w:lineRule="exact"/>
        <w:ind w:right="1414" w:firstLine="480" w:firstLineChars="200"/>
        <w:jc w:val="right"/>
        <w:rPr>
          <w:kern w:val="0"/>
          <w:sz w:val="24"/>
        </w:rPr>
      </w:pPr>
    </w:p>
    <w:p w14:paraId="58840AD3">
      <w:pPr>
        <w:jc w:val="center"/>
        <w:rPr>
          <w:rFonts w:ascii="黑体" w:eastAsia="黑体"/>
          <w:sz w:val="24"/>
          <w:szCs w:val="20"/>
        </w:rPr>
      </w:pPr>
      <w:r>
        <w:rPr>
          <w:rFonts w:hint="eastAsia" w:ascii="黑体" w:eastAsia="黑体"/>
          <w:sz w:val="24"/>
          <w:szCs w:val="20"/>
        </w:rPr>
        <w:t>（二）订单融资情况</w:t>
      </w:r>
    </w:p>
    <w:p w14:paraId="33620E1D">
      <w:pPr>
        <w:ind w:firstLine="422" w:firstLineChars="200"/>
        <w:rPr>
          <w:rFonts w:hint="eastAsia" w:ascii="宋体" w:hAnsi="宋体" w:cs="宋体"/>
          <w:b/>
          <w:bCs/>
        </w:rPr>
      </w:pPr>
      <w:r>
        <w:rPr>
          <w:rFonts w:hint="eastAsia" w:ascii="宋体" w:hAnsi="宋体" w:cs="宋体"/>
          <w:b/>
          <w:bCs/>
        </w:rPr>
        <w:t>1、关于政府采购订单融资政策</w:t>
      </w:r>
    </w:p>
    <w:p w14:paraId="21C2F348">
      <w:pPr>
        <w:pStyle w:val="2"/>
        <w:spacing w:line="240" w:lineRule="auto"/>
        <w:ind w:firstLine="420" w:firstLineChars="200"/>
        <w:rPr>
          <w:rFonts w:ascii="Times New Roman" w:hAnsi="Times New Roman" w:eastAsia="宋体" w:cs="Times New Roman"/>
          <w:b w:val="0"/>
          <w:sz w:val="21"/>
          <w:szCs w:val="21"/>
        </w:rPr>
      </w:pPr>
      <w:r>
        <w:rPr>
          <w:rFonts w:hint="eastAsia" w:ascii="Times New Roman" w:hAnsi="Times New Roman" w:eastAsia="宋体" w:cs="Times New Roman"/>
          <w:b w:val="0"/>
          <w:sz w:val="21"/>
          <w:szCs w:val="21"/>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0064CC0E">
      <w:pPr>
        <w:ind w:firstLine="422" w:firstLineChars="200"/>
        <w:rPr>
          <w:rFonts w:hint="eastAsia" w:ascii="宋体" w:hAnsi="宋体" w:cs="宋体"/>
          <w:b/>
          <w:bCs/>
        </w:rPr>
      </w:pPr>
      <w:r>
        <w:rPr>
          <w:rFonts w:hint="eastAsia" w:ascii="宋体" w:hAnsi="宋体" w:cs="宋体"/>
          <w:b/>
          <w:bCs/>
        </w:rPr>
        <w:t>2、供应商账户信息</w:t>
      </w:r>
    </w:p>
    <w:p w14:paraId="04E9FD3E">
      <w:pPr>
        <w:wordWrap w:val="0"/>
        <w:ind w:left="420" w:leftChars="200" w:firstLine="210" w:firstLineChars="100"/>
        <w:rPr>
          <w:szCs w:val="21"/>
        </w:rPr>
      </w:pPr>
      <w:r>
        <w:rPr>
          <w:rFonts w:hint="eastAsia"/>
          <w:szCs w:val="21"/>
        </w:rPr>
        <w:t>投标人（单位全称）：</w:t>
      </w:r>
      <w:r>
        <w:rPr>
          <w:rFonts w:hint="eastAsia"/>
          <w:szCs w:val="21"/>
          <w:u w:val="thick"/>
        </w:rPr>
        <w:t xml:space="preserve">                                  </w:t>
      </w:r>
      <w:r>
        <w:rPr>
          <w:rFonts w:hint="eastAsia" w:eastAsia="宋体"/>
          <w:szCs w:val="21"/>
        </w:rPr>
        <w:t>；</w:t>
      </w:r>
      <w:r>
        <w:rPr>
          <w:rFonts w:hint="eastAsia"/>
          <w:szCs w:val="21"/>
        </w:rPr>
        <w:t xml:space="preserve">  </w:t>
      </w:r>
    </w:p>
    <w:p w14:paraId="08C23D08">
      <w:pPr>
        <w:wordWrap w:val="0"/>
        <w:ind w:left="420" w:leftChars="200" w:firstLine="210" w:firstLineChars="100"/>
        <w:rPr>
          <w:szCs w:val="21"/>
        </w:rPr>
      </w:pPr>
      <w:r>
        <w:rPr>
          <w:rFonts w:hint="eastAsia"/>
          <w:szCs w:val="21"/>
        </w:rPr>
        <w:t>投标人单位地址：</w:t>
      </w:r>
      <w:r>
        <w:rPr>
          <w:rFonts w:hint="eastAsia"/>
          <w:szCs w:val="21"/>
          <w:u w:val="thick"/>
        </w:rPr>
        <w:t xml:space="preserve">       </w:t>
      </w:r>
      <w:r>
        <w:rPr>
          <w:rFonts w:hint="eastAsia" w:ascii="Times New Roman" w:eastAsia="宋体"/>
          <w:szCs w:val="21"/>
          <w:u w:val="thick"/>
        </w:rPr>
        <w:t xml:space="preserve">      </w:t>
      </w:r>
      <w:r>
        <w:rPr>
          <w:rFonts w:hint="eastAsia"/>
          <w:szCs w:val="21"/>
          <w:u w:val="thick"/>
        </w:rPr>
        <w:t xml:space="preserve">                      </w:t>
      </w:r>
      <w:r>
        <w:rPr>
          <w:rFonts w:hint="eastAsia" w:ascii="Times New Roman" w:eastAsia="宋体"/>
          <w:szCs w:val="21"/>
          <w:u w:val="thick"/>
        </w:rPr>
        <w:t xml:space="preserve">   </w:t>
      </w:r>
      <w:r>
        <w:rPr>
          <w:rFonts w:hint="eastAsia" w:eastAsia="宋体"/>
          <w:szCs w:val="21"/>
        </w:rPr>
        <w:t>；</w:t>
      </w:r>
    </w:p>
    <w:p w14:paraId="2F1A53E6">
      <w:pPr>
        <w:wordWrap w:val="0"/>
        <w:ind w:left="420" w:leftChars="200" w:firstLine="210" w:firstLineChars="100"/>
        <w:rPr>
          <w:szCs w:val="21"/>
        </w:rPr>
      </w:pPr>
      <w:r>
        <w:rPr>
          <w:rFonts w:hint="eastAsia"/>
          <w:szCs w:val="21"/>
        </w:rPr>
        <w:t>法定代表人（负责人）或其</w:t>
      </w:r>
      <w:r>
        <w:rPr>
          <w:rFonts w:hint="eastAsia" w:ascii="Times New Roman" w:eastAsia="宋体"/>
          <w:szCs w:val="21"/>
        </w:rPr>
        <w:t>授权</w:t>
      </w:r>
      <w:r>
        <w:rPr>
          <w:rFonts w:hint="eastAsia"/>
          <w:szCs w:val="21"/>
        </w:rPr>
        <w:t>委托代理人：</w:t>
      </w:r>
      <w:r>
        <w:rPr>
          <w:rFonts w:hint="eastAsia"/>
          <w:szCs w:val="21"/>
          <w:u w:val="thick"/>
        </w:rPr>
        <w:t xml:space="preserve">              </w:t>
      </w:r>
      <w:r>
        <w:rPr>
          <w:rFonts w:hint="eastAsia" w:eastAsia="宋体"/>
          <w:szCs w:val="21"/>
        </w:rPr>
        <w:t>；</w:t>
      </w:r>
    </w:p>
    <w:p w14:paraId="0F4B74B7">
      <w:pPr>
        <w:wordWrap w:val="0"/>
        <w:ind w:left="420" w:leftChars="200" w:firstLine="210" w:firstLineChars="100"/>
        <w:rPr>
          <w:szCs w:val="21"/>
          <w:u w:val="thick"/>
        </w:rPr>
      </w:pPr>
      <w:r>
        <w:rPr>
          <w:rFonts w:hint="eastAsia"/>
          <w:szCs w:val="21"/>
        </w:rPr>
        <w:t>联系电话：</w:t>
      </w:r>
      <w:r>
        <w:rPr>
          <w:rFonts w:hint="eastAsia"/>
          <w:szCs w:val="21"/>
          <w:u w:val="thick"/>
        </w:rPr>
        <w:t xml:space="preserve">        </w:t>
      </w:r>
      <w:r>
        <w:rPr>
          <w:rFonts w:hint="eastAsia" w:ascii="Times New Roman" w:eastAsia="宋体"/>
          <w:szCs w:val="21"/>
          <w:u w:val="thick"/>
        </w:rPr>
        <w:t xml:space="preserve">      </w:t>
      </w:r>
      <w:r>
        <w:rPr>
          <w:rFonts w:hint="eastAsia"/>
          <w:szCs w:val="21"/>
          <w:u w:val="thick"/>
        </w:rPr>
        <w:t xml:space="preserve">           </w:t>
      </w:r>
      <w:r>
        <w:rPr>
          <w:rFonts w:hint="eastAsia" w:eastAsia="宋体"/>
          <w:szCs w:val="21"/>
        </w:rPr>
        <w:t>；</w:t>
      </w:r>
    </w:p>
    <w:p w14:paraId="5651C49E">
      <w:pPr>
        <w:wordWrap w:val="0"/>
        <w:ind w:left="420" w:leftChars="200" w:firstLine="210" w:firstLineChars="100"/>
        <w:rPr>
          <w:szCs w:val="21"/>
        </w:rPr>
      </w:pPr>
      <w:r>
        <w:rPr>
          <w:rFonts w:hint="eastAsia" w:ascii="Times New Roman" w:eastAsia="宋体"/>
          <w:szCs w:val="21"/>
        </w:rPr>
        <w:t>开户银行名称：</w:t>
      </w:r>
      <w:r>
        <w:rPr>
          <w:rFonts w:hint="eastAsia"/>
          <w:szCs w:val="21"/>
          <w:u w:val="thick"/>
        </w:rPr>
        <w:t xml:space="preserve">                     </w:t>
      </w:r>
      <w:r>
        <w:rPr>
          <w:rFonts w:hint="eastAsia" w:eastAsia="宋体"/>
          <w:szCs w:val="21"/>
        </w:rPr>
        <w:t>；</w:t>
      </w:r>
    </w:p>
    <w:p w14:paraId="58B9BB7D">
      <w:pPr>
        <w:wordWrap w:val="0"/>
        <w:ind w:left="420" w:leftChars="200" w:firstLine="210" w:firstLineChars="100"/>
        <w:rPr>
          <w:szCs w:val="21"/>
          <w:u w:val="thick"/>
        </w:rPr>
      </w:pPr>
      <w:r>
        <w:rPr>
          <w:rFonts w:hint="eastAsia"/>
          <w:szCs w:val="21"/>
        </w:rPr>
        <w:t>开户银行账号：</w:t>
      </w:r>
      <w:r>
        <w:rPr>
          <w:rFonts w:hint="eastAsia"/>
          <w:szCs w:val="21"/>
          <w:u w:val="thick"/>
        </w:rPr>
        <w:t xml:space="preserve">                     </w:t>
      </w:r>
      <w:r>
        <w:rPr>
          <w:rFonts w:hint="eastAsia"/>
          <w:szCs w:val="21"/>
        </w:rPr>
        <w:t>；</w:t>
      </w:r>
    </w:p>
    <w:p w14:paraId="24198E94">
      <w:pPr>
        <w:wordWrap w:val="0"/>
        <w:ind w:left="420" w:leftChars="200" w:firstLine="210" w:firstLineChars="100"/>
        <w:rPr>
          <w:szCs w:val="21"/>
        </w:rPr>
      </w:pPr>
      <w:r>
        <w:rPr>
          <w:rFonts w:hint="eastAsia"/>
          <w:szCs w:val="21"/>
        </w:rPr>
        <w:t>开户银行地址：</w:t>
      </w:r>
      <w:r>
        <w:rPr>
          <w:rFonts w:hint="eastAsia"/>
          <w:szCs w:val="21"/>
          <w:u w:val="thick"/>
        </w:rPr>
        <w:t xml:space="preserve">                     </w:t>
      </w:r>
      <w:r>
        <w:rPr>
          <w:rFonts w:hint="eastAsia"/>
          <w:szCs w:val="21"/>
        </w:rPr>
        <w:t>。</w:t>
      </w:r>
    </w:p>
    <w:p w14:paraId="0D99587B">
      <w:pPr>
        <w:ind w:left="420" w:leftChars="200" w:firstLine="210" w:firstLineChars="100"/>
        <w:rPr>
          <w:szCs w:val="21"/>
        </w:rPr>
      </w:pPr>
      <w:r>
        <w:rPr>
          <w:rFonts w:hint="eastAsia"/>
          <w:szCs w:val="21"/>
        </w:rPr>
        <w:t xml:space="preserve"> </w:t>
      </w:r>
      <w:r>
        <w:rPr>
          <w:rFonts w:hint="eastAsia" w:ascii="宋体" w:hAnsi="宋体"/>
          <w:b/>
          <w:bCs/>
          <w:color w:val="FF0000"/>
          <w:spacing w:val="-4"/>
          <w:kern w:val="0"/>
          <w:szCs w:val="21"/>
        </w:rPr>
        <w:t>注：本项填写内容作为订单融资开展的参考信息，不作为供应商资格性审查及符合性审查条件。</w:t>
      </w:r>
    </w:p>
    <w:p w14:paraId="2B5E44AA">
      <w:pPr>
        <w:widowControl/>
        <w:tabs>
          <w:tab w:val="left" w:pos="8200"/>
        </w:tabs>
        <w:autoSpaceDE w:val="0"/>
        <w:autoSpaceDN w:val="0"/>
        <w:spacing w:line="400" w:lineRule="exact"/>
        <w:ind w:right="1414" w:firstLine="406" w:firstLineChars="200"/>
        <w:rPr>
          <w:rFonts w:hint="eastAsia" w:ascii="宋体" w:hAnsi="宋体"/>
          <w:b/>
          <w:bCs/>
          <w:color w:val="FF0000"/>
          <w:spacing w:val="-4"/>
          <w:kern w:val="0"/>
          <w:szCs w:val="21"/>
        </w:rPr>
      </w:pPr>
    </w:p>
    <w:p w14:paraId="7A70A41F">
      <w:pPr>
        <w:widowControl/>
        <w:tabs>
          <w:tab w:val="left" w:pos="6930"/>
          <w:tab w:val="left" w:pos="8200"/>
        </w:tabs>
        <w:autoSpaceDE w:val="0"/>
        <w:autoSpaceDN w:val="0"/>
        <w:spacing w:line="400" w:lineRule="exact"/>
        <w:ind w:right="1414" w:firstLine="480" w:firstLineChars="200"/>
        <w:rPr>
          <w:kern w:val="0"/>
          <w:sz w:val="24"/>
        </w:rPr>
      </w:pPr>
    </w:p>
    <w:p w14:paraId="11072797">
      <w:pPr>
        <w:widowControl/>
        <w:autoSpaceDE w:val="0"/>
        <w:autoSpaceDN w:val="0"/>
        <w:spacing w:line="400" w:lineRule="exact"/>
        <w:ind w:right="1414" w:firstLine="480" w:firstLineChars="200"/>
        <w:jc w:val="right"/>
        <w:rPr>
          <w:kern w:val="0"/>
          <w:sz w:val="24"/>
        </w:rPr>
      </w:pPr>
    </w:p>
    <w:p w14:paraId="6D8CE1C4">
      <w:pPr>
        <w:ind w:firstLine="630" w:firstLineChars="300"/>
        <w:rPr>
          <w:rFonts w:hint="eastAsia" w:ascii="宋体" w:hAnsi="宋体"/>
        </w:rPr>
      </w:pPr>
      <w:r>
        <w:t xml:space="preserve">  </w:t>
      </w:r>
      <w:r>
        <w:rPr>
          <w:rFonts w:hint="eastAsia" w:ascii="宋体" w:hAnsi="宋体"/>
        </w:rPr>
        <w:t>………………（根据项目具体情况增加与综合实力评审相关的节点）</w:t>
      </w:r>
    </w:p>
    <w:p w14:paraId="78292B05">
      <w:pPr>
        <w:ind w:firstLine="720" w:firstLineChars="300"/>
        <w:rPr>
          <w:sz w:val="24"/>
        </w:rPr>
      </w:pPr>
    </w:p>
    <w:p w14:paraId="2EB3E083">
      <w:pPr>
        <w:widowControl/>
        <w:spacing w:line="360" w:lineRule="auto"/>
        <w:jc w:val="left"/>
        <w:rPr>
          <w:b/>
          <w:bCs/>
          <w:kern w:val="0"/>
          <w:sz w:val="24"/>
        </w:rPr>
      </w:pPr>
    </w:p>
    <w:p w14:paraId="30530CC3">
      <w:pPr>
        <w:widowControl/>
        <w:jc w:val="center"/>
        <w:rPr>
          <w:rFonts w:hint="eastAsia" w:ascii="黑体" w:hAnsi="宋体" w:eastAsia="黑体"/>
          <w:kern w:val="0"/>
          <w:sz w:val="24"/>
          <w:szCs w:val="20"/>
        </w:rPr>
      </w:pPr>
      <w:r>
        <w:rPr>
          <w:rFonts w:hint="eastAsia" w:ascii="黑体" w:hAnsi="宋体" w:eastAsia="黑体"/>
          <w:kern w:val="0"/>
          <w:sz w:val="24"/>
          <w:szCs w:val="20"/>
        </w:rPr>
        <w:t>（三）投标人认为需要加以说明的其他内容（格式自定）</w:t>
      </w:r>
    </w:p>
    <w:p w14:paraId="08F9DD68">
      <w:pPr>
        <w:widowControl/>
        <w:jc w:val="center"/>
        <w:rPr>
          <w:rFonts w:hint="eastAsia" w:ascii="黑体" w:hAnsi="宋体" w:eastAsia="黑体"/>
          <w:kern w:val="0"/>
          <w:sz w:val="24"/>
          <w:szCs w:val="20"/>
        </w:rPr>
      </w:pPr>
    </w:p>
    <w:p w14:paraId="1D86F464">
      <w:pPr>
        <w:spacing w:after="78" w:afterLines="25" w:line="300" w:lineRule="auto"/>
        <w:rPr>
          <w:rFonts w:ascii="Arial" w:hAnsi="Arial" w:eastAsia="宋体" w:cs="Times New Roman"/>
          <w:sz w:val="24"/>
          <w:szCs w:val="24"/>
        </w:rPr>
      </w:pPr>
    </w:p>
    <w:p w14:paraId="199112F0">
      <w:pPr>
        <w:spacing w:after="78" w:afterLines="25" w:line="300" w:lineRule="auto"/>
        <w:rPr>
          <w:rFonts w:ascii="Arial" w:hAnsi="Arial" w:eastAsia="宋体" w:cs="Times New Roman"/>
          <w:sz w:val="24"/>
          <w:szCs w:val="24"/>
        </w:rPr>
      </w:pPr>
    </w:p>
    <w:p w14:paraId="32F6B2A0">
      <w:pPr>
        <w:keepNext/>
        <w:keepLines/>
        <w:adjustRightInd w:val="0"/>
        <w:spacing w:before="260" w:after="260"/>
        <w:jc w:val="center"/>
        <w:textAlignment w:val="baseline"/>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第五章  合同条款及格式</w:t>
      </w:r>
    </w:p>
    <w:p w14:paraId="386E3D93">
      <w:pPr>
        <w:ind w:firstLine="470" w:firstLineChars="196"/>
        <w:jc w:val="center"/>
        <w:rPr>
          <w:rFonts w:ascii="Arial" w:hAnsi="Arial" w:cs="Arial"/>
          <w:kern w:val="0"/>
          <w:sz w:val="24"/>
          <w:szCs w:val="24"/>
        </w:rPr>
      </w:pPr>
      <w:r>
        <w:rPr>
          <w:rFonts w:hint="eastAsia" w:ascii="Arial" w:hAnsi="Arial" w:cs="Arial"/>
          <w:kern w:val="0"/>
          <w:sz w:val="24"/>
          <w:szCs w:val="24"/>
        </w:rPr>
        <w:t>（有专业类别的格式合同范本请选择相应的合同项目，具体要求以采购项目需求为准）</w:t>
      </w:r>
    </w:p>
    <w:p w14:paraId="314737AB">
      <w:pPr>
        <w:ind w:firstLine="411" w:firstLineChars="196"/>
        <w:jc w:val="center"/>
      </w:pPr>
    </w:p>
    <w:p w14:paraId="7CA9634C">
      <w:pPr>
        <w:jc w:val="center"/>
        <w:rPr>
          <w:b/>
          <w:sz w:val="24"/>
        </w:rPr>
      </w:pPr>
      <w:r>
        <w:rPr>
          <w:rFonts w:hint="eastAsia"/>
          <w:b/>
          <w:sz w:val="24"/>
        </w:rPr>
        <w:t>合同条款</w:t>
      </w:r>
    </w:p>
    <w:p w14:paraId="1088BCF4">
      <w:pPr>
        <w:jc w:val="center"/>
      </w:pPr>
      <w:r>
        <w:rPr>
          <w:rFonts w:hint="eastAsia"/>
          <w:b/>
          <w:sz w:val="24"/>
        </w:rPr>
        <w:t>（仅供参考，项目具体要求以采购项目需求为准）</w:t>
      </w:r>
    </w:p>
    <w:p w14:paraId="0BACF072">
      <w:pPr>
        <w:ind w:firstLine="411" w:firstLineChars="196"/>
        <w:jc w:val="center"/>
      </w:pPr>
    </w:p>
    <w:p w14:paraId="602ECCD2">
      <w:pPr>
        <w:rPr>
          <w:rFonts w:hint="eastAsia" w:ascii="宋体" w:hAnsi="宋体"/>
          <w:b/>
          <w:bCs/>
          <w:szCs w:val="21"/>
        </w:rPr>
      </w:pPr>
      <w:r>
        <w:rPr>
          <w:rFonts w:hint="eastAsia" w:ascii="宋体" w:hAnsi="宋体"/>
          <w:b/>
          <w:bCs/>
          <w:szCs w:val="21"/>
        </w:rPr>
        <w:t>甲方：</w:t>
      </w:r>
    </w:p>
    <w:p w14:paraId="5E9408C4">
      <w:pPr>
        <w:pStyle w:val="2"/>
        <w:rPr>
          <w:rFonts w:hint="eastAsia" w:ascii="宋体" w:hAnsi="宋体"/>
          <w:b w:val="0"/>
          <w:bCs w:val="0"/>
          <w:szCs w:val="21"/>
        </w:rPr>
      </w:pPr>
      <w:r>
        <w:rPr>
          <w:rFonts w:hint="eastAsia" w:ascii="宋体" w:hAnsi="宋体"/>
          <w:b w:val="0"/>
          <w:bCs w:val="0"/>
          <w:szCs w:val="21"/>
        </w:rPr>
        <w:t>统一社会信用代码：</w:t>
      </w:r>
    </w:p>
    <w:p w14:paraId="3E1A325A">
      <w:pPr>
        <w:pStyle w:val="2"/>
        <w:rPr>
          <w:rFonts w:hint="eastAsia" w:ascii="宋体" w:hAnsi="宋体"/>
          <w:b w:val="0"/>
          <w:bCs w:val="0"/>
          <w:szCs w:val="21"/>
        </w:rPr>
      </w:pPr>
      <w:r>
        <w:rPr>
          <w:rFonts w:hint="eastAsia" w:ascii="宋体" w:hAnsi="宋体"/>
          <w:b w:val="0"/>
          <w:bCs w:val="0"/>
          <w:szCs w:val="21"/>
        </w:rPr>
        <w:t>法定代表人：</w:t>
      </w:r>
    </w:p>
    <w:p w14:paraId="46CF8E8C">
      <w:pPr>
        <w:pStyle w:val="2"/>
        <w:rPr>
          <w:rFonts w:hint="eastAsia" w:ascii="宋体" w:hAnsi="宋体"/>
          <w:b w:val="0"/>
          <w:bCs w:val="0"/>
          <w:szCs w:val="21"/>
        </w:rPr>
      </w:pPr>
      <w:r>
        <w:rPr>
          <w:rFonts w:hint="eastAsia" w:ascii="宋体" w:hAnsi="宋体"/>
          <w:b w:val="0"/>
          <w:bCs w:val="0"/>
          <w:szCs w:val="21"/>
        </w:rPr>
        <w:t>联系人：</w:t>
      </w:r>
    </w:p>
    <w:p w14:paraId="6433F031">
      <w:pPr>
        <w:pStyle w:val="2"/>
        <w:rPr>
          <w:rFonts w:hint="eastAsia" w:ascii="宋体" w:hAnsi="宋体"/>
          <w:b w:val="0"/>
          <w:bCs w:val="0"/>
          <w:szCs w:val="21"/>
        </w:rPr>
      </w:pPr>
      <w:r>
        <w:rPr>
          <w:rFonts w:hint="eastAsia" w:ascii="宋体" w:hAnsi="宋体"/>
          <w:b w:val="0"/>
          <w:bCs w:val="0"/>
          <w:szCs w:val="21"/>
        </w:rPr>
        <w:t>联系方式：</w:t>
      </w:r>
    </w:p>
    <w:p w14:paraId="3F5C0F09">
      <w:pPr>
        <w:pStyle w:val="2"/>
        <w:rPr>
          <w:rFonts w:hint="eastAsia" w:ascii="宋体" w:hAnsi="宋体"/>
          <w:b w:val="0"/>
          <w:bCs w:val="0"/>
          <w:szCs w:val="21"/>
        </w:rPr>
      </w:pPr>
      <w:r>
        <w:rPr>
          <w:rFonts w:hint="eastAsia" w:ascii="宋体" w:hAnsi="宋体"/>
          <w:b w:val="0"/>
          <w:bCs w:val="0"/>
          <w:szCs w:val="21"/>
        </w:rPr>
        <w:t>地址：</w:t>
      </w:r>
    </w:p>
    <w:p w14:paraId="64D871F5">
      <w:pPr>
        <w:rPr>
          <w:rFonts w:hint="eastAsia" w:ascii="宋体" w:hAnsi="宋体"/>
          <w:b/>
          <w:bCs/>
          <w:szCs w:val="21"/>
        </w:rPr>
      </w:pPr>
    </w:p>
    <w:p w14:paraId="0117EB34">
      <w:pPr>
        <w:rPr>
          <w:rFonts w:hint="eastAsia" w:ascii="宋体" w:hAnsi="宋体"/>
          <w:b/>
          <w:bCs/>
          <w:szCs w:val="21"/>
        </w:rPr>
      </w:pPr>
      <w:r>
        <w:rPr>
          <w:rFonts w:hint="eastAsia" w:ascii="宋体" w:hAnsi="宋体"/>
          <w:b/>
          <w:bCs/>
          <w:szCs w:val="21"/>
        </w:rPr>
        <w:t>乙方：</w:t>
      </w:r>
    </w:p>
    <w:p w14:paraId="77728F0E">
      <w:pPr>
        <w:pStyle w:val="2"/>
        <w:rPr>
          <w:rFonts w:hint="eastAsia" w:ascii="宋体" w:hAnsi="宋体"/>
          <w:b w:val="0"/>
          <w:bCs w:val="0"/>
          <w:szCs w:val="21"/>
        </w:rPr>
      </w:pPr>
      <w:r>
        <w:rPr>
          <w:rFonts w:hint="eastAsia" w:ascii="宋体" w:hAnsi="宋体"/>
          <w:b w:val="0"/>
          <w:bCs w:val="0"/>
          <w:szCs w:val="21"/>
        </w:rPr>
        <w:t>统一社会信用代码：</w:t>
      </w:r>
    </w:p>
    <w:p w14:paraId="6F42FDB2">
      <w:pPr>
        <w:pStyle w:val="2"/>
        <w:rPr>
          <w:rFonts w:hint="eastAsia" w:ascii="宋体" w:hAnsi="宋体"/>
          <w:b w:val="0"/>
          <w:bCs w:val="0"/>
          <w:szCs w:val="21"/>
        </w:rPr>
      </w:pPr>
      <w:r>
        <w:rPr>
          <w:rFonts w:hint="eastAsia" w:ascii="宋体" w:hAnsi="宋体"/>
          <w:b w:val="0"/>
          <w:bCs w:val="0"/>
          <w:szCs w:val="21"/>
        </w:rPr>
        <w:t>法定代表人：</w:t>
      </w:r>
    </w:p>
    <w:p w14:paraId="7490A283">
      <w:pPr>
        <w:pStyle w:val="2"/>
        <w:rPr>
          <w:rFonts w:hint="eastAsia" w:ascii="宋体" w:hAnsi="宋体"/>
          <w:b w:val="0"/>
          <w:bCs w:val="0"/>
          <w:szCs w:val="21"/>
        </w:rPr>
      </w:pPr>
      <w:r>
        <w:rPr>
          <w:rFonts w:hint="eastAsia" w:ascii="宋体" w:hAnsi="宋体"/>
          <w:b w:val="0"/>
          <w:bCs w:val="0"/>
          <w:szCs w:val="21"/>
        </w:rPr>
        <w:t>联系人：</w:t>
      </w:r>
    </w:p>
    <w:p w14:paraId="20C25989">
      <w:pPr>
        <w:pStyle w:val="2"/>
        <w:rPr>
          <w:rFonts w:hint="eastAsia" w:ascii="宋体" w:hAnsi="宋体"/>
          <w:b w:val="0"/>
          <w:bCs w:val="0"/>
          <w:szCs w:val="21"/>
        </w:rPr>
      </w:pPr>
      <w:r>
        <w:rPr>
          <w:rFonts w:hint="eastAsia" w:ascii="宋体" w:hAnsi="宋体"/>
          <w:b w:val="0"/>
          <w:bCs w:val="0"/>
          <w:szCs w:val="21"/>
        </w:rPr>
        <w:t>联系方式：</w:t>
      </w:r>
    </w:p>
    <w:p w14:paraId="7084670B">
      <w:pPr>
        <w:pStyle w:val="2"/>
        <w:rPr>
          <w:rFonts w:hint="eastAsia" w:ascii="宋体" w:hAnsi="宋体"/>
          <w:b w:val="0"/>
          <w:bCs w:val="0"/>
          <w:szCs w:val="21"/>
        </w:rPr>
      </w:pPr>
      <w:r>
        <w:rPr>
          <w:rFonts w:hint="eastAsia" w:ascii="宋体" w:hAnsi="宋体"/>
          <w:b w:val="0"/>
          <w:bCs w:val="0"/>
          <w:szCs w:val="21"/>
        </w:rPr>
        <w:t>地址：</w:t>
      </w:r>
    </w:p>
    <w:p w14:paraId="595F16AB">
      <w:pPr>
        <w:rPr>
          <w:rFonts w:hint="eastAsia" w:ascii="宋体" w:hAnsi="宋体"/>
          <w:szCs w:val="21"/>
        </w:rPr>
      </w:pPr>
    </w:p>
    <w:p w14:paraId="4D19FB48">
      <w:pPr>
        <w:rPr>
          <w:rFonts w:hint="eastAsia" w:ascii="宋体" w:hAnsi="宋体"/>
          <w:szCs w:val="21"/>
        </w:rPr>
      </w:pPr>
    </w:p>
    <w:p w14:paraId="445A09F4">
      <w:pPr>
        <w:ind w:firstLine="420" w:firstLineChars="200"/>
        <w:rPr>
          <w:rFonts w:hint="eastAsia" w:ascii="宋体" w:hAnsi="宋体"/>
          <w:szCs w:val="21"/>
        </w:rPr>
      </w:pPr>
      <w:r>
        <w:rPr>
          <w:rFonts w:hint="eastAsia" w:ascii="宋体" w:hAnsi="宋体"/>
          <w:szCs w:val="21"/>
        </w:rPr>
        <w:t>根据深圳市龙华区</w:t>
      </w:r>
      <w:r>
        <w:rPr>
          <w:rFonts w:hint="eastAsia" w:ascii="宋体" w:hAnsi="宋体"/>
          <w:color w:val="FF0000"/>
          <w:szCs w:val="21"/>
        </w:rPr>
        <w:t>******</w:t>
      </w:r>
      <w:r>
        <w:rPr>
          <w:rFonts w:hint="eastAsia" w:ascii="宋体" w:hAnsi="宋体"/>
          <w:szCs w:val="21"/>
        </w:rPr>
        <w:t>采购项目的响应结果，由单位为中选方。按照有关规定，经深圳市（以下简称甲方）和单位（以下简称乙方）协商，就甲方委托乙方承担</w:t>
      </w:r>
      <w:r>
        <w:rPr>
          <w:rFonts w:hint="eastAsia" w:ascii="宋体" w:hAnsi="宋体"/>
          <w:b/>
          <w:bCs/>
          <w:snapToGrid w:val="0"/>
          <w:kern w:val="0"/>
          <w:szCs w:val="21"/>
          <w:u w:val="single"/>
          <w:lang w:val="zh-CN"/>
        </w:rPr>
        <w:t xml:space="preserve">                      服务项目</w:t>
      </w:r>
      <w:r>
        <w:rPr>
          <w:rFonts w:hint="eastAsia" w:ascii="宋体" w:hAnsi="宋体"/>
          <w:szCs w:val="21"/>
        </w:rPr>
        <w:t>，达成以下合同条款：</w:t>
      </w:r>
    </w:p>
    <w:p w14:paraId="1D4FA2BC">
      <w:pPr>
        <w:ind w:firstLine="422" w:firstLineChars="200"/>
        <w:rPr>
          <w:rFonts w:hint="eastAsia" w:ascii="宋体" w:hAnsi="宋体"/>
          <w:b/>
          <w:bCs/>
          <w:szCs w:val="21"/>
        </w:rPr>
      </w:pPr>
      <w:r>
        <w:rPr>
          <w:rFonts w:hint="eastAsia" w:ascii="宋体" w:hAnsi="宋体"/>
          <w:b/>
          <w:bCs/>
          <w:szCs w:val="21"/>
        </w:rPr>
        <w:t>第一条　项目概况</w:t>
      </w:r>
    </w:p>
    <w:p w14:paraId="0F1DBAC5">
      <w:pPr>
        <w:ind w:firstLine="420" w:firstLineChars="200"/>
        <w:rPr>
          <w:rFonts w:hint="eastAsia" w:ascii="宋体" w:hAnsi="宋体"/>
          <w:szCs w:val="21"/>
        </w:rPr>
      </w:pPr>
      <w:r>
        <w:rPr>
          <w:rFonts w:hint="eastAsia" w:ascii="宋体" w:hAnsi="宋体"/>
          <w:szCs w:val="21"/>
        </w:rPr>
        <w:t xml:space="preserve">项目名称： </w:t>
      </w:r>
    </w:p>
    <w:p w14:paraId="138A35B2">
      <w:pPr>
        <w:ind w:firstLine="420" w:firstLineChars="200"/>
        <w:rPr>
          <w:rFonts w:hint="eastAsia" w:ascii="宋体" w:hAnsi="宋体"/>
          <w:szCs w:val="21"/>
        </w:rPr>
      </w:pPr>
      <w:r>
        <w:rPr>
          <w:rFonts w:hint="eastAsia" w:ascii="宋体" w:hAnsi="宋体"/>
          <w:szCs w:val="21"/>
        </w:rPr>
        <w:t xml:space="preserve">项目内容： </w:t>
      </w:r>
    </w:p>
    <w:p w14:paraId="0D398BD8">
      <w:pPr>
        <w:ind w:firstLine="420" w:firstLineChars="200"/>
        <w:rPr>
          <w:rFonts w:hint="eastAsia" w:ascii="宋体" w:hAnsi="宋体"/>
          <w:szCs w:val="21"/>
        </w:rPr>
      </w:pPr>
      <w:r>
        <w:rPr>
          <w:rFonts w:hint="eastAsia" w:ascii="宋体" w:hAnsi="宋体"/>
          <w:szCs w:val="21"/>
        </w:rPr>
        <w:t xml:space="preserve">服务时间： </w:t>
      </w:r>
    </w:p>
    <w:p w14:paraId="7CB62AA0">
      <w:pPr>
        <w:ind w:firstLine="420" w:firstLineChars="200"/>
        <w:rPr>
          <w:rFonts w:hint="eastAsia" w:ascii="宋体" w:hAnsi="宋体"/>
          <w:szCs w:val="21"/>
        </w:rPr>
      </w:pPr>
      <w:r>
        <w:rPr>
          <w:rFonts w:hint="eastAsia" w:ascii="宋体" w:hAnsi="宋体"/>
          <w:szCs w:val="21"/>
        </w:rPr>
        <w:t>合同价款：合同总价为元，含一切税、费。</w:t>
      </w:r>
      <w:r>
        <w:t>本合同总价包括</w:t>
      </w:r>
      <w:r>
        <w:rPr>
          <w:rFonts w:hint="eastAsia" w:ascii="宋体" w:hAnsi="宋体"/>
          <w:szCs w:val="21"/>
        </w:rPr>
        <w:t>乙方为实施本项目所需的设备仪器费、车辆租赁费、</w:t>
      </w:r>
      <w:r>
        <w:t>服务</w:t>
      </w:r>
      <w:r>
        <w:rPr>
          <w:rFonts w:hint="eastAsia"/>
        </w:rPr>
        <w:t>和</w:t>
      </w:r>
      <w:r>
        <w:t>技术费用</w:t>
      </w:r>
      <w:r>
        <w:rPr>
          <w:rFonts w:hint="eastAsia"/>
        </w:rPr>
        <w:t>等</w:t>
      </w:r>
      <w:r>
        <w:t>，为固定不变价格，且不随通货膨胀的影响而波动。合同总价包括</w:t>
      </w:r>
      <w:r>
        <w:rPr>
          <w:rFonts w:hint="eastAsia" w:ascii="宋体" w:hAnsi="宋体"/>
          <w:szCs w:val="21"/>
        </w:rPr>
        <w:t>乙方</w:t>
      </w:r>
      <w:r>
        <w:t>履行本合同义务所发生的一切费用和支出和以各种方式寄送技术资料到</w:t>
      </w:r>
      <w:r>
        <w:rPr>
          <w:rFonts w:hint="eastAsia"/>
        </w:rPr>
        <w:t>甲</w:t>
      </w:r>
      <w:r>
        <w:t>方办公室所发生的费用。如发生本合同规定的不可抗力，合同总价可经双方友好协商予以调整。</w:t>
      </w:r>
    </w:p>
    <w:p w14:paraId="29199983">
      <w:pPr>
        <w:pStyle w:val="8"/>
        <w:rPr>
          <w:rFonts w:hint="eastAsia" w:ascii="宋体" w:hAnsi="宋体"/>
          <w:szCs w:val="21"/>
        </w:rPr>
      </w:pPr>
      <w:r>
        <w:rPr>
          <w:rFonts w:hint="eastAsia" w:ascii="宋体" w:hAnsi="宋体"/>
          <w:szCs w:val="21"/>
        </w:rPr>
        <w:t>支付方式：分期支付。</w:t>
      </w:r>
    </w:p>
    <w:p w14:paraId="78BC9379">
      <w:pPr>
        <w:ind w:firstLine="422" w:firstLineChars="200"/>
        <w:rPr>
          <w:rFonts w:hint="eastAsia" w:ascii="宋体" w:hAnsi="宋体"/>
          <w:b/>
          <w:bCs/>
          <w:szCs w:val="21"/>
        </w:rPr>
      </w:pPr>
      <w:r>
        <w:rPr>
          <w:rFonts w:hint="eastAsia" w:ascii="宋体" w:hAnsi="宋体"/>
          <w:b/>
          <w:bCs/>
          <w:szCs w:val="21"/>
        </w:rPr>
        <w:t>第二条  服务范围</w:t>
      </w:r>
    </w:p>
    <w:p w14:paraId="1E00CB45">
      <w:pPr>
        <w:ind w:firstLine="420" w:firstLineChars="200"/>
        <w:rPr>
          <w:rFonts w:hint="eastAsia" w:ascii="宋体" w:hAnsi="宋体"/>
          <w:szCs w:val="21"/>
        </w:rPr>
      </w:pPr>
      <w:r>
        <w:rPr>
          <w:rFonts w:hint="eastAsia" w:ascii="宋体" w:hAnsi="宋体"/>
          <w:szCs w:val="21"/>
        </w:rPr>
        <w:t xml:space="preserve">1、  </w:t>
      </w:r>
    </w:p>
    <w:p w14:paraId="6CCBC8CB">
      <w:pPr>
        <w:ind w:firstLine="420" w:firstLineChars="200"/>
        <w:rPr>
          <w:rFonts w:hint="eastAsia" w:ascii="宋体" w:hAnsi="宋体"/>
          <w:szCs w:val="21"/>
        </w:rPr>
      </w:pPr>
      <w:r>
        <w:rPr>
          <w:rFonts w:hint="eastAsia" w:ascii="宋体" w:hAnsi="宋体"/>
          <w:szCs w:val="21"/>
        </w:rPr>
        <w:t xml:space="preserve">2、  </w:t>
      </w:r>
    </w:p>
    <w:p w14:paraId="6B147477">
      <w:pPr>
        <w:ind w:firstLine="420" w:firstLineChars="200"/>
        <w:rPr>
          <w:rFonts w:hint="eastAsia" w:ascii="宋体" w:hAnsi="宋体"/>
          <w:szCs w:val="21"/>
        </w:rPr>
      </w:pPr>
      <w:r>
        <w:rPr>
          <w:rFonts w:hint="eastAsia" w:ascii="宋体" w:hAnsi="宋体"/>
          <w:szCs w:val="21"/>
        </w:rPr>
        <w:t xml:space="preserve">3、  </w:t>
      </w:r>
    </w:p>
    <w:p w14:paraId="1FF718C6">
      <w:pPr>
        <w:ind w:firstLine="420" w:firstLineChars="200"/>
        <w:rPr>
          <w:rFonts w:hint="eastAsia" w:ascii="宋体" w:hAnsi="宋体"/>
          <w:szCs w:val="21"/>
        </w:rPr>
      </w:pPr>
      <w:r>
        <w:rPr>
          <w:rFonts w:hint="eastAsia" w:ascii="宋体" w:hAnsi="宋体"/>
          <w:szCs w:val="21"/>
        </w:rPr>
        <w:t>4、 其他合同未明示的相关工作。</w:t>
      </w:r>
    </w:p>
    <w:p w14:paraId="60A0CB7B">
      <w:pPr>
        <w:ind w:firstLine="422" w:firstLineChars="200"/>
        <w:rPr>
          <w:rFonts w:hint="eastAsia" w:ascii="宋体" w:hAnsi="宋体"/>
          <w:b/>
          <w:bCs/>
          <w:szCs w:val="21"/>
        </w:rPr>
      </w:pPr>
      <w:r>
        <w:rPr>
          <w:rFonts w:hint="eastAsia" w:ascii="宋体" w:hAnsi="宋体"/>
          <w:b/>
          <w:bCs/>
          <w:szCs w:val="21"/>
        </w:rPr>
        <w:t>第三条  时间要求及阶段成果</w:t>
      </w:r>
    </w:p>
    <w:p w14:paraId="78718943">
      <w:pPr>
        <w:ind w:firstLine="420" w:firstLineChars="200"/>
        <w:rPr>
          <w:rFonts w:hint="eastAsia" w:ascii="宋体" w:hAnsi="宋体"/>
          <w:szCs w:val="21"/>
        </w:rPr>
      </w:pPr>
      <w:r>
        <w:rPr>
          <w:rFonts w:hint="eastAsia" w:ascii="宋体" w:hAnsi="宋体"/>
          <w:szCs w:val="21"/>
        </w:rPr>
        <w:t>1、合同签订天内完成项目实施的准备工作，包括工作大纲和试验细则的编制；</w:t>
      </w:r>
    </w:p>
    <w:p w14:paraId="2F0B8B4E">
      <w:pPr>
        <w:ind w:firstLine="420" w:firstLineChars="200"/>
        <w:rPr>
          <w:rFonts w:hint="eastAsia" w:ascii="宋体" w:hAnsi="宋体"/>
          <w:szCs w:val="21"/>
        </w:rPr>
      </w:pPr>
      <w:r>
        <w:rPr>
          <w:rFonts w:hint="eastAsia" w:ascii="宋体" w:hAnsi="宋体"/>
          <w:szCs w:val="21"/>
        </w:rPr>
        <w:t xml:space="preserve">2、 </w:t>
      </w:r>
    </w:p>
    <w:p w14:paraId="19553617">
      <w:pPr>
        <w:ind w:firstLine="420" w:firstLineChars="200"/>
        <w:rPr>
          <w:rFonts w:hint="eastAsia" w:ascii="宋体" w:hAnsi="宋体"/>
          <w:szCs w:val="21"/>
        </w:rPr>
      </w:pPr>
      <w:r>
        <w:rPr>
          <w:rFonts w:hint="eastAsia" w:ascii="宋体" w:hAnsi="宋体"/>
          <w:szCs w:val="21"/>
        </w:rPr>
        <w:t>3、</w:t>
      </w:r>
    </w:p>
    <w:p w14:paraId="4956D094">
      <w:pPr>
        <w:ind w:firstLine="420" w:firstLineChars="200"/>
        <w:rPr>
          <w:rFonts w:hint="eastAsia" w:ascii="宋体" w:hAnsi="宋体"/>
          <w:szCs w:val="21"/>
        </w:rPr>
      </w:pPr>
      <w:r>
        <w:rPr>
          <w:rFonts w:hint="eastAsia" w:ascii="宋体" w:hAnsi="宋体"/>
          <w:szCs w:val="21"/>
        </w:rPr>
        <w:t>4、</w:t>
      </w:r>
    </w:p>
    <w:p w14:paraId="20939014">
      <w:pPr>
        <w:ind w:firstLine="422" w:firstLineChars="200"/>
        <w:rPr>
          <w:rFonts w:hint="eastAsia" w:ascii="宋体" w:hAnsi="宋体"/>
          <w:b/>
          <w:bCs/>
          <w:szCs w:val="21"/>
        </w:rPr>
      </w:pPr>
      <w:r>
        <w:rPr>
          <w:rFonts w:hint="eastAsia" w:ascii="宋体" w:hAnsi="宋体"/>
          <w:b/>
          <w:bCs/>
          <w:szCs w:val="21"/>
        </w:rPr>
        <w:t>第四条  服务资料归属(若有)</w:t>
      </w:r>
    </w:p>
    <w:p w14:paraId="4F85B4C1">
      <w:pPr>
        <w:ind w:firstLine="420" w:firstLineChars="200"/>
      </w:pPr>
      <w:r>
        <w:t>1</w:t>
      </w:r>
      <w:r>
        <w:rPr>
          <w:rFonts w:hint="eastAsia"/>
        </w:rPr>
        <w:t>、</w:t>
      </w:r>
      <w:r>
        <w:t>所有提交给</w:t>
      </w:r>
      <w:r>
        <w:rPr>
          <w:rFonts w:hint="eastAsia"/>
        </w:rPr>
        <w:t>甲</w:t>
      </w:r>
      <w:r>
        <w:t>方的服务</w:t>
      </w:r>
      <w:r>
        <w:rPr>
          <w:rFonts w:hint="eastAsia"/>
        </w:rPr>
        <w:t>文件</w:t>
      </w:r>
      <w:r>
        <w:t>及相关的资料的最后文本，包括为履行服务范围所编制的</w:t>
      </w:r>
      <w:r>
        <w:rPr>
          <w:rFonts w:hint="eastAsia"/>
        </w:rPr>
        <w:t>设计</w:t>
      </w:r>
      <w:r>
        <w:t>图纸、计划和证明资料等，都属于</w:t>
      </w:r>
      <w:r>
        <w:rPr>
          <w:rFonts w:hint="eastAsia"/>
        </w:rPr>
        <w:t>甲</w:t>
      </w:r>
      <w:r>
        <w:t>方的财产，</w:t>
      </w:r>
      <w:r>
        <w:rPr>
          <w:rFonts w:hint="eastAsia" w:ascii="宋体" w:hAnsi="宋体"/>
          <w:szCs w:val="21"/>
        </w:rPr>
        <w:t>乙</w:t>
      </w:r>
      <w:r>
        <w:t>方在提交给</w:t>
      </w:r>
      <w:r>
        <w:rPr>
          <w:rFonts w:hint="eastAsia"/>
        </w:rPr>
        <w:t>甲</w:t>
      </w:r>
      <w:r>
        <w:t>方之前应将上述资料进行整理归类和编制索引</w:t>
      </w:r>
      <w:r>
        <w:rPr>
          <w:rFonts w:hint="eastAsia"/>
        </w:rPr>
        <w:t>。</w:t>
      </w:r>
    </w:p>
    <w:p w14:paraId="20CF5898">
      <w:pPr>
        <w:ind w:firstLine="420" w:firstLineChars="200"/>
      </w:pPr>
      <w:r>
        <w:t>2</w:t>
      </w:r>
      <w:r>
        <w:rPr>
          <w:rFonts w:hint="eastAsia"/>
        </w:rPr>
        <w:t>、</w:t>
      </w:r>
      <w:r>
        <w:rPr>
          <w:rFonts w:hint="eastAsia" w:ascii="宋体" w:hAnsi="宋体"/>
          <w:szCs w:val="21"/>
        </w:rPr>
        <w:t>乙</w:t>
      </w:r>
      <w:r>
        <w:t>方未经</w:t>
      </w:r>
      <w:r>
        <w:rPr>
          <w:rFonts w:hint="eastAsia"/>
        </w:rPr>
        <w:t>甲</w:t>
      </w:r>
      <w:r>
        <w:t>方的书面同意，不得将上述资料用于与本服务项目之外的任何项目</w:t>
      </w:r>
      <w:r>
        <w:rPr>
          <w:rFonts w:hint="eastAsia"/>
        </w:rPr>
        <w:t>。</w:t>
      </w:r>
    </w:p>
    <w:p w14:paraId="28BFD8FE">
      <w:pPr>
        <w:ind w:firstLine="420" w:firstLineChars="200"/>
      </w:pPr>
      <w:r>
        <w:rPr>
          <w:rFonts w:hint="eastAsia"/>
        </w:rPr>
        <w:t>3、</w:t>
      </w:r>
      <w:r>
        <w:t>合同履行</w:t>
      </w:r>
      <w:r>
        <w:rPr>
          <w:rFonts w:hint="eastAsia"/>
        </w:rPr>
        <w:t>完毕，</w:t>
      </w:r>
      <w:r>
        <w:t>未经</w:t>
      </w:r>
      <w:r>
        <w:rPr>
          <w:rFonts w:hint="eastAsia"/>
        </w:rPr>
        <w:t>甲</w:t>
      </w:r>
      <w:r>
        <w:t>方的书面同意</w:t>
      </w:r>
      <w:r>
        <w:rPr>
          <w:rFonts w:hint="eastAsia"/>
        </w:rPr>
        <w:t>，</w:t>
      </w:r>
      <w:r>
        <w:rPr>
          <w:rFonts w:hint="eastAsia" w:ascii="宋体" w:hAnsi="宋体"/>
          <w:szCs w:val="21"/>
        </w:rPr>
        <w:t>乙</w:t>
      </w:r>
      <w:r>
        <w:t>方</w:t>
      </w:r>
      <w:r>
        <w:rPr>
          <w:rFonts w:hint="eastAsia"/>
        </w:rPr>
        <w:t>不得保存在</w:t>
      </w:r>
      <w:r>
        <w:t>履行合同过程中所获得或接触到的任何</w:t>
      </w:r>
      <w:r>
        <w:rPr>
          <w:rFonts w:hint="eastAsia" w:ascii="宋体" w:hAnsi="宋体"/>
          <w:szCs w:val="21"/>
        </w:rPr>
        <w:t>内部数据资料。</w:t>
      </w:r>
    </w:p>
    <w:p w14:paraId="3AFEF950">
      <w:pPr>
        <w:ind w:firstLine="422" w:firstLineChars="200"/>
        <w:rPr>
          <w:rFonts w:hint="eastAsia" w:ascii="宋体" w:hAnsi="宋体"/>
          <w:b/>
          <w:bCs/>
          <w:szCs w:val="21"/>
        </w:rPr>
      </w:pPr>
      <w:r>
        <w:rPr>
          <w:rFonts w:hint="eastAsia" w:ascii="宋体" w:hAnsi="宋体"/>
          <w:b/>
          <w:bCs/>
          <w:szCs w:val="21"/>
        </w:rPr>
        <w:t>第五条  甲方的义务</w:t>
      </w:r>
    </w:p>
    <w:p w14:paraId="4B8B122A">
      <w:pPr>
        <w:ind w:firstLine="420" w:firstLineChars="200"/>
        <w:rPr>
          <w:rFonts w:hint="eastAsia" w:ascii="宋体" w:hAnsi="宋体"/>
          <w:szCs w:val="21"/>
        </w:rPr>
      </w:pPr>
      <w:r>
        <w:rPr>
          <w:rFonts w:hint="eastAsia" w:ascii="宋体" w:hAnsi="宋体"/>
          <w:szCs w:val="21"/>
        </w:rPr>
        <w:t>1、负责与本服务项目有关的第三方的协调，提供开展服务工作的外部条件。</w:t>
      </w:r>
    </w:p>
    <w:p w14:paraId="6731EECE">
      <w:pPr>
        <w:ind w:firstLine="420" w:firstLineChars="200"/>
        <w:rPr>
          <w:rFonts w:hint="eastAsia" w:ascii="宋体" w:hAnsi="宋体"/>
          <w:szCs w:val="21"/>
        </w:rPr>
      </w:pPr>
      <w:r>
        <w:rPr>
          <w:rFonts w:hint="eastAsia" w:ascii="宋体" w:hAnsi="宋体"/>
          <w:szCs w:val="21"/>
        </w:rPr>
        <w:t>2、向乙方提供与本项目服务工作有关的资料。</w:t>
      </w:r>
    </w:p>
    <w:p w14:paraId="56DEBC77">
      <w:pPr>
        <w:ind w:firstLine="422" w:firstLineChars="200"/>
        <w:rPr>
          <w:rFonts w:hint="eastAsia" w:ascii="宋体" w:hAnsi="宋体"/>
          <w:b/>
          <w:bCs/>
          <w:szCs w:val="21"/>
        </w:rPr>
      </w:pPr>
      <w:r>
        <w:rPr>
          <w:rFonts w:hint="eastAsia" w:ascii="宋体" w:hAnsi="宋体"/>
          <w:b/>
          <w:bCs/>
          <w:szCs w:val="21"/>
        </w:rPr>
        <w:t>第六条　乙方的义务</w:t>
      </w:r>
    </w:p>
    <w:p w14:paraId="3E9E309C">
      <w:pPr>
        <w:ind w:firstLine="420" w:firstLineChars="200"/>
        <w:rPr>
          <w:rFonts w:hint="eastAsia" w:ascii="宋体" w:hAnsi="宋体"/>
          <w:szCs w:val="21"/>
        </w:rPr>
      </w:pPr>
      <w:r>
        <w:rPr>
          <w:rFonts w:hint="eastAsia" w:ascii="宋体" w:hAnsi="宋体"/>
          <w:szCs w:val="21"/>
        </w:rPr>
        <w:t>１、应按照号采购文件、乙方响应文件要求按期完成本项目服务工作。</w:t>
      </w:r>
    </w:p>
    <w:p w14:paraId="729BAFD3">
      <w:pPr>
        <w:ind w:firstLine="420" w:firstLineChars="200"/>
        <w:rPr>
          <w:rFonts w:hint="eastAsia" w:ascii="宋体" w:hAnsi="宋体"/>
          <w:szCs w:val="21"/>
        </w:rPr>
      </w:pPr>
      <w:r>
        <w:rPr>
          <w:rFonts w:hint="eastAsia" w:ascii="宋体" w:hAnsi="宋体"/>
          <w:szCs w:val="21"/>
        </w:rPr>
        <w:t>2、负责组织项目的实施，保证服务效率及工作质量，并符合招标文件和行业相关标准。</w:t>
      </w:r>
    </w:p>
    <w:p w14:paraId="6405BB45">
      <w:pPr>
        <w:ind w:firstLine="420" w:firstLineChars="200"/>
        <w:rPr>
          <w:rFonts w:hint="eastAsia" w:ascii="宋体" w:hAnsi="宋体"/>
          <w:szCs w:val="21"/>
        </w:rPr>
      </w:pPr>
      <w:r>
        <w:rPr>
          <w:rFonts w:hint="eastAsia" w:ascii="宋体" w:hAnsi="宋体"/>
          <w:szCs w:val="21"/>
        </w:rPr>
        <w:t>3、在履行合同期间或合同规定期限内，不得泄露与本合同规定业务活动有关的保密资料。</w:t>
      </w:r>
    </w:p>
    <w:p w14:paraId="4F5593F9">
      <w:pPr>
        <w:ind w:firstLine="422" w:firstLineChars="200"/>
        <w:rPr>
          <w:rFonts w:hint="eastAsia" w:ascii="宋体" w:hAnsi="宋体"/>
          <w:b/>
          <w:bCs/>
          <w:szCs w:val="21"/>
        </w:rPr>
      </w:pPr>
      <w:r>
        <w:rPr>
          <w:rFonts w:hint="eastAsia" w:ascii="宋体" w:hAnsi="宋体"/>
          <w:b/>
          <w:bCs/>
          <w:szCs w:val="21"/>
        </w:rPr>
        <w:t>第七条  甲方的权利</w:t>
      </w:r>
    </w:p>
    <w:p w14:paraId="7F5AA6E4">
      <w:pPr>
        <w:ind w:firstLine="420" w:firstLineChars="200"/>
        <w:rPr>
          <w:rFonts w:hint="eastAsia" w:ascii="宋体" w:hAnsi="宋体"/>
          <w:szCs w:val="21"/>
        </w:rPr>
      </w:pPr>
      <w:r>
        <w:rPr>
          <w:rFonts w:ascii="宋体" w:hAnsi="宋体"/>
          <w:szCs w:val="21"/>
        </w:rPr>
        <w:t>1</w:t>
      </w:r>
      <w:r>
        <w:rPr>
          <w:rFonts w:hint="eastAsia" w:ascii="宋体" w:hAnsi="宋体"/>
          <w:szCs w:val="21"/>
        </w:rPr>
        <w:t>、有权向乙方询问工作进展情况及相关的内容。</w:t>
      </w:r>
    </w:p>
    <w:p w14:paraId="15CBBB79">
      <w:pPr>
        <w:ind w:firstLine="420" w:firstLineChars="200"/>
        <w:rPr>
          <w:rFonts w:hint="eastAsia" w:ascii="宋体" w:hAnsi="宋体"/>
          <w:szCs w:val="21"/>
        </w:rPr>
      </w:pPr>
      <w:r>
        <w:rPr>
          <w:rFonts w:ascii="宋体" w:hAnsi="宋体"/>
          <w:szCs w:val="21"/>
        </w:rPr>
        <w:t>2</w:t>
      </w:r>
      <w:r>
        <w:rPr>
          <w:rFonts w:hint="eastAsia" w:ascii="宋体" w:hAnsi="宋体"/>
          <w:szCs w:val="21"/>
        </w:rPr>
        <w:t>、有权阐述对具体问题的意见和建议。</w:t>
      </w:r>
    </w:p>
    <w:p w14:paraId="48397477">
      <w:pPr>
        <w:ind w:firstLine="420" w:firstLineChars="200"/>
        <w:rPr>
          <w:rFonts w:hint="eastAsia" w:ascii="宋体" w:hAnsi="宋体"/>
          <w:szCs w:val="21"/>
        </w:rPr>
      </w:pPr>
      <w:r>
        <w:rPr>
          <w:rFonts w:ascii="宋体" w:hAnsi="宋体"/>
          <w:szCs w:val="21"/>
        </w:rPr>
        <w:t>3</w:t>
      </w:r>
      <w:r>
        <w:rPr>
          <w:rFonts w:hint="eastAsia" w:ascii="宋体" w:hAnsi="宋体"/>
          <w:szCs w:val="21"/>
        </w:rPr>
        <w:t>、当甲方认定乙方人员不按合同履行其职责，或与第三人串通给甲方造成经济损失的，甲方有权要求更换人员，直至终止合同并要求乙方承担相应的赔偿责任。</w:t>
      </w:r>
    </w:p>
    <w:p w14:paraId="1DD47B9F">
      <w:pPr>
        <w:ind w:firstLine="422" w:firstLineChars="200"/>
        <w:rPr>
          <w:rFonts w:hint="eastAsia" w:ascii="宋体" w:hAnsi="宋体"/>
          <w:b/>
          <w:bCs/>
          <w:szCs w:val="21"/>
        </w:rPr>
      </w:pPr>
      <w:r>
        <w:rPr>
          <w:rFonts w:hint="eastAsia" w:ascii="宋体" w:hAnsi="宋体"/>
          <w:b/>
          <w:bCs/>
          <w:szCs w:val="21"/>
        </w:rPr>
        <w:t>第八条  乙方的权利</w:t>
      </w:r>
    </w:p>
    <w:p w14:paraId="07FF36B2">
      <w:pPr>
        <w:ind w:firstLine="420" w:firstLineChars="200"/>
        <w:rPr>
          <w:rFonts w:hint="eastAsia" w:ascii="宋体" w:hAnsi="宋体"/>
          <w:szCs w:val="21"/>
        </w:rPr>
      </w:pPr>
      <w:r>
        <w:rPr>
          <w:rFonts w:ascii="宋体" w:hAnsi="宋体"/>
          <w:szCs w:val="21"/>
        </w:rPr>
        <w:t>1</w:t>
      </w:r>
      <w:r>
        <w:rPr>
          <w:rFonts w:hint="eastAsia" w:ascii="宋体" w:hAnsi="宋体"/>
          <w:szCs w:val="21"/>
        </w:rPr>
        <w:t>、乙方在本项目服务过程中，如甲方提供的资料不明确时可向甲方提出书面报告。</w:t>
      </w:r>
    </w:p>
    <w:p w14:paraId="6CA509FE">
      <w:pPr>
        <w:ind w:firstLine="420" w:firstLineChars="200"/>
        <w:rPr>
          <w:rFonts w:hint="eastAsia" w:ascii="宋体" w:hAnsi="宋体"/>
          <w:szCs w:val="21"/>
        </w:rPr>
      </w:pPr>
      <w:r>
        <w:rPr>
          <w:rFonts w:ascii="宋体" w:hAnsi="宋体"/>
          <w:szCs w:val="21"/>
        </w:rPr>
        <w:t>2</w:t>
      </w:r>
      <w:r>
        <w:rPr>
          <w:rFonts w:hint="eastAsia" w:ascii="宋体" w:hAnsi="宋体"/>
          <w:szCs w:val="21"/>
        </w:rPr>
        <w:t>、乙方在本项目服务过程中，有权对第三方提出与本项目服务业务有关的问题进行核对或查问。</w:t>
      </w:r>
    </w:p>
    <w:p w14:paraId="6502D483">
      <w:pPr>
        <w:ind w:firstLine="420" w:firstLineChars="200"/>
        <w:rPr>
          <w:rFonts w:hint="eastAsia" w:ascii="宋体" w:hAnsi="宋体"/>
          <w:szCs w:val="21"/>
        </w:rPr>
      </w:pPr>
      <w:r>
        <w:rPr>
          <w:rFonts w:ascii="宋体" w:hAnsi="宋体"/>
          <w:szCs w:val="21"/>
        </w:rPr>
        <w:t>3</w:t>
      </w:r>
      <w:r>
        <w:rPr>
          <w:rFonts w:hint="eastAsia" w:ascii="宋体" w:hAnsi="宋体"/>
          <w:szCs w:val="21"/>
        </w:rPr>
        <w:t>、乙方在本项目服务过程中，可根据项目需求现场勘查。</w:t>
      </w:r>
    </w:p>
    <w:p w14:paraId="53BFE7F6">
      <w:pPr>
        <w:ind w:firstLine="422" w:firstLineChars="200"/>
        <w:rPr>
          <w:rFonts w:hint="eastAsia" w:ascii="宋体" w:hAnsi="宋体"/>
          <w:b/>
          <w:bCs/>
          <w:szCs w:val="21"/>
        </w:rPr>
      </w:pPr>
      <w:r>
        <w:rPr>
          <w:rFonts w:hint="eastAsia" w:ascii="宋体" w:hAnsi="宋体"/>
          <w:b/>
          <w:bCs/>
          <w:szCs w:val="21"/>
        </w:rPr>
        <w:t>第九条  甲方的责任</w:t>
      </w:r>
    </w:p>
    <w:p w14:paraId="71CE793D">
      <w:pPr>
        <w:ind w:firstLine="420" w:firstLineChars="200"/>
        <w:rPr>
          <w:rFonts w:hint="eastAsia" w:ascii="宋体" w:hAnsi="宋体"/>
          <w:szCs w:val="21"/>
        </w:rPr>
      </w:pPr>
      <w:r>
        <w:rPr>
          <w:rFonts w:hint="eastAsia" w:ascii="宋体" w:hAnsi="宋体"/>
          <w:szCs w:val="21"/>
        </w:rPr>
        <w:t>1、应当履行本合同约定的义务，如有违反则应当承担违约责任，赔偿给乙方造成的损失。</w:t>
      </w:r>
    </w:p>
    <w:p w14:paraId="4C3E8EC0">
      <w:pPr>
        <w:ind w:firstLine="420" w:firstLineChars="200"/>
        <w:rPr>
          <w:rFonts w:hint="eastAsia" w:ascii="宋体" w:hAnsi="宋体"/>
          <w:szCs w:val="21"/>
        </w:rPr>
      </w:pPr>
      <w:r>
        <w:rPr>
          <w:rFonts w:hint="eastAsia" w:ascii="宋体" w:hAnsi="宋体"/>
          <w:szCs w:val="21"/>
        </w:rPr>
        <w:t>2、甲方向乙方提出赔偿要求不能成立时，则应补偿由于该赔偿或其他要求所导致乙方的各种费用的支出。</w:t>
      </w:r>
    </w:p>
    <w:p w14:paraId="5550E36E">
      <w:pPr>
        <w:ind w:firstLine="422" w:firstLineChars="200"/>
        <w:rPr>
          <w:rFonts w:hint="eastAsia" w:ascii="宋体" w:hAnsi="宋体"/>
          <w:b/>
          <w:bCs/>
          <w:szCs w:val="21"/>
        </w:rPr>
      </w:pPr>
      <w:r>
        <w:rPr>
          <w:rFonts w:hint="eastAsia" w:ascii="宋体" w:hAnsi="宋体"/>
          <w:b/>
          <w:bCs/>
          <w:szCs w:val="21"/>
        </w:rPr>
        <w:t>第十条  乙方的责任</w:t>
      </w:r>
    </w:p>
    <w:p w14:paraId="1D7151E2">
      <w:pPr>
        <w:ind w:firstLine="420" w:firstLineChars="200"/>
        <w:rPr>
          <w:rFonts w:hint="eastAsia" w:ascii="宋体" w:hAnsi="宋体"/>
          <w:szCs w:val="21"/>
        </w:rPr>
      </w:pPr>
      <w:r>
        <w:rPr>
          <w:rFonts w:hint="eastAsia" w:ascii="宋体" w:hAnsi="宋体"/>
          <w:szCs w:val="21"/>
        </w:rPr>
        <w:t>1、乙方的责任期即本合同有效期。如因非乙方的责任造成进度的推迟或延误而超过约定的日期，双方应进一步约定相应延长合同有效期。</w:t>
      </w:r>
    </w:p>
    <w:p w14:paraId="4BB151DA">
      <w:pPr>
        <w:ind w:firstLine="420" w:firstLineChars="200"/>
        <w:rPr>
          <w:rFonts w:hint="eastAsia" w:ascii="宋体" w:hAnsi="宋体"/>
          <w:szCs w:val="21"/>
        </w:rPr>
      </w:pPr>
      <w:r>
        <w:rPr>
          <w:rFonts w:hint="eastAsia" w:ascii="宋体" w:hAnsi="宋体"/>
          <w:szCs w:val="21"/>
        </w:rPr>
        <w:t>2、乙方的责任期内，应当履行本合同中约定的义务，因乙方的单方过失造成的经济损失，应当向甲方进行赔偿。</w:t>
      </w:r>
    </w:p>
    <w:p w14:paraId="0864CE5A">
      <w:pPr>
        <w:ind w:firstLine="420" w:firstLineChars="200"/>
        <w:rPr>
          <w:rFonts w:hint="eastAsia" w:ascii="宋体" w:hAnsi="宋体"/>
          <w:szCs w:val="21"/>
        </w:rPr>
      </w:pPr>
      <w:r>
        <w:rPr>
          <w:rFonts w:hint="eastAsia" w:ascii="宋体" w:hAnsi="宋体"/>
          <w:szCs w:val="21"/>
        </w:rPr>
        <w:t>3、乙方对甲方或第三方所提出的问题不能及时核对或答复，导致合同不能全部或部分履行，乙方应承担责任。</w:t>
      </w:r>
    </w:p>
    <w:p w14:paraId="4660C51D">
      <w:pPr>
        <w:ind w:firstLine="420" w:firstLineChars="200"/>
        <w:rPr>
          <w:rFonts w:hint="eastAsia" w:ascii="宋体" w:hAnsi="宋体"/>
          <w:szCs w:val="21"/>
        </w:rPr>
      </w:pPr>
      <w:r>
        <w:rPr>
          <w:rFonts w:hint="eastAsia" w:ascii="宋体" w:hAnsi="宋体"/>
          <w:szCs w:val="21"/>
        </w:rPr>
        <w:t>4、乙方向甲方提出赔偿要求不能成立时，则应补偿由于该赔偿或其他要求所导致甲方的各种费用的支出。</w:t>
      </w:r>
    </w:p>
    <w:p w14:paraId="3816883A">
      <w:pPr>
        <w:ind w:firstLine="422" w:firstLineChars="200"/>
        <w:rPr>
          <w:rFonts w:hint="eastAsia" w:ascii="宋体" w:hAnsi="宋体"/>
          <w:b/>
          <w:bCs/>
          <w:szCs w:val="21"/>
        </w:rPr>
      </w:pPr>
      <w:r>
        <w:rPr>
          <w:rFonts w:hint="eastAsia" w:ascii="宋体" w:hAnsi="宋体"/>
          <w:b/>
          <w:bCs/>
          <w:szCs w:val="21"/>
        </w:rPr>
        <w:t>第十一条  人员要求</w:t>
      </w:r>
    </w:p>
    <w:p w14:paraId="1574E1F6">
      <w:pPr>
        <w:ind w:firstLine="420" w:firstLineChars="200"/>
        <w:rPr>
          <w:rFonts w:hint="eastAsia" w:ascii="宋体" w:hAnsi="宋体"/>
          <w:szCs w:val="21"/>
        </w:rPr>
      </w:pPr>
      <w:r>
        <w:rPr>
          <w:rFonts w:hint="eastAsia" w:ascii="宋体" w:hAnsi="宋体"/>
          <w:szCs w:val="21"/>
        </w:rPr>
        <w:t>1、参加本项目服务人员必须具有招标文件及国家有关部门规定的相应资质。</w:t>
      </w:r>
    </w:p>
    <w:p w14:paraId="4026342C">
      <w:pPr>
        <w:ind w:firstLine="420" w:firstLineChars="200"/>
        <w:rPr>
          <w:rFonts w:hint="eastAsia" w:ascii="宋体" w:hAnsi="宋体"/>
          <w:szCs w:val="21"/>
        </w:rPr>
      </w:pPr>
      <w:r>
        <w:rPr>
          <w:rFonts w:hint="eastAsia" w:ascii="宋体" w:hAnsi="宋体"/>
          <w:szCs w:val="21"/>
        </w:rPr>
        <w:t>2、 参加本项目的服务人员的配置必须与响应文件中的服务承诺书和项目组织实施方案一致。</w:t>
      </w:r>
    </w:p>
    <w:p w14:paraId="3CF3A8C9">
      <w:pPr>
        <w:ind w:firstLine="420" w:firstLineChars="200"/>
        <w:rPr>
          <w:rFonts w:hint="eastAsia" w:ascii="宋体" w:hAnsi="宋体"/>
          <w:szCs w:val="21"/>
        </w:rPr>
      </w:pPr>
      <w:r>
        <w:rPr>
          <w:rFonts w:hint="eastAsia" w:ascii="宋体" w:hAnsi="宋体"/>
          <w:szCs w:val="21"/>
        </w:rPr>
        <w:t>3、必须以直属服务人员参与本项目服务，不得使用挂靠队伍。</w:t>
      </w:r>
    </w:p>
    <w:p w14:paraId="2B7B90AD">
      <w:pPr>
        <w:ind w:firstLine="422" w:firstLineChars="200"/>
        <w:rPr>
          <w:rFonts w:hint="eastAsia" w:ascii="宋体" w:hAnsi="宋体"/>
          <w:b/>
          <w:bCs/>
          <w:szCs w:val="21"/>
        </w:rPr>
      </w:pPr>
      <w:r>
        <w:rPr>
          <w:rFonts w:hint="eastAsia" w:ascii="宋体" w:hAnsi="宋体"/>
          <w:b/>
          <w:bCs/>
          <w:szCs w:val="21"/>
        </w:rPr>
        <w:t>第十二条  乙方服务工具要求</w:t>
      </w:r>
    </w:p>
    <w:p w14:paraId="43C2F0F5">
      <w:pPr>
        <w:ind w:firstLine="420" w:firstLineChars="200"/>
        <w:rPr>
          <w:rFonts w:hint="eastAsia" w:ascii="宋体" w:hAnsi="宋体"/>
          <w:szCs w:val="21"/>
        </w:rPr>
      </w:pPr>
      <w:r>
        <w:rPr>
          <w:rFonts w:hint="eastAsia" w:ascii="宋体" w:hAnsi="宋体"/>
          <w:szCs w:val="21"/>
        </w:rPr>
        <w:t>1、乙方应配备中选项目所需的足够数量的仪器、仪表以及工具等设备。用户不需向乙方提供施工工具和仪器、仪表。</w:t>
      </w:r>
    </w:p>
    <w:p w14:paraId="75A05F5C">
      <w:pPr>
        <w:ind w:firstLine="420" w:firstLineChars="200"/>
        <w:rPr>
          <w:rFonts w:hint="eastAsia" w:ascii="宋体" w:hAnsi="宋体"/>
          <w:szCs w:val="21"/>
        </w:rPr>
      </w:pPr>
      <w:r>
        <w:rPr>
          <w:rFonts w:hint="eastAsia" w:ascii="宋体" w:hAnsi="宋体"/>
          <w:szCs w:val="21"/>
        </w:rPr>
        <w:t>2、乙方在提供服务过程中应自备车辆。</w:t>
      </w:r>
    </w:p>
    <w:p w14:paraId="4D8F5A75">
      <w:pPr>
        <w:ind w:firstLine="422" w:firstLineChars="200"/>
        <w:rPr>
          <w:rFonts w:hint="eastAsia" w:ascii="宋体" w:hAnsi="宋体"/>
          <w:b/>
          <w:bCs/>
          <w:szCs w:val="21"/>
        </w:rPr>
      </w:pPr>
      <w:r>
        <w:rPr>
          <w:rFonts w:hint="eastAsia" w:ascii="宋体" w:hAnsi="宋体"/>
          <w:b/>
          <w:bCs/>
          <w:szCs w:val="21"/>
        </w:rPr>
        <w:t>第十三条  保密要求</w:t>
      </w:r>
    </w:p>
    <w:p w14:paraId="72F36918">
      <w:pPr>
        <w:ind w:firstLine="420" w:firstLineChars="200"/>
        <w:rPr>
          <w:rFonts w:hint="eastAsia" w:ascii="宋体" w:hAnsi="宋体"/>
          <w:szCs w:val="21"/>
        </w:rPr>
      </w:pPr>
      <w:r>
        <w:rPr>
          <w:rFonts w:hint="eastAsia" w:ascii="宋体" w:hAnsi="宋体"/>
          <w:szCs w:val="21"/>
        </w:rPr>
        <w:t>1、</w:t>
      </w:r>
      <w:r>
        <w:rPr>
          <w:rFonts w:ascii="宋体" w:hAnsi="宋体"/>
          <w:szCs w:val="21"/>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5D056C5E">
      <w:pPr>
        <w:ind w:firstLine="420" w:firstLineChars="200"/>
        <w:rPr>
          <w:rFonts w:hint="eastAsia" w:ascii="宋体" w:hAnsi="宋体"/>
          <w:szCs w:val="21"/>
        </w:rPr>
      </w:pPr>
      <w:r>
        <w:rPr>
          <w:rFonts w:hint="eastAsia" w:ascii="宋体" w:hAnsi="宋体"/>
          <w:szCs w:val="21"/>
        </w:rPr>
        <w:t>2、</w:t>
      </w:r>
      <w:r>
        <w:rPr>
          <w:rFonts w:ascii="宋体" w:hAnsi="宋体"/>
          <w:szCs w:val="21"/>
        </w:rPr>
        <w:t>乙方在履行合同过程中所获得或接触到的任何</w:t>
      </w:r>
      <w:r>
        <w:rPr>
          <w:rFonts w:hint="eastAsia" w:ascii="宋体" w:hAnsi="宋体"/>
          <w:szCs w:val="21"/>
        </w:rPr>
        <w:t>内部数据资料，未经甲方同意，不得向第三方透露。</w:t>
      </w:r>
    </w:p>
    <w:p w14:paraId="57671BC2">
      <w:pPr>
        <w:ind w:firstLine="420" w:firstLineChars="200"/>
        <w:rPr>
          <w:rFonts w:hint="eastAsia" w:ascii="宋体" w:hAnsi="宋体"/>
          <w:szCs w:val="21"/>
        </w:rPr>
      </w:pPr>
      <w:r>
        <w:rPr>
          <w:rFonts w:hint="eastAsia" w:ascii="宋体" w:hAnsi="宋体"/>
          <w:szCs w:val="21"/>
        </w:rPr>
        <w:t>3、</w:t>
      </w:r>
      <w:r>
        <w:rPr>
          <w:rFonts w:ascii="宋体" w:hAnsi="宋体"/>
          <w:szCs w:val="21"/>
        </w:rPr>
        <w:t>乙方</w:t>
      </w:r>
      <w:r>
        <w:rPr>
          <w:rFonts w:hint="eastAsia" w:ascii="宋体" w:hAnsi="宋体"/>
          <w:szCs w:val="21"/>
        </w:rPr>
        <w:t>实施项目的一切程序都应符合国家安全、保密的有关规定和标准。</w:t>
      </w:r>
    </w:p>
    <w:p w14:paraId="50403958">
      <w:pPr>
        <w:ind w:firstLine="420" w:firstLineChars="200"/>
        <w:rPr>
          <w:rFonts w:hint="eastAsia" w:ascii="宋体" w:hAnsi="宋体"/>
          <w:szCs w:val="21"/>
        </w:rPr>
      </w:pPr>
      <w:r>
        <w:rPr>
          <w:rFonts w:hint="eastAsia" w:ascii="宋体" w:hAnsi="宋体"/>
          <w:szCs w:val="21"/>
        </w:rPr>
        <w:t>4、</w:t>
      </w:r>
      <w:r>
        <w:rPr>
          <w:rFonts w:ascii="宋体" w:hAnsi="宋体"/>
          <w:szCs w:val="21"/>
        </w:rPr>
        <w:t>乙方</w:t>
      </w:r>
      <w:r>
        <w:rPr>
          <w:rFonts w:hint="eastAsia" w:ascii="宋体" w:hAnsi="宋体"/>
          <w:szCs w:val="21"/>
        </w:rPr>
        <w:t>参加项目的有关人员均需同甲方签订保密协议。</w:t>
      </w:r>
    </w:p>
    <w:p w14:paraId="6AFE2572">
      <w:pPr>
        <w:ind w:firstLine="422" w:firstLineChars="200"/>
        <w:rPr>
          <w:rFonts w:hint="eastAsia" w:ascii="宋体" w:hAnsi="宋体"/>
          <w:b/>
          <w:bCs/>
          <w:szCs w:val="21"/>
        </w:rPr>
      </w:pPr>
      <w:r>
        <w:rPr>
          <w:rFonts w:hint="eastAsia" w:ascii="宋体" w:hAnsi="宋体"/>
          <w:b/>
          <w:bCs/>
          <w:szCs w:val="21"/>
        </w:rPr>
        <w:t xml:space="preserve">第十四条  验收     </w:t>
      </w:r>
    </w:p>
    <w:p w14:paraId="60392DA8">
      <w:pPr>
        <w:ind w:firstLine="420" w:firstLineChars="200"/>
        <w:rPr>
          <w:rFonts w:hint="eastAsia" w:ascii="宋体" w:hAnsi="宋体"/>
          <w:szCs w:val="21"/>
        </w:rPr>
      </w:pPr>
      <w:r>
        <w:rPr>
          <w:rFonts w:hint="eastAsia" w:ascii="宋体" w:hAnsi="宋体"/>
          <w:szCs w:val="21"/>
        </w:rPr>
        <w:t>1、下列文件的验收分为</w:t>
      </w:r>
      <w:r>
        <w:rPr>
          <w:rFonts w:hint="eastAsia" w:ascii="宋体" w:hAnsi="宋体"/>
          <w:szCs w:val="21"/>
          <w:u w:val="single"/>
        </w:rPr>
        <w:t xml:space="preserve">          </w:t>
      </w:r>
      <w:r>
        <w:rPr>
          <w:rFonts w:hint="eastAsia" w:ascii="宋体" w:hAnsi="宋体"/>
          <w:szCs w:val="21"/>
        </w:rPr>
        <w:t>个阶段:</w:t>
      </w:r>
    </w:p>
    <w:p w14:paraId="2856C97E">
      <w:pPr>
        <w:ind w:firstLine="420" w:firstLineChars="200"/>
        <w:rPr>
          <w:rFonts w:hint="eastAsia" w:ascii="宋体" w:hAnsi="宋体"/>
          <w:szCs w:val="21"/>
        </w:rPr>
      </w:pPr>
      <w:r>
        <w:rPr>
          <w:rFonts w:hint="eastAsia" w:ascii="宋体" w:hAnsi="宋体"/>
          <w:szCs w:val="21"/>
        </w:rPr>
        <w:t>2、其余文件和工作由用户组织有关技术人员根据国家和行业有关规范、规程、标准和用户需求直接验收。</w:t>
      </w:r>
    </w:p>
    <w:p w14:paraId="4BCC6251">
      <w:pPr>
        <w:ind w:firstLine="420" w:firstLineChars="200"/>
        <w:rPr>
          <w:rFonts w:hint="eastAsia" w:ascii="宋体" w:hAnsi="宋体"/>
          <w:szCs w:val="21"/>
        </w:rPr>
      </w:pPr>
      <w:r>
        <w:rPr>
          <w:rFonts w:hint="eastAsia" w:ascii="宋体" w:hAnsi="宋体"/>
          <w:szCs w:val="21"/>
        </w:rPr>
        <w:t>3、验收依据为号采购文件、乙方响应文件，国家和行业有关规范、规程和标准。</w:t>
      </w:r>
    </w:p>
    <w:p w14:paraId="1A75A871">
      <w:pPr>
        <w:ind w:firstLine="422" w:firstLineChars="200"/>
        <w:rPr>
          <w:rFonts w:hint="eastAsia" w:ascii="宋体" w:hAnsi="宋体"/>
          <w:b/>
          <w:bCs/>
          <w:szCs w:val="21"/>
        </w:rPr>
      </w:pPr>
      <w:r>
        <w:rPr>
          <w:rFonts w:hint="eastAsia" w:ascii="宋体" w:hAnsi="宋体"/>
          <w:b/>
          <w:bCs/>
          <w:szCs w:val="21"/>
        </w:rPr>
        <w:t>第十五条  付款方式</w:t>
      </w:r>
    </w:p>
    <w:p w14:paraId="5186AAE7">
      <w:pPr>
        <w:ind w:firstLine="420" w:firstLineChars="200"/>
        <w:rPr>
          <w:rFonts w:hint="eastAsia" w:ascii="宋体" w:hAnsi="宋体"/>
          <w:szCs w:val="21"/>
        </w:rPr>
      </w:pPr>
      <w:r>
        <w:rPr>
          <w:rFonts w:hint="eastAsia" w:ascii="宋体" w:hAnsi="宋体"/>
          <w:szCs w:val="21"/>
        </w:rPr>
        <w:t>1、合同签订后天内，甲方向乙方支付合同总价%的款项。</w:t>
      </w:r>
    </w:p>
    <w:p w14:paraId="03349556">
      <w:pPr>
        <w:ind w:firstLine="420" w:firstLineChars="200"/>
        <w:rPr>
          <w:rFonts w:hint="eastAsia" w:ascii="宋体" w:hAnsi="宋体"/>
          <w:szCs w:val="21"/>
        </w:rPr>
      </w:pPr>
      <w:r>
        <w:rPr>
          <w:rFonts w:hint="eastAsia" w:ascii="宋体" w:hAnsi="宋体"/>
          <w:szCs w:val="21"/>
        </w:rPr>
        <w:t>2、全部服务完成并经甲方验收合格后，甲方向乙方支付合同总价%的款项。</w:t>
      </w:r>
    </w:p>
    <w:p w14:paraId="106650D8">
      <w:pPr>
        <w:ind w:firstLine="422" w:firstLineChars="200"/>
        <w:rPr>
          <w:rFonts w:hint="eastAsia" w:ascii="宋体" w:hAnsi="宋体"/>
          <w:b/>
          <w:bCs/>
          <w:szCs w:val="21"/>
        </w:rPr>
      </w:pPr>
      <w:r>
        <w:rPr>
          <w:rFonts w:hint="eastAsia" w:ascii="宋体" w:hAnsi="宋体"/>
          <w:b/>
          <w:bCs/>
          <w:szCs w:val="21"/>
        </w:rPr>
        <w:t>第十六条  争议解决办法</w:t>
      </w:r>
    </w:p>
    <w:p w14:paraId="3E49A1C3">
      <w:pPr>
        <w:ind w:firstLine="420" w:firstLineChars="200"/>
        <w:rPr>
          <w:rFonts w:hint="eastAsia" w:ascii="宋体" w:hAnsi="宋体"/>
          <w:szCs w:val="21"/>
        </w:rPr>
      </w:pPr>
      <w:r>
        <w:rPr>
          <w:rFonts w:hint="eastAsia" w:ascii="宋体" w:hAnsi="宋体"/>
          <w:szCs w:val="21"/>
        </w:rPr>
        <w:t>执行本合同发生的争议，</w:t>
      </w:r>
      <w:r>
        <w:rPr>
          <w:rFonts w:hint="eastAsia" w:ascii="宋体" w:hAnsi="宋体" w:cs="宋体"/>
          <w:color w:val="FF0000"/>
          <w:kern w:val="0"/>
          <w:sz w:val="22"/>
        </w:rPr>
        <w:t>由甲乙双方协商解决；协商不成，</w:t>
      </w:r>
      <w:r>
        <w:rPr>
          <w:rFonts w:hint="eastAsia" w:ascii="宋体" w:hAnsi="宋体"/>
          <w:szCs w:val="21"/>
        </w:rPr>
        <w:t>由甲方所在地人民法院管辖。</w:t>
      </w:r>
    </w:p>
    <w:p w14:paraId="5FA318AE">
      <w:pPr>
        <w:ind w:firstLine="422" w:firstLineChars="200"/>
        <w:rPr>
          <w:rFonts w:hint="eastAsia" w:ascii="宋体" w:hAnsi="宋体"/>
          <w:b/>
          <w:bCs/>
          <w:szCs w:val="21"/>
        </w:rPr>
      </w:pPr>
      <w:r>
        <w:rPr>
          <w:rFonts w:hint="eastAsia" w:ascii="宋体" w:hAnsi="宋体"/>
          <w:b/>
          <w:bCs/>
          <w:szCs w:val="21"/>
        </w:rPr>
        <w:t>第十七条  风险责任</w:t>
      </w:r>
    </w:p>
    <w:p w14:paraId="2B3C369F">
      <w:pPr>
        <w:ind w:firstLine="420" w:firstLineChars="200"/>
        <w:rPr>
          <w:rFonts w:hint="eastAsia" w:ascii="宋体" w:hAnsi="宋体"/>
          <w:szCs w:val="21"/>
        </w:rPr>
      </w:pPr>
      <w:r>
        <w:rPr>
          <w:rFonts w:hint="eastAsia" w:ascii="宋体" w:hAnsi="宋体"/>
          <w:szCs w:val="21"/>
        </w:rPr>
        <w:t>１、乙方应完全地按照号采购文件的要求和乙方响应文件的承诺完成本项目，出于自身财务、技术、人力等原因导致项目失败的，应承担全部责任。</w:t>
      </w:r>
    </w:p>
    <w:p w14:paraId="005C1FDC">
      <w:pPr>
        <w:ind w:firstLine="420" w:firstLineChars="200"/>
        <w:rPr>
          <w:rFonts w:hint="eastAsia" w:ascii="宋体" w:hAnsi="宋体"/>
          <w:szCs w:val="21"/>
        </w:rPr>
      </w:pPr>
      <w:r>
        <w:rPr>
          <w:rFonts w:hint="eastAsia" w:ascii="宋体" w:hAnsi="宋体"/>
          <w:szCs w:val="21"/>
        </w:rPr>
        <w:t>2、乙方在服务过程中应对自身的安全生产负责，若由乙方原因发生的各种事故甲方不承担任何责任。</w:t>
      </w:r>
    </w:p>
    <w:p w14:paraId="52D4EB2E">
      <w:pPr>
        <w:ind w:firstLine="422" w:firstLineChars="200"/>
        <w:rPr>
          <w:rFonts w:hint="eastAsia" w:ascii="宋体" w:hAnsi="宋体"/>
          <w:b/>
          <w:bCs/>
          <w:szCs w:val="21"/>
        </w:rPr>
      </w:pPr>
      <w:r>
        <w:rPr>
          <w:rFonts w:hint="eastAsia" w:ascii="宋体" w:hAnsi="宋体"/>
          <w:b/>
          <w:bCs/>
          <w:szCs w:val="21"/>
        </w:rPr>
        <w:t>第十八条  违约责任</w:t>
      </w:r>
    </w:p>
    <w:p w14:paraId="0D768EC5">
      <w:pPr>
        <w:pStyle w:val="18"/>
        <w:spacing w:line="324" w:lineRule="auto"/>
        <w:ind w:firstLine="420" w:firstLineChars="200"/>
        <w:rPr>
          <w:rFonts w:hint="eastAsia"/>
          <w:sz w:val="21"/>
          <w:szCs w:val="21"/>
        </w:rPr>
      </w:pPr>
      <w:r>
        <w:rPr>
          <w:rFonts w:hint="eastAsia"/>
          <w:sz w:val="21"/>
          <w:szCs w:val="21"/>
        </w:rPr>
        <w:t>投标人若未按照招投标文件及本合同要求履约，则需对履约不足的部分支付违约金，但最高不超过中标总额的10％。</w:t>
      </w:r>
    </w:p>
    <w:p w14:paraId="705478DA">
      <w:pPr>
        <w:ind w:firstLine="422" w:firstLineChars="200"/>
        <w:rPr>
          <w:rFonts w:hint="eastAsia" w:ascii="宋体" w:hAnsi="宋体"/>
          <w:b/>
          <w:bCs/>
          <w:szCs w:val="21"/>
        </w:rPr>
      </w:pPr>
      <w:r>
        <w:rPr>
          <w:rFonts w:hint="eastAsia" w:ascii="宋体" w:hAnsi="宋体"/>
          <w:b/>
          <w:bCs/>
          <w:szCs w:val="21"/>
        </w:rPr>
        <w:t>第十九条  其他</w:t>
      </w:r>
    </w:p>
    <w:p w14:paraId="3BB31A79">
      <w:pPr>
        <w:ind w:firstLine="420" w:firstLineChars="200"/>
        <w:rPr>
          <w:rFonts w:hint="eastAsia" w:ascii="宋体" w:hAnsi="宋体"/>
          <w:szCs w:val="21"/>
        </w:rPr>
      </w:pPr>
      <w:r>
        <w:rPr>
          <w:rFonts w:hint="eastAsia" w:ascii="宋体" w:hAnsi="宋体"/>
          <w:szCs w:val="21"/>
        </w:rPr>
        <w:t>1、下列文件均为本合同的重要组成部分：</w:t>
      </w:r>
    </w:p>
    <w:p w14:paraId="1C92D7D4">
      <w:pPr>
        <w:ind w:firstLine="420" w:firstLineChars="200"/>
        <w:rPr>
          <w:rFonts w:hint="eastAsia" w:ascii="宋体" w:hAnsi="宋体"/>
          <w:szCs w:val="21"/>
        </w:rPr>
      </w:pPr>
      <w:r>
        <w:rPr>
          <w:rFonts w:hint="eastAsia" w:ascii="宋体" w:hAnsi="宋体"/>
          <w:szCs w:val="21"/>
        </w:rPr>
        <w:t>（1）本项目的采购文件、答疑及补充通知；</w:t>
      </w:r>
    </w:p>
    <w:p w14:paraId="666DA487">
      <w:pPr>
        <w:ind w:firstLine="420" w:firstLineChars="200"/>
        <w:rPr>
          <w:rFonts w:hint="eastAsia" w:ascii="宋体" w:hAnsi="宋体"/>
          <w:szCs w:val="21"/>
        </w:rPr>
      </w:pPr>
      <w:r>
        <w:rPr>
          <w:rFonts w:hint="eastAsia" w:ascii="宋体" w:hAnsi="宋体"/>
          <w:szCs w:val="21"/>
        </w:rPr>
        <w:t>（2）本项目中选的响应文件；</w:t>
      </w:r>
    </w:p>
    <w:p w14:paraId="627A9DF9">
      <w:pPr>
        <w:ind w:firstLine="420" w:firstLineChars="200"/>
        <w:rPr>
          <w:rFonts w:hint="eastAsia" w:ascii="宋体" w:hAnsi="宋体"/>
          <w:szCs w:val="21"/>
        </w:rPr>
      </w:pPr>
      <w:r>
        <w:rPr>
          <w:rFonts w:hint="eastAsia" w:ascii="宋体" w:hAnsi="宋体"/>
          <w:szCs w:val="21"/>
        </w:rPr>
        <w:t>（3）本合同执行中共同签署的补充与修正文件。</w:t>
      </w:r>
    </w:p>
    <w:p w14:paraId="4A87C128">
      <w:pPr>
        <w:pStyle w:val="2"/>
      </w:pPr>
      <w:r>
        <w:rPr>
          <w:rFonts w:hint="eastAsia" w:ascii="宋体" w:hAnsi="宋体"/>
          <w:b w:val="0"/>
          <w:bCs w:val="0"/>
          <w:sz w:val="21"/>
          <w:szCs w:val="21"/>
        </w:rPr>
        <w:t>以上文件互为补充，如果出现内容冲突的情况，为准的优先顺序为（2）、（1）、（3）。</w:t>
      </w:r>
    </w:p>
    <w:p w14:paraId="2C57C453">
      <w:pPr>
        <w:ind w:firstLine="420" w:firstLineChars="200"/>
        <w:rPr>
          <w:rFonts w:hint="eastAsia" w:ascii="宋体" w:hAnsi="宋体"/>
          <w:szCs w:val="21"/>
        </w:rPr>
      </w:pPr>
      <w:r>
        <w:rPr>
          <w:rFonts w:hint="eastAsia" w:ascii="宋体" w:hAnsi="宋体"/>
          <w:szCs w:val="21"/>
        </w:rPr>
        <w:t>2、本合同一式___份，甲、乙方双方各执份，具有同等法律效力。本合同自双方法定代表人或委托代理人签字并盖章认可之日起生效。</w:t>
      </w:r>
    </w:p>
    <w:p w14:paraId="3EBDF143">
      <w:pPr>
        <w:ind w:firstLine="420" w:firstLineChars="200"/>
        <w:rPr>
          <w:rFonts w:hint="eastAsia" w:ascii="宋体" w:hAnsi="宋体"/>
          <w:szCs w:val="21"/>
        </w:rPr>
      </w:pPr>
      <w:r>
        <w:rPr>
          <w:rFonts w:hint="eastAsia" w:ascii="宋体" w:hAnsi="宋体"/>
          <w:szCs w:val="21"/>
        </w:rPr>
        <w:t>3、本合同未尽事宜，双方友好协商，达成解决方案，经双方签字后，可作为本合同的有效附件。</w:t>
      </w:r>
    </w:p>
    <w:p w14:paraId="05F18748">
      <w:pPr>
        <w:ind w:firstLine="420" w:firstLineChars="200"/>
        <w:rPr>
          <w:rFonts w:hint="eastAsia" w:ascii="宋体" w:hAnsi="宋体"/>
          <w:szCs w:val="21"/>
        </w:rPr>
      </w:pPr>
      <w:r>
        <w:rPr>
          <w:rFonts w:hint="eastAsia" w:ascii="宋体" w:hAnsi="宋体"/>
          <w:szCs w:val="21"/>
        </w:rPr>
        <w:t>本合同未尽事宜，双方友好协商，达成解决方案，经双方签字后，可作为本合同的有效附件。</w:t>
      </w:r>
    </w:p>
    <w:p w14:paraId="6D1B6526">
      <w:pPr>
        <w:ind w:firstLine="420" w:firstLineChars="200"/>
        <w:rPr>
          <w:rFonts w:hint="eastAsia" w:ascii="宋体" w:hAnsi="宋体"/>
          <w:szCs w:val="21"/>
        </w:rPr>
      </w:pPr>
    </w:p>
    <w:p w14:paraId="1F4B68B9">
      <w:pPr>
        <w:ind w:firstLine="420" w:firstLineChars="200"/>
        <w:rPr>
          <w:rFonts w:hint="eastAsia" w:ascii="宋体" w:hAnsi="宋体"/>
          <w:szCs w:val="21"/>
        </w:rPr>
      </w:pPr>
    </w:p>
    <w:p w14:paraId="6510839E">
      <w:pPr>
        <w:ind w:firstLine="420" w:firstLineChars="200"/>
        <w:rPr>
          <w:rFonts w:hint="eastAsia" w:ascii="宋体" w:hAnsi="宋体"/>
          <w:szCs w:val="21"/>
        </w:rPr>
      </w:pPr>
    </w:p>
    <w:p w14:paraId="395CCBF8">
      <w:pPr>
        <w:ind w:firstLine="420" w:firstLineChars="200"/>
        <w:rPr>
          <w:rFonts w:hint="eastAsia" w:ascii="宋体" w:hAnsi="宋体"/>
          <w:szCs w:val="21"/>
        </w:rPr>
      </w:pPr>
    </w:p>
    <w:p w14:paraId="3A52800D">
      <w:pPr>
        <w:rPr>
          <w:rFonts w:hint="eastAsia" w:ascii="宋体" w:hAnsi="宋体"/>
          <w:szCs w:val="21"/>
          <w:u w:val="single"/>
        </w:rPr>
      </w:pPr>
      <w:r>
        <w:rPr>
          <w:rFonts w:hint="eastAsia" w:ascii="宋体" w:hAnsi="宋体"/>
          <w:szCs w:val="21"/>
        </w:rPr>
        <w:t>甲方：    乙方：</w:t>
      </w:r>
    </w:p>
    <w:p w14:paraId="587EEBBA">
      <w:pPr>
        <w:ind w:firstLine="1890" w:firstLineChars="900"/>
        <w:rPr>
          <w:rFonts w:hint="eastAsia" w:ascii="宋体" w:hAnsi="宋体"/>
          <w:szCs w:val="21"/>
        </w:rPr>
      </w:pPr>
      <w:r>
        <w:rPr>
          <w:rFonts w:hint="eastAsia" w:ascii="宋体" w:hAnsi="宋体"/>
          <w:szCs w:val="21"/>
        </w:rPr>
        <w:t>（签章）                         （签章）</w:t>
      </w:r>
    </w:p>
    <w:p w14:paraId="095AC899">
      <w:pPr>
        <w:ind w:firstLine="2730" w:firstLineChars="1300"/>
        <w:rPr>
          <w:rFonts w:hint="eastAsia" w:ascii="宋体" w:hAnsi="宋体"/>
          <w:szCs w:val="21"/>
        </w:rPr>
      </w:pPr>
    </w:p>
    <w:p w14:paraId="7DB61B69">
      <w:pPr>
        <w:ind w:firstLine="420" w:firstLineChars="200"/>
        <w:rPr>
          <w:rFonts w:hint="eastAsia" w:ascii="宋体" w:hAnsi="宋体"/>
          <w:szCs w:val="21"/>
        </w:rPr>
      </w:pPr>
      <w:r>
        <w:rPr>
          <w:rFonts w:hint="eastAsia" w:ascii="宋体" w:hAnsi="宋体"/>
          <w:szCs w:val="21"/>
        </w:rPr>
        <w:t xml:space="preserve">地址：                        地址： </w:t>
      </w:r>
    </w:p>
    <w:p w14:paraId="349D0F02">
      <w:pPr>
        <w:ind w:firstLine="420" w:firstLineChars="200"/>
        <w:rPr>
          <w:rFonts w:hint="eastAsia" w:ascii="宋体" w:hAnsi="宋体"/>
          <w:szCs w:val="21"/>
        </w:rPr>
      </w:pPr>
      <w:r>
        <w:rPr>
          <w:rFonts w:hint="eastAsia" w:ascii="宋体" w:hAnsi="宋体"/>
          <w:szCs w:val="21"/>
        </w:rPr>
        <w:t>法定代表人：（签章）           法定代表人：（签章）</w:t>
      </w:r>
    </w:p>
    <w:p w14:paraId="13374253">
      <w:pPr>
        <w:ind w:firstLine="420" w:firstLineChars="200"/>
        <w:rPr>
          <w:rFonts w:hint="eastAsia" w:ascii="宋体" w:hAnsi="宋体"/>
          <w:szCs w:val="21"/>
        </w:rPr>
      </w:pPr>
      <w:r>
        <w:rPr>
          <w:rFonts w:hint="eastAsia" w:ascii="宋体" w:hAnsi="宋体"/>
          <w:szCs w:val="21"/>
        </w:rPr>
        <w:t>开户行：                      开户行：</w:t>
      </w:r>
    </w:p>
    <w:p w14:paraId="09EF6274">
      <w:pPr>
        <w:ind w:firstLine="420" w:firstLineChars="200"/>
        <w:rPr>
          <w:rFonts w:hint="eastAsia" w:ascii="宋体" w:hAnsi="宋体"/>
          <w:szCs w:val="21"/>
        </w:rPr>
      </w:pPr>
      <w:r>
        <w:rPr>
          <w:rFonts w:hint="eastAsia" w:ascii="宋体" w:hAnsi="宋体"/>
          <w:szCs w:val="21"/>
        </w:rPr>
        <w:t>人民币账号：                  人民币账号：</w:t>
      </w:r>
    </w:p>
    <w:p w14:paraId="45025E19">
      <w:pPr>
        <w:ind w:firstLine="420" w:firstLineChars="200"/>
        <w:rPr>
          <w:rFonts w:hint="eastAsia" w:ascii="宋体" w:hAnsi="宋体"/>
          <w:szCs w:val="21"/>
        </w:rPr>
      </w:pPr>
      <w:r>
        <w:rPr>
          <w:rFonts w:hint="eastAsia" w:ascii="宋体" w:hAnsi="宋体"/>
          <w:szCs w:val="21"/>
        </w:rPr>
        <w:t>联系人：                      联系人：</w:t>
      </w:r>
    </w:p>
    <w:p w14:paraId="3AB31AFD">
      <w:pPr>
        <w:ind w:firstLine="420" w:firstLineChars="200"/>
        <w:rPr>
          <w:rFonts w:hint="eastAsia" w:ascii="宋体" w:hAnsi="宋体"/>
          <w:szCs w:val="21"/>
        </w:rPr>
      </w:pPr>
      <w:r>
        <w:rPr>
          <w:rFonts w:hint="eastAsia" w:ascii="宋体" w:hAnsi="宋体"/>
          <w:szCs w:val="21"/>
        </w:rPr>
        <w:t>电话：                        电话：</w:t>
      </w:r>
    </w:p>
    <w:p w14:paraId="62E9D464">
      <w:pPr>
        <w:keepNext/>
        <w:keepLines/>
        <w:spacing w:before="340" w:after="78" w:afterLines="25" w:line="578" w:lineRule="auto"/>
        <w:jc w:val="center"/>
        <w:outlineLvl w:val="0"/>
        <w:rPr>
          <w:rFonts w:hint="eastAsia" w:ascii="宋体" w:hAnsi="宋体"/>
          <w:szCs w:val="21"/>
        </w:rPr>
      </w:pPr>
      <w:r>
        <w:rPr>
          <w:rFonts w:hint="eastAsia" w:ascii="宋体" w:hAnsi="宋体"/>
          <w:szCs w:val="21"/>
        </w:rPr>
        <w:t>日期：                        日期：</w:t>
      </w:r>
    </w:p>
    <w:p w14:paraId="29F925D2">
      <w:pPr>
        <w:keepNext/>
        <w:keepLines/>
        <w:spacing w:before="340" w:after="78" w:afterLines="25" w:line="578" w:lineRule="auto"/>
        <w:jc w:val="center"/>
        <w:outlineLvl w:val="0"/>
        <w:rPr>
          <w:rFonts w:hint="eastAsia" w:ascii="宋体" w:hAnsi="宋体"/>
          <w:szCs w:val="21"/>
        </w:rPr>
      </w:pPr>
    </w:p>
    <w:p w14:paraId="2F7FFB33">
      <w:pPr>
        <w:keepNext/>
        <w:keepLines/>
        <w:spacing w:before="340" w:after="78" w:afterLines="25" w:line="578" w:lineRule="auto"/>
        <w:jc w:val="center"/>
        <w:outlineLvl w:val="0"/>
        <w:rPr>
          <w:rFonts w:hint="eastAsia" w:ascii="宋体" w:hAnsi="宋体"/>
          <w:szCs w:val="21"/>
        </w:rPr>
      </w:pPr>
    </w:p>
    <w:p w14:paraId="2787BE59">
      <w:pPr>
        <w:keepNext/>
        <w:keepLines/>
        <w:spacing w:before="340" w:after="78" w:afterLines="25" w:line="578" w:lineRule="auto"/>
        <w:jc w:val="center"/>
        <w:outlineLvl w:val="0"/>
        <w:rPr>
          <w:rFonts w:hint="eastAsia" w:ascii="宋体" w:hAnsi="宋体"/>
          <w:szCs w:val="21"/>
        </w:rPr>
      </w:pPr>
    </w:p>
    <w:p w14:paraId="42F59440">
      <w:pPr>
        <w:keepNext/>
        <w:keepLines/>
        <w:spacing w:before="340" w:after="78" w:afterLines="25" w:line="578" w:lineRule="auto"/>
        <w:jc w:val="center"/>
        <w:outlineLvl w:val="0"/>
        <w:rPr>
          <w:rFonts w:ascii="Arial" w:hAnsi="Arial" w:eastAsia="宋体" w:cs="Times New Roman"/>
          <w:b/>
          <w:bCs/>
          <w:kern w:val="44"/>
          <w:sz w:val="32"/>
          <w:szCs w:val="32"/>
        </w:rPr>
      </w:pPr>
      <w:r>
        <w:rPr>
          <w:rFonts w:hint="eastAsia" w:ascii="Arial" w:hAnsi="Arial" w:eastAsia="宋体" w:cs="Times New Roman"/>
          <w:b/>
          <w:bCs/>
          <w:kern w:val="44"/>
          <w:sz w:val="32"/>
          <w:szCs w:val="32"/>
        </w:rPr>
        <w:t>第二册  通用条款（公开招标）</w:t>
      </w:r>
    </w:p>
    <w:p w14:paraId="525F7819">
      <w:pPr>
        <w:pStyle w:val="38"/>
        <w:keepNext/>
        <w:keepLines/>
        <w:numPr>
          <w:ilvl w:val="0"/>
          <w:numId w:val="10"/>
        </w:numPr>
        <w:tabs>
          <w:tab w:val="left" w:pos="720"/>
        </w:tabs>
        <w:adjustRightInd w:val="0"/>
        <w:spacing w:before="156" w:beforeLines="50" w:after="156" w:afterLines="50"/>
        <w:ind w:firstLineChars="0"/>
        <w:jc w:val="center"/>
        <w:textAlignment w:val="baseline"/>
        <w:outlineLvl w:val="1"/>
        <w:rPr>
          <w:rFonts w:asciiTheme="majorHAnsi" w:hAnsiTheme="majorHAnsi" w:eastAsiaTheme="majorEastAsia" w:cstheme="majorBidi"/>
          <w:b/>
          <w:bCs/>
          <w:sz w:val="28"/>
          <w:szCs w:val="28"/>
        </w:rPr>
      </w:pPr>
      <w:bookmarkStart w:id="40" w:name="_Hlk72399513"/>
      <w:r>
        <w:rPr>
          <w:rFonts w:hint="eastAsia" w:asciiTheme="majorHAnsi" w:hAnsiTheme="majorHAnsi" w:eastAsiaTheme="majorEastAsia" w:cstheme="majorBidi"/>
          <w:b/>
          <w:bCs/>
          <w:sz w:val="28"/>
          <w:szCs w:val="28"/>
        </w:rPr>
        <w:t>总则</w:t>
      </w:r>
    </w:p>
    <w:bookmarkEnd w:id="40"/>
    <w:p w14:paraId="54DC9BDA">
      <w:pPr>
        <w:rPr>
          <w:rFonts w:hint="eastAsia" w:ascii="黑体" w:hAnsi="宋体" w:eastAsia="黑体"/>
          <w:sz w:val="24"/>
        </w:rPr>
      </w:pPr>
      <w:bookmarkStart w:id="41" w:name="_Hlk72439706"/>
      <w:r>
        <w:rPr>
          <w:rFonts w:hint="eastAsia" w:ascii="黑体" w:hAnsi="宋体" w:eastAsia="黑体"/>
          <w:sz w:val="24"/>
        </w:rPr>
        <w:t>1. 通用条款说明</w:t>
      </w:r>
    </w:p>
    <w:p w14:paraId="3D0BFCCA">
      <w:pPr>
        <w:ind w:firstLine="411" w:firstLineChars="196"/>
        <w:rPr>
          <w:rFonts w:hint="eastAsia" w:ascii="宋体" w:hAnsi="宋体"/>
          <w:szCs w:val="21"/>
        </w:rPr>
      </w:pPr>
      <w:r>
        <w:rPr>
          <w:rFonts w:hint="eastAsia" w:ascii="宋体" w:hAnsi="宋体"/>
          <w:szCs w:val="21"/>
        </w:rPr>
        <w:t>1.1政府集中采购机构发出招标文件通用条款版本，列出深圳市政府采购项目进行招标采购所适用的通用条款内容。</w:t>
      </w:r>
      <w:bookmarkStart w:id="42" w:name="_Hlk72399729"/>
      <w:r>
        <w:rPr>
          <w:rFonts w:hint="eastAsia" w:ascii="宋体" w:hAnsi="宋体"/>
          <w:szCs w:val="21"/>
        </w:rPr>
        <w:t>如有需要，政府集中采购机构可以对通用条款的内容进行补充。</w:t>
      </w:r>
      <w:bookmarkEnd w:id="42"/>
    </w:p>
    <w:p w14:paraId="20C9780B">
      <w:pPr>
        <w:ind w:firstLine="411" w:firstLineChars="196"/>
        <w:rPr>
          <w:rFonts w:hint="eastAsia" w:ascii="宋体" w:hAnsi="宋体"/>
          <w:szCs w:val="21"/>
        </w:rPr>
      </w:pPr>
      <w:r>
        <w:rPr>
          <w:rFonts w:hint="eastAsia" w:ascii="宋体" w:hAnsi="宋体"/>
          <w:szCs w:val="21"/>
        </w:rPr>
        <w:t>1.2招标文件分为第一册“专用条款”和第二册“通用条款”。</w:t>
      </w:r>
    </w:p>
    <w:p w14:paraId="457AD8E1">
      <w:pPr>
        <w:ind w:firstLine="411" w:firstLineChars="196"/>
        <w:rPr>
          <w:rFonts w:hint="eastAsia" w:ascii="宋体" w:hAnsi="宋体"/>
          <w:szCs w:val="21"/>
        </w:rPr>
      </w:pPr>
      <w:r>
        <w:rPr>
          <w:rFonts w:hint="eastAsia" w:ascii="宋体" w:hAnsi="宋体"/>
          <w:szCs w:val="21"/>
        </w:rPr>
        <w:t>1.3“专用条款”是对本次采购项目的具体要求，包含招标公告、对通用条款的补充内容及其他关键信息、用户需求书、投标文件格式及附件、合同条款及格式等内容。</w:t>
      </w:r>
    </w:p>
    <w:p w14:paraId="2575EC96">
      <w:pPr>
        <w:ind w:firstLine="411" w:firstLineChars="196"/>
        <w:rPr>
          <w:rFonts w:hint="eastAsia" w:ascii="宋体" w:hAnsi="宋体"/>
          <w:szCs w:val="21"/>
        </w:rPr>
      </w:pPr>
      <w:r>
        <w:rPr>
          <w:rFonts w:hint="eastAsia" w:ascii="宋体" w:hAnsi="宋体"/>
          <w:szCs w:val="21"/>
        </w:rPr>
        <w:t>1.4“通用条款”是适用于政府采购公开招标项目的基础性条款，具有普遍性和通用性。</w:t>
      </w:r>
    </w:p>
    <w:p w14:paraId="70B0B164">
      <w:pPr>
        <w:ind w:firstLine="411" w:firstLineChars="196"/>
        <w:rPr>
          <w:rFonts w:hint="eastAsia" w:ascii="宋体" w:hAnsi="宋体"/>
          <w:szCs w:val="21"/>
        </w:rPr>
      </w:pPr>
      <w:r>
        <w:rPr>
          <w:rFonts w:hint="eastAsia" w:ascii="宋体" w:hAnsi="宋体"/>
          <w:szCs w:val="21"/>
        </w:rPr>
        <w:t>1.5 “专用条款”和“通用条款”表述不一致或有冲突时，以“专用条款”为准。</w:t>
      </w:r>
    </w:p>
    <w:p w14:paraId="2E40792A">
      <w:pPr>
        <w:rPr>
          <w:rFonts w:hint="eastAsia" w:ascii="黑体" w:hAnsi="宋体" w:eastAsia="黑体"/>
          <w:sz w:val="24"/>
        </w:rPr>
      </w:pPr>
      <w:r>
        <w:rPr>
          <w:rFonts w:hint="eastAsia" w:ascii="黑体" w:hAnsi="宋体" w:eastAsia="黑体"/>
          <w:sz w:val="24"/>
        </w:rPr>
        <w:t>2</w:t>
      </w:r>
      <w:r>
        <w:rPr>
          <w:rFonts w:ascii="黑体" w:hAnsi="宋体" w:eastAsia="黑体"/>
          <w:sz w:val="24"/>
        </w:rPr>
        <w:t>．</w:t>
      </w:r>
      <w:r>
        <w:rPr>
          <w:rFonts w:hint="eastAsia" w:ascii="黑体" w:hAnsi="宋体" w:eastAsia="黑体"/>
          <w:sz w:val="24"/>
        </w:rPr>
        <w:t>招标说明</w:t>
      </w:r>
    </w:p>
    <w:p w14:paraId="304F49F4">
      <w:pPr>
        <w:ind w:firstLine="411" w:firstLineChars="196"/>
        <w:rPr>
          <w:rFonts w:hint="eastAsia" w:ascii="宋体" w:hAnsi="宋体"/>
          <w:szCs w:val="21"/>
        </w:rPr>
      </w:pPr>
      <w:r>
        <w:rPr>
          <w:rFonts w:hint="eastAsia" w:ascii="宋体" w:hAnsi="宋体"/>
          <w:szCs w:val="21"/>
        </w:rPr>
        <w:t>本项目参照《深圳经济特区政府采购条例》、《深圳经济特区政府采购条例实施细则》及政府采购其他法律法规，通过公开招标方式确定中标供应商。</w:t>
      </w:r>
    </w:p>
    <w:p w14:paraId="4144726C">
      <w:pPr>
        <w:rPr>
          <w:rFonts w:hint="eastAsia" w:ascii="黑体" w:hAnsi="宋体" w:eastAsia="黑体"/>
          <w:sz w:val="24"/>
        </w:rPr>
      </w:pPr>
      <w:r>
        <w:rPr>
          <w:rFonts w:hint="eastAsia" w:ascii="黑体" w:hAnsi="宋体" w:eastAsia="黑体"/>
          <w:sz w:val="24"/>
        </w:rPr>
        <w:t>3．定义</w:t>
      </w:r>
    </w:p>
    <w:p w14:paraId="0A88DAF6">
      <w:pPr>
        <w:ind w:firstLine="420" w:firstLineChars="200"/>
        <w:rPr>
          <w:rFonts w:hint="eastAsia" w:ascii="宋体" w:hAnsi="宋体"/>
          <w:szCs w:val="21"/>
        </w:rPr>
      </w:pPr>
      <w:r>
        <w:rPr>
          <w:rFonts w:ascii="宋体" w:hAnsi="宋体"/>
          <w:szCs w:val="21"/>
        </w:rPr>
        <w:t>招标文件中下列术语应解释为：</w:t>
      </w:r>
    </w:p>
    <w:p w14:paraId="5AE76CF6">
      <w:pPr>
        <w:ind w:firstLine="411" w:firstLineChars="196"/>
        <w:rPr>
          <w:rFonts w:hint="eastAsia" w:ascii="宋体" w:hAnsi="宋体"/>
          <w:szCs w:val="21"/>
        </w:rPr>
      </w:pPr>
      <w:r>
        <w:rPr>
          <w:rFonts w:hint="eastAsia" w:ascii="宋体" w:hAnsi="宋体"/>
          <w:szCs w:val="21"/>
        </w:rPr>
        <w:t>3.</w:t>
      </w:r>
      <w:r>
        <w:rPr>
          <w:rFonts w:ascii="宋体" w:hAnsi="宋体"/>
          <w:szCs w:val="21"/>
        </w:rPr>
        <w:t>1</w:t>
      </w:r>
      <w:r>
        <w:rPr>
          <w:rFonts w:hint="eastAsia" w:ascii="宋体" w:hAnsi="宋体"/>
          <w:szCs w:val="21"/>
        </w:rPr>
        <w:t>“采购人”：指利用财政性资金依法进行政府采购的国家机关、事业单位、团体组织；</w:t>
      </w:r>
      <w:r>
        <w:rPr>
          <w:rFonts w:ascii="宋体" w:hAnsi="宋体"/>
          <w:szCs w:val="21"/>
        </w:rPr>
        <w:t xml:space="preserve"> </w:t>
      </w:r>
    </w:p>
    <w:p w14:paraId="1736A48F">
      <w:pPr>
        <w:ind w:firstLine="411" w:firstLineChars="196"/>
        <w:rPr>
          <w:rFonts w:hint="eastAsia" w:ascii="宋体" w:hAnsi="宋体"/>
          <w:szCs w:val="21"/>
        </w:rPr>
      </w:pPr>
      <w:r>
        <w:rPr>
          <w:rFonts w:hint="eastAsia" w:ascii="宋体" w:hAnsi="宋体"/>
          <w:szCs w:val="21"/>
        </w:rPr>
        <w:t>3.2 “政府集中采购机构”</w:t>
      </w:r>
      <w:r>
        <w:rPr>
          <w:rFonts w:hint="eastAsia" w:ascii="Arial" w:hAnsi="Arial" w:cs="Arial"/>
          <w:szCs w:val="21"/>
          <w:shd w:val="clear" w:color="auto" w:fill="FFFFFF"/>
        </w:rPr>
        <w:t>是指市政府设立的，组织实施政府采购项目，并对政府采购活动提供服务的专门机构；</w:t>
      </w:r>
      <w:r>
        <w:rPr>
          <w:rFonts w:hint="eastAsia" w:ascii="宋体" w:hAnsi="宋体"/>
          <w:szCs w:val="21"/>
        </w:rPr>
        <w:t>本文件所述的“政府集中采购机构”</w:t>
      </w:r>
      <w:r>
        <w:rPr>
          <w:rFonts w:ascii="宋体" w:hAnsi="宋体"/>
          <w:szCs w:val="21"/>
        </w:rPr>
        <w:t>指</w:t>
      </w:r>
      <w:r>
        <w:rPr>
          <w:rFonts w:hint="eastAsia" w:ascii="宋体" w:hAnsi="宋体"/>
          <w:b/>
          <w:bCs/>
          <w:szCs w:val="21"/>
        </w:rPr>
        <w:t>深圳公共资源交易中心</w:t>
      </w:r>
      <w:r>
        <w:rPr>
          <w:rFonts w:hint="eastAsia" w:ascii="宋体" w:hAnsi="宋体"/>
          <w:szCs w:val="21"/>
        </w:rPr>
        <w:t>；</w:t>
      </w:r>
    </w:p>
    <w:p w14:paraId="0F998E2D">
      <w:pPr>
        <w:ind w:firstLine="411" w:firstLineChars="196"/>
        <w:rPr>
          <w:rFonts w:hint="eastAsia" w:ascii="宋体" w:hAnsi="宋体"/>
          <w:szCs w:val="21"/>
        </w:rPr>
      </w:pPr>
      <w:r>
        <w:rPr>
          <w:rFonts w:hint="eastAsia" w:ascii="宋体" w:hAnsi="宋体"/>
          <w:szCs w:val="21"/>
        </w:rPr>
        <w:t>3.3“投标人”，即供应商，指参加投标竞争并愿意按照招标文件要求向采购人提供货物、工程或者服务的依法成立的法人、其他组织或者自然人；</w:t>
      </w:r>
    </w:p>
    <w:p w14:paraId="0F9EE687">
      <w:pPr>
        <w:ind w:firstLine="411" w:firstLineChars="196"/>
        <w:rPr>
          <w:rFonts w:hint="eastAsia" w:ascii="宋体" w:hAnsi="宋体"/>
          <w:szCs w:val="21"/>
        </w:rPr>
      </w:pPr>
      <w:r>
        <w:rPr>
          <w:rFonts w:hint="eastAsia" w:ascii="宋体" w:hAnsi="宋体"/>
          <w:szCs w:val="21"/>
        </w:rPr>
        <w:t>3.4“评审委员会”是依据《深圳经济特区政府采购条例》、《深圳经济特区政府采购条例实施细则》等有关规定组建的专门负责本次招标其评审工作的临时性机构；</w:t>
      </w:r>
    </w:p>
    <w:p w14:paraId="5CB95D26">
      <w:pPr>
        <w:ind w:firstLine="411" w:firstLineChars="196"/>
        <w:rPr>
          <w:rFonts w:hint="eastAsia" w:ascii="宋体" w:hAnsi="宋体"/>
          <w:szCs w:val="21"/>
        </w:rPr>
      </w:pPr>
      <w:r>
        <w:rPr>
          <w:rFonts w:hint="eastAsia" w:ascii="宋体" w:hAnsi="宋体"/>
          <w:szCs w:val="21"/>
        </w:rPr>
        <w:t>3.5“日期”</w:t>
      </w:r>
      <w:r>
        <w:rPr>
          <w:rFonts w:ascii="宋体" w:hAnsi="宋体"/>
          <w:szCs w:val="21"/>
        </w:rPr>
        <w:t>指</w:t>
      </w:r>
      <w:r>
        <w:rPr>
          <w:rFonts w:hint="eastAsia" w:ascii="宋体" w:hAnsi="宋体"/>
          <w:szCs w:val="21"/>
        </w:rPr>
        <w:t>公历日；</w:t>
      </w:r>
    </w:p>
    <w:p w14:paraId="5026B9D4">
      <w:pPr>
        <w:ind w:firstLine="411" w:firstLineChars="196"/>
        <w:rPr>
          <w:rFonts w:hint="eastAsia" w:ascii="宋体" w:hAnsi="宋体"/>
          <w:szCs w:val="21"/>
        </w:rPr>
      </w:pPr>
      <w:r>
        <w:rPr>
          <w:rFonts w:hint="eastAsia" w:ascii="宋体" w:hAnsi="宋体"/>
          <w:szCs w:val="21"/>
        </w:rPr>
        <w:t>3.6“合同”指由本次招标所产生的合同或合约文件；</w:t>
      </w:r>
    </w:p>
    <w:p w14:paraId="7573626E">
      <w:pPr>
        <w:ind w:firstLine="411" w:firstLineChars="196"/>
        <w:rPr>
          <w:rFonts w:hint="eastAsia" w:ascii="宋体" w:hAnsi="宋体"/>
          <w:szCs w:val="21"/>
        </w:rPr>
      </w:pPr>
      <w:r>
        <w:rPr>
          <w:rFonts w:hint="eastAsia" w:ascii="宋体" w:hAnsi="宋体"/>
          <w:szCs w:val="21"/>
        </w:rPr>
        <w:t>3.7“电子投标文件”指利用</w:t>
      </w:r>
      <w:r>
        <w:rPr>
          <w:rFonts w:hint="eastAsia" w:ascii="宋体" w:hAnsi="宋体"/>
          <w:b/>
          <w:bCs/>
          <w:color w:val="FF0000"/>
          <w:szCs w:val="21"/>
        </w:rPr>
        <w:t>深圳公共资源交易中心（深圳交易集团有限公司龙华分公司）</w:t>
      </w:r>
      <w:r>
        <w:rPr>
          <w:rFonts w:hint="eastAsia" w:ascii="宋体" w:hAnsi="宋体"/>
          <w:szCs w:val="21"/>
        </w:rPr>
        <w:t>网站提供的深圳智慧采购平台投标文件制作专用软件（以下简称：投标文件制作软件）制作并加密的投标文件,适用于网上投标；（投标文件制作软件可从“下载地址：http://zfcg.szggzy.com:8081/cgxy/013002/20210923/173e0b2c-7a4c-4246-a0c7-e0ea75d84dd6.html深圳智慧采购平台投标文件制作专用软件.zip”下载）</w:t>
      </w:r>
    </w:p>
    <w:p w14:paraId="54E42040">
      <w:pPr>
        <w:ind w:firstLine="411" w:firstLineChars="196"/>
        <w:rPr>
          <w:rFonts w:hint="eastAsia" w:ascii="宋体" w:hAnsi="宋体"/>
          <w:szCs w:val="21"/>
        </w:rPr>
      </w:pPr>
      <w:r>
        <w:rPr>
          <w:rFonts w:hint="eastAsia" w:ascii="宋体" w:hAnsi="宋体"/>
          <w:szCs w:val="21"/>
        </w:rPr>
        <w:t>3.8“网上投标”指通过</w:t>
      </w:r>
      <w:r>
        <w:rPr>
          <w:rFonts w:hint="eastAsia" w:ascii="宋体" w:hAnsi="宋体"/>
          <w:b/>
          <w:bCs/>
          <w:color w:val="FF0000"/>
          <w:szCs w:val="21"/>
        </w:rPr>
        <w:t>深圳公共资源交易中心（深圳交易集团有限公司龙华分公司）</w:t>
      </w:r>
      <w:r>
        <w:rPr>
          <w:rFonts w:hint="eastAsia" w:ascii="宋体" w:hAnsi="宋体"/>
          <w:szCs w:val="21"/>
        </w:rPr>
        <w:t>网站上传电子投标文件；</w:t>
      </w:r>
    </w:p>
    <w:p w14:paraId="4CCEE5B5">
      <w:pPr>
        <w:ind w:firstLine="411" w:firstLineChars="196"/>
        <w:rPr>
          <w:rFonts w:hint="eastAsia" w:ascii="宋体" w:hAnsi="宋体"/>
          <w:szCs w:val="21"/>
        </w:rPr>
      </w:pPr>
      <w:r>
        <w:rPr>
          <w:rFonts w:hint="eastAsia" w:ascii="宋体" w:hAnsi="宋体"/>
          <w:szCs w:val="21"/>
        </w:rPr>
        <w:t>3.9招标文件中的标题或题名仅起引导作用，而不应视为对招标文件内容的理解和解释。</w:t>
      </w:r>
    </w:p>
    <w:p w14:paraId="597E29CD">
      <w:pPr>
        <w:rPr>
          <w:rFonts w:hint="eastAsia" w:ascii="黑体" w:hAnsi="宋体" w:eastAsia="黑体"/>
          <w:sz w:val="24"/>
        </w:rPr>
      </w:pPr>
      <w:r>
        <w:rPr>
          <w:rFonts w:hint="eastAsia" w:ascii="黑体" w:hAnsi="宋体" w:eastAsia="黑体"/>
          <w:sz w:val="24"/>
        </w:rPr>
        <w:t xml:space="preserve">4. </w:t>
      </w:r>
      <w:bookmarkStart w:id="43" w:name="_Hlk72398643"/>
      <w:r>
        <w:rPr>
          <w:rFonts w:hint="eastAsia" w:ascii="黑体" w:hAnsi="宋体" w:eastAsia="黑体"/>
          <w:sz w:val="24"/>
        </w:rPr>
        <w:t>政府采购供应商责任</w:t>
      </w:r>
    </w:p>
    <w:p w14:paraId="4E48E751">
      <w:pPr>
        <w:ind w:firstLine="411" w:firstLineChars="196"/>
        <w:rPr>
          <w:rFonts w:hint="eastAsia" w:ascii="宋体" w:hAnsi="宋体"/>
          <w:szCs w:val="21"/>
        </w:rPr>
      </w:pPr>
      <w:r>
        <w:rPr>
          <w:rFonts w:hint="eastAsia" w:ascii="宋体" w:hAnsi="宋体"/>
          <w:szCs w:val="21"/>
        </w:rPr>
        <w:t>4.1欢迎诚信、有实力和有社会责任心的供应商参与政府采购事业。</w:t>
      </w:r>
    </w:p>
    <w:p w14:paraId="4587422B">
      <w:pPr>
        <w:ind w:firstLine="411" w:firstLineChars="196"/>
        <w:rPr>
          <w:rFonts w:hint="eastAsia"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14:paraId="6D1B4635">
      <w:pPr>
        <w:rPr>
          <w:rFonts w:hint="eastAsia" w:ascii="黑体" w:hAnsi="宋体" w:eastAsia="黑体"/>
          <w:sz w:val="24"/>
        </w:rPr>
      </w:pPr>
      <w:r>
        <w:rPr>
          <w:rFonts w:hint="eastAsia" w:ascii="黑体" w:hAnsi="宋体" w:eastAsia="黑体"/>
          <w:sz w:val="24"/>
        </w:rPr>
        <w:t>5．投标人参加政府采购的条件</w:t>
      </w:r>
    </w:p>
    <w:p w14:paraId="1BA23377">
      <w:pPr>
        <w:ind w:firstLine="411" w:firstLineChars="196"/>
        <w:jc w:val="left"/>
        <w:rPr>
          <w:rFonts w:hint="eastAsia" w:ascii="宋体" w:hAnsi="宋体"/>
          <w:szCs w:val="21"/>
        </w:rPr>
      </w:pPr>
      <w:r>
        <w:rPr>
          <w:rFonts w:hint="eastAsia" w:ascii="宋体" w:hAnsi="宋体"/>
          <w:szCs w:val="21"/>
        </w:rPr>
        <w:t>5.1投标人应在投标前到</w:t>
      </w:r>
      <w:r>
        <w:rPr>
          <w:rFonts w:hint="eastAsia" w:ascii="宋体" w:hAnsi="宋体"/>
          <w:b/>
          <w:bCs/>
          <w:szCs w:val="21"/>
        </w:rPr>
        <w:t>深圳公共资源交易中心（具体在深圳交易集团有限公司政府采购业务分公司进行办理）</w:t>
      </w:r>
      <w:r>
        <w:rPr>
          <w:rFonts w:hint="eastAsia" w:ascii="宋体" w:hAnsi="宋体"/>
          <w:szCs w:val="21"/>
        </w:rPr>
        <w:t>进行注册并办理电子密钥。《供应商注册及信息变更指引》详见www.szggzy.com网站“交易服务指南-政府采购”。</w:t>
      </w:r>
    </w:p>
    <w:p w14:paraId="34B81B69">
      <w:pPr>
        <w:ind w:firstLine="411" w:firstLineChars="196"/>
        <w:rPr>
          <w:rFonts w:hint="eastAsia" w:ascii="宋体" w:hAnsi="宋体"/>
          <w:szCs w:val="21"/>
        </w:rPr>
      </w:pPr>
      <w:r>
        <w:rPr>
          <w:rFonts w:hint="eastAsia" w:ascii="宋体" w:hAnsi="宋体"/>
          <w:szCs w:val="21"/>
        </w:rPr>
        <w:t>5.2投标人资格要求</w:t>
      </w:r>
    </w:p>
    <w:p w14:paraId="5F96977E">
      <w:pPr>
        <w:ind w:firstLine="411" w:firstLineChars="196"/>
        <w:rPr>
          <w:rFonts w:hint="eastAsia" w:ascii="宋体" w:hAnsi="宋体"/>
          <w:szCs w:val="21"/>
        </w:rPr>
      </w:pPr>
      <w:r>
        <w:rPr>
          <w:rFonts w:hint="eastAsia" w:ascii="宋体" w:hAnsi="宋体"/>
          <w:szCs w:val="21"/>
        </w:rPr>
        <w:t>参加本项目的投标人应具备的资格条件详见本项目招标公告中 “投标人资格要求”（即申请人的资格要求）的内容。</w:t>
      </w:r>
    </w:p>
    <w:p w14:paraId="3A60EF34">
      <w:pPr>
        <w:ind w:firstLine="411" w:firstLineChars="196"/>
        <w:rPr>
          <w:rFonts w:hint="eastAsia" w:ascii="宋体" w:hAnsi="宋体"/>
          <w:szCs w:val="21"/>
        </w:rPr>
      </w:pPr>
      <w:r>
        <w:rPr>
          <w:rFonts w:hint="eastAsia" w:ascii="宋体" w:hAnsi="宋体"/>
          <w:szCs w:val="21"/>
        </w:rPr>
        <w:t>5.3联合体投标</w:t>
      </w:r>
    </w:p>
    <w:p w14:paraId="2FAE7226">
      <w:pPr>
        <w:ind w:firstLine="411" w:firstLineChars="196"/>
        <w:rPr>
          <w:rFonts w:hint="eastAsia" w:ascii="宋体" w:hAnsi="宋体"/>
          <w:szCs w:val="21"/>
        </w:rPr>
      </w:pPr>
      <w:r>
        <w:rPr>
          <w:rFonts w:hint="eastAsia" w:ascii="宋体" w:hAnsi="宋体"/>
          <w:szCs w:val="21"/>
        </w:rPr>
        <w:t>5.3.1　以下有关联合体投标的条款仅适用于允许投标人组成联合体投标的项目。</w:t>
      </w:r>
    </w:p>
    <w:p w14:paraId="136993C9">
      <w:pPr>
        <w:ind w:firstLine="411" w:firstLineChars="196"/>
        <w:rPr>
          <w:rFonts w:hint="eastAsia" w:ascii="宋体" w:hAnsi="宋体"/>
          <w:szCs w:val="21"/>
        </w:rPr>
      </w:pPr>
      <w:r>
        <w:rPr>
          <w:rFonts w:hint="eastAsia" w:ascii="宋体" w:hAnsi="宋体"/>
          <w:szCs w:val="21"/>
        </w:rPr>
        <w:t>5.3.2  由两个或两个以上的自然人、法人或者其他组织可以组成一个联合体，以一个供应商的身份共同投标时，应符合以下原则：</w:t>
      </w:r>
    </w:p>
    <w:p w14:paraId="2EFEFB03">
      <w:pPr>
        <w:ind w:firstLine="411" w:firstLineChars="196"/>
        <w:rPr>
          <w:rFonts w:hint="eastAsia" w:ascii="宋体" w:hAnsi="宋体"/>
        </w:rPr>
      </w:pPr>
      <w:r>
        <w:rPr>
          <w:rFonts w:hint="eastAsia" w:ascii="宋体" w:hAnsi="宋体"/>
        </w:rPr>
        <w:t>（1）投标联合体各方参加政府采购活动应当具备下列条件：</w:t>
      </w:r>
      <w:r>
        <w:rPr>
          <w:rFonts w:ascii="宋体" w:hAnsi="宋体"/>
        </w:rPr>
        <w:t xml:space="preserve"> </w:t>
      </w:r>
    </w:p>
    <w:p w14:paraId="6B1489A4">
      <w:pPr>
        <w:ind w:left="420" w:leftChars="200" w:firstLine="411" w:firstLineChars="196"/>
        <w:rPr>
          <w:rFonts w:hint="eastAsia" w:ascii="宋体" w:hAnsi="宋体"/>
        </w:rPr>
      </w:pPr>
      <w:r>
        <w:rPr>
          <w:rFonts w:hint="eastAsia" w:ascii="宋体" w:hAnsi="宋体"/>
        </w:rPr>
        <w:t>1、具有独立承担民事责任的能力；</w:t>
      </w:r>
      <w:r>
        <w:rPr>
          <w:rFonts w:ascii="宋体" w:hAnsi="宋体"/>
        </w:rPr>
        <w:t xml:space="preserve"> </w:t>
      </w:r>
    </w:p>
    <w:p w14:paraId="52A8BA25">
      <w:pPr>
        <w:ind w:left="420" w:firstLine="411" w:firstLineChars="196"/>
        <w:rPr>
          <w:rFonts w:hint="eastAsia" w:ascii="宋体" w:hAnsi="宋体"/>
        </w:rPr>
      </w:pPr>
      <w:r>
        <w:rPr>
          <w:rFonts w:hint="eastAsia" w:ascii="宋体" w:hAnsi="宋体"/>
        </w:rPr>
        <w:t>2、有良好的商业信誉和健全的财务会计制度；</w:t>
      </w:r>
      <w:r>
        <w:rPr>
          <w:rFonts w:ascii="宋体" w:hAnsi="宋体"/>
        </w:rPr>
        <w:t xml:space="preserve"> </w:t>
      </w:r>
    </w:p>
    <w:p w14:paraId="296D944B">
      <w:pPr>
        <w:ind w:left="420" w:leftChars="200" w:firstLine="411" w:firstLineChars="196"/>
        <w:rPr>
          <w:rFonts w:hint="eastAsia" w:ascii="宋体" w:hAnsi="宋体"/>
        </w:rPr>
      </w:pPr>
      <w:r>
        <w:rPr>
          <w:rFonts w:hint="eastAsia" w:ascii="宋体" w:hAnsi="宋体"/>
        </w:rPr>
        <w:t>3、具有履行合同所必需的设备和专业技术能力；</w:t>
      </w:r>
      <w:r>
        <w:rPr>
          <w:rFonts w:ascii="宋体" w:hAnsi="宋体"/>
        </w:rPr>
        <w:t xml:space="preserve"> </w:t>
      </w:r>
    </w:p>
    <w:p w14:paraId="4001FDBA">
      <w:pPr>
        <w:ind w:left="420" w:leftChars="200" w:firstLine="411" w:firstLineChars="196"/>
        <w:rPr>
          <w:rFonts w:hint="eastAsia" w:ascii="宋体" w:hAnsi="宋体"/>
        </w:rPr>
      </w:pPr>
      <w:r>
        <w:rPr>
          <w:rFonts w:hint="eastAsia" w:ascii="宋体" w:hAnsi="宋体"/>
        </w:rPr>
        <w:t>4、有依法缴纳税收和社会保障资金的良好记录；</w:t>
      </w:r>
      <w:r>
        <w:rPr>
          <w:rFonts w:ascii="宋体" w:hAnsi="宋体"/>
        </w:rPr>
        <w:t xml:space="preserve"> </w:t>
      </w:r>
    </w:p>
    <w:p w14:paraId="191FF3C3">
      <w:pPr>
        <w:ind w:left="420" w:leftChars="200" w:firstLine="411" w:firstLineChars="196"/>
        <w:rPr>
          <w:rFonts w:hint="eastAsia" w:ascii="宋体" w:hAnsi="宋体"/>
        </w:rPr>
      </w:pPr>
      <w:r>
        <w:rPr>
          <w:rFonts w:hint="eastAsia" w:ascii="宋体" w:hAnsi="宋体"/>
        </w:rPr>
        <w:t>5、参加政府采购活动前三年内，在经营活动中没有重大违法记录；</w:t>
      </w:r>
      <w:r>
        <w:rPr>
          <w:rFonts w:ascii="宋体" w:hAnsi="宋体"/>
        </w:rPr>
        <w:t xml:space="preserve"> </w:t>
      </w:r>
    </w:p>
    <w:p w14:paraId="675B973A">
      <w:pPr>
        <w:ind w:left="420" w:leftChars="200" w:firstLine="411" w:firstLineChars="196"/>
        <w:rPr>
          <w:rFonts w:hint="eastAsia" w:ascii="宋体" w:hAnsi="宋体"/>
        </w:rPr>
      </w:pPr>
      <w:r>
        <w:rPr>
          <w:rFonts w:hint="eastAsia" w:ascii="宋体" w:hAnsi="宋体"/>
        </w:rPr>
        <w:t>6、法律、行政法规规定的其他条件。</w:t>
      </w:r>
      <w:r>
        <w:rPr>
          <w:rFonts w:ascii="宋体" w:hAnsi="宋体"/>
        </w:rPr>
        <w:t xml:space="preserve"> </w:t>
      </w:r>
    </w:p>
    <w:p w14:paraId="56CE4E63">
      <w:pPr>
        <w:ind w:firstLine="411" w:firstLineChars="196"/>
        <w:rPr>
          <w:rFonts w:hint="eastAsia" w:ascii="宋体" w:hAnsi="宋体"/>
        </w:rPr>
      </w:pPr>
      <w:r>
        <w:rPr>
          <w:rFonts w:hint="eastAsia" w:ascii="宋体" w:hAnsi="宋体"/>
        </w:rPr>
        <w:t>（2）在投标截止前，投标联合体各方均应注册成政府集中采购机构供应商；</w:t>
      </w:r>
    </w:p>
    <w:p w14:paraId="18CE10F2">
      <w:pPr>
        <w:ind w:firstLine="411" w:firstLineChars="196"/>
        <w:rPr>
          <w:rFonts w:hint="eastAsia" w:ascii="宋体" w:hAnsi="宋体"/>
        </w:rPr>
      </w:pPr>
      <w:r>
        <w:rPr>
          <w:rFonts w:hint="eastAsia" w:ascii="宋体" w:hAnsi="宋体"/>
        </w:rPr>
        <w:t>（3）联合体中有同类资质的供应商按照联合体分工承担相同工作的，应当按照资质等级较低的供应商确定资质等级；</w:t>
      </w:r>
    </w:p>
    <w:p w14:paraId="381CC84B">
      <w:pPr>
        <w:ind w:firstLine="411" w:firstLineChars="196"/>
      </w:pPr>
      <w:r>
        <w:rPr>
          <w:rFonts w:hint="eastAsia"/>
        </w:rPr>
        <w:t>（4）是否允许联合体参加投标，应当由采购人和采购代理机构根据项目的实际情况和潜在供应商的数量自主决定，如果决定接受联合体投标则应当在招标公告中明示；</w:t>
      </w:r>
    </w:p>
    <w:p w14:paraId="23A2B6C2">
      <w:pPr>
        <w:ind w:firstLine="411" w:firstLineChars="196"/>
        <w:rPr>
          <w:rFonts w:hint="eastAsia" w:ascii="宋体" w:hAnsi="宋体"/>
        </w:rPr>
      </w:pPr>
      <w:r>
        <w:rPr>
          <w:rFonts w:hint="eastAsia" w:ascii="宋体" w:hAnsi="宋体"/>
        </w:rPr>
        <w:t>（5）投标人的投标文件及中标后签署的合同协议对联合体各方均具法律约束力；</w:t>
      </w:r>
    </w:p>
    <w:p w14:paraId="5F080735">
      <w:pPr>
        <w:ind w:firstLine="411" w:firstLineChars="196"/>
        <w:rPr>
          <w:rFonts w:hint="eastAsia" w:ascii="宋体" w:hAnsi="宋体"/>
        </w:rPr>
      </w:pPr>
      <w:r>
        <w:rPr>
          <w:rFonts w:hint="eastAsia" w:ascii="宋体" w:hAnsi="宋体"/>
        </w:rPr>
        <w:t>（6）联合体各方应当签订联合体投标协议，明确约定各方拟承担的工作和责任，并将该协议随投标文件一并递交给政府集中采购机构；</w:t>
      </w:r>
    </w:p>
    <w:p w14:paraId="30D616BD">
      <w:pPr>
        <w:ind w:firstLine="411" w:firstLineChars="196"/>
        <w:rPr>
          <w:rFonts w:hint="eastAsia" w:ascii="宋体" w:hAnsi="宋体"/>
        </w:rPr>
      </w:pPr>
      <w:r>
        <w:rPr>
          <w:rFonts w:hint="eastAsia" w:ascii="宋体" w:hAnsi="宋体"/>
        </w:rPr>
        <w:t>（7）联合体中标后，联合体各方应当共同与采购人签订合同，就中标项目向采购人承担连带责任；</w:t>
      </w:r>
    </w:p>
    <w:p w14:paraId="5D400F80">
      <w:pPr>
        <w:ind w:firstLine="411" w:firstLineChars="196"/>
        <w:rPr>
          <w:rFonts w:hint="eastAsia" w:ascii="宋体" w:hAnsi="宋体"/>
        </w:rPr>
      </w:pPr>
      <w:r>
        <w:rPr>
          <w:rFonts w:hint="eastAsia" w:ascii="宋体" w:hAnsi="宋体"/>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14:paraId="163CBAF3">
      <w:pPr>
        <w:ind w:firstLine="411" w:firstLineChars="196"/>
        <w:rPr>
          <w:rFonts w:hint="eastAsia" w:ascii="宋体" w:hAnsi="宋体"/>
          <w:szCs w:val="21"/>
        </w:rPr>
      </w:pPr>
      <w:r>
        <w:rPr>
          <w:rFonts w:hint="eastAsia" w:ascii="宋体" w:hAnsi="宋体"/>
        </w:rPr>
        <w:t>（9）本通用条款中“投标人”一词亦指联合体各方，专用条款另有规定或说明的除外。</w:t>
      </w:r>
    </w:p>
    <w:p w14:paraId="168C3AFF">
      <w:pPr>
        <w:rPr>
          <w:rFonts w:hint="eastAsia" w:ascii="黑体" w:hAnsi="宋体" w:eastAsia="黑体"/>
          <w:sz w:val="24"/>
        </w:rPr>
      </w:pPr>
      <w:r>
        <w:rPr>
          <w:rFonts w:hint="eastAsia" w:ascii="黑体" w:hAnsi="宋体" w:eastAsia="黑体"/>
          <w:sz w:val="24"/>
        </w:rPr>
        <w:t>6．政策导向</w:t>
      </w:r>
    </w:p>
    <w:p w14:paraId="3CEE7FD3">
      <w:pPr>
        <w:ind w:firstLine="411" w:firstLineChars="196"/>
        <w:rPr>
          <w:rFonts w:hint="eastAsia" w:ascii="宋体" w:hAnsi="宋体"/>
        </w:rPr>
      </w:pPr>
      <w:r>
        <w:rPr>
          <w:rFonts w:hint="eastAsia" w:ascii="宋体" w:hAnsi="宋体"/>
        </w:rPr>
        <w:t>6.1</w:t>
      </w:r>
      <w:r>
        <w:rPr>
          <w:rFonts w:ascii="宋体" w:hAnsi="宋体"/>
        </w:rPr>
        <w:t xml:space="preserve">  </w:t>
      </w:r>
      <w:r>
        <w:rPr>
          <w:rFonts w:hint="eastAsia" w:ascii="宋体" w:hAnsi="宋体"/>
        </w:rPr>
        <w:t>政府采购支持本国产品、支持中小企业、监狱企业和残疾人福利性单位发展，支持乡村产业振兴，支持创新、节能减排、绿色环保等。</w:t>
      </w:r>
    </w:p>
    <w:p w14:paraId="0ED20ADD">
      <w:pPr>
        <w:ind w:firstLine="405"/>
        <w:rPr>
          <w:rFonts w:hint="eastAsia" w:ascii="宋体" w:hAnsi="宋体"/>
        </w:rPr>
      </w:pPr>
      <w:r>
        <w:rPr>
          <w:rFonts w:hint="eastAsia" w:ascii="宋体" w:hAnsi="宋体"/>
        </w:rPr>
        <w:t>6.2</w:t>
      </w:r>
      <w:r>
        <w:rPr>
          <w:rFonts w:ascii="宋体" w:hAnsi="宋体"/>
        </w:rPr>
        <w:t xml:space="preserve">  </w:t>
      </w:r>
      <w:r>
        <w:rPr>
          <w:rFonts w:hint="eastAsia" w:ascii="宋体" w:hAnsi="宋体"/>
        </w:rPr>
        <w:t>本项目落实深圳市政府采购供应商诚信管理政策要求。</w:t>
      </w:r>
    </w:p>
    <w:p w14:paraId="04D60A88">
      <w:pPr>
        <w:ind w:firstLine="405"/>
        <w:rPr>
          <w:rFonts w:eastAsia="宋体"/>
        </w:rPr>
      </w:pPr>
      <w:r>
        <w:rPr>
          <w:rFonts w:hint="eastAsia" w:ascii="宋体" w:hAnsi="宋体"/>
        </w:rPr>
        <w:t>6.3  本项目支持投标人性别平等的相关政策。</w:t>
      </w:r>
    </w:p>
    <w:p w14:paraId="362DB4B7">
      <w:pPr>
        <w:rPr>
          <w:rFonts w:hint="eastAsia" w:ascii="黑体" w:hAnsi="宋体" w:eastAsia="黑体"/>
          <w:sz w:val="24"/>
        </w:rPr>
      </w:pPr>
      <w:r>
        <w:rPr>
          <w:rFonts w:hint="eastAsia" w:ascii="黑体" w:hAnsi="宋体" w:eastAsia="黑体"/>
          <w:sz w:val="24"/>
        </w:rPr>
        <w:t>7. 本项目若涉及采购货物，则合格的货物及相应服务应满足以下要求：</w:t>
      </w:r>
    </w:p>
    <w:p w14:paraId="163DDBDE">
      <w:pPr>
        <w:ind w:firstLine="411" w:firstLineChars="196"/>
        <w:rPr>
          <w:rFonts w:hint="eastAsia" w:ascii="宋体" w:hAnsi="宋体"/>
        </w:rPr>
      </w:pPr>
      <w:r>
        <w:rPr>
          <w:rFonts w:hint="eastAsia" w:ascii="宋体" w:hAnsi="宋体"/>
        </w:rPr>
        <w:t>7</w:t>
      </w:r>
      <w:r>
        <w:rPr>
          <w:rFonts w:ascii="宋体" w:hAnsi="宋体"/>
        </w:rPr>
        <w:t xml:space="preserve">.1  </w:t>
      </w:r>
      <w:r>
        <w:rPr>
          <w:rFonts w:hint="eastAsia" w:ascii="宋体" w:hAnsi="宋体"/>
        </w:rPr>
        <w:t>必须是全新、未使用过的原装合格正品（包括零部件），如安装或配置了软件的，须为正版软件。</w:t>
      </w:r>
    </w:p>
    <w:p w14:paraId="49E8B4AD">
      <w:pPr>
        <w:ind w:firstLine="411" w:firstLineChars="196"/>
        <w:rPr>
          <w:rFonts w:hint="eastAsia" w:ascii="宋体" w:hAnsi="宋体"/>
        </w:rPr>
      </w:pPr>
      <w:r>
        <w:rPr>
          <w:rFonts w:hint="eastAsia" w:ascii="宋体" w:hAnsi="宋体"/>
        </w:rPr>
        <w:t>7.2  国产的货物及其有关服务必须符合中华人民共和国的设计、制造生产标准及行业标准。招标公告有其他要求的，亦应符合其要求。</w:t>
      </w:r>
    </w:p>
    <w:p w14:paraId="0A721A15">
      <w:pPr>
        <w:ind w:firstLine="411" w:firstLineChars="196"/>
        <w:rPr>
          <w:rFonts w:hint="eastAsia" w:ascii="宋体" w:hAnsi="宋体"/>
        </w:rPr>
      </w:pPr>
      <w:r>
        <w:rPr>
          <w:rFonts w:hint="eastAsia" w:ascii="宋体" w:hAnsi="宋体"/>
        </w:rPr>
        <w:t>7</w:t>
      </w:r>
      <w:r>
        <w:rPr>
          <w:rFonts w:ascii="宋体" w:hAnsi="宋体"/>
        </w:rPr>
        <w:t>.</w:t>
      </w:r>
      <w:r>
        <w:rPr>
          <w:rFonts w:hint="eastAsia" w:ascii="宋体" w:hAnsi="宋体"/>
        </w:rPr>
        <w:t>3</w:t>
      </w:r>
      <w:r>
        <w:rPr>
          <w:rFonts w:ascii="宋体" w:hAnsi="宋体"/>
        </w:rPr>
        <w:t xml:space="preserve">  </w:t>
      </w:r>
      <w:r>
        <w:rPr>
          <w:rFonts w:hint="eastAsia" w:ascii="宋体" w:hAnsi="宋体"/>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24B5E15E">
      <w:pPr>
        <w:ind w:firstLine="411" w:firstLineChars="196"/>
        <w:rPr>
          <w:rFonts w:hint="eastAsia" w:ascii="宋体" w:hAnsi="宋体"/>
        </w:rPr>
      </w:pPr>
      <w:r>
        <w:rPr>
          <w:rFonts w:hint="eastAsia" w:ascii="宋体" w:hAnsi="宋体"/>
        </w:rPr>
        <w:t>7</w:t>
      </w:r>
      <w:r>
        <w:rPr>
          <w:rFonts w:ascii="宋体" w:hAnsi="宋体"/>
        </w:rPr>
        <w:t>.</w:t>
      </w:r>
      <w:r>
        <w:rPr>
          <w:rFonts w:hint="eastAsia" w:ascii="宋体" w:hAnsi="宋体"/>
        </w:rPr>
        <w:t>4</w:t>
      </w:r>
      <w:r>
        <w:rPr>
          <w:rFonts w:ascii="宋体" w:hAnsi="宋体"/>
        </w:rPr>
        <w:t xml:space="preserve">  </w:t>
      </w:r>
      <w:r>
        <w:rPr>
          <w:rFonts w:hint="eastAsia" w:ascii="宋体" w:hAnsi="宋体"/>
        </w:rPr>
        <w:t>投标人</w:t>
      </w:r>
      <w:bookmarkStart w:id="44" w:name="_Hlk72152753"/>
      <w:r>
        <w:rPr>
          <w:rFonts w:hint="eastAsia" w:ascii="宋体" w:hAnsi="宋体"/>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44"/>
    </w:p>
    <w:p w14:paraId="341E491F">
      <w:pPr>
        <w:ind w:firstLine="411" w:firstLineChars="196"/>
        <w:rPr>
          <w:rFonts w:hint="eastAsia" w:ascii="宋体" w:hAnsi="宋体"/>
        </w:rPr>
      </w:pPr>
      <w:r>
        <w:rPr>
          <w:rFonts w:hint="eastAsia" w:ascii="宋体" w:hAnsi="宋体"/>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1C238F85">
      <w:pPr>
        <w:ind w:firstLine="411" w:firstLineChars="196"/>
        <w:rPr>
          <w:rFonts w:hint="eastAsia" w:ascii="宋体" w:hAnsi="宋体"/>
        </w:rPr>
      </w:pPr>
      <w:r>
        <w:rPr>
          <w:rFonts w:hint="eastAsia" w:ascii="宋体" w:hAnsi="宋体"/>
        </w:rPr>
        <w:t>7.6  工期要求：投标人在投标时对其所投项目应提交交货进度、交货计划等，在合同规定的时间内完成项目实施工作。</w:t>
      </w:r>
    </w:p>
    <w:p w14:paraId="7C0E06D1">
      <w:pPr>
        <w:ind w:firstLine="411" w:firstLineChars="196"/>
        <w:rPr>
          <w:rFonts w:hint="eastAsia" w:ascii="宋体" w:hAnsi="宋体"/>
        </w:rPr>
      </w:pPr>
      <w:r>
        <w:rPr>
          <w:rFonts w:hint="eastAsia" w:ascii="宋体" w:hAnsi="宋体"/>
        </w:rPr>
        <w:t>7.7  投标人必须承担的设备运输、安装调试、验收检测和提供设备操作说明书、图纸等其他相关及类似的义务。</w:t>
      </w:r>
    </w:p>
    <w:p w14:paraId="7F859D97">
      <w:pPr>
        <w:rPr>
          <w:rFonts w:hint="eastAsia" w:ascii="黑体" w:hAnsi="宋体" w:eastAsia="黑体"/>
          <w:sz w:val="24"/>
        </w:rPr>
      </w:pPr>
      <w:r>
        <w:rPr>
          <w:rFonts w:hint="eastAsia" w:ascii="黑体" w:hAnsi="宋体" w:eastAsia="黑体"/>
          <w:sz w:val="24"/>
        </w:rPr>
        <w:t>8．投标费用</w:t>
      </w:r>
    </w:p>
    <w:p w14:paraId="3182E988">
      <w:pPr>
        <w:ind w:firstLine="411" w:firstLineChars="196"/>
        <w:rPr>
          <w:rFonts w:hint="eastAsia" w:ascii="宋体" w:hAnsi="宋体"/>
          <w:szCs w:val="21"/>
        </w:rPr>
      </w:pPr>
      <w:r>
        <w:rPr>
          <w:rFonts w:hint="eastAsia" w:ascii="宋体" w:hAnsi="宋体"/>
          <w:szCs w:val="21"/>
        </w:rPr>
        <w:t>不论投标结果如何，投标人应承担其编制投标文件与递交投标文件所涉及的一切费用。</w:t>
      </w:r>
    </w:p>
    <w:p w14:paraId="0511C2B4">
      <w:pPr>
        <w:rPr>
          <w:rFonts w:hint="eastAsia" w:ascii="黑体" w:hAnsi="宋体" w:eastAsia="黑体"/>
          <w:sz w:val="24"/>
        </w:rPr>
      </w:pPr>
      <w:r>
        <w:rPr>
          <w:rFonts w:hint="eastAsia" w:ascii="黑体" w:hAnsi="宋体" w:eastAsia="黑体"/>
          <w:sz w:val="24"/>
        </w:rPr>
        <w:t>9．踏勘现场</w:t>
      </w:r>
    </w:p>
    <w:p w14:paraId="4469F8C6">
      <w:pPr>
        <w:ind w:firstLine="411" w:firstLineChars="196"/>
        <w:rPr>
          <w:rFonts w:hint="eastAsia" w:ascii="宋体" w:hAnsi="宋体"/>
          <w:szCs w:val="21"/>
        </w:rPr>
      </w:pPr>
      <w:r>
        <w:rPr>
          <w:rFonts w:hint="eastAsia" w:ascii="宋体" w:hAnsi="宋体"/>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4440CCAF">
      <w:pPr>
        <w:ind w:firstLine="411" w:firstLineChars="196"/>
        <w:rPr>
          <w:rFonts w:hint="eastAsia" w:ascii="宋体" w:hAnsi="宋体"/>
        </w:rPr>
      </w:pPr>
      <w:r>
        <w:rPr>
          <w:rFonts w:hint="eastAsia" w:ascii="宋体" w:hAnsi="宋体"/>
        </w:rPr>
        <w:t>9.2投标人及其人员经过采购人的允许，可以进入采购人的项目现场踏勘。若招标文件要求投标人于统一时间地点踏勘现场的，投标人应当按时前往。</w:t>
      </w:r>
    </w:p>
    <w:p w14:paraId="5ADB92C9">
      <w:pPr>
        <w:ind w:firstLine="411" w:firstLineChars="196"/>
        <w:rPr>
          <w:rFonts w:hint="eastAsia" w:ascii="宋体" w:hAnsi="宋体"/>
        </w:rPr>
      </w:pPr>
      <w:r>
        <w:rPr>
          <w:rFonts w:hint="eastAsia" w:ascii="宋体" w:hAnsi="宋体"/>
        </w:rPr>
        <w:t>9.3采购人应当通过政府集中采购机构向投标人提供有关现场的书面资料和数据。</w:t>
      </w:r>
    </w:p>
    <w:p w14:paraId="50701EC5">
      <w:pPr>
        <w:ind w:firstLine="411" w:firstLineChars="196"/>
        <w:rPr>
          <w:rFonts w:hint="eastAsia" w:ascii="宋体" w:hAnsi="宋体"/>
        </w:rPr>
      </w:pPr>
      <w:r>
        <w:rPr>
          <w:rFonts w:hint="eastAsia" w:ascii="宋体" w:hAnsi="宋体"/>
        </w:rPr>
        <w:t>9.4任何人或任何组织在踏勘现场时向投标人提供的任何书面资料或口头承诺，未经政府集中采购机构在网上发布或书面通知，均作无效处理。</w:t>
      </w:r>
    </w:p>
    <w:p w14:paraId="3200358F">
      <w:pPr>
        <w:ind w:firstLine="411" w:firstLineChars="196"/>
        <w:rPr>
          <w:rFonts w:hint="eastAsia" w:ascii="宋体" w:hAnsi="宋体"/>
        </w:rPr>
      </w:pPr>
      <w:r>
        <w:rPr>
          <w:rFonts w:ascii="宋体" w:hAnsi="宋体"/>
          <w:szCs w:val="21"/>
        </w:rPr>
        <w:t>9</w:t>
      </w:r>
      <w:r>
        <w:rPr>
          <w:rFonts w:hint="eastAsia" w:ascii="宋体" w:hAnsi="宋体"/>
          <w:szCs w:val="21"/>
        </w:rPr>
        <w:t>.</w:t>
      </w:r>
      <w:r>
        <w:rPr>
          <w:rFonts w:ascii="宋体" w:hAnsi="宋体"/>
          <w:szCs w:val="21"/>
        </w:rPr>
        <w:t>5</w:t>
      </w:r>
      <w:r>
        <w:rPr>
          <w:rFonts w:hint="eastAsia" w:ascii="宋体" w:hAnsi="宋体"/>
          <w:szCs w:val="21"/>
        </w:rPr>
        <w:t>未参与踏勘现场不作为否定投标人资格的理由。</w:t>
      </w:r>
    </w:p>
    <w:p w14:paraId="1465FCB5">
      <w:pPr>
        <w:rPr>
          <w:rFonts w:hint="eastAsia" w:ascii="宋体" w:hAnsi="宋体"/>
          <w:szCs w:val="21"/>
        </w:rPr>
      </w:pPr>
      <w:r>
        <w:rPr>
          <w:rFonts w:hint="eastAsia" w:ascii="黑体" w:hAnsi="宋体" w:eastAsia="黑体"/>
          <w:sz w:val="24"/>
        </w:rPr>
        <w:t>1</w:t>
      </w:r>
      <w:r>
        <w:rPr>
          <w:rFonts w:ascii="黑体" w:hAnsi="宋体" w:eastAsia="黑体"/>
          <w:sz w:val="24"/>
        </w:rPr>
        <w:t>0</w:t>
      </w:r>
      <w:r>
        <w:rPr>
          <w:rFonts w:hint="eastAsia" w:ascii="黑体" w:hAnsi="宋体" w:eastAsia="黑体"/>
          <w:sz w:val="24"/>
        </w:rPr>
        <w:t>．标前会议</w:t>
      </w:r>
    </w:p>
    <w:p w14:paraId="4AD3A9BC">
      <w:pPr>
        <w:ind w:firstLine="411" w:firstLineChars="196"/>
        <w:rPr>
          <w:rFonts w:hint="eastAsia"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1</w:t>
      </w:r>
      <w:r>
        <w:rPr>
          <w:rFonts w:hint="eastAsia" w:ascii="宋体" w:hAnsi="宋体"/>
          <w:szCs w:val="21"/>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14:paraId="5DB6A362">
      <w:pPr>
        <w:ind w:firstLine="411" w:firstLineChars="196"/>
        <w:rPr>
          <w:rFonts w:hint="eastAsia" w:ascii="宋体" w:hAnsi="宋体"/>
          <w:szCs w:val="21"/>
        </w:rPr>
      </w:pPr>
      <w:r>
        <w:rPr>
          <w:rFonts w:ascii="宋体" w:hAnsi="宋体"/>
        </w:rPr>
        <w:t>10</w:t>
      </w:r>
      <w:r>
        <w:rPr>
          <w:rFonts w:hint="eastAsia" w:ascii="宋体" w:hAnsi="宋体"/>
        </w:rPr>
        <w:t>.</w:t>
      </w:r>
      <w:r>
        <w:rPr>
          <w:rFonts w:ascii="宋体" w:hAnsi="宋体"/>
        </w:rPr>
        <w:t>2</w:t>
      </w:r>
      <w:r>
        <w:rPr>
          <w:rFonts w:hint="eastAsia" w:ascii="宋体" w:hAnsi="宋体"/>
        </w:rPr>
        <w:t>任何人或任何组织在标前会议时向投标人提供的任何书面资料或口头承诺，未经政府集中采购机构在网上发布或书面通知，均作无效处理。</w:t>
      </w:r>
    </w:p>
    <w:p w14:paraId="13D05C75">
      <w:pPr>
        <w:ind w:firstLine="411" w:firstLineChars="196"/>
        <w:rPr>
          <w:rFonts w:hint="eastAsia"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3</w:t>
      </w:r>
      <w:r>
        <w:rPr>
          <w:rFonts w:hint="eastAsia" w:ascii="宋体" w:hAnsi="宋体"/>
          <w:szCs w:val="21"/>
        </w:rPr>
        <w:t>未参与标前会议不作为否定投标人资格的理由。</w:t>
      </w:r>
    </w:p>
    <w:bookmarkEnd w:id="43"/>
    <w:p w14:paraId="6855AD67">
      <w:pPr>
        <w:ind w:firstLine="411" w:firstLineChars="196"/>
        <w:rPr>
          <w:rFonts w:hint="eastAsia" w:ascii="宋体" w:hAnsi="宋体"/>
        </w:rPr>
      </w:pPr>
    </w:p>
    <w:p w14:paraId="60CD1CA0">
      <w:pPr>
        <w:pStyle w:val="5"/>
        <w:numPr>
          <w:ilvl w:val="0"/>
          <w:numId w:val="11"/>
        </w:numPr>
        <w:spacing w:before="156" w:beforeLines="50" w:after="156" w:afterLines="50"/>
        <w:ind w:left="562" w:hanging="562"/>
        <w:rPr>
          <w:sz w:val="28"/>
          <w:szCs w:val="28"/>
        </w:rPr>
      </w:pPr>
      <w:r>
        <w:rPr>
          <w:rFonts w:hint="eastAsia"/>
          <w:sz w:val="28"/>
          <w:szCs w:val="28"/>
        </w:rPr>
        <w:t>招标文件</w:t>
      </w:r>
    </w:p>
    <w:p w14:paraId="3EE1223D">
      <w:pPr>
        <w:rPr>
          <w:rFonts w:hint="eastAsia" w:ascii="黑体" w:hAnsi="宋体" w:eastAsia="黑体"/>
          <w:sz w:val="24"/>
        </w:rPr>
      </w:pPr>
      <w:r>
        <w:rPr>
          <w:rFonts w:hint="eastAsia" w:ascii="黑体" w:hAnsi="宋体" w:eastAsia="黑体"/>
          <w:sz w:val="24"/>
        </w:rPr>
        <w:t>1</w:t>
      </w:r>
      <w:r>
        <w:rPr>
          <w:rFonts w:ascii="黑体" w:hAnsi="宋体" w:eastAsia="黑体"/>
          <w:sz w:val="24"/>
        </w:rPr>
        <w:t>1</w:t>
      </w:r>
      <w:r>
        <w:rPr>
          <w:rFonts w:hint="eastAsia" w:ascii="黑体" w:hAnsi="宋体" w:eastAsia="黑体"/>
          <w:sz w:val="24"/>
        </w:rPr>
        <w:t>．</w:t>
      </w:r>
      <w:bookmarkStart w:id="45" w:name="_Hlk72399819"/>
      <w:r>
        <w:rPr>
          <w:rFonts w:hint="eastAsia" w:ascii="黑体" w:hAnsi="宋体" w:eastAsia="黑体"/>
          <w:sz w:val="24"/>
        </w:rPr>
        <w:t>招标文件的编制与组成</w:t>
      </w:r>
    </w:p>
    <w:p w14:paraId="5F550F78">
      <w:pPr>
        <w:snapToGrid w:val="0"/>
        <w:ind w:firstLine="420" w:firstLineChars="200"/>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.1招标文件除以下内容外，政府集中采购机构在招标期间发出的澄清或修改等相关公告或通知内容，均是招标文件的组成部分，对投标人起约束作用；</w:t>
      </w:r>
    </w:p>
    <w:p w14:paraId="2F8353C0">
      <w:pPr>
        <w:ind w:firstLine="411" w:firstLineChars="196"/>
        <w:rPr>
          <w:rFonts w:hint="eastAsia" w:ascii="宋体" w:hAnsi="宋体"/>
          <w:szCs w:val="21"/>
        </w:rPr>
      </w:pPr>
      <w:r>
        <w:rPr>
          <w:rFonts w:hint="eastAsia" w:ascii="宋体" w:hAnsi="宋体"/>
          <w:szCs w:val="21"/>
        </w:rPr>
        <w:t>招标文件包括下列内容：</w:t>
      </w:r>
    </w:p>
    <w:p w14:paraId="6E45B2CC">
      <w:pPr>
        <w:ind w:left="420" w:leftChars="200" w:firstLine="413" w:firstLineChars="196"/>
        <w:rPr>
          <w:rFonts w:hint="eastAsia" w:ascii="宋体" w:hAnsi="宋体"/>
          <w:b/>
          <w:szCs w:val="21"/>
        </w:rPr>
      </w:pPr>
      <w:r>
        <w:rPr>
          <w:rFonts w:hint="eastAsia" w:ascii="宋体" w:hAnsi="宋体"/>
          <w:b/>
          <w:szCs w:val="21"/>
        </w:rPr>
        <w:t>第一册  专用条款</w:t>
      </w:r>
    </w:p>
    <w:p w14:paraId="46667EC2">
      <w:pPr>
        <w:ind w:left="1079" w:leftChars="514"/>
        <w:rPr>
          <w:rFonts w:hint="eastAsia" w:ascii="宋体" w:hAnsi="宋体"/>
          <w:b/>
          <w:szCs w:val="21"/>
        </w:rPr>
      </w:pPr>
      <w:r>
        <w:rPr>
          <w:rFonts w:hint="eastAsia" w:ascii="宋体" w:hAnsi="宋体"/>
          <w:b/>
          <w:szCs w:val="21"/>
        </w:rPr>
        <w:t>关键信息</w:t>
      </w:r>
    </w:p>
    <w:p w14:paraId="199E5E9A">
      <w:pPr>
        <w:ind w:left="630" w:leftChars="300" w:firstLine="411" w:firstLineChars="196"/>
        <w:rPr>
          <w:rFonts w:hint="eastAsia" w:ascii="宋体" w:hAnsi="宋体"/>
          <w:szCs w:val="21"/>
        </w:rPr>
      </w:pPr>
      <w:r>
        <w:rPr>
          <w:rFonts w:hint="eastAsia" w:ascii="宋体" w:hAnsi="宋体"/>
          <w:szCs w:val="21"/>
        </w:rPr>
        <w:t>第一章  招标公告</w:t>
      </w:r>
    </w:p>
    <w:p w14:paraId="0DEB8CC8">
      <w:pPr>
        <w:ind w:left="630" w:leftChars="300" w:firstLine="411" w:firstLineChars="196"/>
        <w:rPr>
          <w:rFonts w:hint="eastAsia" w:ascii="宋体" w:hAnsi="宋体"/>
          <w:szCs w:val="21"/>
        </w:rPr>
      </w:pPr>
      <w:r>
        <w:rPr>
          <w:rFonts w:hint="eastAsia" w:ascii="宋体" w:hAnsi="宋体"/>
          <w:szCs w:val="21"/>
        </w:rPr>
        <w:t>第二章  对通用条款的补充内容及其他关键信息</w:t>
      </w:r>
    </w:p>
    <w:p w14:paraId="05B374AC">
      <w:pPr>
        <w:ind w:left="630" w:leftChars="300" w:firstLine="411" w:firstLineChars="196"/>
        <w:rPr>
          <w:rFonts w:hint="eastAsia" w:ascii="宋体" w:hAnsi="宋体"/>
          <w:szCs w:val="21"/>
        </w:rPr>
      </w:pPr>
      <w:r>
        <w:rPr>
          <w:rFonts w:hint="eastAsia" w:ascii="宋体" w:hAnsi="宋体"/>
          <w:szCs w:val="21"/>
        </w:rPr>
        <w:t>第三章  用户需求书</w:t>
      </w:r>
    </w:p>
    <w:p w14:paraId="744BCE73">
      <w:pPr>
        <w:ind w:left="630" w:leftChars="300" w:firstLine="411" w:firstLineChars="196"/>
        <w:rPr>
          <w:rFonts w:hint="eastAsia" w:ascii="宋体" w:hAnsi="宋体"/>
          <w:szCs w:val="21"/>
        </w:rPr>
      </w:pPr>
      <w:r>
        <w:rPr>
          <w:rFonts w:hint="eastAsia"/>
        </w:rPr>
        <w:t xml:space="preserve">第四章 </w:t>
      </w:r>
      <w:r>
        <w:t xml:space="preserve"> </w:t>
      </w:r>
      <w:r>
        <w:rPr>
          <w:rFonts w:hint="eastAsia"/>
        </w:rPr>
        <w:t>投标文件格式及附件</w:t>
      </w:r>
    </w:p>
    <w:p w14:paraId="630845EF">
      <w:pPr>
        <w:ind w:left="630" w:leftChars="300" w:firstLine="411" w:firstLineChars="196"/>
        <w:rPr>
          <w:rFonts w:hint="eastAsia" w:ascii="宋体" w:hAnsi="宋体"/>
          <w:szCs w:val="21"/>
        </w:rPr>
      </w:pPr>
      <w:r>
        <w:rPr>
          <w:rFonts w:hint="eastAsia" w:ascii="宋体" w:hAnsi="宋体"/>
          <w:szCs w:val="21"/>
        </w:rPr>
        <w:t>第五章  合同条款及格式</w:t>
      </w:r>
    </w:p>
    <w:p w14:paraId="44037DF0">
      <w:pPr>
        <w:ind w:left="420" w:leftChars="200" w:firstLine="413" w:firstLineChars="196"/>
        <w:rPr>
          <w:rFonts w:hint="eastAsia" w:ascii="宋体" w:hAnsi="宋体"/>
          <w:b/>
          <w:szCs w:val="21"/>
        </w:rPr>
      </w:pPr>
      <w:r>
        <w:rPr>
          <w:rFonts w:hint="eastAsia" w:ascii="宋体" w:hAnsi="宋体"/>
          <w:b/>
          <w:szCs w:val="21"/>
        </w:rPr>
        <w:t>第二册  通用条款</w:t>
      </w:r>
    </w:p>
    <w:p w14:paraId="5C21A0CD">
      <w:pPr>
        <w:ind w:left="630" w:leftChars="300" w:firstLine="411" w:firstLineChars="196"/>
        <w:rPr>
          <w:rFonts w:hint="eastAsia" w:ascii="宋体" w:hAnsi="宋体"/>
          <w:szCs w:val="21"/>
        </w:rPr>
      </w:pPr>
      <w:r>
        <w:rPr>
          <w:rFonts w:hint="eastAsia" w:ascii="宋体" w:hAnsi="宋体"/>
          <w:szCs w:val="21"/>
        </w:rPr>
        <w:t>第一章  总则</w:t>
      </w:r>
    </w:p>
    <w:p w14:paraId="51AE75E0">
      <w:pPr>
        <w:ind w:left="630" w:leftChars="300" w:firstLine="411" w:firstLineChars="196"/>
        <w:rPr>
          <w:rFonts w:hint="eastAsia" w:ascii="宋体" w:hAnsi="宋体"/>
          <w:szCs w:val="21"/>
        </w:rPr>
      </w:pPr>
      <w:r>
        <w:rPr>
          <w:rFonts w:hint="eastAsia" w:ascii="宋体" w:hAnsi="宋体"/>
          <w:szCs w:val="21"/>
        </w:rPr>
        <w:t>第二章  招标文件</w:t>
      </w:r>
    </w:p>
    <w:p w14:paraId="5CF54A6E">
      <w:pPr>
        <w:ind w:left="630" w:leftChars="300" w:firstLine="411" w:firstLineChars="196"/>
        <w:rPr>
          <w:rFonts w:hint="eastAsia" w:ascii="宋体" w:hAnsi="宋体"/>
          <w:szCs w:val="21"/>
        </w:rPr>
      </w:pPr>
      <w:r>
        <w:rPr>
          <w:rFonts w:hint="eastAsia" w:ascii="宋体" w:hAnsi="宋体"/>
          <w:szCs w:val="21"/>
        </w:rPr>
        <w:t>第三章  投标文件的编制</w:t>
      </w:r>
    </w:p>
    <w:p w14:paraId="0B2DB511">
      <w:pPr>
        <w:ind w:left="630" w:leftChars="300" w:firstLine="411" w:firstLineChars="196"/>
        <w:rPr>
          <w:rFonts w:hint="eastAsia" w:ascii="宋体" w:hAnsi="宋体"/>
          <w:szCs w:val="21"/>
        </w:rPr>
      </w:pPr>
      <w:r>
        <w:rPr>
          <w:rFonts w:hint="eastAsia" w:ascii="宋体" w:hAnsi="宋体"/>
          <w:szCs w:val="21"/>
        </w:rPr>
        <w:t>第四章  投标文件的递交</w:t>
      </w:r>
    </w:p>
    <w:p w14:paraId="2441E125">
      <w:pPr>
        <w:ind w:left="630" w:leftChars="300" w:firstLine="411" w:firstLineChars="196"/>
        <w:rPr>
          <w:rFonts w:hint="eastAsia" w:ascii="宋体" w:hAnsi="宋体"/>
          <w:szCs w:val="21"/>
        </w:rPr>
      </w:pPr>
      <w:r>
        <w:rPr>
          <w:rFonts w:hint="eastAsia" w:ascii="宋体" w:hAnsi="宋体"/>
          <w:szCs w:val="21"/>
        </w:rPr>
        <w:t>第五章  开标</w:t>
      </w:r>
    </w:p>
    <w:p w14:paraId="0BE8CA41">
      <w:pPr>
        <w:ind w:left="630" w:leftChars="300" w:firstLine="411" w:firstLineChars="196"/>
        <w:rPr>
          <w:rFonts w:hint="eastAsia" w:ascii="宋体" w:hAnsi="宋体"/>
          <w:szCs w:val="21"/>
        </w:rPr>
      </w:pPr>
      <w:r>
        <w:rPr>
          <w:rFonts w:hint="eastAsia" w:ascii="宋体" w:hAnsi="宋体"/>
          <w:szCs w:val="21"/>
        </w:rPr>
        <w:t>第六章  评审要求</w:t>
      </w:r>
    </w:p>
    <w:p w14:paraId="53E48336">
      <w:pPr>
        <w:ind w:left="630" w:leftChars="300" w:firstLine="411" w:firstLineChars="196"/>
        <w:rPr>
          <w:rFonts w:hint="eastAsia" w:ascii="宋体" w:hAnsi="宋体"/>
          <w:szCs w:val="21"/>
        </w:rPr>
      </w:pPr>
      <w:r>
        <w:rPr>
          <w:rFonts w:hint="eastAsia" w:ascii="宋体" w:hAnsi="宋体"/>
          <w:szCs w:val="21"/>
        </w:rPr>
        <w:t>第七章  评审程序及评审方法</w:t>
      </w:r>
    </w:p>
    <w:p w14:paraId="7F351AA1">
      <w:pPr>
        <w:ind w:left="630" w:leftChars="300" w:firstLine="411" w:firstLineChars="196"/>
        <w:rPr>
          <w:rFonts w:hint="eastAsia" w:ascii="宋体" w:hAnsi="宋体"/>
          <w:szCs w:val="21"/>
        </w:rPr>
      </w:pPr>
      <w:r>
        <w:rPr>
          <w:rFonts w:hint="eastAsia" w:ascii="宋体" w:hAnsi="宋体"/>
          <w:szCs w:val="21"/>
        </w:rPr>
        <w:t>第八章  定标及公示</w:t>
      </w:r>
    </w:p>
    <w:p w14:paraId="2C3478B3">
      <w:pPr>
        <w:ind w:left="630" w:leftChars="300" w:firstLine="411" w:firstLineChars="196"/>
        <w:rPr>
          <w:rFonts w:hint="eastAsia" w:ascii="宋体" w:hAnsi="宋体"/>
          <w:szCs w:val="21"/>
        </w:rPr>
      </w:pPr>
      <w:r>
        <w:rPr>
          <w:rFonts w:hint="eastAsia" w:ascii="宋体" w:hAnsi="宋体"/>
          <w:szCs w:val="21"/>
        </w:rPr>
        <w:t>第九章  公开招标失败的后续处理</w:t>
      </w:r>
    </w:p>
    <w:p w14:paraId="77C339E1">
      <w:pPr>
        <w:ind w:left="630" w:leftChars="300" w:firstLine="411" w:firstLineChars="196"/>
        <w:rPr>
          <w:rFonts w:hint="eastAsia" w:ascii="宋体" w:hAnsi="宋体"/>
          <w:szCs w:val="21"/>
        </w:rPr>
      </w:pPr>
      <w:r>
        <w:rPr>
          <w:rFonts w:hint="eastAsia" w:ascii="宋体" w:hAnsi="宋体"/>
          <w:szCs w:val="21"/>
        </w:rPr>
        <w:t>第十章  合同的授予与备案</w:t>
      </w:r>
    </w:p>
    <w:p w14:paraId="761A3E29">
      <w:pPr>
        <w:ind w:left="630" w:leftChars="300" w:firstLine="411" w:firstLineChars="196"/>
        <w:rPr>
          <w:rFonts w:hint="eastAsia" w:ascii="宋体" w:hAnsi="宋体"/>
          <w:szCs w:val="21"/>
        </w:rPr>
      </w:pPr>
      <w:r>
        <w:rPr>
          <w:rFonts w:hint="eastAsia" w:ascii="宋体" w:hAnsi="宋体"/>
          <w:szCs w:val="21"/>
        </w:rPr>
        <w:t>第十一章  质疑处理</w:t>
      </w:r>
    </w:p>
    <w:p w14:paraId="25B339CE">
      <w:pPr>
        <w:ind w:firstLine="411" w:firstLineChars="196"/>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376515CE">
      <w:pPr>
        <w:ind w:firstLine="411" w:firstLineChars="196"/>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.3</w:t>
      </w:r>
      <w:r>
        <w:rPr>
          <w:rFonts w:hint="eastAsia" w:ascii="宋体" w:hAnsi="宋体"/>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14:paraId="2EE64AE9">
      <w:pPr>
        <w:rPr>
          <w:rFonts w:hint="eastAsia" w:ascii="黑体" w:hAnsi="宋体" w:eastAsia="黑体"/>
          <w:sz w:val="24"/>
        </w:rPr>
      </w:pPr>
      <w:r>
        <w:rPr>
          <w:rFonts w:hint="eastAsia" w:ascii="黑体" w:hAnsi="宋体" w:eastAsia="黑体"/>
          <w:sz w:val="24"/>
        </w:rPr>
        <w:t>1</w:t>
      </w:r>
      <w:r>
        <w:rPr>
          <w:rFonts w:ascii="黑体" w:hAnsi="宋体" w:eastAsia="黑体"/>
          <w:sz w:val="24"/>
        </w:rPr>
        <w:t>2</w:t>
      </w:r>
      <w:r>
        <w:rPr>
          <w:rFonts w:hint="eastAsia" w:ascii="黑体" w:hAnsi="宋体" w:eastAsia="黑体"/>
          <w:sz w:val="24"/>
        </w:rPr>
        <w:t>．招标文件的澄清</w:t>
      </w:r>
    </w:p>
    <w:p w14:paraId="218136B7">
      <w:pPr>
        <w:ind w:firstLine="411" w:firstLineChars="196"/>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.1招标文件澄清的目的是澄清、解答投标人在查阅招标文件后或现场踏勘中可能提出的与投标有关的疑问或询问。</w:t>
      </w:r>
    </w:p>
    <w:p w14:paraId="472A54AE">
      <w:pPr>
        <w:ind w:firstLine="411" w:firstLineChars="196"/>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.2投标人如对招标文件内容有疑问，应当在招标公告规定的澄清（提问）截止时间前以网上提问的形式通过网上政府采购系统提交政府集中采购机构。</w:t>
      </w:r>
    </w:p>
    <w:p w14:paraId="6591DBE7">
      <w:pPr>
        <w:ind w:firstLine="411" w:firstLineChars="196"/>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szCs w:val="21"/>
        </w:rPr>
        <w:t>3.3</w:t>
      </w:r>
      <w:r>
        <w:rPr>
          <w:rFonts w:hint="eastAsia" w:ascii="宋体" w:hAnsi="宋体"/>
          <w:szCs w:val="21"/>
        </w:rPr>
        <w:t>、1</w:t>
      </w:r>
      <w:r>
        <w:rPr>
          <w:rFonts w:ascii="宋体" w:hAnsi="宋体"/>
          <w:szCs w:val="21"/>
        </w:rPr>
        <w:t>3.4</w:t>
      </w:r>
      <w:r>
        <w:rPr>
          <w:rFonts w:hint="eastAsia" w:ascii="宋体" w:hAnsi="宋体"/>
          <w:szCs w:val="21"/>
        </w:rPr>
        <w:t>款规定执行。</w:t>
      </w:r>
    </w:p>
    <w:p w14:paraId="06727CDA">
      <w:pPr>
        <w:rPr>
          <w:rFonts w:hint="eastAsia" w:ascii="黑体" w:hAnsi="宋体" w:eastAsia="黑体"/>
          <w:sz w:val="24"/>
        </w:rPr>
      </w:pPr>
      <w:r>
        <w:rPr>
          <w:rFonts w:ascii="黑体" w:hAnsi="宋体" w:eastAsia="黑体"/>
          <w:sz w:val="24"/>
        </w:rPr>
        <w:t>1</w:t>
      </w:r>
      <w:r>
        <w:rPr>
          <w:rFonts w:hint="eastAsia" w:ascii="黑体" w:hAnsi="宋体" w:eastAsia="黑体"/>
          <w:sz w:val="24"/>
        </w:rPr>
        <w:t>3．招标文件的修改</w:t>
      </w:r>
    </w:p>
    <w:p w14:paraId="32A4B03A">
      <w:pPr>
        <w:ind w:firstLine="411" w:firstLineChars="196"/>
        <w:rPr>
          <w:rFonts w:hint="eastAsia" w:ascii="宋体" w:hAnsi="宋体"/>
          <w:szCs w:val="21"/>
        </w:rPr>
      </w:pPr>
      <w:r>
        <w:rPr>
          <w:rFonts w:ascii="宋体" w:hAnsi="宋体"/>
          <w:szCs w:val="21"/>
        </w:rPr>
        <w:t>1</w:t>
      </w:r>
      <w:r>
        <w:rPr>
          <w:rFonts w:hint="eastAsia" w:ascii="宋体" w:hAnsi="宋体"/>
          <w:szCs w:val="21"/>
        </w:rPr>
        <w:t>3.1招标文件发出后，在投标截止日期前任何时候，确需要变更招标文件内容的，政府集中采购机构可主动或在解答投标人提出的澄清问题时对招标文件进行修改。</w:t>
      </w:r>
    </w:p>
    <w:p w14:paraId="36E56E88">
      <w:pPr>
        <w:ind w:firstLine="411" w:firstLineChars="196"/>
        <w:rPr>
          <w:rFonts w:hint="eastAsia" w:ascii="宋体" w:hAnsi="宋体"/>
          <w:szCs w:val="21"/>
        </w:rPr>
      </w:pPr>
      <w:r>
        <w:rPr>
          <w:rFonts w:ascii="宋体" w:hAnsi="宋体"/>
          <w:szCs w:val="21"/>
        </w:rPr>
        <w:t>1</w:t>
      </w:r>
      <w:r>
        <w:rPr>
          <w:rFonts w:hint="eastAsia" w:ascii="宋体" w:hAnsi="宋体"/>
          <w:szCs w:val="21"/>
        </w:rPr>
        <w:t>3.2招标文件的修改以书面形式（包括政府集中采购机构网站发布方式，如更正公告等）发送给所有投标人，招标文件的修改内容作为招标文件的组成部分，并具有约束力。</w:t>
      </w:r>
    </w:p>
    <w:p w14:paraId="6E525F2A">
      <w:pPr>
        <w:ind w:firstLine="411" w:firstLineChars="196"/>
        <w:rPr>
          <w:rFonts w:hint="eastAsia" w:ascii="宋体" w:hAnsi="宋体"/>
          <w:szCs w:val="21"/>
        </w:rPr>
      </w:pPr>
      <w:r>
        <w:rPr>
          <w:rFonts w:ascii="宋体" w:hAnsi="宋体"/>
          <w:szCs w:val="21"/>
        </w:rPr>
        <w:t>1</w:t>
      </w:r>
      <w:r>
        <w:rPr>
          <w:rFonts w:hint="eastAsia" w:ascii="宋体" w:hAnsi="宋体"/>
          <w:szCs w:val="21"/>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14:paraId="5A663097">
      <w:pPr>
        <w:ind w:firstLine="411" w:firstLineChars="196"/>
        <w:rPr>
          <w:rFonts w:hint="eastAsia" w:ascii="宋体" w:hAnsi="宋体"/>
          <w:szCs w:val="21"/>
        </w:rPr>
      </w:pPr>
      <w:r>
        <w:rPr>
          <w:rFonts w:ascii="宋体" w:hAnsi="宋体"/>
          <w:szCs w:val="21"/>
        </w:rPr>
        <w:t>1</w:t>
      </w:r>
      <w:r>
        <w:rPr>
          <w:rFonts w:hint="eastAsia" w:ascii="宋体" w:hAnsi="宋体"/>
          <w:szCs w:val="21"/>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45"/>
    </w:p>
    <w:p w14:paraId="4ECB551B">
      <w:pPr>
        <w:rPr>
          <w:rFonts w:hint="eastAsia" w:ascii="宋体" w:hAnsi="宋体"/>
          <w:szCs w:val="21"/>
        </w:rPr>
      </w:pPr>
    </w:p>
    <w:p w14:paraId="16C11958">
      <w:pPr>
        <w:pStyle w:val="5"/>
        <w:numPr>
          <w:ilvl w:val="0"/>
          <w:numId w:val="11"/>
        </w:numPr>
        <w:spacing w:before="156" w:beforeLines="50" w:after="156" w:afterLines="50"/>
        <w:ind w:left="562" w:hanging="562"/>
        <w:rPr>
          <w:sz w:val="28"/>
          <w:szCs w:val="28"/>
        </w:rPr>
      </w:pPr>
      <w:r>
        <w:rPr>
          <w:rFonts w:hint="eastAsia"/>
          <w:sz w:val="28"/>
          <w:szCs w:val="28"/>
        </w:rPr>
        <w:t>投标文件的编制</w:t>
      </w:r>
    </w:p>
    <w:p w14:paraId="06148BEB">
      <w:pPr>
        <w:rPr>
          <w:rFonts w:hint="eastAsia" w:ascii="黑体" w:hAnsi="宋体" w:eastAsia="黑体"/>
          <w:sz w:val="24"/>
        </w:rPr>
      </w:pPr>
      <w:r>
        <w:rPr>
          <w:rFonts w:hint="eastAsia" w:ascii="黑体" w:hAnsi="宋体" w:eastAsia="黑体"/>
          <w:sz w:val="24"/>
        </w:rPr>
        <w:t>14．</w:t>
      </w:r>
      <w:bookmarkStart w:id="46" w:name="_Hlk72400236"/>
      <w:r>
        <w:rPr>
          <w:rFonts w:hint="eastAsia" w:ascii="黑体" w:hAnsi="宋体" w:eastAsia="黑体"/>
          <w:sz w:val="24"/>
        </w:rPr>
        <w:t>投标文件的语言及度量单位</w:t>
      </w:r>
    </w:p>
    <w:p w14:paraId="78FD0B44">
      <w:pPr>
        <w:ind w:firstLine="411" w:firstLineChars="196"/>
        <w:rPr>
          <w:rFonts w:hint="eastAsia" w:ascii="宋体" w:hAnsi="宋体"/>
          <w:szCs w:val="21"/>
        </w:rPr>
      </w:pPr>
      <w:r>
        <w:rPr>
          <w:rFonts w:hint="eastAsia" w:ascii="宋体" w:hAnsi="宋体"/>
          <w:szCs w:val="21"/>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4FC0F9C9">
      <w:pPr>
        <w:ind w:firstLine="411" w:firstLineChars="196"/>
        <w:rPr>
          <w:rFonts w:hint="eastAsia" w:ascii="宋体" w:hAnsi="宋体"/>
          <w:szCs w:val="21"/>
        </w:rPr>
      </w:pPr>
      <w:r>
        <w:rPr>
          <w:rFonts w:hint="eastAsia" w:ascii="宋体" w:hAnsi="宋体"/>
          <w:szCs w:val="21"/>
        </w:rPr>
        <w:t>14.2 除技术规范另有规定外，投标文件使用的度量单位，均采用中华人民共和国法定计量单位。</w:t>
      </w:r>
    </w:p>
    <w:bookmarkEnd w:id="46"/>
    <w:p w14:paraId="6E394B22">
      <w:pPr>
        <w:rPr>
          <w:rFonts w:hint="eastAsia" w:ascii="黑体" w:hAnsi="宋体" w:eastAsia="黑体"/>
          <w:sz w:val="24"/>
        </w:rPr>
      </w:pPr>
      <w:r>
        <w:rPr>
          <w:rFonts w:hint="eastAsia" w:ascii="黑体" w:hAnsi="宋体" w:eastAsia="黑体"/>
          <w:sz w:val="24"/>
        </w:rPr>
        <w:t>15．</w:t>
      </w:r>
      <w:bookmarkStart w:id="47" w:name="_Hlk72401567"/>
      <w:r>
        <w:rPr>
          <w:rFonts w:hint="eastAsia" w:ascii="黑体" w:hAnsi="宋体" w:eastAsia="黑体"/>
          <w:sz w:val="24"/>
        </w:rPr>
        <w:t>投标文件的组成</w:t>
      </w:r>
    </w:p>
    <w:p w14:paraId="277122D6">
      <w:pPr>
        <w:ind w:firstLine="411" w:firstLineChars="196"/>
        <w:rPr>
          <w:rFonts w:hint="eastAsia" w:ascii="宋体" w:hAnsi="宋体"/>
          <w:szCs w:val="21"/>
        </w:rPr>
      </w:pPr>
      <w:r>
        <w:rPr>
          <w:rFonts w:hint="eastAsia" w:ascii="宋体" w:hAnsi="宋体"/>
          <w:szCs w:val="21"/>
        </w:rPr>
        <w:t>具体内容在招标文件专用条款中进行规定。</w:t>
      </w:r>
    </w:p>
    <w:p w14:paraId="18F81F2C">
      <w:pPr>
        <w:rPr>
          <w:rFonts w:hint="eastAsia" w:ascii="黑体" w:hAnsi="宋体" w:eastAsia="黑体"/>
          <w:sz w:val="24"/>
        </w:rPr>
      </w:pPr>
      <w:r>
        <w:rPr>
          <w:rFonts w:ascii="黑体" w:hAnsi="宋体" w:eastAsia="黑体"/>
          <w:sz w:val="24"/>
        </w:rPr>
        <w:t>16．投标文件格式</w:t>
      </w:r>
    </w:p>
    <w:p w14:paraId="335A5B54">
      <w:pPr>
        <w:ind w:firstLine="411" w:firstLineChars="196"/>
        <w:rPr>
          <w:rFonts w:hint="eastAsia" w:ascii="宋体" w:hAnsi="宋体"/>
          <w:szCs w:val="21"/>
        </w:rPr>
      </w:pPr>
      <w:r>
        <w:rPr>
          <w:rFonts w:hint="eastAsia" w:ascii="宋体" w:hAnsi="宋体"/>
          <w:szCs w:val="21"/>
        </w:rPr>
        <w:t>投标文件包括本通用条款第</w:t>
      </w:r>
      <w:r>
        <w:rPr>
          <w:rFonts w:ascii="宋体" w:hAnsi="宋体"/>
          <w:szCs w:val="21"/>
        </w:rPr>
        <w:t>15条中规定的内容。如招标文件提供了投标文件格式，则</w:t>
      </w:r>
      <w:r>
        <w:rPr>
          <w:rFonts w:hint="eastAsia" w:ascii="宋体" w:hAnsi="宋体"/>
          <w:b/>
          <w:bCs/>
          <w:szCs w:val="21"/>
        </w:rPr>
        <w:t>投标人提交的投标文件应毫无例外地使用招标文件所提供的相应格式</w:t>
      </w:r>
      <w:r>
        <w:rPr>
          <w:rFonts w:hint="eastAsia" w:ascii="宋体" w:hAnsi="宋体"/>
          <w:szCs w:val="21"/>
        </w:rPr>
        <w:t>（表格均可按同样格式扩展）。</w:t>
      </w:r>
    </w:p>
    <w:p w14:paraId="247C786C">
      <w:pPr>
        <w:rPr>
          <w:rFonts w:hint="eastAsia" w:ascii="黑体" w:hAnsi="宋体" w:eastAsia="黑体"/>
          <w:sz w:val="24"/>
        </w:rPr>
      </w:pPr>
      <w:r>
        <w:rPr>
          <w:rFonts w:hint="eastAsia" w:ascii="黑体" w:hAnsi="宋体" w:eastAsia="黑体"/>
          <w:sz w:val="24"/>
        </w:rPr>
        <w:t>17．投标货币</w:t>
      </w:r>
    </w:p>
    <w:p w14:paraId="23914516">
      <w:pPr>
        <w:ind w:firstLine="411" w:firstLineChars="196"/>
        <w:rPr>
          <w:rFonts w:hint="eastAsia" w:ascii="宋体" w:hAnsi="宋体"/>
          <w:szCs w:val="21"/>
        </w:rPr>
      </w:pPr>
      <w:r>
        <w:rPr>
          <w:rFonts w:hint="eastAsia" w:ascii="宋体" w:hAnsi="宋体"/>
          <w:szCs w:val="21"/>
        </w:rPr>
        <w:t>本项目的投标报价应以人民币计。</w:t>
      </w:r>
    </w:p>
    <w:bookmarkEnd w:id="47"/>
    <w:p w14:paraId="09837412">
      <w:pPr>
        <w:rPr>
          <w:rFonts w:hint="eastAsia" w:ascii="黑体" w:hAnsi="宋体" w:eastAsia="黑体"/>
          <w:sz w:val="24"/>
        </w:rPr>
      </w:pPr>
      <w:r>
        <w:rPr>
          <w:rFonts w:hint="eastAsia" w:ascii="黑体" w:hAnsi="宋体" w:eastAsia="黑体"/>
          <w:sz w:val="24"/>
        </w:rPr>
        <w:t>18．</w:t>
      </w:r>
      <w:bookmarkStart w:id="48" w:name="_Hlk72401735"/>
      <w:r>
        <w:rPr>
          <w:rFonts w:hint="eastAsia" w:ascii="黑体" w:hAnsi="宋体" w:eastAsia="黑体"/>
          <w:sz w:val="24"/>
        </w:rPr>
        <w:t>证明投标文件投标技术方案的合格性和符合招标文件规定的文件要求</w:t>
      </w:r>
    </w:p>
    <w:p w14:paraId="4FCD864E">
      <w:pPr>
        <w:ind w:firstLine="411" w:firstLineChars="196"/>
        <w:rPr>
          <w:rFonts w:hint="eastAsia" w:ascii="宋体" w:hAnsi="宋体"/>
          <w:szCs w:val="21"/>
        </w:rPr>
      </w:pPr>
      <w:r>
        <w:rPr>
          <w:rFonts w:hint="eastAsia" w:ascii="宋体" w:hAnsi="宋体"/>
          <w:szCs w:val="21"/>
        </w:rPr>
        <w:t>18</w:t>
      </w:r>
      <w:r>
        <w:rPr>
          <w:rFonts w:ascii="宋体" w:hAnsi="宋体"/>
          <w:szCs w:val="21"/>
        </w:rPr>
        <w:t xml:space="preserve">.1 </w:t>
      </w:r>
      <w:r>
        <w:rPr>
          <w:rFonts w:hint="eastAsia" w:ascii="宋体" w:hAnsi="宋体"/>
          <w:szCs w:val="21"/>
        </w:rPr>
        <w:t>投标人应提交证明文件，证明其投标技术方案项下的货物和服务的合格性符合招标文件规定。该投标技术方案及其证明文件均作为投标文件组成部分。</w:t>
      </w:r>
    </w:p>
    <w:p w14:paraId="3DDD1732">
      <w:pPr>
        <w:ind w:firstLine="411" w:firstLineChars="196"/>
        <w:rPr>
          <w:rFonts w:hint="eastAsia" w:ascii="宋体" w:hAnsi="宋体"/>
          <w:szCs w:val="21"/>
        </w:rPr>
      </w:pPr>
      <w:r>
        <w:rPr>
          <w:rFonts w:ascii="宋体" w:hAnsi="宋体"/>
          <w:szCs w:val="21"/>
        </w:rPr>
        <w:t>1</w:t>
      </w:r>
      <w:r>
        <w:rPr>
          <w:rFonts w:hint="eastAsia" w:ascii="宋体" w:hAnsi="宋体"/>
          <w:szCs w:val="21"/>
        </w:rPr>
        <w:t>8</w:t>
      </w:r>
      <w:r>
        <w:rPr>
          <w:rFonts w:ascii="宋体" w:hAnsi="宋体"/>
          <w:szCs w:val="21"/>
        </w:rPr>
        <w:t xml:space="preserve">.2 </w:t>
      </w:r>
      <w:r>
        <w:rPr>
          <w:rFonts w:hint="eastAsia" w:ascii="宋体" w:hAnsi="宋体"/>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3B5E62D5">
      <w:pPr>
        <w:ind w:firstLine="411" w:firstLineChars="196"/>
        <w:rPr>
          <w:rFonts w:hint="eastAsia" w:ascii="宋体" w:hAnsi="宋体"/>
          <w:szCs w:val="21"/>
        </w:rPr>
      </w:pPr>
      <w:r>
        <w:rPr>
          <w:rFonts w:hint="eastAsia" w:ascii="宋体" w:hAnsi="宋体"/>
          <w:szCs w:val="21"/>
        </w:rPr>
        <w:t>18.2.1主要技术指标和性能的详细说明。</w:t>
      </w:r>
    </w:p>
    <w:p w14:paraId="29AC3180">
      <w:pPr>
        <w:ind w:firstLine="411" w:firstLineChars="196"/>
        <w:rPr>
          <w:rFonts w:hint="eastAsia" w:ascii="宋体" w:hAnsi="宋体"/>
          <w:szCs w:val="21"/>
        </w:rPr>
      </w:pPr>
      <w:r>
        <w:rPr>
          <w:rFonts w:hint="eastAsia" w:ascii="宋体" w:hAnsi="宋体"/>
          <w:szCs w:val="21"/>
        </w:rPr>
        <w:t>18.2.</w:t>
      </w:r>
      <w:r>
        <w:rPr>
          <w:rFonts w:ascii="宋体" w:hAnsi="宋体"/>
          <w:szCs w:val="21"/>
        </w:rPr>
        <w:t>2</w:t>
      </w:r>
      <w:r>
        <w:rPr>
          <w:rFonts w:hint="eastAsia" w:ascii="宋体" w:hAnsi="宋体"/>
          <w:szCs w:val="21"/>
        </w:rPr>
        <w:t>投标产品从采购人开始使用至招标文件中规定的周期内正常、连续地使用所必须的备件和专用工具清单，包括备件和专用工具的货源及现行价格。</w:t>
      </w:r>
    </w:p>
    <w:p w14:paraId="6DFC290A">
      <w:pPr>
        <w:ind w:firstLine="411" w:firstLineChars="196"/>
        <w:rPr>
          <w:rFonts w:hint="eastAsia" w:ascii="宋体" w:hAnsi="宋体"/>
          <w:szCs w:val="21"/>
        </w:rPr>
      </w:pPr>
      <w:r>
        <w:rPr>
          <w:rFonts w:hint="eastAsia" w:ascii="宋体" w:hAnsi="宋体"/>
          <w:szCs w:val="21"/>
        </w:rPr>
        <w:t>18.2.</w:t>
      </w:r>
      <w:r>
        <w:rPr>
          <w:rFonts w:ascii="宋体" w:hAnsi="宋体"/>
          <w:szCs w:val="21"/>
        </w:rPr>
        <w:t>3</w:t>
      </w:r>
      <w:r>
        <w:rPr>
          <w:rFonts w:hint="eastAsia" w:ascii="宋体" w:hAnsi="宋体"/>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56C9D4E4">
      <w:pPr>
        <w:ind w:firstLine="411" w:firstLineChars="196"/>
        <w:rPr>
          <w:rFonts w:hint="eastAsia"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rPr>
        <w:t>清晰度要求能够使用电脑阅读、识别和判断</w:t>
      </w:r>
      <w:r>
        <w:rPr>
          <w:rFonts w:hint="eastAsia" w:ascii="宋体" w:hAnsi="宋体"/>
          <w:szCs w:val="21"/>
        </w:rPr>
        <w:t>；</w:t>
      </w:r>
    </w:p>
    <w:p w14:paraId="76A69D6E">
      <w:pPr>
        <w:ind w:firstLine="411" w:firstLineChars="196"/>
        <w:rPr>
          <w:rFonts w:hint="eastAsia"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18.2.5我国政府机构出具的产品检验和核准证件应为证件正面、背面和附件标注的全部具体内容；产品检验和核准证件的尺寸和清晰度应该能够在电脑上被阅读、识别和判断，提供原件扫描件。</w:t>
      </w:r>
    </w:p>
    <w:p w14:paraId="07DFD593">
      <w:pPr>
        <w:ind w:firstLine="411" w:firstLineChars="196"/>
        <w:rPr>
          <w:rFonts w:hint="eastAsia"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14:paraId="2A4DED8C">
      <w:pPr>
        <w:ind w:firstLine="411" w:firstLineChars="196"/>
        <w:rPr>
          <w:rFonts w:hint="eastAsia" w:ascii="宋体" w:hAnsi="宋体"/>
          <w:szCs w:val="21"/>
        </w:rPr>
      </w:pPr>
      <w:r>
        <w:rPr>
          <w:rFonts w:ascii="宋体" w:hAnsi="宋体"/>
          <w:szCs w:val="21"/>
        </w:rPr>
        <w:t>1</w:t>
      </w:r>
      <w:r>
        <w:rPr>
          <w:rFonts w:hint="eastAsia" w:ascii="宋体" w:hAnsi="宋体"/>
          <w:szCs w:val="21"/>
        </w:rPr>
        <w:t>8</w:t>
      </w:r>
      <w:r>
        <w:rPr>
          <w:rFonts w:ascii="宋体" w:hAnsi="宋体"/>
          <w:szCs w:val="21"/>
        </w:rPr>
        <w:t>.</w:t>
      </w:r>
      <w:r>
        <w:rPr>
          <w:rFonts w:hint="eastAsia" w:ascii="宋体" w:hAnsi="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rPr>
        <w:t>满足要求</w:t>
      </w:r>
      <w:r>
        <w:rPr>
          <w:rFonts w:hint="eastAsia" w:ascii="宋体" w:hAnsi="宋体"/>
          <w:szCs w:val="21"/>
        </w:rPr>
        <w:t>，由评审委员会来评判。</w:t>
      </w:r>
    </w:p>
    <w:p w14:paraId="73F614C0">
      <w:pPr>
        <w:ind w:firstLine="411" w:firstLineChars="196"/>
        <w:rPr>
          <w:rFonts w:hint="eastAsia" w:ascii="宋体" w:hAnsi="宋体"/>
          <w:szCs w:val="21"/>
        </w:rPr>
      </w:pPr>
      <w:r>
        <w:rPr>
          <w:rFonts w:hint="eastAsia" w:ascii="宋体" w:hAnsi="宋体"/>
          <w:szCs w:val="21"/>
        </w:rPr>
        <w:t>18.5除非另有规定或说明，投标人对同一项目投标时，不得同时提供两套或两套以上的投标方案。</w:t>
      </w:r>
    </w:p>
    <w:bookmarkEnd w:id="48"/>
    <w:p w14:paraId="4E8E0E8D">
      <w:pPr>
        <w:rPr>
          <w:rFonts w:hint="eastAsia" w:ascii="黑体" w:hAnsi="宋体" w:eastAsia="黑体"/>
          <w:sz w:val="24"/>
        </w:rPr>
      </w:pPr>
      <w:r>
        <w:rPr>
          <w:rFonts w:hint="eastAsia" w:ascii="黑体" w:hAnsi="宋体" w:eastAsia="黑体"/>
          <w:sz w:val="24"/>
        </w:rPr>
        <w:t>19．</w:t>
      </w:r>
      <w:bookmarkStart w:id="49" w:name="_Hlk72402034"/>
      <w:r>
        <w:rPr>
          <w:rFonts w:hint="eastAsia" w:ascii="黑体" w:hAnsi="宋体" w:eastAsia="黑体"/>
          <w:sz w:val="24"/>
        </w:rPr>
        <w:t>投标文件其他证明文件的要求</w:t>
      </w:r>
    </w:p>
    <w:p w14:paraId="0BA4F996">
      <w:pPr>
        <w:rPr>
          <w:rFonts w:hint="eastAsia" w:ascii="宋体" w:hAnsi="宋体"/>
          <w:color w:val="FF0000"/>
          <w:szCs w:val="21"/>
        </w:rPr>
      </w:pPr>
      <w:r>
        <w:rPr>
          <w:rFonts w:hint="eastAsia" w:ascii="黑体" w:hAnsi="宋体" w:eastAsia="黑体"/>
          <w:sz w:val="24"/>
        </w:rPr>
        <w:t xml:space="preserve">    </w:t>
      </w:r>
      <w:r>
        <w:rPr>
          <w:rFonts w:hint="eastAsia" w:ascii="宋体" w:hAnsi="宋体"/>
          <w:szCs w:val="21"/>
        </w:rPr>
        <w:t>19.1</w:t>
      </w:r>
      <w:bookmarkStart w:id="50" w:name="_Hlk71407299"/>
      <w:r>
        <w:rPr>
          <w:rFonts w:hint="eastAsia" w:ascii="宋体" w:hAnsi="宋体"/>
          <w:szCs w:val="21"/>
        </w:rPr>
        <w:t>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采购人、代理机构及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50"/>
    <w:p w14:paraId="512DC4BC">
      <w:pPr>
        <w:ind w:firstLine="411" w:firstLineChars="196"/>
        <w:rPr>
          <w:rFonts w:hint="eastAsia" w:ascii="宋体" w:hAnsi="宋体"/>
          <w:szCs w:val="21"/>
        </w:rPr>
      </w:pPr>
      <w:r>
        <w:rPr>
          <w:rFonts w:hint="eastAsia" w:ascii="宋体" w:hAnsi="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4731DBC0">
      <w:pPr>
        <w:rPr>
          <w:rFonts w:hint="eastAsia" w:ascii="黑体" w:hAnsi="宋体" w:eastAsia="黑体"/>
          <w:sz w:val="24"/>
        </w:rPr>
      </w:pPr>
      <w:r>
        <w:rPr>
          <w:rFonts w:hint="eastAsia" w:ascii="黑体" w:hAnsi="宋体" w:eastAsia="黑体"/>
          <w:sz w:val="24"/>
        </w:rPr>
        <w:t>20．投标有效期</w:t>
      </w:r>
    </w:p>
    <w:bookmarkEnd w:id="49"/>
    <w:p w14:paraId="5C4ACA47">
      <w:pPr>
        <w:ind w:firstLine="411" w:firstLineChars="196"/>
        <w:rPr>
          <w:rFonts w:hint="eastAsia" w:ascii="宋体" w:hAnsi="宋体"/>
          <w:szCs w:val="21"/>
        </w:rPr>
      </w:pPr>
      <w:bookmarkStart w:id="51" w:name="_Hlk72402214"/>
      <w:r>
        <w:rPr>
          <w:rFonts w:hint="eastAsia" w:ascii="宋体" w:hAnsi="宋体"/>
          <w:szCs w:val="21"/>
        </w:rPr>
        <w:t>20.1 投标有效期为</w:t>
      </w:r>
      <w:r>
        <w:rPr>
          <w:rFonts w:hint="eastAsia" w:ascii="Arial" w:hAnsi="Arial" w:cs="Arial"/>
          <w:szCs w:val="21"/>
        </w:rPr>
        <w:t>从投标截止之日算起的日历天数。</w:t>
      </w:r>
      <w:r>
        <w:rPr>
          <w:rFonts w:hint="eastAsia" w:ascii="宋体" w:hAnsi="宋体"/>
          <w:szCs w:val="21"/>
        </w:rPr>
        <w:t>在此期限内，所有投标文件均保持有效。</w:t>
      </w:r>
    </w:p>
    <w:p w14:paraId="07C810D0">
      <w:pPr>
        <w:ind w:firstLine="411" w:firstLineChars="196"/>
        <w:rPr>
          <w:rFonts w:hint="eastAsia" w:ascii="宋体" w:hAnsi="宋体"/>
          <w:szCs w:val="21"/>
        </w:rPr>
      </w:pPr>
      <w:r>
        <w:rPr>
          <w:rFonts w:hint="eastAsia" w:ascii="宋体" w:hAnsi="宋体"/>
          <w:szCs w:val="21"/>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69E2B424">
      <w:pPr>
        <w:ind w:firstLine="411" w:firstLineChars="196"/>
        <w:rPr>
          <w:rFonts w:hint="eastAsia" w:ascii="宋体" w:hAnsi="宋体"/>
          <w:szCs w:val="21"/>
        </w:rPr>
      </w:pPr>
      <w:r>
        <w:rPr>
          <w:rFonts w:hint="eastAsia" w:ascii="宋体" w:hAnsi="宋体"/>
          <w:szCs w:val="21"/>
        </w:rPr>
        <w:t>20</w:t>
      </w:r>
      <w:r>
        <w:rPr>
          <w:rFonts w:ascii="宋体" w:hAnsi="宋体"/>
          <w:szCs w:val="21"/>
        </w:rPr>
        <w:t>.3</w:t>
      </w:r>
      <w:r>
        <w:rPr>
          <w:rFonts w:hint="eastAsia" w:ascii="宋体" w:hAnsi="宋体"/>
          <w:szCs w:val="21"/>
        </w:rPr>
        <w:t xml:space="preserve"> 中标供应商的投标文件有效期，截止于完成本招标文件规定的全部项目内容，并通过竣工验收及保修期结束。</w:t>
      </w:r>
    </w:p>
    <w:bookmarkEnd w:id="51"/>
    <w:p w14:paraId="54502A06">
      <w:pPr>
        <w:rPr>
          <w:rFonts w:hint="eastAsia" w:ascii="黑体" w:hAnsi="宋体" w:eastAsia="黑体"/>
          <w:sz w:val="24"/>
        </w:rPr>
      </w:pPr>
      <w:r>
        <w:rPr>
          <w:rFonts w:hint="eastAsia" w:ascii="黑体" w:hAnsi="宋体" w:eastAsia="黑体"/>
          <w:sz w:val="24"/>
        </w:rPr>
        <w:t>21．</w:t>
      </w:r>
      <w:bookmarkStart w:id="52" w:name="_Hlk72402325"/>
      <w:r>
        <w:rPr>
          <w:rFonts w:hint="eastAsia" w:ascii="黑体" w:hAnsi="宋体" w:eastAsia="黑体"/>
          <w:sz w:val="24"/>
        </w:rPr>
        <w:t xml:space="preserve">关于投标保证金 </w:t>
      </w:r>
    </w:p>
    <w:p w14:paraId="2A609A4F">
      <w:pPr>
        <w:rPr>
          <w:rFonts w:hint="eastAsia" w:ascii="宋体" w:hAnsi="宋体"/>
          <w:szCs w:val="21"/>
        </w:rPr>
      </w:pPr>
      <w:r>
        <w:rPr>
          <w:rFonts w:hint="eastAsia" w:ascii="宋体" w:hAnsi="宋体"/>
          <w:szCs w:val="21"/>
        </w:rPr>
        <w:t xml:space="preserve">    21.1</w:t>
      </w:r>
      <w:r>
        <w:rPr>
          <w:rFonts w:hint="eastAsia"/>
        </w:rPr>
        <w:t>根据《深圳市财政局关于调整政府采购投标（响应）保证金管理政策的通知》（深财购〔2021〕51号）文的规定，本项目不收取投标保证金。</w:t>
      </w:r>
    </w:p>
    <w:p w14:paraId="2537CAF4">
      <w:pPr>
        <w:rPr>
          <w:rFonts w:hint="eastAsia" w:ascii="黑体" w:hAnsi="宋体" w:eastAsia="黑体"/>
          <w:sz w:val="24"/>
        </w:rPr>
      </w:pPr>
      <w:r>
        <w:rPr>
          <w:rFonts w:hint="eastAsia" w:ascii="黑体" w:hAnsi="宋体" w:eastAsia="黑体"/>
          <w:sz w:val="24"/>
        </w:rPr>
        <w:t>22．投标人的替代方案</w:t>
      </w:r>
    </w:p>
    <w:p w14:paraId="416DA238">
      <w:pPr>
        <w:ind w:firstLine="411" w:firstLineChars="196"/>
        <w:rPr>
          <w:rFonts w:hint="eastAsia" w:ascii="宋体" w:hAnsi="宋体"/>
          <w:szCs w:val="21"/>
        </w:rPr>
      </w:pPr>
      <w:r>
        <w:rPr>
          <w:rFonts w:hint="eastAsia" w:ascii="宋体" w:hAnsi="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1716C10A">
      <w:pPr>
        <w:ind w:firstLine="411" w:firstLineChars="196"/>
        <w:rPr>
          <w:rFonts w:hint="eastAsia" w:ascii="宋体" w:hAnsi="宋体"/>
          <w:szCs w:val="21"/>
        </w:rPr>
      </w:pPr>
      <w:r>
        <w:rPr>
          <w:rFonts w:hint="eastAsia" w:ascii="宋体" w:hAnsi="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52"/>
    <w:p w14:paraId="71D413E2">
      <w:pPr>
        <w:rPr>
          <w:rFonts w:hint="eastAsia" w:ascii="黑体" w:hAnsi="宋体" w:eastAsia="黑体"/>
          <w:sz w:val="24"/>
        </w:rPr>
      </w:pPr>
      <w:r>
        <w:rPr>
          <w:rFonts w:hint="eastAsia" w:ascii="黑体" w:hAnsi="宋体" w:eastAsia="黑体"/>
          <w:sz w:val="24"/>
        </w:rPr>
        <w:t>23．</w:t>
      </w:r>
      <w:bookmarkStart w:id="53" w:name="_Hlk72402860"/>
      <w:r>
        <w:rPr>
          <w:rFonts w:ascii="黑体" w:hAnsi="宋体" w:eastAsia="黑体"/>
          <w:sz w:val="24"/>
        </w:rPr>
        <w:t>投标文件的</w:t>
      </w:r>
      <w:r>
        <w:rPr>
          <w:rFonts w:hint="eastAsia" w:ascii="黑体" w:hAnsi="宋体" w:eastAsia="黑体"/>
          <w:sz w:val="24"/>
        </w:rPr>
        <w:t>制作</w:t>
      </w:r>
      <w:r>
        <w:rPr>
          <w:rFonts w:ascii="黑体" w:hAnsi="宋体" w:eastAsia="黑体"/>
          <w:sz w:val="24"/>
        </w:rPr>
        <w:t>要求</w:t>
      </w:r>
    </w:p>
    <w:p w14:paraId="03485414">
      <w:pPr>
        <w:ind w:firstLine="411" w:firstLineChars="196"/>
        <w:rPr>
          <w:rFonts w:hint="eastAsia" w:ascii="宋体" w:hAnsi="宋体"/>
        </w:rPr>
      </w:pPr>
      <w:r>
        <w:rPr>
          <w:rFonts w:hint="eastAsia" w:ascii="宋体" w:hAnsi="宋体"/>
        </w:rPr>
        <w:t>23.1投标人应准备所投项目的电子投标文件一份。</w:t>
      </w:r>
    </w:p>
    <w:p w14:paraId="661F18AF">
      <w:pPr>
        <w:ind w:firstLine="411" w:firstLineChars="196"/>
        <w:rPr>
          <w:rFonts w:hint="eastAsia" w:ascii="宋体" w:hAnsi="宋体"/>
        </w:rPr>
      </w:pPr>
      <w:r>
        <w:rPr>
          <w:rFonts w:hint="eastAsia" w:ascii="宋体" w:hAnsi="宋体"/>
        </w:rPr>
        <w:t>23.2投标人在使用《投标书编制软件》编制投标书时须注意：</w:t>
      </w:r>
    </w:p>
    <w:p w14:paraId="30E7368E">
      <w:pPr>
        <w:ind w:firstLine="411" w:firstLineChars="196"/>
        <w:rPr>
          <w:rFonts w:hint="eastAsia" w:ascii="宋体" w:hAnsi="宋体"/>
        </w:rPr>
      </w:pPr>
      <w:r>
        <w:rPr>
          <w:rFonts w:hint="eastAsia" w:ascii="宋体" w:hAnsi="宋体"/>
        </w:rPr>
        <w:t>23.2.1导入《投标书编制软件》的招标文件项目编号、包号应与以此制作的投标文件项目编号、包号一致。例如，不能将甲项目A包的招标书导入《投标书编制软件》，制作乙项目B包的投标书。</w:t>
      </w:r>
    </w:p>
    <w:p w14:paraId="6055A2CD">
      <w:pPr>
        <w:ind w:firstLine="411" w:firstLineChars="196"/>
        <w:rPr>
          <w:rFonts w:hint="eastAsia" w:ascii="宋体" w:hAnsi="宋体"/>
        </w:rPr>
      </w:pPr>
      <w:r>
        <w:rPr>
          <w:rFonts w:hint="eastAsia" w:ascii="宋体" w:hAnsi="宋体"/>
        </w:rPr>
        <w:t>23.2.2不能用非本公司的电子密钥加密本公司的投标文件，或者用其它公司的登录用户上传本公司的投标文件。</w:t>
      </w:r>
    </w:p>
    <w:p w14:paraId="5E7F82D7">
      <w:pPr>
        <w:ind w:firstLine="411" w:firstLineChars="196"/>
        <w:rPr>
          <w:rFonts w:hint="eastAsia" w:ascii="宋体" w:hAnsi="宋体"/>
        </w:rPr>
      </w:pPr>
      <w:r>
        <w:rPr>
          <w:rFonts w:hint="eastAsia" w:ascii="宋体" w:hAnsi="宋体"/>
        </w:rPr>
        <w:t>23.2.3要求用《投标书编制软件》编制投标书的包，不能用其它方式编制投标书。编制投标文件时，电脑须连通互联网。</w:t>
      </w:r>
    </w:p>
    <w:p w14:paraId="35BCCEA1">
      <w:pPr>
        <w:ind w:firstLine="411" w:firstLineChars="196"/>
        <w:rPr>
          <w:rFonts w:hint="eastAsia" w:ascii="宋体" w:hAnsi="宋体"/>
        </w:rPr>
      </w:pPr>
      <w:r>
        <w:rPr>
          <w:rFonts w:hint="eastAsia" w:ascii="宋体" w:hAnsi="宋体"/>
        </w:rPr>
        <w:t>23.2.4投标文件不能带病毒。政府集中采购机构将用专业杀毒软件对投标文件进行病毒检测，如果这两种软件均报告发现病毒，则政府集中采购机构认为该投标文件带病毒。</w:t>
      </w:r>
    </w:p>
    <w:p w14:paraId="4928666F">
      <w:pPr>
        <w:ind w:firstLine="411" w:firstLineChars="196"/>
        <w:rPr>
          <w:rFonts w:hint="eastAsia" w:ascii="宋体" w:hAnsi="宋体"/>
        </w:rPr>
      </w:pPr>
      <w:r>
        <w:rPr>
          <w:rFonts w:hint="eastAsia" w:ascii="宋体" w:hAnsi="宋体"/>
        </w:rPr>
        <w:t>23.2.6投标人在编辑投标文件时，</w:t>
      </w:r>
      <w:r>
        <w:rPr>
          <w:rFonts w:hint="eastAsia" w:ascii="宋体" w:hAnsi="宋体"/>
          <w:b/>
        </w:rPr>
        <w:t>在投标文件目录中属于本节点内容的必须在本节点中填写，填写到其他节点或附件，</w:t>
      </w:r>
      <w:r>
        <w:rPr>
          <w:rFonts w:hint="eastAsia" w:ascii="宋体" w:hAnsi="宋体"/>
        </w:rPr>
        <w:t>一切后果由供应商自行承担。</w:t>
      </w:r>
    </w:p>
    <w:p w14:paraId="7256113E">
      <w:pPr>
        <w:ind w:firstLine="411" w:firstLineChars="196"/>
        <w:rPr>
          <w:rFonts w:hint="eastAsia" w:ascii="宋体" w:hAnsi="宋体"/>
        </w:rPr>
      </w:pPr>
      <w:r>
        <w:rPr>
          <w:rFonts w:hint="eastAsia" w:ascii="宋体" w:hAnsi="宋体"/>
        </w:rPr>
        <w:t>23.2.7投标文件编写完成后，</w:t>
      </w:r>
      <w:r>
        <w:rPr>
          <w:rFonts w:hint="eastAsia" w:ascii="宋体" w:hAnsi="宋体"/>
          <w:b/>
        </w:rPr>
        <w:t>必须用属于投标人的电子密钥或电子营业执照进行加密，否则视同未盖公章，将导致投标文件无效。</w:t>
      </w:r>
    </w:p>
    <w:p w14:paraId="109F25D4">
      <w:pPr>
        <w:ind w:firstLine="411" w:firstLineChars="196"/>
        <w:rPr>
          <w:rFonts w:hint="eastAsia" w:ascii="宋体" w:hAnsi="宋体"/>
        </w:rPr>
      </w:pPr>
      <w:r>
        <w:rPr>
          <w:rFonts w:hint="eastAsia" w:ascii="宋体" w:hAnsi="宋体"/>
        </w:rPr>
        <w:t>23.2.8政府集中采购机构不接受投标截止时间后递交的纸质、电子、传真等所有形式的投标文件。由于对网上政府采购系统操作不熟悉或自身电脑、网络等原因导致不能在投标截止时间之前上传投标文件，政府集中采购机构概不负责。建议于开标前一个工作日完成投标文件的制作与上传，如上传确有困难，请及时咨询。</w:t>
      </w:r>
    </w:p>
    <w:p w14:paraId="09F2674C">
      <w:pPr>
        <w:ind w:firstLine="411" w:firstLineChars="196"/>
        <w:rPr>
          <w:rFonts w:hint="eastAsia" w:ascii="宋体" w:hAnsi="宋体"/>
        </w:rPr>
      </w:pPr>
      <w:r>
        <w:rPr>
          <w:rFonts w:hint="eastAsia" w:ascii="宋体" w:hAnsi="宋体"/>
        </w:rPr>
        <w:t>23.2.9如果开标时出现网络故障、技术故障，影响了政府采购活动，政府集中采购机构有权采取措施如延期、接受无法从网上上传的投标书等，以保障政府采购活动的公开、公平和公正。</w:t>
      </w:r>
    </w:p>
    <w:p w14:paraId="41573D21">
      <w:pPr>
        <w:ind w:firstLine="411" w:firstLineChars="196"/>
        <w:rPr>
          <w:rFonts w:hint="eastAsia" w:ascii="宋体" w:hAnsi="宋体"/>
        </w:rPr>
      </w:pPr>
      <w:r>
        <w:rPr>
          <w:rFonts w:hint="eastAsia" w:ascii="宋体" w:hAnsi="宋体"/>
        </w:rPr>
        <w:t>23.3电报、电话、传真形式的投标概不接受。</w:t>
      </w:r>
    </w:p>
    <w:p w14:paraId="401E39D9">
      <w:pPr>
        <w:ind w:firstLine="413" w:firstLineChars="196"/>
        <w:rPr>
          <w:rFonts w:hint="eastAsia" w:ascii="宋体" w:hAnsi="宋体"/>
          <w:b/>
        </w:rPr>
      </w:pPr>
      <w:r>
        <w:rPr>
          <w:rFonts w:hint="eastAsia" w:ascii="宋体" w:hAnsi="宋体"/>
          <w:b/>
        </w:rPr>
        <w:t>23.4经投标人电子密钥或电子营业执照加密的投标文件无须盖章或签字，</w:t>
      </w:r>
      <w:r>
        <w:rPr>
          <w:rFonts w:hint="eastAsia" w:ascii="宋体" w:hAnsi="宋体"/>
        </w:rPr>
        <w:t>专用条款另有要求的除外。</w:t>
      </w:r>
    </w:p>
    <w:p w14:paraId="1F52A84E">
      <w:pPr>
        <w:ind w:firstLine="413" w:firstLineChars="196"/>
        <w:rPr>
          <w:rFonts w:hint="eastAsia" w:ascii="宋体" w:hAnsi="宋体"/>
        </w:rPr>
      </w:pPr>
      <w:r>
        <w:rPr>
          <w:rFonts w:hint="eastAsia" w:ascii="宋体" w:hAnsi="宋体"/>
          <w:b/>
        </w:rPr>
        <w:t>23.5</w:t>
      </w:r>
      <w:r>
        <w:rPr>
          <w:rFonts w:hint="eastAsia" w:ascii="宋体" w:hAnsi="宋体"/>
        </w:rPr>
        <w:t xml:space="preserve"> 各类资格（资质）文件提供扫描件，专用条款另有要求的除外。</w:t>
      </w:r>
      <w:bookmarkEnd w:id="53"/>
    </w:p>
    <w:p w14:paraId="047B1E33">
      <w:pPr>
        <w:ind w:firstLine="411" w:firstLineChars="196"/>
        <w:rPr>
          <w:rFonts w:hint="eastAsia" w:ascii="宋体" w:hAnsi="宋体"/>
          <w:szCs w:val="21"/>
        </w:rPr>
      </w:pPr>
    </w:p>
    <w:p w14:paraId="6DF6EF67">
      <w:pPr>
        <w:pStyle w:val="5"/>
        <w:numPr>
          <w:ilvl w:val="0"/>
          <w:numId w:val="11"/>
        </w:numPr>
        <w:spacing w:before="156" w:beforeLines="50" w:after="156" w:afterLines="50"/>
        <w:ind w:left="562" w:hanging="562"/>
        <w:rPr>
          <w:sz w:val="28"/>
          <w:szCs w:val="28"/>
        </w:rPr>
      </w:pPr>
      <w:r>
        <w:rPr>
          <w:rFonts w:hint="eastAsia"/>
          <w:sz w:val="28"/>
          <w:szCs w:val="28"/>
        </w:rPr>
        <w:t>投标文件的递交</w:t>
      </w:r>
    </w:p>
    <w:p w14:paraId="7A46643F">
      <w:pPr>
        <w:rPr>
          <w:rFonts w:hint="eastAsia" w:ascii="黑体" w:hAnsi="宋体" w:eastAsia="黑体"/>
          <w:sz w:val="24"/>
        </w:rPr>
      </w:pPr>
      <w:bookmarkStart w:id="54" w:name="_Hlk72405459"/>
      <w:r>
        <w:rPr>
          <w:rFonts w:hint="eastAsia" w:ascii="黑体" w:hAnsi="宋体" w:eastAsia="黑体"/>
          <w:sz w:val="24"/>
        </w:rPr>
        <w:t>24．投标文件的保密</w:t>
      </w:r>
    </w:p>
    <w:p w14:paraId="7B3EC5F8">
      <w:pPr>
        <w:ind w:firstLine="411" w:firstLineChars="196"/>
        <w:rPr>
          <w:rFonts w:hint="eastAsia" w:ascii="宋体" w:hAnsi="宋体"/>
        </w:rPr>
      </w:pPr>
      <w:r>
        <w:rPr>
          <w:rFonts w:hint="eastAsia" w:ascii="宋体" w:hAnsi="宋体"/>
        </w:rPr>
        <w:t>24.1在投标文件制作完成后，生成后会选择是否加密投标文件，如不加密则直接点击生成文件即可，如需加密请插入CA锁，点击加密后生成文件，需输入CA锁密码即可加密成功。加密后会提示文件生成成功！</w:t>
      </w:r>
      <w:r>
        <w:rPr>
          <w:rFonts w:hint="eastAsia" w:ascii="宋体" w:hAnsi="宋体"/>
          <w:highlight w:val="yellow"/>
        </w:rPr>
        <w:t>(注意：加密的投标文件开标时须使用加密文件时使用的锁在项目规定时间内解密！)</w:t>
      </w:r>
    </w:p>
    <w:p w14:paraId="522B694B">
      <w:pPr>
        <w:rPr>
          <w:rFonts w:hint="eastAsia" w:ascii="宋体" w:hAnsi="宋体"/>
          <w:b/>
        </w:rPr>
      </w:pPr>
      <w:r>
        <w:rPr>
          <w:rFonts w:hint="eastAsia" w:ascii="宋体" w:hAnsi="宋体"/>
          <w:b/>
        </w:rPr>
        <w:t>24.2若采购项目出现延期情况：</w:t>
      </w:r>
    </w:p>
    <w:p w14:paraId="1DB247B6">
      <w:pPr>
        <w:ind w:firstLine="422" w:firstLineChars="200"/>
        <w:rPr>
          <w:rFonts w:hint="eastAsia" w:ascii="黑体" w:hAnsi="宋体" w:eastAsia="黑体"/>
          <w:b/>
          <w:sz w:val="24"/>
        </w:rPr>
      </w:pPr>
      <w:r>
        <w:rPr>
          <w:rFonts w:hint="eastAsia" w:ascii="宋体" w:hAnsi="宋体"/>
          <w:b/>
        </w:rPr>
        <w:t>如果供下载的招标文件有更新，投标人必须重新下载招标文件、重新制作投标文件、重新加密投标文件、重新上传投标文件。</w:t>
      </w:r>
    </w:p>
    <w:p w14:paraId="4BF55692">
      <w:pPr>
        <w:rPr>
          <w:rFonts w:hint="eastAsia" w:ascii="黑体" w:hAnsi="宋体" w:eastAsia="黑体"/>
          <w:sz w:val="24"/>
        </w:rPr>
      </w:pPr>
      <w:r>
        <w:rPr>
          <w:rFonts w:hint="eastAsia" w:ascii="黑体" w:hAnsi="宋体" w:eastAsia="黑体"/>
          <w:sz w:val="24"/>
        </w:rPr>
        <w:t>25．上传投标文件及投标截止日期</w:t>
      </w:r>
    </w:p>
    <w:p w14:paraId="013841C2">
      <w:pPr>
        <w:ind w:firstLine="411" w:firstLineChars="196"/>
        <w:rPr>
          <w:rFonts w:hint="eastAsia" w:ascii="宋体" w:hAnsi="宋体"/>
        </w:rPr>
      </w:pPr>
      <w:r>
        <w:rPr>
          <w:rFonts w:hint="eastAsia" w:ascii="宋体" w:hAnsi="宋体"/>
        </w:rPr>
        <w:t>25</w:t>
      </w:r>
      <w:r>
        <w:rPr>
          <w:rFonts w:ascii="宋体" w:hAnsi="宋体"/>
        </w:rPr>
        <w:t>.</w:t>
      </w:r>
      <w:r>
        <w:rPr>
          <w:rFonts w:hint="eastAsia" w:ascii="宋体" w:hAnsi="宋体"/>
        </w:rPr>
        <w:t>1实行网上投标，</w:t>
      </w:r>
      <w:r>
        <w:rPr>
          <w:rFonts w:ascii="宋体" w:hAnsi="宋体"/>
        </w:rPr>
        <w:t>投标人必须</w:t>
      </w:r>
      <w:r>
        <w:rPr>
          <w:rFonts w:hint="eastAsia" w:ascii="宋体" w:hAnsi="宋体"/>
        </w:rPr>
        <w:t>在招标</w:t>
      </w:r>
      <w:r>
        <w:rPr>
          <w:rFonts w:ascii="宋体" w:hAnsi="宋体"/>
        </w:rPr>
        <w:t>文件规定的投标截止时间前</w:t>
      </w:r>
      <w:r>
        <w:rPr>
          <w:rFonts w:hint="eastAsia" w:ascii="宋体" w:hAnsi="宋体"/>
        </w:rPr>
        <w:t>用电子密钥登录“深圳政府采购自行采购系统（https://trade.szggzy.com/ggzy/center/#/login）”上传投标文件。如上传过程中遇到问题，可拨打采购公告中的技术支持电话。如多次上传均告失败，请在投标截止时间之前携带加密后的电子投标文件送达至</w:t>
      </w:r>
      <w:r>
        <w:rPr>
          <w:rFonts w:hint="eastAsia" w:ascii="宋体" w:hAnsi="宋体"/>
          <w:b/>
          <w:bCs/>
          <w:szCs w:val="21"/>
        </w:rPr>
        <w:t>深圳公共资源交易中心（深圳交易集团有限公司龙华分公司）（地址：深圳市龙华区观湖街道大和社区大和路288号宝观城锦鲤大厦办公楼22楼）协助上传，但上传过程中投标截止时间到达仍无法上传成功的，由投标人自行负责</w:t>
      </w:r>
      <w:r>
        <w:rPr>
          <w:rFonts w:hint="eastAsia" w:ascii="宋体" w:hAnsi="宋体"/>
        </w:rPr>
        <w:t>。</w:t>
      </w:r>
    </w:p>
    <w:p w14:paraId="708A00A2">
      <w:pPr>
        <w:ind w:firstLine="411" w:firstLineChars="196"/>
        <w:rPr>
          <w:rFonts w:hint="eastAsia" w:ascii="宋体" w:hAnsi="宋体"/>
        </w:rPr>
      </w:pPr>
      <w:r>
        <w:rPr>
          <w:rFonts w:hint="eastAsia" w:ascii="宋体" w:hAnsi="宋体"/>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14:paraId="16064796">
      <w:pPr>
        <w:ind w:firstLine="411" w:firstLineChars="196"/>
        <w:rPr>
          <w:rFonts w:hint="eastAsia" w:ascii="宋体" w:hAnsi="宋体"/>
        </w:rPr>
      </w:pPr>
      <w:r>
        <w:rPr>
          <w:rFonts w:hint="eastAsia" w:ascii="宋体" w:hAnsi="宋体"/>
        </w:rPr>
        <w:t>25</w:t>
      </w:r>
      <w:r>
        <w:rPr>
          <w:rFonts w:ascii="宋体" w:hAnsi="宋体"/>
        </w:rPr>
        <w:t>.</w:t>
      </w:r>
      <w:r>
        <w:rPr>
          <w:rFonts w:hint="eastAsia" w:ascii="宋体" w:hAnsi="宋体"/>
        </w:rPr>
        <w:t>3投标截止时间以后不得上传投标文件。</w:t>
      </w:r>
    </w:p>
    <w:p w14:paraId="05DC5620">
      <w:pPr>
        <w:ind w:firstLine="411" w:firstLineChars="196"/>
        <w:rPr>
          <w:rFonts w:hint="eastAsia" w:ascii="宋体" w:hAnsi="宋体"/>
        </w:rPr>
      </w:pPr>
    </w:p>
    <w:p w14:paraId="1F2D0CFC">
      <w:pPr>
        <w:ind w:firstLine="411" w:firstLineChars="196"/>
        <w:rPr>
          <w:rFonts w:hint="eastAsia" w:ascii="宋体" w:hAnsi="宋体"/>
        </w:rPr>
      </w:pPr>
    </w:p>
    <w:bookmarkEnd w:id="54"/>
    <w:p w14:paraId="02AF886C">
      <w:pPr>
        <w:rPr>
          <w:rFonts w:hint="eastAsia" w:ascii="黑体" w:hAnsi="宋体" w:eastAsia="黑体"/>
          <w:sz w:val="24"/>
        </w:rPr>
      </w:pPr>
      <w:r>
        <w:rPr>
          <w:rFonts w:hint="eastAsia" w:ascii="黑体" w:hAnsi="宋体" w:eastAsia="黑体"/>
          <w:sz w:val="24"/>
        </w:rPr>
        <w:t>26. 样品、现场演示、方案讲解</w:t>
      </w:r>
    </w:p>
    <w:p w14:paraId="1207BCA0">
      <w:pPr>
        <w:ind w:firstLine="411" w:firstLineChars="196"/>
        <w:rPr>
          <w:rFonts w:hint="eastAsia" w:ascii="宋体" w:hAnsi="宋体"/>
          <w:szCs w:val="21"/>
        </w:rPr>
      </w:pPr>
      <w:r>
        <w:rPr>
          <w:rFonts w:hint="eastAsia" w:ascii="宋体" w:hAnsi="宋体"/>
          <w:szCs w:val="21"/>
        </w:rPr>
        <w:t>26.1 样品、现场演示、方案讲解等事项在招标文件专用条款中进行规定。</w:t>
      </w:r>
    </w:p>
    <w:p w14:paraId="33532F53">
      <w:pPr>
        <w:rPr>
          <w:rFonts w:hint="eastAsia" w:ascii="黑体" w:hAnsi="宋体" w:eastAsia="黑体"/>
          <w:sz w:val="24"/>
        </w:rPr>
      </w:pPr>
      <w:bookmarkStart w:id="55" w:name="_Hlk72428346"/>
      <w:r>
        <w:rPr>
          <w:rFonts w:ascii="黑体" w:hAnsi="宋体" w:eastAsia="黑体"/>
          <w:sz w:val="24"/>
        </w:rPr>
        <w:t>2</w:t>
      </w:r>
      <w:r>
        <w:rPr>
          <w:rFonts w:hint="eastAsia" w:ascii="黑体" w:hAnsi="宋体" w:eastAsia="黑体"/>
          <w:sz w:val="24"/>
        </w:rPr>
        <w:t>7．</w:t>
      </w:r>
      <w:r>
        <w:rPr>
          <w:rFonts w:ascii="黑体" w:hAnsi="宋体" w:eastAsia="黑体"/>
          <w:sz w:val="24"/>
        </w:rPr>
        <w:t>投标文件的修改和撤销</w:t>
      </w:r>
    </w:p>
    <w:p w14:paraId="2BD9C557">
      <w:pPr>
        <w:ind w:firstLine="411" w:firstLineChars="196"/>
        <w:rPr>
          <w:rFonts w:hint="eastAsia"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1</w:t>
      </w:r>
      <w:r>
        <w:rPr>
          <w:rFonts w:ascii="宋体" w:hAnsi="宋体"/>
        </w:rPr>
        <w:t>投标方在提交投标文件后可对其投标文件进行修改</w:t>
      </w:r>
      <w:r>
        <w:rPr>
          <w:rFonts w:hint="eastAsia" w:ascii="宋体" w:hAnsi="宋体"/>
        </w:rPr>
        <w:t>并重新上传投标文件</w:t>
      </w:r>
      <w:r>
        <w:rPr>
          <w:rFonts w:ascii="宋体" w:hAnsi="宋体"/>
        </w:rPr>
        <w:t>或</w:t>
      </w:r>
      <w:r>
        <w:rPr>
          <w:rFonts w:hint="eastAsia" w:ascii="宋体" w:hAnsi="宋体"/>
        </w:rPr>
        <w:t>在网上进行</w:t>
      </w:r>
      <w:r>
        <w:rPr>
          <w:rFonts w:ascii="宋体" w:hAnsi="宋体"/>
        </w:rPr>
        <w:t>撤销</w:t>
      </w:r>
      <w:r>
        <w:rPr>
          <w:rFonts w:hint="eastAsia" w:ascii="宋体" w:hAnsi="宋体"/>
        </w:rPr>
        <w:t>投标的操作</w:t>
      </w:r>
      <w:r>
        <w:rPr>
          <w:rFonts w:ascii="宋体" w:hAnsi="宋体"/>
        </w:rPr>
        <w:t>。</w:t>
      </w:r>
    </w:p>
    <w:p w14:paraId="624BF15F">
      <w:pPr>
        <w:ind w:firstLine="411" w:firstLineChars="196"/>
        <w:rPr>
          <w:rFonts w:hint="eastAsia"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2</w:t>
      </w:r>
      <w:r>
        <w:rPr>
          <w:rFonts w:ascii="宋体" w:hAnsi="宋体"/>
        </w:rPr>
        <w:t>投标截止时间以后不得修改投标文件。</w:t>
      </w:r>
    </w:p>
    <w:p w14:paraId="61A81E3A">
      <w:pPr>
        <w:ind w:firstLine="411" w:firstLineChars="196"/>
        <w:rPr>
          <w:rFonts w:hint="eastAsia"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3从投标截止期至投标人在投标文件中确定的投标有效期之间的这段时间内，投标人不得撤回其投标。</w:t>
      </w:r>
    </w:p>
    <w:p w14:paraId="65C82BB5">
      <w:pPr>
        <w:ind w:firstLine="411" w:firstLineChars="196"/>
        <w:rPr>
          <w:rFonts w:hint="eastAsia" w:ascii="宋体" w:hAnsi="宋体"/>
          <w:szCs w:val="21"/>
        </w:rPr>
      </w:pPr>
      <w:r>
        <w:rPr>
          <w:rFonts w:hint="eastAsia" w:ascii="宋体" w:hAnsi="宋体"/>
          <w:szCs w:val="21"/>
        </w:rPr>
        <w:t>27.4政府集中采购机构不退还投标文件，专用条款另有规定的除外。</w:t>
      </w:r>
    </w:p>
    <w:bookmarkEnd w:id="55"/>
    <w:p w14:paraId="08C11BEA">
      <w:pPr>
        <w:pStyle w:val="5"/>
        <w:numPr>
          <w:ilvl w:val="0"/>
          <w:numId w:val="11"/>
        </w:numPr>
        <w:spacing w:before="156" w:beforeLines="50" w:after="156" w:afterLines="50"/>
        <w:ind w:left="562" w:hanging="562"/>
        <w:rPr>
          <w:sz w:val="28"/>
          <w:szCs w:val="28"/>
        </w:rPr>
      </w:pPr>
      <w:r>
        <w:rPr>
          <w:rFonts w:hint="eastAsia"/>
          <w:sz w:val="28"/>
          <w:szCs w:val="28"/>
        </w:rPr>
        <w:t>开标</w:t>
      </w:r>
    </w:p>
    <w:p w14:paraId="670D8C7B">
      <w:pPr>
        <w:rPr>
          <w:rFonts w:hint="eastAsia" w:ascii="黑体" w:hAnsi="宋体" w:eastAsia="黑体"/>
          <w:sz w:val="24"/>
        </w:rPr>
      </w:pPr>
      <w:r>
        <w:rPr>
          <w:rFonts w:hint="eastAsia" w:ascii="黑体" w:hAnsi="宋体" w:eastAsia="黑体"/>
          <w:sz w:val="24"/>
        </w:rPr>
        <w:t>28．开标</w:t>
      </w:r>
    </w:p>
    <w:p w14:paraId="1CEE294E">
      <w:pPr>
        <w:ind w:firstLine="359" w:firstLineChars="171"/>
        <w:rPr>
          <w:rFonts w:hint="eastAsia" w:ascii="宋体" w:hAnsi="宋体"/>
          <w:szCs w:val="21"/>
        </w:rPr>
      </w:pPr>
      <w:r>
        <w:rPr>
          <w:rFonts w:ascii="宋体" w:hAnsi="宋体"/>
          <w:szCs w:val="21"/>
        </w:rPr>
        <w:t>2</w:t>
      </w:r>
      <w:r>
        <w:rPr>
          <w:rFonts w:hint="eastAsia" w:ascii="宋体" w:hAnsi="宋体"/>
          <w:szCs w:val="21"/>
        </w:rPr>
        <w:t>8</w:t>
      </w:r>
      <w:r>
        <w:rPr>
          <w:rFonts w:ascii="宋体" w:hAnsi="宋体"/>
          <w:szCs w:val="21"/>
        </w:rPr>
        <w:t>.</w:t>
      </w:r>
      <w:r>
        <w:rPr>
          <w:rFonts w:hint="eastAsia" w:ascii="宋体" w:hAnsi="宋体"/>
          <w:szCs w:val="21"/>
        </w:rPr>
        <w:t>1投标人须在开标当日的开标时间至解密截止时间内进行解密，逾期未解密的作无效处理。解密方法：登录“</w:t>
      </w:r>
      <w:r>
        <w:rPr>
          <w:rFonts w:hint="eastAsia" w:ascii="宋体" w:hAnsi="宋体"/>
        </w:rPr>
        <w:t>深圳政府采购自行采购系统（https://trade.szggzy.com/ggzy/center/#/login）</w:t>
      </w:r>
      <w:r>
        <w:rPr>
          <w:rFonts w:hint="eastAsia" w:ascii="宋体" w:hAnsi="宋体"/>
          <w:szCs w:val="21"/>
        </w:rPr>
        <w:t>”，使用本单位制作电子投标文件同一个电子密钥进行在线解密、查询开标情况。</w:t>
      </w:r>
    </w:p>
    <w:p w14:paraId="2368AD63">
      <w:pPr>
        <w:ind w:firstLine="315" w:firstLineChars="150"/>
        <w:rPr>
          <w:rFonts w:hint="eastAsia" w:ascii="宋体" w:hAnsi="宋体"/>
          <w:szCs w:val="21"/>
        </w:rPr>
      </w:pPr>
      <w:r>
        <w:rPr>
          <w:rFonts w:hint="eastAsia" w:ascii="宋体" w:hAnsi="宋体"/>
          <w:szCs w:val="21"/>
        </w:rPr>
        <w:t>28.2政府集中采购机构将在满足开标条件（①解密时间结束，解密后的投标供应商数量满足开标要求或②解密时间结束前所有投标供应商均完成投标文件解密）后，对投标文件进行开标，并在网上公布开标结果。</w:t>
      </w:r>
    </w:p>
    <w:p w14:paraId="103BE8B9">
      <w:pPr>
        <w:ind w:firstLine="315" w:firstLineChars="150"/>
        <w:rPr>
          <w:rFonts w:hint="eastAsia" w:ascii="宋体" w:hAnsi="宋体"/>
          <w:szCs w:val="21"/>
        </w:rPr>
      </w:pPr>
    </w:p>
    <w:p w14:paraId="263A0622">
      <w:pPr>
        <w:pStyle w:val="5"/>
        <w:numPr>
          <w:ilvl w:val="0"/>
          <w:numId w:val="11"/>
        </w:numPr>
        <w:spacing w:before="156" w:beforeLines="50" w:after="156" w:afterLines="50"/>
        <w:ind w:left="562" w:hanging="562"/>
        <w:rPr>
          <w:sz w:val="28"/>
          <w:szCs w:val="28"/>
        </w:rPr>
      </w:pPr>
      <w:r>
        <w:rPr>
          <w:rFonts w:hint="eastAsia"/>
          <w:sz w:val="28"/>
          <w:szCs w:val="28"/>
        </w:rPr>
        <w:t>评审要求</w:t>
      </w:r>
    </w:p>
    <w:p w14:paraId="69FB260F">
      <w:pPr>
        <w:rPr>
          <w:rFonts w:hint="eastAsia" w:ascii="黑体" w:hAnsi="宋体" w:eastAsia="黑体"/>
          <w:sz w:val="24"/>
        </w:rPr>
      </w:pPr>
      <w:r>
        <w:rPr>
          <w:rFonts w:hint="eastAsia" w:ascii="黑体" w:hAnsi="宋体" w:eastAsia="黑体"/>
          <w:sz w:val="24"/>
        </w:rPr>
        <w:t>29．评审委员会组成</w:t>
      </w:r>
    </w:p>
    <w:p w14:paraId="7F7526B7">
      <w:pPr>
        <w:ind w:firstLine="411" w:firstLineChars="196"/>
        <w:rPr>
          <w:rFonts w:hint="eastAsia" w:ascii="宋体" w:hAnsi="宋体"/>
        </w:rPr>
      </w:pPr>
      <w:r>
        <w:rPr>
          <w:rFonts w:hint="eastAsia" w:ascii="宋体" w:hAnsi="宋体"/>
        </w:rPr>
        <w:t>29.1网上开标结束后召开评审会议，</w:t>
      </w:r>
      <w:r>
        <w:rPr>
          <w:rFonts w:hint="eastAsia" w:ascii="宋体" w:hAnsi="宋体"/>
          <w:szCs w:val="21"/>
        </w:rPr>
        <w:t>评审委员会</w:t>
      </w:r>
      <w:r>
        <w:rPr>
          <w:rFonts w:hint="eastAsia" w:ascii="宋体" w:hAnsi="宋体"/>
        </w:rPr>
        <w:t>由政府集中采购机构依法组建，负责评审活动。</w:t>
      </w:r>
    </w:p>
    <w:p w14:paraId="46EA507D">
      <w:pPr>
        <w:ind w:firstLine="411" w:firstLineChars="196"/>
        <w:rPr>
          <w:rFonts w:hint="eastAsia" w:ascii="宋体" w:hAnsi="宋体"/>
        </w:rPr>
      </w:pPr>
      <w:bookmarkStart w:id="56" w:name="_Hlk72436580"/>
      <w:r>
        <w:rPr>
          <w:rFonts w:hint="eastAsia" w:ascii="宋体" w:hAnsi="宋体"/>
        </w:rPr>
        <w:t>评审委员会由采购人代表和评审专家组成，成员人数应当为5人以上单数（部分条件下为7人以上单数），其中评审专家不得少于成员总数的三分之二。</w:t>
      </w:r>
      <w:bookmarkEnd w:id="56"/>
      <w:r>
        <w:rPr>
          <w:rFonts w:hint="eastAsia" w:ascii="宋体" w:hAnsi="宋体"/>
        </w:rPr>
        <w:t>评定</w:t>
      </w:r>
      <w:r>
        <w:rPr>
          <w:rFonts w:hint="eastAsia"/>
        </w:rPr>
        <w:t>分离项目</w:t>
      </w:r>
      <w:r>
        <w:t>评审专家</w:t>
      </w:r>
      <w:r>
        <w:rPr>
          <w:rFonts w:hint="eastAsia"/>
        </w:rPr>
        <w:t>均</w:t>
      </w:r>
      <w:r>
        <w:t>由</w:t>
      </w:r>
      <w:r>
        <w:rPr>
          <w:rFonts w:hint="eastAsia"/>
        </w:rPr>
        <w:t>评审专家组成。</w:t>
      </w:r>
      <w:r>
        <w:rPr>
          <w:rFonts w:hint="eastAsia" w:ascii="宋体" w:hAnsi="宋体"/>
          <w:szCs w:val="21"/>
        </w:rPr>
        <w:t>评审专家一般是</w:t>
      </w:r>
      <w:r>
        <w:rPr>
          <w:rFonts w:hint="eastAsia" w:ascii="宋体" w:hAnsi="宋体"/>
        </w:rPr>
        <w:t>从深圳市政府采购评审专家库中随机抽取。采购人代表须持本单位签发的《评审授权书》参加评审。</w:t>
      </w:r>
    </w:p>
    <w:p w14:paraId="64B20D97">
      <w:pPr>
        <w:ind w:firstLine="411" w:firstLineChars="196"/>
        <w:rPr>
          <w:rFonts w:hint="eastAsia" w:ascii="宋体" w:hAnsi="宋体"/>
        </w:rPr>
      </w:pPr>
      <w:r>
        <w:rPr>
          <w:rFonts w:hint="eastAsia" w:ascii="宋体" w:hAnsi="宋体"/>
        </w:rPr>
        <w:t>29.2评审定标应当遵循公平、公正、科学、择优的原则。</w:t>
      </w:r>
    </w:p>
    <w:p w14:paraId="771ABECE">
      <w:pPr>
        <w:ind w:firstLine="411" w:firstLineChars="196"/>
        <w:rPr>
          <w:rFonts w:hint="eastAsia" w:ascii="宋体" w:hAnsi="宋体"/>
        </w:rPr>
      </w:pPr>
      <w:r>
        <w:rPr>
          <w:rFonts w:hint="eastAsia" w:ascii="宋体" w:hAnsi="宋体"/>
        </w:rPr>
        <w:t>29.3评审活动依法进行，任何单位和个人不得非法干预评标过程和结果。</w:t>
      </w:r>
    </w:p>
    <w:p w14:paraId="66A1E44D">
      <w:pPr>
        <w:ind w:firstLine="411" w:firstLineChars="196"/>
        <w:rPr>
          <w:rFonts w:hint="eastAsia" w:ascii="宋体" w:hAnsi="宋体"/>
        </w:rPr>
      </w:pPr>
      <w:r>
        <w:rPr>
          <w:rFonts w:hint="eastAsia" w:ascii="宋体" w:hAnsi="宋体"/>
        </w:rPr>
        <w:t>29.4评审过程中不允许违背评标程序或采用招标文件未载明的评标方法或评标因素进行评标。</w:t>
      </w:r>
    </w:p>
    <w:p w14:paraId="10D87EA5">
      <w:pPr>
        <w:ind w:firstLine="411" w:firstLineChars="196"/>
        <w:rPr>
          <w:rFonts w:hint="eastAsia" w:ascii="宋体" w:hAnsi="宋体"/>
          <w:bCs/>
        </w:rPr>
      </w:pPr>
      <w:r>
        <w:rPr>
          <w:rFonts w:hint="eastAsia" w:ascii="宋体" w:hAnsi="宋体"/>
          <w:bCs/>
        </w:rPr>
        <w:t>29.5 开标后，直到签订合同为止，凡属于对投标文件的审查、澄清、评价和比较的有关资料以及中标候选人的推荐情况、与评审有关的其他任何情况均严格保密（</w:t>
      </w:r>
      <w:r>
        <w:rPr>
          <w:rFonts w:hint="eastAsia"/>
        </w:rPr>
        <w:t>信息公开的内容除外</w:t>
      </w:r>
      <w:r>
        <w:rPr>
          <w:rFonts w:hint="eastAsia" w:ascii="宋体" w:hAnsi="宋体"/>
          <w:bCs/>
        </w:rPr>
        <w:t>）。</w:t>
      </w:r>
    </w:p>
    <w:p w14:paraId="3B80662C">
      <w:pPr>
        <w:rPr>
          <w:rFonts w:hint="eastAsia" w:ascii="黑体" w:hAnsi="宋体" w:eastAsia="黑体"/>
          <w:sz w:val="24"/>
        </w:rPr>
      </w:pPr>
      <w:r>
        <w:rPr>
          <w:rFonts w:hint="eastAsia" w:ascii="黑体" w:hAnsi="宋体" w:eastAsia="黑体"/>
          <w:sz w:val="24"/>
        </w:rPr>
        <w:t>30．向评审委员会提供的资料</w:t>
      </w:r>
    </w:p>
    <w:p w14:paraId="6DE92019">
      <w:pPr>
        <w:ind w:firstLine="411" w:firstLineChars="196"/>
        <w:rPr>
          <w:rFonts w:hint="eastAsia" w:ascii="宋体" w:hAnsi="宋体"/>
        </w:rPr>
      </w:pPr>
      <w:r>
        <w:rPr>
          <w:rFonts w:hint="eastAsia" w:ascii="宋体" w:hAnsi="宋体"/>
        </w:rPr>
        <w:t>30.1公开发布的招标文件，包括图纸、服务清单、答疑文件等；</w:t>
      </w:r>
    </w:p>
    <w:p w14:paraId="776EEDE3">
      <w:pPr>
        <w:ind w:firstLine="411" w:firstLineChars="196"/>
        <w:rPr>
          <w:rFonts w:hint="eastAsia" w:ascii="宋体" w:hAnsi="宋体"/>
        </w:rPr>
      </w:pPr>
      <w:r>
        <w:rPr>
          <w:rFonts w:hint="eastAsia" w:ascii="宋体" w:hAnsi="宋体"/>
        </w:rPr>
        <w:t>30.2其他评标必须的资料。</w:t>
      </w:r>
    </w:p>
    <w:p w14:paraId="520F74CA">
      <w:pPr>
        <w:ind w:firstLine="411" w:firstLineChars="196"/>
        <w:rPr>
          <w:rFonts w:hint="eastAsia" w:ascii="宋体" w:hAnsi="宋体"/>
        </w:rPr>
      </w:pPr>
      <w:r>
        <w:rPr>
          <w:rFonts w:hint="eastAsia" w:ascii="宋体" w:hAnsi="宋体"/>
        </w:rPr>
        <w:t>30.3</w:t>
      </w:r>
      <w:r>
        <w:rPr>
          <w:rFonts w:hint="eastAsia" w:ascii="宋体" w:hAnsi="宋体"/>
          <w:szCs w:val="21"/>
        </w:rPr>
        <w:t>评审委员会</w:t>
      </w:r>
      <w:r>
        <w:rPr>
          <w:rFonts w:hint="eastAsia" w:ascii="宋体" w:hAnsi="宋体"/>
        </w:rPr>
        <w:t>应当认真研究招标文件，至少应了解熟悉以下内容：</w:t>
      </w:r>
    </w:p>
    <w:p w14:paraId="723726DD">
      <w:pPr>
        <w:ind w:firstLine="411" w:firstLineChars="196"/>
        <w:rPr>
          <w:rFonts w:hint="eastAsia" w:ascii="宋体" w:hAnsi="宋体"/>
        </w:rPr>
      </w:pPr>
      <w:r>
        <w:rPr>
          <w:rFonts w:hint="eastAsia" w:ascii="宋体" w:hAnsi="宋体"/>
        </w:rPr>
        <w:t>（1）招标的目的；</w:t>
      </w:r>
    </w:p>
    <w:p w14:paraId="6AA99BA2">
      <w:pPr>
        <w:ind w:firstLine="411" w:firstLineChars="196"/>
        <w:rPr>
          <w:rFonts w:hint="eastAsia" w:ascii="宋体" w:hAnsi="宋体"/>
        </w:rPr>
      </w:pPr>
      <w:r>
        <w:rPr>
          <w:rFonts w:hint="eastAsia" w:ascii="宋体" w:hAnsi="宋体"/>
        </w:rPr>
        <w:t>（2）招标项目需求的范围和性质；</w:t>
      </w:r>
    </w:p>
    <w:p w14:paraId="158B20C8">
      <w:pPr>
        <w:ind w:firstLine="411" w:firstLineChars="196"/>
        <w:rPr>
          <w:rFonts w:hint="eastAsia" w:ascii="宋体" w:hAnsi="宋体"/>
        </w:rPr>
      </w:pPr>
      <w:r>
        <w:rPr>
          <w:rFonts w:hint="eastAsia" w:ascii="宋体" w:hAnsi="宋体"/>
        </w:rPr>
        <w:t>（3）招标文件规定的投标人的资格、财政预算限额、商务条款；</w:t>
      </w:r>
    </w:p>
    <w:p w14:paraId="4F7E0298">
      <w:pPr>
        <w:ind w:firstLine="411" w:firstLineChars="196"/>
        <w:rPr>
          <w:rFonts w:hint="eastAsia" w:ascii="宋体" w:hAnsi="宋体"/>
        </w:rPr>
      </w:pPr>
      <w:r>
        <w:rPr>
          <w:rFonts w:hint="eastAsia" w:ascii="宋体" w:hAnsi="宋体"/>
        </w:rPr>
        <w:t>（4）招标文件规定的评标程序、评标方法和评标因素；</w:t>
      </w:r>
    </w:p>
    <w:p w14:paraId="1534A437">
      <w:pPr>
        <w:ind w:firstLine="411" w:firstLineChars="196"/>
        <w:rPr>
          <w:rFonts w:hint="eastAsia" w:ascii="宋体" w:hAnsi="宋体"/>
        </w:rPr>
      </w:pPr>
      <w:r>
        <w:rPr>
          <w:rFonts w:hint="eastAsia" w:ascii="宋体" w:hAnsi="宋体"/>
        </w:rPr>
        <w:t>（5）招标文件所列示的资格性审查表及符合性审查表。</w:t>
      </w:r>
    </w:p>
    <w:p w14:paraId="34FEEB5F">
      <w:pPr>
        <w:rPr>
          <w:rFonts w:hint="eastAsia" w:ascii="黑体" w:hAnsi="宋体" w:eastAsia="黑体"/>
          <w:sz w:val="24"/>
        </w:rPr>
      </w:pPr>
      <w:r>
        <w:rPr>
          <w:rFonts w:hint="eastAsia" w:ascii="黑体" w:hAnsi="宋体" w:eastAsia="黑体"/>
          <w:sz w:val="24"/>
        </w:rPr>
        <w:t>31．独立评审</w:t>
      </w:r>
    </w:p>
    <w:p w14:paraId="7FE03B99">
      <w:pPr>
        <w:ind w:firstLine="411" w:firstLineChars="196"/>
        <w:rPr>
          <w:rFonts w:hint="eastAsia" w:ascii="宋体" w:hAnsi="宋体"/>
          <w:bCs/>
        </w:rPr>
      </w:pPr>
      <w:r>
        <w:rPr>
          <w:rFonts w:hint="eastAsia" w:ascii="宋体" w:hAnsi="宋体"/>
          <w:bCs/>
        </w:rPr>
        <w:t>3</w:t>
      </w:r>
      <w:r>
        <w:rPr>
          <w:rFonts w:ascii="宋体" w:hAnsi="宋体"/>
          <w:bCs/>
        </w:rPr>
        <w:t>1</w:t>
      </w:r>
      <w:r>
        <w:rPr>
          <w:rFonts w:hint="eastAsia" w:ascii="宋体" w:hAnsi="宋体"/>
          <w:bCs/>
        </w:rPr>
        <w:t>.1</w:t>
      </w:r>
      <w:r>
        <w:rPr>
          <w:rFonts w:hint="eastAsia" w:ascii="宋体" w:hAnsi="宋体"/>
          <w:szCs w:val="21"/>
        </w:rPr>
        <w:t>评审委员会</w:t>
      </w:r>
      <w:r>
        <w:rPr>
          <w:rFonts w:hint="eastAsia" w:ascii="宋体" w:hAnsi="宋体"/>
          <w:bCs/>
        </w:rPr>
        <w:t>成员的评标活动应当独立进行，并应遵循投标文件初审、澄清有关问题、比较与评价、确定中标供应商、编写评审报告的工作程序。</w:t>
      </w:r>
    </w:p>
    <w:p w14:paraId="62F0971C">
      <w:pPr>
        <w:ind w:firstLine="411" w:firstLineChars="196"/>
        <w:rPr>
          <w:rFonts w:hint="eastAsia" w:ascii="宋体" w:hAnsi="宋体"/>
          <w:bCs/>
          <w:szCs w:val="21"/>
        </w:rPr>
      </w:pPr>
    </w:p>
    <w:p w14:paraId="69F0BDA6">
      <w:pPr>
        <w:pStyle w:val="5"/>
        <w:numPr>
          <w:ilvl w:val="0"/>
          <w:numId w:val="11"/>
        </w:numPr>
        <w:spacing w:before="156" w:beforeLines="50" w:after="156" w:afterLines="50"/>
        <w:ind w:left="562" w:hanging="562"/>
        <w:rPr>
          <w:sz w:val="28"/>
          <w:szCs w:val="28"/>
        </w:rPr>
      </w:pPr>
      <w:r>
        <w:rPr>
          <w:rFonts w:hint="eastAsia"/>
          <w:sz w:val="28"/>
          <w:szCs w:val="28"/>
        </w:rPr>
        <w:t>评审程序及评审方法</w:t>
      </w:r>
    </w:p>
    <w:p w14:paraId="42610CAB">
      <w:pPr>
        <w:rPr>
          <w:rFonts w:hint="eastAsia" w:ascii="黑体" w:hAnsi="宋体" w:eastAsia="黑体"/>
          <w:sz w:val="24"/>
        </w:rPr>
      </w:pPr>
      <w:r>
        <w:rPr>
          <w:rFonts w:hint="eastAsia" w:ascii="黑体" w:hAnsi="宋体" w:eastAsia="黑体"/>
          <w:sz w:val="24"/>
        </w:rPr>
        <w:t>32．投标文件初审</w:t>
      </w:r>
    </w:p>
    <w:p w14:paraId="42862B1B">
      <w:pPr>
        <w:ind w:firstLine="411" w:firstLineChars="196"/>
        <w:rPr>
          <w:rFonts w:hint="eastAsia" w:ascii="宋体" w:hAnsi="宋体"/>
        </w:rPr>
      </w:pPr>
      <w:r>
        <w:rPr>
          <w:rFonts w:hint="eastAsia" w:ascii="宋体" w:hAnsi="宋体"/>
        </w:rPr>
        <w:t>32.1投标文件初审包括资格性审查和符合性审查。</w:t>
      </w:r>
    </w:p>
    <w:p w14:paraId="2F849378">
      <w:pPr>
        <w:ind w:firstLine="411" w:firstLineChars="196"/>
        <w:rPr>
          <w:rFonts w:hint="eastAsia" w:ascii="宋体" w:hAnsi="宋体"/>
        </w:rPr>
      </w:pPr>
      <w:r>
        <w:rPr>
          <w:rFonts w:hint="eastAsia" w:ascii="宋体" w:hAnsi="宋体"/>
        </w:rPr>
        <w:t>资格性审查：依据法律法规和招标文件的规定，对投标文件中的资格证明等进行审查，以确定投标供应商是否具备投标资格。</w:t>
      </w:r>
    </w:p>
    <w:p w14:paraId="793E944C">
      <w:pPr>
        <w:ind w:firstLine="411" w:firstLineChars="196"/>
        <w:rPr>
          <w:rFonts w:hint="eastAsia" w:ascii="宋体" w:hAnsi="宋体"/>
        </w:rPr>
      </w:pPr>
      <w:r>
        <w:rPr>
          <w:rFonts w:hint="eastAsia" w:ascii="宋体" w:hAnsi="宋体"/>
        </w:rPr>
        <w:t>符合性审查：依据招标文件的规定，对投标文件的有效性、完整性和对招标文件的响应程度进行审查，以确定是否满足符合性审查的要求。</w:t>
      </w:r>
    </w:p>
    <w:p w14:paraId="1C1D73AA">
      <w:pPr>
        <w:ind w:firstLine="411" w:firstLineChars="196"/>
        <w:rPr>
          <w:rFonts w:hint="eastAsia" w:ascii="宋体" w:hAnsi="宋体"/>
        </w:rPr>
      </w:pPr>
      <w:r>
        <w:rPr>
          <w:rFonts w:hint="eastAsia" w:ascii="宋体" w:hAnsi="宋体"/>
        </w:rPr>
        <w:t>32.2 投标文件初审内容请详见《资格性审查表》和《符合性审查表》部分。投标人若有一条审查不通过则按投标无效处理。</w:t>
      </w:r>
    </w:p>
    <w:p w14:paraId="44E73B87">
      <w:pPr>
        <w:ind w:firstLine="411" w:firstLineChars="196"/>
        <w:rPr>
          <w:rFonts w:hint="eastAsia" w:ascii="宋体" w:hAnsi="宋体"/>
          <w:bCs/>
        </w:rPr>
      </w:pPr>
      <w:r>
        <w:rPr>
          <w:rFonts w:hint="eastAsia" w:ascii="宋体" w:hAnsi="宋体"/>
          <w:bCs/>
        </w:rPr>
        <w:t>32.3 投标文件初审中关于供应商家数的计算:</w:t>
      </w:r>
    </w:p>
    <w:p w14:paraId="2ADD0547">
      <w:pPr>
        <w:ind w:firstLine="411" w:firstLineChars="196"/>
        <w:rPr>
          <w:rFonts w:hint="eastAsia" w:ascii="宋体" w:hAnsi="宋体"/>
          <w:bCs/>
        </w:rPr>
      </w:pPr>
      <w:r>
        <w:rPr>
          <w:rFonts w:hint="eastAsia" w:ascii="宋体" w:hAnsi="宋体"/>
          <w:bCs/>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11723D07">
      <w:pPr>
        <w:ind w:firstLine="411" w:firstLineChars="196"/>
        <w:rPr>
          <w:rFonts w:hint="eastAsia" w:ascii="宋体" w:hAnsi="宋体"/>
          <w:bCs/>
        </w:rPr>
      </w:pPr>
      <w:r>
        <w:rPr>
          <w:rFonts w:hint="eastAsia" w:ascii="宋体" w:hAnsi="宋体"/>
          <w:bCs/>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bCs/>
          <w:szCs w:val="21"/>
        </w:rPr>
        <w:t>评审委员会</w:t>
      </w:r>
      <w:r>
        <w:rPr>
          <w:rFonts w:hint="eastAsia" w:ascii="宋体" w:hAnsi="宋体"/>
          <w:bCs/>
        </w:rPr>
        <w:t>按照招标文件规定的方式确定一个投标人获得中标人推荐资格，招标文件未规定的采取随机抽取方式确定，其他同品牌投标人不作为中标候选人。</w:t>
      </w:r>
    </w:p>
    <w:p w14:paraId="029910F4">
      <w:pPr>
        <w:ind w:firstLine="411" w:firstLineChars="196"/>
        <w:rPr>
          <w:rFonts w:hint="eastAsia" w:ascii="宋体" w:hAnsi="宋体"/>
          <w:bCs/>
        </w:rPr>
      </w:pPr>
      <w:r>
        <w:rPr>
          <w:rFonts w:hint="eastAsia" w:ascii="宋体" w:hAnsi="宋体"/>
          <w:bCs/>
        </w:rPr>
        <w:t>32.3.3非单一产品采购项目，采购人应当根据采购项目技术构成、产品价格比重等合理确定核心产品，并在招标文件中载明。多家投标人提供的核心产品品牌相同的，按前两款规定处理。</w:t>
      </w:r>
    </w:p>
    <w:p w14:paraId="64DBE376">
      <w:pPr>
        <w:ind w:firstLine="411" w:firstLineChars="196"/>
        <w:rPr>
          <w:rFonts w:hint="eastAsia" w:ascii="宋体" w:hAnsi="宋体"/>
        </w:rPr>
      </w:pPr>
      <w:r>
        <w:rPr>
          <w:rFonts w:hint="eastAsia" w:ascii="宋体" w:hAnsi="宋体"/>
        </w:rPr>
        <w:t>32.4投标人投标文件作无效处理的情形，具体包括但不限于以下：</w:t>
      </w:r>
    </w:p>
    <w:p w14:paraId="6DF38BA4">
      <w:pPr>
        <w:ind w:firstLine="411" w:firstLineChars="196"/>
      </w:pPr>
      <w:r>
        <w:rPr>
          <w:rFonts w:hint="eastAsia" w:ascii="宋体" w:hAnsi="宋体"/>
        </w:rPr>
        <w:t>32.4.1</w:t>
      </w:r>
      <w:r>
        <w:rPr>
          <w:rFonts w:hint="eastAsia"/>
        </w:rPr>
        <w:t>不同投标人的投标文件由同一单位或者同一个人编制，或者由同一个人分阶段参与编制；</w:t>
      </w:r>
    </w:p>
    <w:p w14:paraId="5B2B8D9B">
      <w:pPr>
        <w:ind w:firstLine="411" w:firstLineChars="196"/>
      </w:pPr>
      <w:r>
        <w:rPr>
          <w:rFonts w:ascii="宋体" w:hAnsi="宋体"/>
        </w:rPr>
        <w:t>32.4.</w:t>
      </w:r>
      <w:r>
        <w:rPr>
          <w:rFonts w:hint="eastAsia" w:ascii="宋体" w:hAnsi="宋体"/>
        </w:rPr>
        <w:t>2</w:t>
      </w:r>
      <w:r>
        <w:rPr>
          <w:rFonts w:hint="eastAsia"/>
        </w:rPr>
        <w:t>不同投标人委托同一单位或者个人办理投标事宜；</w:t>
      </w:r>
    </w:p>
    <w:p w14:paraId="33AEF8E0">
      <w:pPr>
        <w:ind w:firstLine="411" w:firstLineChars="196"/>
        <w:rPr>
          <w:rFonts w:hint="eastAsia" w:ascii="宋体" w:hAnsi="宋体"/>
        </w:rPr>
      </w:pPr>
      <w:r>
        <w:rPr>
          <w:rFonts w:hint="eastAsia" w:ascii="宋体" w:hAnsi="宋体"/>
        </w:rPr>
        <w:t>32.4.3不同投标人的投标文件载明的项目管理成员或者联系人员为同一人；</w:t>
      </w:r>
    </w:p>
    <w:p w14:paraId="1F5250A4">
      <w:pPr>
        <w:ind w:firstLine="411" w:firstLineChars="196"/>
        <w:rPr>
          <w:rFonts w:hint="eastAsia" w:ascii="宋体" w:hAnsi="宋体"/>
        </w:rPr>
      </w:pPr>
      <w:r>
        <w:rPr>
          <w:rFonts w:hint="eastAsia" w:ascii="宋体" w:hAnsi="宋体"/>
        </w:rPr>
        <w:t>32.4.4不同投标人的投标文件异常一致或者投标报价呈规律性差异；</w:t>
      </w:r>
    </w:p>
    <w:p w14:paraId="3EE4366D">
      <w:pPr>
        <w:ind w:firstLine="411" w:firstLineChars="196"/>
        <w:rPr>
          <w:rFonts w:hint="eastAsia" w:ascii="宋体" w:hAnsi="宋体"/>
        </w:rPr>
      </w:pPr>
      <w:r>
        <w:rPr>
          <w:rFonts w:hint="eastAsia" w:ascii="宋体" w:hAnsi="宋体"/>
        </w:rPr>
        <w:t>32.4.5</w:t>
      </w:r>
      <w:r>
        <w:rPr>
          <w:rFonts w:ascii="宋体" w:hAnsi="宋体"/>
        </w:rPr>
        <w:t>不同投标供应商的投标文件或部分投标文件相互混装</w:t>
      </w:r>
      <w:r>
        <w:rPr>
          <w:rFonts w:hint="eastAsia" w:ascii="宋体" w:hAnsi="宋体"/>
        </w:rPr>
        <w:t>；</w:t>
      </w:r>
    </w:p>
    <w:p w14:paraId="40DAE88E">
      <w:pPr>
        <w:ind w:firstLine="411" w:firstLineChars="196"/>
        <w:rPr>
          <w:rFonts w:hint="eastAsia" w:ascii="宋体" w:hAnsi="宋体"/>
        </w:rPr>
      </w:pPr>
      <w:r>
        <w:rPr>
          <w:rFonts w:hint="eastAsia" w:ascii="宋体" w:hAnsi="宋体"/>
        </w:rPr>
        <w:t>32.4.6投标供应商之间相互约定给予未中标的供应商利益补偿；</w:t>
      </w:r>
    </w:p>
    <w:p w14:paraId="702519FB">
      <w:pPr>
        <w:ind w:firstLine="411" w:firstLineChars="196"/>
        <w:rPr>
          <w:rFonts w:hint="eastAsia" w:ascii="宋体" w:hAnsi="宋体"/>
        </w:rPr>
      </w:pPr>
      <w:r>
        <w:rPr>
          <w:rFonts w:hint="eastAsia" w:ascii="宋体" w:hAnsi="宋体"/>
        </w:rPr>
        <w:t>32.4.7不同投标供应商的法定代表人、主要经营负责人、项目投标授权代表人、项目负责人、主要技术人员为同一人、属同一单位或者同一单位缴纳社会保险；</w:t>
      </w:r>
    </w:p>
    <w:p w14:paraId="05F344D4">
      <w:pPr>
        <w:ind w:firstLine="411" w:firstLineChars="196"/>
        <w:rPr>
          <w:rFonts w:hint="eastAsia" w:ascii="宋体" w:hAnsi="宋体"/>
        </w:rPr>
      </w:pPr>
      <w:r>
        <w:rPr>
          <w:rFonts w:hint="eastAsia" w:ascii="宋体" w:hAnsi="宋体"/>
        </w:rPr>
        <w:t>32.4.8不同投标供应商的投标文件内容存在非正常一致；</w:t>
      </w:r>
    </w:p>
    <w:p w14:paraId="20E8871A">
      <w:pPr>
        <w:ind w:firstLine="411" w:firstLineChars="196"/>
        <w:rPr>
          <w:rFonts w:hint="eastAsia" w:ascii="宋体" w:hAnsi="宋体"/>
        </w:rPr>
      </w:pPr>
      <w:r>
        <w:rPr>
          <w:rFonts w:hint="eastAsia" w:ascii="宋体" w:hAnsi="宋体"/>
        </w:rPr>
        <w:t>32.4.9在同一单位工作人员为两家以上（含两家）供应商进行同一项投标活动；</w:t>
      </w:r>
    </w:p>
    <w:p w14:paraId="23D15D62">
      <w:pPr>
        <w:ind w:firstLine="411" w:firstLineChars="196"/>
        <w:rPr>
          <w:rFonts w:hint="eastAsia" w:ascii="宋体" w:hAnsi="宋体"/>
        </w:rPr>
      </w:pPr>
      <w:r>
        <w:rPr>
          <w:rFonts w:hint="eastAsia" w:ascii="宋体" w:hAnsi="宋体"/>
        </w:rPr>
        <w:t>32.4.10主管部门依照法律、法规认定的其他情形。</w:t>
      </w:r>
    </w:p>
    <w:p w14:paraId="7E11A060">
      <w:pPr>
        <w:rPr>
          <w:rFonts w:hint="eastAsia" w:ascii="宋体" w:hAnsi="宋体"/>
        </w:rPr>
      </w:pPr>
      <w:r>
        <w:rPr>
          <w:rFonts w:hint="eastAsia" w:ascii="宋体" w:hAnsi="宋体"/>
        </w:rPr>
        <w:t>32.5对不属于《资格性审查表》和《符合性审查表》所列的其他情形，除专用条款另有规定和32.4条款所列情形外，不得作为投标无效的理由。</w:t>
      </w:r>
    </w:p>
    <w:p w14:paraId="09D04463">
      <w:pPr>
        <w:rPr>
          <w:rFonts w:hint="eastAsia" w:ascii="黑体" w:hAnsi="宋体" w:eastAsia="黑体"/>
          <w:sz w:val="24"/>
        </w:rPr>
      </w:pPr>
      <w:r>
        <w:rPr>
          <w:rFonts w:hint="eastAsia" w:ascii="黑体" w:hAnsi="宋体" w:eastAsia="黑体"/>
          <w:sz w:val="24"/>
        </w:rPr>
        <w:t>33．澄清有关问题</w:t>
      </w:r>
    </w:p>
    <w:p w14:paraId="163C3153">
      <w:pPr>
        <w:ind w:firstLine="411" w:firstLineChars="196"/>
        <w:rPr>
          <w:rFonts w:hint="eastAsia" w:ascii="宋体" w:hAnsi="宋体"/>
        </w:rPr>
      </w:pPr>
      <w:bookmarkStart w:id="57" w:name="_Hlk71407321"/>
      <w:r>
        <w:rPr>
          <w:rFonts w:hint="eastAsia" w:ascii="宋体" w:hAnsi="宋体"/>
        </w:rPr>
        <w:t>3</w:t>
      </w:r>
      <w:r>
        <w:rPr>
          <w:rFonts w:ascii="宋体" w:hAnsi="宋体"/>
        </w:rPr>
        <w:t>3.1</w:t>
      </w:r>
      <w:r>
        <w:rPr>
          <w:rFonts w:hint="eastAsia" w:ascii="宋体" w:hAnsi="宋体"/>
        </w:rPr>
        <w:t>对招标文件中描述有歧义或前后不一致的地方（不含</w:t>
      </w:r>
      <w:r>
        <w:rPr>
          <w:szCs w:val="21"/>
        </w:rPr>
        <w:t>招标文件存在歧义、重大缺陷导致评</w:t>
      </w:r>
      <w:r>
        <w:rPr>
          <w:rFonts w:hint="eastAsia"/>
          <w:szCs w:val="21"/>
        </w:rPr>
        <w:t>审</w:t>
      </w:r>
      <w:r>
        <w:rPr>
          <w:szCs w:val="21"/>
        </w:rPr>
        <w:t>工作无法进行</w:t>
      </w:r>
      <w:r>
        <w:rPr>
          <w:rFonts w:hint="eastAsia"/>
          <w:szCs w:val="21"/>
        </w:rPr>
        <w:t>的情况）</w:t>
      </w:r>
      <w:r>
        <w:rPr>
          <w:rFonts w:hint="eastAsia" w:ascii="宋体" w:hAnsi="宋体"/>
        </w:rPr>
        <w:t>，评审委员会有权进行评判，但对同一条款的评判应适用于每个投标人。</w:t>
      </w:r>
      <w:bookmarkEnd w:id="57"/>
    </w:p>
    <w:p w14:paraId="37488666">
      <w:pPr>
        <w:ind w:firstLine="411" w:firstLineChars="196"/>
        <w:rPr>
          <w:rFonts w:hint="eastAsia" w:ascii="宋体" w:hAnsi="宋体"/>
        </w:rPr>
      </w:pPr>
      <w:r>
        <w:rPr>
          <w:rFonts w:hint="eastAsia" w:ascii="宋体" w:hAnsi="宋体"/>
        </w:rPr>
        <w:t>3</w:t>
      </w:r>
      <w:r>
        <w:rPr>
          <w:rFonts w:ascii="宋体" w:hAnsi="宋体"/>
        </w:rPr>
        <w:t>3.2</w:t>
      </w:r>
      <w:r>
        <w:rPr>
          <w:szCs w:val="21"/>
        </w:rPr>
        <w:t>评</w:t>
      </w:r>
      <w:r>
        <w:rPr>
          <w:rFonts w:hint="eastAsia"/>
          <w:szCs w:val="21"/>
        </w:rPr>
        <w:t>审</w:t>
      </w:r>
      <w:r>
        <w:rPr>
          <w:szCs w:val="21"/>
        </w:rPr>
        <w:t>委员会发现招标文件存在歧义、重大缺陷导致评</w:t>
      </w:r>
      <w:r>
        <w:rPr>
          <w:rFonts w:hint="eastAsia"/>
          <w:szCs w:val="21"/>
        </w:rPr>
        <w:t>审</w:t>
      </w:r>
      <w:r>
        <w:rPr>
          <w:szCs w:val="21"/>
        </w:rPr>
        <w:t>工作无法进行，或者招标文件内容违反国家有关强制性规定的，应当停止评</w:t>
      </w:r>
      <w:r>
        <w:rPr>
          <w:rFonts w:hint="eastAsia"/>
          <w:szCs w:val="21"/>
        </w:rPr>
        <w:t>审</w:t>
      </w:r>
      <w:r>
        <w:rPr>
          <w:szCs w:val="21"/>
        </w:rPr>
        <w:t>工作，与</w:t>
      </w:r>
      <w:r>
        <w:rPr>
          <w:rFonts w:hint="eastAsia"/>
          <w:szCs w:val="21"/>
        </w:rPr>
        <w:t>政府集中采购机构</w:t>
      </w:r>
      <w:r>
        <w:rPr>
          <w:szCs w:val="21"/>
        </w:rPr>
        <w:t>沟通并作书面记录。</w:t>
      </w:r>
      <w:r>
        <w:rPr>
          <w:rFonts w:hint="eastAsia"/>
          <w:szCs w:val="21"/>
        </w:rPr>
        <w:t>经</w:t>
      </w:r>
      <w:r>
        <w:rPr>
          <w:szCs w:val="21"/>
        </w:rPr>
        <w:t>确认后，</w:t>
      </w:r>
      <w:r>
        <w:rPr>
          <w:rFonts w:hint="eastAsia"/>
          <w:szCs w:val="21"/>
        </w:rPr>
        <w:t>项目</w:t>
      </w:r>
      <w:r>
        <w:rPr>
          <w:szCs w:val="21"/>
        </w:rPr>
        <w:t>应当修改招标文件，重新组织采购活动。</w:t>
      </w:r>
    </w:p>
    <w:p w14:paraId="04BC1BA7">
      <w:pPr>
        <w:ind w:firstLine="411" w:firstLineChars="196"/>
        <w:rPr>
          <w:rFonts w:hint="eastAsia" w:ascii="宋体" w:hAnsi="宋体"/>
        </w:rPr>
      </w:pPr>
      <w:r>
        <w:rPr>
          <w:rFonts w:ascii="宋体" w:hAnsi="宋体"/>
        </w:rPr>
        <w:t>33.3</w:t>
      </w:r>
      <w:r>
        <w:rPr>
          <w:rFonts w:hint="eastAsia" w:ascii="宋体" w:hAnsi="宋体"/>
        </w:rPr>
        <w:t>对于投标文件中含义不明确、同类问题表述不一致或者有明显文字和计算错误的内容，评审委员会应当以书面形式要求投标人作出必要的澄清、说明或者补正。</w:t>
      </w:r>
    </w:p>
    <w:p w14:paraId="6DD81488">
      <w:pPr>
        <w:ind w:firstLine="411" w:firstLineChars="196"/>
        <w:rPr>
          <w:rFonts w:hint="eastAsia" w:ascii="宋体" w:hAnsi="宋体"/>
        </w:rPr>
      </w:pPr>
      <w:r>
        <w:rPr>
          <w:rFonts w:hint="eastAsia" w:ascii="宋体" w:hAnsi="宋体"/>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2270607B">
      <w:pPr>
        <w:ind w:firstLine="411" w:firstLineChars="196"/>
        <w:rPr>
          <w:rFonts w:hint="eastAsia" w:ascii="宋体" w:hAnsi="宋体"/>
          <w:szCs w:val="21"/>
        </w:rPr>
      </w:pPr>
      <w:r>
        <w:rPr>
          <w:rFonts w:hint="eastAsia" w:ascii="宋体" w:hAnsi="宋体"/>
          <w:szCs w:val="21"/>
        </w:rPr>
        <w:t>根据本通用条款第34条，凡属于评审委员会在评审中发现的算术错误进行核实的修改不在此列。</w:t>
      </w:r>
    </w:p>
    <w:p w14:paraId="3B04D8B4">
      <w:pPr>
        <w:rPr>
          <w:rFonts w:hint="eastAsia" w:ascii="黑体" w:hAnsi="宋体" w:eastAsia="黑体"/>
          <w:sz w:val="24"/>
        </w:rPr>
      </w:pPr>
      <w:bookmarkStart w:id="58" w:name="_Toc73521581"/>
      <w:bookmarkStart w:id="59" w:name="_Toc73521669"/>
      <w:bookmarkStart w:id="60" w:name="_Toc73518151"/>
      <w:bookmarkStart w:id="61" w:name="_Toc73517673"/>
      <w:bookmarkStart w:id="62" w:name="_Toc100052400"/>
      <w:r>
        <w:rPr>
          <w:rFonts w:hint="eastAsia" w:ascii="黑体" w:hAnsi="宋体" w:eastAsia="黑体"/>
          <w:sz w:val="24"/>
        </w:rPr>
        <w:t>34．错误的修正</w:t>
      </w:r>
      <w:bookmarkEnd w:id="58"/>
      <w:bookmarkEnd w:id="59"/>
      <w:bookmarkEnd w:id="60"/>
      <w:bookmarkEnd w:id="61"/>
      <w:bookmarkEnd w:id="62"/>
    </w:p>
    <w:p w14:paraId="5DD798D4">
      <w:pPr>
        <w:ind w:firstLine="411" w:firstLineChars="196"/>
        <w:rPr>
          <w:rFonts w:hint="eastAsia" w:ascii="宋体" w:hAnsi="宋体"/>
          <w:szCs w:val="21"/>
        </w:rPr>
      </w:pPr>
      <w:r>
        <w:rPr>
          <w:rFonts w:hint="eastAsia" w:ascii="宋体" w:hAnsi="宋体"/>
          <w:szCs w:val="21"/>
        </w:rPr>
        <w:t>投标文件报价出现前后不一致的，除专用条款另有规定外，按照下列规定修正：</w:t>
      </w:r>
    </w:p>
    <w:p w14:paraId="61DD515C">
      <w:pPr>
        <w:ind w:firstLine="411" w:firstLineChars="196"/>
        <w:rPr>
          <w:rFonts w:hint="eastAsia" w:ascii="宋体" w:hAnsi="宋体"/>
          <w:szCs w:val="21"/>
        </w:rPr>
      </w:pPr>
      <w:r>
        <w:rPr>
          <w:rFonts w:hint="eastAsia" w:ascii="宋体" w:hAnsi="宋体"/>
          <w:szCs w:val="21"/>
        </w:rPr>
        <w:t>34.1投标文件中开标一览表投标报价内容与投标文件中投标报价相应内容不一致的，以开标一览表为准；</w:t>
      </w:r>
    </w:p>
    <w:p w14:paraId="5EB4CFDF">
      <w:pPr>
        <w:ind w:firstLine="411" w:firstLineChars="196"/>
        <w:rPr>
          <w:rFonts w:hint="eastAsia" w:ascii="宋体" w:hAnsi="宋体"/>
          <w:szCs w:val="21"/>
        </w:rPr>
      </w:pPr>
      <w:r>
        <w:rPr>
          <w:rFonts w:hint="eastAsia" w:ascii="宋体" w:hAnsi="宋体"/>
          <w:szCs w:val="21"/>
        </w:rPr>
        <w:t>34.2大写金额和小写金额不一致的，以大写金额为准；</w:t>
      </w:r>
    </w:p>
    <w:p w14:paraId="30222E06">
      <w:pPr>
        <w:ind w:firstLine="411" w:firstLineChars="196"/>
        <w:rPr>
          <w:rFonts w:hint="eastAsia" w:ascii="宋体" w:hAnsi="宋体"/>
          <w:szCs w:val="21"/>
        </w:rPr>
      </w:pPr>
      <w:r>
        <w:rPr>
          <w:rFonts w:hint="eastAsia" w:ascii="宋体" w:hAnsi="宋体"/>
          <w:szCs w:val="21"/>
        </w:rPr>
        <w:t>34.3单价金额小数点或者百分比有明显错位，以开标一览表的总价为准，并修改单价；</w:t>
      </w:r>
    </w:p>
    <w:p w14:paraId="66E40473">
      <w:pPr>
        <w:ind w:firstLine="411" w:firstLineChars="196"/>
        <w:rPr>
          <w:rFonts w:hint="eastAsia" w:ascii="宋体" w:hAnsi="宋体"/>
          <w:szCs w:val="21"/>
        </w:rPr>
      </w:pPr>
      <w:r>
        <w:rPr>
          <w:rFonts w:hint="eastAsia" w:ascii="宋体" w:hAnsi="宋体"/>
          <w:szCs w:val="21"/>
        </w:rPr>
        <w:t>34.4总价金额与按单价汇总金额不一致的，以单价金额计算结果为准。</w:t>
      </w:r>
    </w:p>
    <w:p w14:paraId="3E313F4F">
      <w:pPr>
        <w:ind w:firstLine="411" w:firstLineChars="196"/>
        <w:rPr>
          <w:rFonts w:hint="eastAsia"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14:paraId="242B4FD4">
      <w:pPr>
        <w:rPr>
          <w:rFonts w:hint="eastAsia" w:ascii="黑体" w:hAnsi="宋体" w:eastAsia="黑体"/>
          <w:sz w:val="24"/>
        </w:rPr>
      </w:pPr>
      <w:r>
        <w:rPr>
          <w:rFonts w:hint="eastAsia" w:ascii="黑体" w:hAnsi="宋体" w:eastAsia="黑体"/>
          <w:sz w:val="24"/>
        </w:rPr>
        <w:t>35．投标文件的比较与评价</w:t>
      </w:r>
    </w:p>
    <w:p w14:paraId="5C5ECC26">
      <w:pPr>
        <w:ind w:firstLine="411" w:firstLineChars="196"/>
        <w:rPr>
          <w:rFonts w:hint="eastAsia" w:ascii="宋体" w:hAnsi="宋体"/>
          <w:szCs w:val="21"/>
        </w:rPr>
      </w:pPr>
      <w:r>
        <w:rPr>
          <w:rFonts w:hint="eastAsia" w:ascii="宋体" w:hAnsi="宋体"/>
          <w:szCs w:val="21"/>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56F56818">
      <w:pPr>
        <w:ind w:firstLine="411" w:firstLineChars="196"/>
        <w:rPr>
          <w:rFonts w:hint="eastAsia" w:ascii="宋体" w:hAnsi="宋体"/>
          <w:szCs w:val="21"/>
        </w:rPr>
      </w:pPr>
      <w:r>
        <w:rPr>
          <w:rFonts w:hint="eastAsia" w:ascii="宋体" w:hAnsi="宋体"/>
          <w:szCs w:val="21"/>
        </w:rPr>
        <w:t>评审委员会成员对需要共同认定的事项存在争议的，应当按照少数服从多数的原则作出结论。持不同意见的评审委员会成员应当书面作出说明，否则视为无异议。</w:t>
      </w:r>
    </w:p>
    <w:p w14:paraId="19A95761">
      <w:pPr>
        <w:rPr>
          <w:rFonts w:hint="eastAsia" w:ascii="黑体" w:hAnsi="宋体" w:eastAsia="黑体"/>
          <w:sz w:val="24"/>
        </w:rPr>
      </w:pPr>
      <w:r>
        <w:rPr>
          <w:rFonts w:hint="eastAsia" w:ascii="黑体" w:hAnsi="宋体" w:eastAsia="黑体"/>
          <w:sz w:val="24"/>
        </w:rPr>
        <w:t>36. 实地考察或资料查验</w:t>
      </w:r>
    </w:p>
    <w:p w14:paraId="56C71635">
      <w:pPr>
        <w:ind w:firstLine="411" w:firstLineChars="196"/>
        <w:rPr>
          <w:rFonts w:hint="eastAsia" w:ascii="宋体" w:hAnsi="宋体"/>
          <w:szCs w:val="21"/>
        </w:rPr>
      </w:pPr>
      <w:r>
        <w:rPr>
          <w:rFonts w:hint="eastAsia" w:ascii="宋体" w:hAnsi="宋体"/>
          <w:szCs w:val="21"/>
        </w:rPr>
        <w:t>36.1在评审过程中，评审委员会有权决定是否对本项目投标人进行实地考察或资料查验（原件）。投标人应随时做好接受实地考察或资料查验的准备。</w:t>
      </w:r>
    </w:p>
    <w:p w14:paraId="684D6728">
      <w:pPr>
        <w:rPr>
          <w:rFonts w:hint="eastAsia" w:ascii="黑体" w:hAnsi="宋体" w:eastAsia="黑体"/>
          <w:sz w:val="24"/>
        </w:rPr>
      </w:pPr>
      <w:r>
        <w:rPr>
          <w:rFonts w:hint="eastAsia" w:ascii="黑体" w:hAnsi="宋体" w:eastAsia="黑体"/>
          <w:sz w:val="24"/>
        </w:rPr>
        <w:t>37．评审方法</w:t>
      </w:r>
    </w:p>
    <w:p w14:paraId="5297A6A5">
      <w:pPr>
        <w:ind w:firstLine="413" w:firstLineChars="196"/>
        <w:rPr>
          <w:rFonts w:hint="eastAsia" w:ascii="宋体" w:hAnsi="宋体"/>
          <w:b/>
          <w:bCs/>
          <w:szCs w:val="21"/>
        </w:rPr>
      </w:pPr>
      <w:bookmarkStart w:id="63" w:name="_Hlk72438142"/>
      <w:r>
        <w:rPr>
          <w:rFonts w:hint="eastAsia" w:ascii="宋体" w:hAnsi="宋体"/>
          <w:b/>
          <w:bCs/>
          <w:szCs w:val="21"/>
        </w:rPr>
        <w:t>37.1.1最低价法</w:t>
      </w:r>
    </w:p>
    <w:p w14:paraId="5093A0E3">
      <w:pPr>
        <w:ind w:firstLine="411" w:firstLineChars="196"/>
        <w:rPr>
          <w:rFonts w:hint="eastAsia" w:ascii="ˎ̥" w:hAnsi="ˎ̥"/>
        </w:rPr>
      </w:pPr>
      <w:r>
        <w:rPr>
          <w:rFonts w:ascii="ˎ̥" w:hAnsi="ˎ̥"/>
        </w:rPr>
        <w:t>最低价法，</w:t>
      </w:r>
      <w:r>
        <w:rPr>
          <w:rFonts w:hint="eastAsia" w:ascii="ˎ̥" w:hAnsi="ˎ̥"/>
        </w:rPr>
        <w:t>是指投标文件满足招标文件全部实质性要求，且投标报价最低的投标人为中标候选人的评标方法。</w:t>
      </w:r>
    </w:p>
    <w:p w14:paraId="2AF102A9">
      <w:pPr>
        <w:ind w:firstLine="411" w:firstLineChars="196"/>
        <w:rPr>
          <w:rFonts w:hint="eastAsia" w:ascii="ˎ̥" w:hAnsi="ˎ̥" w:eastAsia="宋体"/>
        </w:rPr>
      </w:pPr>
      <w:r>
        <w:rPr>
          <w:rFonts w:hint="eastAsia" w:ascii="ˎ̥" w:hAnsi="ˎ̥"/>
        </w:rPr>
        <w:t>采用最低价法的，评标结果按投标报价由低到高顺序排列。投标报价相同的并列。投标文件满足招标文件全部实质性要求且投标报价最低的投标人为排名第一的中标候选人。出现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p>
    <w:p w14:paraId="56B147F3">
      <w:pPr>
        <w:ind w:firstLine="413" w:firstLineChars="196"/>
        <w:rPr>
          <w:rFonts w:hint="eastAsia" w:ascii="宋体" w:hAnsi="宋体"/>
          <w:b/>
          <w:bCs/>
          <w:szCs w:val="21"/>
        </w:rPr>
      </w:pPr>
      <w:r>
        <w:rPr>
          <w:rFonts w:hint="eastAsia" w:ascii="宋体" w:hAnsi="宋体"/>
          <w:b/>
          <w:bCs/>
          <w:szCs w:val="21"/>
        </w:rPr>
        <w:t>37.1.2综合评分法</w:t>
      </w:r>
    </w:p>
    <w:p w14:paraId="5EEF07A2">
      <w:pPr>
        <w:ind w:firstLine="411" w:firstLineChars="196"/>
        <w:rPr>
          <w:rFonts w:hint="eastAsia" w:ascii="ˎ̥" w:hAnsi="ˎ̥"/>
        </w:rPr>
      </w:pPr>
      <w:r>
        <w:rPr>
          <w:rFonts w:ascii="ˎ̥" w:hAnsi="ˎ̥"/>
        </w:rPr>
        <w:t>综合评分法，是指</w:t>
      </w:r>
      <w:r>
        <w:rPr>
          <w:rFonts w:hint="eastAsia" w:ascii="ˎ̥" w:hAnsi="ˎ̥"/>
        </w:rPr>
        <w:t>在</w:t>
      </w:r>
      <w:r>
        <w:rPr>
          <w:rFonts w:ascii="ˎ̥" w:hAnsi="ˎ̥"/>
        </w:rPr>
        <w:t>满足招标文件全部实质性要求</w:t>
      </w:r>
      <w:r>
        <w:rPr>
          <w:rFonts w:hint="eastAsia" w:ascii="ˎ̥" w:hAnsi="ˎ̥"/>
        </w:rPr>
        <w:t>的前提下</w:t>
      </w:r>
      <w:r>
        <w:rPr>
          <w:rFonts w:ascii="ˎ̥" w:hAnsi="ˎ̥"/>
        </w:rPr>
        <w:t>，</w:t>
      </w:r>
      <w:r>
        <w:rPr>
          <w:rFonts w:hint="eastAsia" w:ascii="ˎ̥" w:hAnsi="ˎ̥"/>
        </w:rPr>
        <w:t>按照招标文件中规定的各项因素进行综合评审，评审总得分排名前列的投标人，作为推荐的候选中标供应商。</w:t>
      </w:r>
    </w:p>
    <w:p w14:paraId="0C2B969D">
      <w:pPr>
        <w:ind w:firstLine="411" w:firstLineChars="196"/>
        <w:rPr>
          <w:rFonts w:hint="eastAsia" w:ascii="ˎ̥" w:hAnsi="ˎ̥"/>
        </w:rPr>
      </w:pPr>
      <w:r>
        <w:rPr>
          <w:rFonts w:hint="eastAsia" w:ascii="ˎ̥" w:hAnsi="ˎ̥"/>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出现得分且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bookmarkEnd w:id="63"/>
    </w:p>
    <w:p w14:paraId="3C3D61D9">
      <w:pPr>
        <w:ind w:firstLine="413" w:firstLineChars="196"/>
        <w:rPr>
          <w:rFonts w:hint="eastAsia" w:ascii="宋体" w:hAnsi="宋体"/>
          <w:b/>
          <w:bCs/>
          <w:szCs w:val="21"/>
        </w:rPr>
      </w:pPr>
      <w:r>
        <w:rPr>
          <w:rFonts w:hint="eastAsia" w:ascii="宋体" w:hAnsi="宋体"/>
          <w:b/>
          <w:bCs/>
          <w:szCs w:val="21"/>
        </w:rPr>
        <w:t>37.2 本项目采用的评审方法见本项目招标文件第一册“专用条款”的相关内容。</w:t>
      </w:r>
    </w:p>
    <w:p w14:paraId="09C540F5">
      <w:pPr>
        <w:ind w:firstLine="413" w:firstLineChars="196"/>
        <w:rPr>
          <w:rFonts w:hint="eastAsia" w:ascii="宋体" w:hAnsi="宋体"/>
          <w:b/>
          <w:bCs/>
          <w:szCs w:val="21"/>
        </w:rPr>
      </w:pPr>
      <w:r>
        <w:rPr>
          <w:rFonts w:hint="eastAsia" w:ascii="宋体" w:hAnsi="宋体"/>
          <w:b/>
          <w:bCs/>
          <w:szCs w:val="21"/>
        </w:rPr>
        <w:t>37.3重新评审的情形</w:t>
      </w:r>
    </w:p>
    <w:p w14:paraId="0295A555">
      <w:pPr>
        <w:ind w:firstLine="411" w:firstLineChars="196"/>
        <w:rPr>
          <w:rFonts w:hint="eastAsia" w:ascii="宋体" w:hAnsi="宋体"/>
          <w:b/>
          <w:bCs/>
          <w:szCs w:val="21"/>
        </w:rPr>
      </w:pPr>
      <w:r>
        <w:rPr>
          <w:rFonts w:hint="eastAsia" w:ascii="宋体" w:hAnsi="宋体" w:cs="宋体"/>
          <w:kern w:val="0"/>
          <w:szCs w:val="21"/>
        </w:rPr>
        <w:t>评审结果汇总完成后，除下列情形外，任何人不得修改评审结果：</w:t>
      </w:r>
    </w:p>
    <w:p w14:paraId="79996B58">
      <w:pPr>
        <w:ind w:firstLine="411" w:firstLineChars="196"/>
        <w:rPr>
          <w:rFonts w:hint="eastAsia" w:ascii="宋体" w:hAnsi="宋体" w:cs="宋体"/>
          <w:kern w:val="0"/>
          <w:szCs w:val="21"/>
        </w:rPr>
      </w:pPr>
      <w:r>
        <w:rPr>
          <w:rFonts w:hint="eastAsia" w:ascii="宋体" w:hAnsi="宋体" w:cs="宋体"/>
          <w:kern w:val="0"/>
          <w:szCs w:val="21"/>
        </w:rPr>
        <w:t>37.3.1分值汇总计算错误的；</w:t>
      </w:r>
    </w:p>
    <w:p w14:paraId="01F45209">
      <w:pPr>
        <w:ind w:firstLine="411" w:firstLineChars="196"/>
        <w:rPr>
          <w:rFonts w:hint="eastAsia" w:ascii="宋体" w:hAnsi="宋体" w:cs="宋体"/>
          <w:kern w:val="0"/>
          <w:szCs w:val="21"/>
        </w:rPr>
      </w:pPr>
      <w:r>
        <w:rPr>
          <w:rFonts w:hint="eastAsia" w:ascii="宋体" w:hAnsi="宋体" w:cs="宋体"/>
          <w:kern w:val="0"/>
          <w:szCs w:val="21"/>
        </w:rPr>
        <w:t>37.3.2分项评分超出评分标准范围的；</w:t>
      </w:r>
    </w:p>
    <w:p w14:paraId="45272681">
      <w:pPr>
        <w:ind w:firstLine="411" w:firstLineChars="196"/>
        <w:rPr>
          <w:rFonts w:hint="eastAsia" w:ascii="宋体" w:hAnsi="宋体" w:cs="宋体"/>
          <w:kern w:val="0"/>
          <w:szCs w:val="21"/>
        </w:rPr>
      </w:pPr>
      <w:r>
        <w:rPr>
          <w:rFonts w:hint="eastAsia" w:ascii="宋体" w:hAnsi="宋体" w:cs="宋体"/>
          <w:kern w:val="0"/>
          <w:szCs w:val="21"/>
        </w:rPr>
        <w:t>37.3.3评审委员会成员对客观评审因素评分不一致的；</w:t>
      </w:r>
    </w:p>
    <w:p w14:paraId="08EE3D71">
      <w:pPr>
        <w:ind w:firstLine="411" w:firstLineChars="196"/>
        <w:rPr>
          <w:rFonts w:hint="eastAsia" w:ascii="宋体" w:hAnsi="宋体" w:cs="宋体"/>
          <w:kern w:val="0"/>
          <w:szCs w:val="21"/>
        </w:rPr>
      </w:pPr>
      <w:r>
        <w:rPr>
          <w:rFonts w:hint="eastAsia" w:ascii="宋体" w:hAnsi="宋体" w:cs="宋体"/>
          <w:kern w:val="0"/>
          <w:szCs w:val="21"/>
        </w:rPr>
        <w:t>37.3.4经评审委员会认定评分畸高、畸低的。</w:t>
      </w:r>
    </w:p>
    <w:p w14:paraId="0EF01DBE">
      <w:pPr>
        <w:ind w:firstLine="411" w:firstLineChars="196"/>
        <w:rPr>
          <w:rFonts w:hint="eastAsia" w:ascii="宋体" w:hAnsi="宋体" w:cs="宋体"/>
          <w:kern w:val="0"/>
          <w:szCs w:val="21"/>
        </w:rPr>
      </w:pPr>
      <w:r>
        <w:rPr>
          <w:rFonts w:hint="eastAsia" w:ascii="宋体" w:hAnsi="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2461AA24">
      <w:pPr>
        <w:ind w:firstLine="411" w:firstLineChars="196"/>
        <w:rPr>
          <w:rFonts w:hint="eastAsia" w:ascii="宋体" w:hAnsi="宋体" w:cs="宋体"/>
          <w:kern w:val="0"/>
          <w:szCs w:val="21"/>
        </w:rPr>
      </w:pPr>
      <w:r>
        <w:rPr>
          <w:rFonts w:hint="eastAsia" w:ascii="宋体" w:hAnsi="宋体" w:cs="宋体"/>
          <w:kern w:val="0"/>
          <w:szCs w:val="21"/>
        </w:rPr>
        <w:t>投标人对本条第一款情形提出质疑的，采购人或者采购代理机构可以组织原评审委员会进行重新评审，重新评审改变评审结果的，应当书面报告本级财政部门。</w:t>
      </w:r>
    </w:p>
    <w:p w14:paraId="424949ED">
      <w:pPr>
        <w:ind w:firstLine="413" w:firstLineChars="196"/>
        <w:rPr>
          <w:rFonts w:hint="eastAsia" w:ascii="宋体" w:hAnsi="宋体"/>
          <w:b/>
          <w:bCs/>
          <w:szCs w:val="21"/>
        </w:rPr>
      </w:pPr>
      <w:r>
        <w:rPr>
          <w:rFonts w:hint="eastAsia" w:ascii="宋体" w:hAnsi="宋体"/>
          <w:b/>
          <w:bCs/>
          <w:szCs w:val="21"/>
        </w:rPr>
        <w:t xml:space="preserve"> 37.4重新组建评审委员会的情形</w:t>
      </w:r>
    </w:p>
    <w:p w14:paraId="39B5FED7">
      <w:pPr>
        <w:ind w:firstLine="411" w:firstLineChars="196"/>
        <w:rPr>
          <w:rFonts w:hint="eastAsia" w:ascii="宋体" w:hAnsi="宋体" w:cs="宋体"/>
          <w:kern w:val="0"/>
          <w:szCs w:val="21"/>
        </w:rPr>
      </w:pPr>
      <w:r>
        <w:rPr>
          <w:rFonts w:hint="eastAsia" w:ascii="宋体" w:hAnsi="宋体" w:cs="宋体"/>
          <w:kern w:val="0"/>
          <w:szCs w:val="21"/>
        </w:rPr>
        <w:t>评审委员会或者其成员存在下列情形导致评审结果无效的，重新组建评审委员会进行评标，并书面报告本级财政部门：</w:t>
      </w:r>
    </w:p>
    <w:p w14:paraId="1D2890AC">
      <w:pPr>
        <w:ind w:firstLine="411" w:firstLineChars="196"/>
        <w:rPr>
          <w:rFonts w:hint="eastAsia" w:ascii="宋体" w:hAnsi="宋体" w:cs="宋体"/>
          <w:kern w:val="0"/>
          <w:szCs w:val="21"/>
        </w:rPr>
      </w:pPr>
      <w:r>
        <w:rPr>
          <w:rFonts w:hint="eastAsia" w:ascii="宋体" w:hAnsi="宋体" w:cs="宋体"/>
          <w:kern w:val="0"/>
          <w:szCs w:val="21"/>
        </w:rPr>
        <w:t>37.4.1评审委员会组成不符合《政府采购货物和服务招标投标管理办法》规定的；</w:t>
      </w:r>
    </w:p>
    <w:p w14:paraId="3A7DA5C8">
      <w:pPr>
        <w:ind w:firstLine="411" w:firstLineChars="196"/>
        <w:rPr>
          <w:rFonts w:hint="eastAsia" w:ascii="宋体" w:hAnsi="宋体" w:cs="宋体"/>
          <w:kern w:val="0"/>
          <w:szCs w:val="21"/>
        </w:rPr>
      </w:pPr>
      <w:r>
        <w:rPr>
          <w:rFonts w:hint="eastAsia" w:ascii="宋体" w:hAnsi="宋体" w:cs="宋体"/>
          <w:kern w:val="0"/>
          <w:szCs w:val="21"/>
        </w:rPr>
        <w:t>37.4.2有《政府采购货物和服务招标投标管理办法》第六十二条第一至五项情形的；</w:t>
      </w:r>
    </w:p>
    <w:p w14:paraId="5DA93318">
      <w:pPr>
        <w:ind w:firstLine="411" w:firstLineChars="196"/>
        <w:rPr>
          <w:rFonts w:hint="eastAsia" w:ascii="宋体" w:hAnsi="宋体" w:cs="宋体"/>
          <w:kern w:val="0"/>
          <w:szCs w:val="21"/>
        </w:rPr>
      </w:pPr>
      <w:r>
        <w:rPr>
          <w:rFonts w:hint="eastAsia" w:ascii="宋体" w:hAnsi="宋体" w:cs="宋体"/>
          <w:kern w:val="0"/>
          <w:szCs w:val="21"/>
        </w:rPr>
        <w:t>37.4.3评审委员会及其成员独立评标受到非法干预的；</w:t>
      </w:r>
    </w:p>
    <w:p w14:paraId="4EEF6E78">
      <w:pPr>
        <w:ind w:firstLine="411" w:firstLineChars="196"/>
        <w:rPr>
          <w:rFonts w:hint="eastAsia" w:ascii="宋体" w:hAnsi="宋体" w:cs="宋体"/>
          <w:kern w:val="0"/>
          <w:szCs w:val="21"/>
        </w:rPr>
      </w:pPr>
      <w:r>
        <w:rPr>
          <w:rFonts w:hint="eastAsia" w:ascii="宋体" w:hAnsi="宋体" w:cs="宋体"/>
          <w:kern w:val="0"/>
          <w:szCs w:val="21"/>
        </w:rPr>
        <w:t>37.4.4有政府采购法实施条例第七十五条规定的违法行为的。</w:t>
      </w:r>
    </w:p>
    <w:p w14:paraId="29661D85">
      <w:pPr>
        <w:ind w:firstLine="411" w:firstLineChars="196"/>
        <w:rPr>
          <w:rFonts w:hint="eastAsia" w:ascii="宋体" w:hAnsi="宋体" w:cs="宋体"/>
          <w:kern w:val="0"/>
          <w:szCs w:val="21"/>
        </w:rPr>
      </w:pPr>
      <w:r>
        <w:rPr>
          <w:rFonts w:hint="eastAsia" w:ascii="宋体" w:hAnsi="宋体" w:cs="宋体"/>
          <w:kern w:val="0"/>
          <w:szCs w:val="21"/>
        </w:rPr>
        <w:t>有违法违规行为的原评审委员会成员不得参加重新组建的评审委员会。</w:t>
      </w:r>
    </w:p>
    <w:p w14:paraId="7CACE7B1">
      <w:pPr>
        <w:ind w:firstLine="411" w:firstLineChars="196"/>
        <w:rPr>
          <w:rFonts w:hint="eastAsia" w:ascii="宋体" w:hAnsi="宋体"/>
          <w:szCs w:val="21"/>
        </w:rPr>
      </w:pPr>
    </w:p>
    <w:p w14:paraId="010C811A">
      <w:pPr>
        <w:pStyle w:val="5"/>
        <w:numPr>
          <w:ilvl w:val="0"/>
          <w:numId w:val="11"/>
        </w:numPr>
        <w:spacing w:before="156" w:beforeLines="50" w:after="156" w:afterLines="50"/>
        <w:ind w:left="562" w:hanging="562"/>
        <w:rPr>
          <w:sz w:val="28"/>
          <w:szCs w:val="28"/>
        </w:rPr>
      </w:pPr>
      <w:r>
        <w:rPr>
          <w:rFonts w:hint="eastAsia"/>
          <w:sz w:val="28"/>
          <w:szCs w:val="28"/>
        </w:rPr>
        <w:t>定标及公示</w:t>
      </w:r>
    </w:p>
    <w:p w14:paraId="782B6E25">
      <w:pPr>
        <w:rPr>
          <w:rFonts w:hint="eastAsia" w:ascii="黑体" w:hAnsi="宋体" w:eastAsia="黑体"/>
          <w:sz w:val="24"/>
        </w:rPr>
      </w:pPr>
      <w:r>
        <w:rPr>
          <w:rFonts w:hint="eastAsia" w:ascii="黑体" w:hAnsi="宋体" w:eastAsia="黑体"/>
          <w:sz w:val="24"/>
        </w:rPr>
        <w:t>38．定标方法</w:t>
      </w:r>
    </w:p>
    <w:p w14:paraId="4C9A2CC8">
      <w:pPr>
        <w:ind w:firstLine="411" w:firstLineChars="196"/>
        <w:rPr>
          <w:rFonts w:hint="eastAsia" w:ascii="宋体" w:hAnsi="宋体"/>
          <w:szCs w:val="21"/>
        </w:rPr>
      </w:pPr>
      <w:bookmarkStart w:id="64" w:name="_Hlk73782795"/>
      <w:r>
        <w:rPr>
          <w:rFonts w:hint="eastAsia" w:ascii="宋体" w:hAnsi="宋体"/>
          <w:szCs w:val="21"/>
        </w:rPr>
        <w:t>38.1非评定分离项目定标方法</w:t>
      </w:r>
    </w:p>
    <w:p w14:paraId="7E9EE237">
      <w:pPr>
        <w:ind w:firstLine="411" w:firstLineChars="196"/>
        <w:rPr>
          <w:rFonts w:hint="eastAsia" w:ascii="宋体" w:hAnsi="宋体"/>
          <w:szCs w:val="21"/>
        </w:rPr>
      </w:pPr>
      <w:r>
        <w:rPr>
          <w:rFonts w:hint="eastAsia" w:ascii="宋体" w:hAnsi="宋体"/>
          <w:szCs w:val="21"/>
        </w:rPr>
        <w:t>38</w:t>
      </w:r>
      <w:r>
        <w:rPr>
          <w:rFonts w:ascii="宋体" w:hAnsi="宋体"/>
          <w:szCs w:val="21"/>
        </w:rPr>
        <w:t>.</w:t>
      </w:r>
      <w:r>
        <w:rPr>
          <w:rFonts w:hint="eastAsia" w:ascii="宋体" w:hAnsi="宋体"/>
          <w:szCs w:val="21"/>
        </w:rPr>
        <w:t>1.1评审委员会依据本项目招标文件所约定的评审方法进行评审和比较，向政府集中采购机构提交书面评审报告，并根据评审方法比较评价结果从优到劣进行排序，确定候选中标供应商。</w:t>
      </w:r>
    </w:p>
    <w:p w14:paraId="0603A239">
      <w:pPr>
        <w:ind w:firstLine="411" w:firstLineChars="196"/>
        <w:rPr>
          <w:rFonts w:hint="eastAsia" w:ascii="ˎ̥" w:hAnsi="ˎ̥"/>
        </w:rPr>
      </w:pPr>
      <w:r>
        <w:rPr>
          <w:rFonts w:hint="eastAsia" w:ascii="ˎ̥" w:hAnsi="ˎ̥"/>
        </w:rPr>
        <w:t>38.1.2采用最低价法的，评审结果按投标报价由低到高顺序排列。投标报价相同的并列。投标文件满足招标文件全部实质性要求且投标报价最低的投标人为中标供应商（排名第二的投标人为第一替补中标候选人、排名第三的投标人为第二替补中标候选人）。出现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p>
    <w:p w14:paraId="4D4BE37F">
      <w:pPr>
        <w:ind w:firstLine="411" w:firstLineChars="196"/>
        <w:rPr>
          <w:rFonts w:hint="eastAsia" w:ascii="ˎ̥" w:hAnsi="ˎ̥"/>
        </w:rPr>
      </w:pPr>
      <w:r>
        <w:rPr>
          <w:rFonts w:hint="eastAsia" w:ascii="ˎ̥" w:hAnsi="ˎ̥"/>
        </w:rPr>
        <w:t>38.1.3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中标供应商（排名第二的投标人为第一替补中标候选人、排名第三的投标人为第二替补中标候选人）。出现得分且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p>
    <w:p w14:paraId="5F6809DA">
      <w:pPr>
        <w:ind w:firstLine="411" w:firstLineChars="196"/>
        <w:rPr>
          <w:rFonts w:hint="eastAsia" w:ascii="宋体" w:hAnsi="宋体"/>
          <w:szCs w:val="21"/>
        </w:rPr>
      </w:pPr>
      <w:r>
        <w:rPr>
          <w:rFonts w:hint="eastAsia" w:ascii="宋体" w:hAnsi="宋体"/>
          <w:szCs w:val="21"/>
        </w:rPr>
        <w:t>38.2评定分离项目定标方法</w:t>
      </w:r>
    </w:p>
    <w:p w14:paraId="7ACAD7A2">
      <w:pPr>
        <w:ind w:firstLine="411" w:firstLineChars="196"/>
        <w:rPr>
          <w:rFonts w:hint="eastAsia" w:ascii="宋体" w:hAnsi="宋体"/>
          <w:szCs w:val="21"/>
        </w:rPr>
      </w:pPr>
      <w:r>
        <w:rPr>
          <w:rFonts w:hint="eastAsia" w:ascii="宋体" w:hAnsi="宋体"/>
          <w:szCs w:val="21"/>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22A34384">
      <w:pPr>
        <w:ind w:firstLine="411" w:firstLineChars="196"/>
      </w:pPr>
      <w:r>
        <w:rPr>
          <w:rFonts w:ascii="宋体" w:hAnsi="宋体"/>
          <w:szCs w:val="21"/>
        </w:rPr>
        <w:t xml:space="preserve">38.2.2 </w:t>
      </w:r>
      <w:bookmarkStart w:id="65" w:name="_Hlk71469733"/>
      <w:r>
        <w:t>适用评定分离的政府采购项目，采用综合评分法评</w:t>
      </w:r>
      <w:r>
        <w:rPr>
          <w:rFonts w:hint="eastAsia"/>
        </w:rPr>
        <w:t>审。</w:t>
      </w:r>
      <w:r>
        <w:rPr>
          <w:rFonts w:hint="eastAsia" w:ascii="宋体" w:hAnsi="宋体"/>
          <w:szCs w:val="21"/>
        </w:rPr>
        <w:t>评审委员会按照评审结果，推荐</w:t>
      </w:r>
      <w:r>
        <w:t>三个合格的候选中标供应商。</w:t>
      </w:r>
    </w:p>
    <w:p w14:paraId="4A9866E9">
      <w:pPr>
        <w:ind w:firstLine="411" w:firstLineChars="196"/>
        <w:rPr>
          <w:rFonts w:hint="eastAsia" w:ascii="宋体" w:hAnsi="宋体"/>
          <w:szCs w:val="21"/>
        </w:rPr>
      </w:pPr>
      <w:r>
        <w:rPr>
          <w:rFonts w:hint="eastAsia" w:ascii="宋体" w:hAnsi="宋体"/>
          <w:szCs w:val="21"/>
        </w:rPr>
        <w:t>38.2.3</w:t>
      </w:r>
      <w:bookmarkStart w:id="66" w:name="_Hlk71469688"/>
      <w:r>
        <w:t>适用评定分离的政府采购项目，</w:t>
      </w:r>
      <w:r>
        <w:rPr>
          <w:rFonts w:hint="eastAsia" w:ascii="宋体" w:hAnsi="宋体"/>
          <w:szCs w:val="21"/>
        </w:rPr>
        <w:t>按照自定法确定中标供应商：自定法是指采购人组织定标委员会，由定标委员会在三家候选中标供应商中确定中标供应商。</w:t>
      </w:r>
      <w:bookmarkEnd w:id="65"/>
      <w:bookmarkEnd w:id="66"/>
    </w:p>
    <w:p w14:paraId="28D91580">
      <w:pPr>
        <w:ind w:firstLine="411" w:firstLineChars="196"/>
        <w:rPr>
          <w:rFonts w:hint="eastAsia" w:ascii="宋体" w:hAnsi="宋体"/>
          <w:szCs w:val="21"/>
        </w:rPr>
      </w:pPr>
      <w:r>
        <w:rPr>
          <w:rFonts w:ascii="宋体" w:hAnsi="宋体"/>
          <w:szCs w:val="21"/>
        </w:rPr>
        <w:t>38.2.4</w:t>
      </w:r>
      <w:r>
        <w:rPr>
          <w:rFonts w:hint="eastAsia" w:ascii="宋体" w:hAnsi="宋体"/>
          <w:szCs w:val="21"/>
        </w:rPr>
        <w:t>政府集中采购机构</w:t>
      </w:r>
      <w:r>
        <w:t>应当自评审结束之日起两个工作日内将候选中标供应商名单及其投标文件、评审报告送交采购人</w:t>
      </w:r>
      <w:r>
        <w:rPr>
          <w:rFonts w:hint="eastAsia" w:ascii="宋体" w:hAnsi="宋体"/>
          <w:szCs w:val="21"/>
        </w:rPr>
        <w:t>。</w:t>
      </w:r>
      <w:r>
        <w:t>采购人应当安排专人对定标过程进行书面记录，形成定标报告，作为采购文件的组成部分存档，并及时将定标结果反馈</w:t>
      </w:r>
      <w:r>
        <w:rPr>
          <w:rFonts w:hint="eastAsia"/>
        </w:rPr>
        <w:t>政府集中采购机构。具体定标程序及相关要求以按照《</w:t>
      </w:r>
      <w:r>
        <w:t>深圳市财政局关于印发</w:t>
      </w:r>
      <w:r>
        <w:rPr>
          <w:rFonts w:hint="eastAsia" w:ascii="宋体" w:hAnsi="宋体"/>
        </w:rPr>
        <w:t>〈</w:t>
      </w:r>
      <w:r>
        <w:t>深圳市政府采购评标定标分离管理办法</w:t>
      </w:r>
      <w:r>
        <w:rPr>
          <w:rFonts w:hint="eastAsia" w:ascii="宋体" w:hAnsi="宋体"/>
        </w:rPr>
        <w:t>〉</w:t>
      </w:r>
      <w:r>
        <w:t>的通知</w:t>
      </w:r>
      <w:r>
        <w:rPr>
          <w:rFonts w:hint="eastAsia"/>
        </w:rPr>
        <w:t>》（深财规【2</w:t>
      </w:r>
      <w:r>
        <w:t>020</w:t>
      </w:r>
      <w:r>
        <w:rPr>
          <w:rFonts w:hint="eastAsia"/>
        </w:rPr>
        <w:t>】1号）执行。</w:t>
      </w:r>
    </w:p>
    <w:p w14:paraId="45627B55">
      <w:pPr>
        <w:ind w:firstLine="411" w:firstLineChars="196"/>
        <w:rPr>
          <w:rFonts w:hint="eastAsia" w:ascii="宋体" w:hAnsi="宋体"/>
          <w:szCs w:val="21"/>
        </w:rPr>
      </w:pPr>
      <w:r>
        <w:rPr>
          <w:rFonts w:hint="eastAsia" w:ascii="宋体" w:hAnsi="宋体"/>
          <w:szCs w:val="21"/>
        </w:rPr>
        <w:t>说明：采购人及投标供应商应按照上述方法提前做好相关准备。</w:t>
      </w:r>
    </w:p>
    <w:p w14:paraId="771445EA">
      <w:pPr>
        <w:ind w:firstLine="411" w:firstLineChars="196"/>
        <w:rPr>
          <w:rFonts w:hint="eastAsia" w:ascii="宋体" w:hAnsi="宋体"/>
          <w:szCs w:val="21"/>
        </w:rPr>
      </w:pPr>
      <w:r>
        <w:rPr>
          <w:rFonts w:hint="eastAsia" w:ascii="宋体" w:hAnsi="宋体"/>
          <w:szCs w:val="21"/>
        </w:rPr>
        <w:t>38.3专用条款另有规定的，按专用条款相关要求定标。</w:t>
      </w:r>
      <w:bookmarkEnd w:id="64"/>
    </w:p>
    <w:p w14:paraId="0FDBC4E8">
      <w:pPr>
        <w:rPr>
          <w:rFonts w:hint="eastAsia" w:ascii="黑体" w:hAnsi="宋体" w:eastAsia="黑体"/>
          <w:sz w:val="24"/>
        </w:rPr>
      </w:pPr>
      <w:r>
        <w:rPr>
          <w:rFonts w:hint="eastAsia" w:ascii="黑体" w:hAnsi="宋体" w:eastAsia="黑体"/>
          <w:sz w:val="24"/>
        </w:rPr>
        <w:t>39．编写评审报告</w:t>
      </w:r>
    </w:p>
    <w:p w14:paraId="14513C43">
      <w:pPr>
        <w:ind w:firstLine="411" w:firstLineChars="196"/>
        <w:rPr>
          <w:rFonts w:hint="eastAsia" w:ascii="宋体" w:hAnsi="宋体"/>
          <w:szCs w:val="21"/>
        </w:rPr>
      </w:pPr>
      <w:r>
        <w:rPr>
          <w:rFonts w:hint="eastAsia" w:ascii="宋体" w:hAnsi="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038E3AE4">
      <w:pPr>
        <w:rPr>
          <w:rFonts w:hint="eastAsia" w:ascii="黑体" w:hAnsi="宋体" w:eastAsia="黑体"/>
          <w:sz w:val="24"/>
        </w:rPr>
      </w:pPr>
      <w:r>
        <w:rPr>
          <w:rFonts w:hint="eastAsia" w:ascii="黑体" w:hAnsi="宋体" w:eastAsia="黑体"/>
          <w:sz w:val="24"/>
        </w:rPr>
        <w:t>40．中标公告</w:t>
      </w:r>
    </w:p>
    <w:p w14:paraId="3D065B5A">
      <w:pPr>
        <w:ind w:firstLine="411" w:firstLineChars="196"/>
        <w:rPr>
          <w:rFonts w:hint="eastAsia" w:ascii="宋体" w:hAnsi="宋体"/>
          <w:szCs w:val="21"/>
        </w:rPr>
      </w:pPr>
      <w:r>
        <w:rPr>
          <w:rFonts w:hint="eastAsia" w:ascii="宋体" w:hAnsi="宋体"/>
          <w:szCs w:val="21"/>
        </w:rPr>
        <w:t>40.1</w:t>
      </w:r>
      <w:bookmarkStart w:id="67" w:name="_Hlk72438709"/>
      <w:r>
        <w:rPr>
          <w:rFonts w:hint="eastAsia" w:ascii="宋体" w:hAnsi="宋体"/>
          <w:szCs w:val="21"/>
        </w:rPr>
        <w:t>为体现“公开、公平、公正”的原则，评审结束后经采购人确认（确定）评审结果，政府集中采购机构将在</w:t>
      </w:r>
      <w:r>
        <w:rPr>
          <w:rFonts w:hint="eastAsia" w:ascii="宋体" w:hAnsi="宋体"/>
          <w:b/>
          <w:bCs/>
        </w:rPr>
        <w:t>深圳政府采购自行采购系统</w:t>
      </w:r>
      <w:r>
        <w:rPr>
          <w:rFonts w:hint="eastAsia" w:ascii="宋体" w:hAnsi="宋体"/>
          <w:b/>
          <w:bCs/>
          <w:szCs w:val="21"/>
        </w:rPr>
        <w:t>（https://zxcg.szggzy.com/home/index.html）</w:t>
      </w:r>
      <w:r>
        <w:rPr>
          <w:rFonts w:hint="eastAsia" w:ascii="宋体" w:hAnsi="宋体"/>
          <w:szCs w:val="21"/>
        </w:rPr>
        <w:t>上发布中标结果公告。</w:t>
      </w:r>
      <w:bookmarkEnd w:id="67"/>
      <w:bookmarkStart w:id="68" w:name="_Hlk72438751"/>
      <w:r>
        <w:rPr>
          <w:rFonts w:hint="eastAsia" w:ascii="宋体" w:hAnsi="宋体"/>
          <w:szCs w:val="21"/>
        </w:rPr>
        <w:t>供应商如对评审结果有异议，</w:t>
      </w:r>
      <w:r>
        <w:rPr>
          <w:rFonts w:ascii="宋体" w:hAnsi="宋体"/>
          <w:szCs w:val="21"/>
        </w:rPr>
        <w:t>可在发布公示日期起</w:t>
      </w:r>
      <w:r>
        <w:rPr>
          <w:rFonts w:hint="eastAsia" w:ascii="宋体" w:hAnsi="宋体"/>
          <w:szCs w:val="21"/>
        </w:rPr>
        <w:t>七</w:t>
      </w:r>
      <w:r>
        <w:rPr>
          <w:rFonts w:ascii="宋体" w:hAnsi="宋体"/>
          <w:szCs w:val="21"/>
        </w:rPr>
        <w:t>个工作日内向</w:t>
      </w:r>
      <w:r>
        <w:rPr>
          <w:rFonts w:hint="eastAsia" w:ascii="宋体" w:hAnsi="宋体"/>
          <w:szCs w:val="21"/>
        </w:rPr>
        <w:t>政府集中采购机构</w:t>
      </w:r>
      <w:r>
        <w:rPr>
          <w:rFonts w:ascii="宋体" w:hAnsi="宋体"/>
          <w:szCs w:val="21"/>
        </w:rPr>
        <w:t>提出。 监督电话：0755-83948143。</w:t>
      </w:r>
      <w:r>
        <w:rPr>
          <w:rFonts w:hint="eastAsia" w:ascii="宋体" w:hAnsi="宋体"/>
          <w:szCs w:val="21"/>
        </w:rPr>
        <w:t>若在公示期内未提出质疑，则视为认同该评审结果。</w:t>
      </w:r>
    </w:p>
    <w:bookmarkEnd w:id="68"/>
    <w:p w14:paraId="25EC062F">
      <w:pPr>
        <w:ind w:firstLine="411" w:firstLineChars="196"/>
        <w:rPr>
          <w:rFonts w:hint="eastAsia" w:ascii="宋体" w:hAnsi="宋体"/>
          <w:szCs w:val="21"/>
        </w:rPr>
      </w:pPr>
      <w:r>
        <w:rPr>
          <w:rFonts w:hint="eastAsia" w:ascii="宋体" w:hAnsi="宋体"/>
          <w:szCs w:val="21"/>
        </w:rPr>
        <w:t>40.2质疑、投诉供应商应保证质疑、投诉内容的真实性和可靠性，并承担相应的法律责任。</w:t>
      </w:r>
    </w:p>
    <w:p w14:paraId="1F095142">
      <w:pPr>
        <w:rPr>
          <w:rFonts w:hint="eastAsia" w:ascii="黑体" w:hAnsi="宋体" w:eastAsia="黑体"/>
          <w:sz w:val="24"/>
        </w:rPr>
      </w:pPr>
      <w:r>
        <w:rPr>
          <w:rFonts w:hint="eastAsia" w:ascii="黑体" w:hAnsi="宋体" w:eastAsia="黑体"/>
          <w:sz w:val="24"/>
        </w:rPr>
        <w:t>41．中标通知书</w:t>
      </w:r>
    </w:p>
    <w:p w14:paraId="12784705">
      <w:pPr>
        <w:ind w:firstLine="411" w:firstLineChars="196"/>
        <w:rPr>
          <w:rFonts w:hint="eastAsia" w:ascii="宋体" w:hAnsi="宋体"/>
          <w:szCs w:val="21"/>
        </w:rPr>
      </w:pPr>
      <w:r>
        <w:rPr>
          <w:rFonts w:hint="eastAsia" w:ascii="宋体" w:hAnsi="宋体"/>
          <w:szCs w:val="21"/>
        </w:rPr>
        <w:t>41</w:t>
      </w:r>
      <w:r>
        <w:rPr>
          <w:rFonts w:ascii="宋体" w:hAnsi="宋体"/>
          <w:szCs w:val="21"/>
        </w:rPr>
        <w:t>.</w:t>
      </w:r>
      <w:r>
        <w:rPr>
          <w:rFonts w:hint="eastAsia" w:ascii="宋体" w:hAnsi="宋体"/>
          <w:szCs w:val="21"/>
        </w:rPr>
        <w:t>1</w:t>
      </w:r>
      <w:bookmarkStart w:id="69" w:name="_Hlk72438863"/>
      <w:r>
        <w:rPr>
          <w:rFonts w:hint="eastAsia" w:ascii="宋体" w:hAnsi="宋体"/>
          <w:szCs w:val="21"/>
        </w:rPr>
        <w:t>中标公告公布以后无异常的情况下,中标供应商和采购人可自行登录</w:t>
      </w:r>
      <w:r>
        <w:rPr>
          <w:rFonts w:hint="eastAsia" w:ascii="宋体" w:hAnsi="宋体"/>
          <w:b/>
          <w:bCs/>
          <w:szCs w:val="21"/>
        </w:rPr>
        <w:t>“</w:t>
      </w:r>
      <w:r>
        <w:rPr>
          <w:rFonts w:hint="eastAsia" w:ascii="宋体" w:hAnsi="宋体"/>
        </w:rPr>
        <w:t>深圳政府采购自行采购系统（https://trade.szggzy.com/ggzy/center/#/login）</w:t>
      </w:r>
      <w:r>
        <w:rPr>
          <w:rFonts w:hint="eastAsia" w:ascii="宋体" w:hAnsi="宋体"/>
          <w:b/>
          <w:bCs/>
          <w:szCs w:val="21"/>
        </w:rPr>
        <w:t>”</w:t>
      </w:r>
      <w:r>
        <w:rPr>
          <w:rFonts w:hint="eastAsia" w:ascii="宋体" w:hAnsi="宋体"/>
          <w:szCs w:val="21"/>
        </w:rPr>
        <w:t>上打印</w:t>
      </w:r>
      <w:r>
        <w:rPr>
          <w:rFonts w:hint="eastAsia" w:ascii="宋体" w:hAnsi="宋体"/>
          <w:b/>
          <w:szCs w:val="21"/>
        </w:rPr>
        <w:t>《数字中标通知书》</w:t>
      </w:r>
      <w:r>
        <w:rPr>
          <w:rFonts w:hint="eastAsia" w:ascii="宋体" w:hAnsi="宋体"/>
          <w:szCs w:val="21"/>
        </w:rPr>
        <w:t>。</w:t>
      </w:r>
      <w:bookmarkEnd w:id="69"/>
    </w:p>
    <w:p w14:paraId="676CCFEE">
      <w:pPr>
        <w:ind w:firstLine="411" w:firstLineChars="196"/>
        <w:rPr>
          <w:rFonts w:hint="eastAsia" w:ascii="宋体" w:hAnsi="宋体"/>
          <w:szCs w:val="21"/>
        </w:rPr>
      </w:pPr>
      <w:r>
        <w:rPr>
          <w:rFonts w:hint="eastAsia" w:ascii="宋体" w:hAnsi="宋体"/>
          <w:szCs w:val="21"/>
        </w:rPr>
        <w:t>41</w:t>
      </w:r>
      <w:r>
        <w:rPr>
          <w:rFonts w:ascii="宋体" w:hAnsi="宋体"/>
          <w:szCs w:val="21"/>
        </w:rPr>
        <w:t>.2</w:t>
      </w:r>
      <w:r>
        <w:rPr>
          <w:rFonts w:hint="eastAsia" w:ascii="宋体" w:hAnsi="宋体"/>
          <w:szCs w:val="21"/>
        </w:rPr>
        <w:t>中标通知书是合同的重要组成部分。</w:t>
      </w:r>
    </w:p>
    <w:p w14:paraId="4F5C9FF2">
      <w:pPr>
        <w:ind w:firstLine="411" w:firstLineChars="196"/>
        <w:rPr>
          <w:rFonts w:hint="eastAsia" w:ascii="宋体" w:hAnsi="宋体"/>
          <w:szCs w:val="21"/>
        </w:rPr>
      </w:pPr>
      <w:bookmarkStart w:id="70" w:name="_Hlk71407340"/>
      <w:r>
        <w:rPr>
          <w:rFonts w:hint="eastAsia" w:ascii="宋体" w:hAnsi="宋体"/>
          <w:szCs w:val="21"/>
        </w:rPr>
        <w:t>41.3因质疑投诉或其它原因导致项目结果变更或采购终止的，政府集中采购机构有权吊销中标通知书。</w:t>
      </w:r>
    </w:p>
    <w:bookmarkEnd w:id="70"/>
    <w:p w14:paraId="2CA7B90F">
      <w:pPr>
        <w:ind w:firstLine="411" w:firstLineChars="196"/>
        <w:rPr>
          <w:rFonts w:hint="eastAsia" w:ascii="宋体" w:hAnsi="宋体"/>
          <w:szCs w:val="21"/>
        </w:rPr>
      </w:pPr>
    </w:p>
    <w:p w14:paraId="03817F7D">
      <w:pPr>
        <w:pStyle w:val="5"/>
        <w:numPr>
          <w:ilvl w:val="0"/>
          <w:numId w:val="11"/>
        </w:numPr>
        <w:spacing w:before="156" w:beforeLines="50" w:after="156" w:afterLines="50"/>
        <w:ind w:left="562" w:hanging="562"/>
        <w:rPr>
          <w:sz w:val="28"/>
          <w:szCs w:val="28"/>
        </w:rPr>
      </w:pPr>
      <w:r>
        <w:rPr>
          <w:rFonts w:hint="eastAsia"/>
          <w:sz w:val="28"/>
          <w:szCs w:val="28"/>
        </w:rPr>
        <w:t>公开招标失败的后续处理</w:t>
      </w:r>
    </w:p>
    <w:p w14:paraId="6E8070A4">
      <w:pPr>
        <w:rPr>
          <w:rFonts w:hint="eastAsia" w:ascii="黑体" w:hAnsi="宋体" w:eastAsia="黑体"/>
          <w:sz w:val="24"/>
        </w:rPr>
      </w:pPr>
      <w:r>
        <w:rPr>
          <w:rFonts w:hint="eastAsia" w:ascii="黑体" w:hAnsi="宋体" w:eastAsia="黑体"/>
          <w:sz w:val="24"/>
        </w:rPr>
        <w:t>42．公开招标失败的处理</w:t>
      </w:r>
    </w:p>
    <w:p w14:paraId="463509D1">
      <w:pPr>
        <w:ind w:firstLine="411" w:firstLineChars="196"/>
        <w:rPr>
          <w:rFonts w:hint="eastAsia" w:ascii="宋体" w:hAnsi="宋体"/>
        </w:rPr>
      </w:pPr>
      <w:r>
        <w:rPr>
          <w:rFonts w:hint="eastAsia" w:ascii="宋体" w:hAnsi="宋体"/>
          <w:szCs w:val="21"/>
        </w:rPr>
        <w:t>42.1本项目公开招标过程中若由于投标截止后</w:t>
      </w:r>
      <w:r>
        <w:rPr>
          <w:rFonts w:hint="eastAsia" w:ascii="宋体" w:hAnsi="宋体"/>
        </w:rPr>
        <w:t>实际递交</w:t>
      </w:r>
      <w:r>
        <w:rPr>
          <w:rFonts w:ascii="宋体" w:hAnsi="宋体"/>
        </w:rPr>
        <w:t>投标</w:t>
      </w:r>
      <w:r>
        <w:rPr>
          <w:rFonts w:hint="eastAsia" w:ascii="宋体" w:hAnsi="宋体"/>
        </w:rPr>
        <w:t>文件的供应商数量不足、经</w:t>
      </w:r>
      <w:r>
        <w:rPr>
          <w:rFonts w:hint="eastAsia" w:ascii="宋体" w:hAnsi="宋体"/>
          <w:szCs w:val="21"/>
        </w:rPr>
        <w:t>评审委员会</w:t>
      </w:r>
      <w:r>
        <w:rPr>
          <w:rFonts w:hint="eastAsia" w:ascii="宋体" w:hAnsi="宋体"/>
        </w:rPr>
        <w:t>评审对招标文件作实质响应的供应商不足等原因造成公开招标失败，可由</w:t>
      </w:r>
      <w:r>
        <w:rPr>
          <w:rFonts w:hint="eastAsia" w:ascii="宋体" w:hAnsi="宋体" w:cs="宋体"/>
        </w:rPr>
        <w:t>政府集中采购机构</w:t>
      </w:r>
      <w:r>
        <w:rPr>
          <w:rFonts w:hint="eastAsia" w:ascii="宋体" w:hAnsi="宋体"/>
        </w:rPr>
        <w:t>重新组织采购。</w:t>
      </w:r>
    </w:p>
    <w:p w14:paraId="47CDFEF0">
      <w:pPr>
        <w:ind w:firstLine="411" w:firstLineChars="196"/>
        <w:rPr>
          <w:rFonts w:hint="eastAsia" w:ascii="宋体" w:hAnsi="宋体"/>
          <w:szCs w:val="21"/>
        </w:rPr>
      </w:pPr>
      <w:r>
        <w:rPr>
          <w:rFonts w:hint="eastAsia" w:ascii="宋体" w:hAnsi="宋体"/>
          <w:szCs w:val="21"/>
        </w:rPr>
        <w:t>42.2对公开招标失败的项目，评审委员会在出具该项目招标失败结论的同时，可以提出重新采购组织形式的建议，以及进一步完善招标文件的资格、技术、商务要求的修改建议。</w:t>
      </w:r>
    </w:p>
    <w:p w14:paraId="78A9D988">
      <w:pPr>
        <w:ind w:firstLine="411" w:firstLineChars="196"/>
        <w:rPr>
          <w:rFonts w:hint="eastAsia" w:ascii="宋体" w:hAnsi="宋体"/>
          <w:szCs w:val="21"/>
        </w:rPr>
      </w:pPr>
      <w:r>
        <w:rPr>
          <w:rFonts w:hint="eastAsia" w:ascii="宋体" w:hAnsi="宋体"/>
          <w:szCs w:val="21"/>
        </w:rPr>
        <w:t>42.3重新组织采购有以下两种组织形式：</w:t>
      </w:r>
    </w:p>
    <w:p w14:paraId="6B9FA319">
      <w:pPr>
        <w:ind w:firstLine="411" w:firstLineChars="196"/>
        <w:rPr>
          <w:rFonts w:hint="eastAsia" w:ascii="宋体" w:hAnsi="宋体"/>
        </w:rPr>
      </w:pPr>
      <w:r>
        <w:rPr>
          <w:rFonts w:hint="eastAsia" w:ascii="宋体" w:hAnsi="宋体"/>
        </w:rPr>
        <w:t>（1）由政府集中采购机构重新组织公开招标；</w:t>
      </w:r>
    </w:p>
    <w:p w14:paraId="7F4FDAE4">
      <w:pPr>
        <w:ind w:firstLine="411" w:firstLineChars="196"/>
        <w:rPr>
          <w:rFonts w:hint="eastAsia" w:ascii="宋体" w:hAnsi="宋体"/>
        </w:rPr>
      </w:pPr>
      <w:r>
        <w:rPr>
          <w:rFonts w:hint="eastAsia" w:ascii="宋体" w:hAnsi="宋体"/>
        </w:rPr>
        <w:t>（2）根据实际情况需要向同级财政部门提出非公开招标方式申请，经同级财政部门批准，公开招标失败采购项目可转为竞争性谈判或单一来源谈判方式采购。</w:t>
      </w:r>
    </w:p>
    <w:p w14:paraId="29735292">
      <w:pPr>
        <w:ind w:firstLine="411" w:firstLineChars="196"/>
        <w:rPr>
          <w:rFonts w:hint="eastAsia" w:ascii="宋体" w:hAnsi="宋体"/>
        </w:rPr>
      </w:pPr>
      <w:r>
        <w:rPr>
          <w:rFonts w:hint="eastAsia" w:ascii="宋体" w:hAnsi="宋体"/>
        </w:rPr>
        <w:t>42.4公开招标失败的采购项目重新组织公开招标，由政府集中采购机构重新按公开招标流程组织采购活动。</w:t>
      </w:r>
    </w:p>
    <w:p w14:paraId="4847C74A">
      <w:pPr>
        <w:rPr>
          <w:rFonts w:hint="eastAsia" w:ascii="宋体" w:hAnsi="宋体"/>
        </w:rPr>
      </w:pPr>
      <w:r>
        <w:rPr>
          <w:rFonts w:hint="eastAsia" w:ascii="黑体" w:hAnsi="宋体" w:eastAsia="黑体"/>
          <w:sz w:val="24"/>
        </w:rPr>
        <w:t xml:space="preserve">    </w:t>
      </w:r>
      <w:r>
        <w:rPr>
          <w:rFonts w:hint="eastAsia" w:ascii="宋体" w:hAnsi="宋体"/>
        </w:rPr>
        <w:t>42.5公开招标失败的采购项目经同级财政部门批准转为竞争性谈判或单一来源谈判方式采购的，按规定要求组织政府采购工作。</w:t>
      </w:r>
    </w:p>
    <w:p w14:paraId="38250645">
      <w:pPr>
        <w:rPr>
          <w:rFonts w:hint="eastAsia" w:ascii="黑体" w:hAnsi="宋体" w:eastAsia="黑体"/>
          <w:sz w:val="24"/>
        </w:rPr>
      </w:pPr>
    </w:p>
    <w:p w14:paraId="7E4B89BA">
      <w:pPr>
        <w:pStyle w:val="5"/>
        <w:numPr>
          <w:ilvl w:val="0"/>
          <w:numId w:val="11"/>
        </w:numPr>
        <w:spacing w:before="156" w:beforeLines="50" w:after="156" w:afterLines="50"/>
        <w:ind w:left="562" w:hanging="562"/>
        <w:rPr>
          <w:sz w:val="28"/>
          <w:szCs w:val="28"/>
        </w:rPr>
      </w:pPr>
      <w:bookmarkStart w:id="71" w:name="_Hlk72439043"/>
      <w:r>
        <w:rPr>
          <w:rFonts w:hint="eastAsia"/>
          <w:sz w:val="28"/>
          <w:szCs w:val="28"/>
        </w:rPr>
        <w:t>合同的授予与备案</w:t>
      </w:r>
      <w:bookmarkEnd w:id="71"/>
    </w:p>
    <w:p w14:paraId="0D486303">
      <w:pPr>
        <w:rPr>
          <w:rFonts w:hint="eastAsia" w:ascii="黑体" w:hAnsi="宋体" w:eastAsia="黑体"/>
          <w:sz w:val="24"/>
        </w:rPr>
      </w:pPr>
      <w:bookmarkStart w:id="72" w:name="_Toc73518157"/>
      <w:bookmarkStart w:id="73" w:name="_Toc73521586"/>
      <w:bookmarkStart w:id="74" w:name="_Toc100052408"/>
      <w:bookmarkStart w:id="75" w:name="_Toc73517679"/>
      <w:bookmarkStart w:id="76" w:name="_Toc73521674"/>
      <w:bookmarkStart w:id="77" w:name="_Hlk72439088"/>
      <w:r>
        <w:rPr>
          <w:rFonts w:hint="eastAsia" w:ascii="黑体" w:hAnsi="宋体" w:eastAsia="黑体"/>
          <w:sz w:val="24"/>
        </w:rPr>
        <w:t>43．合同授予标准</w:t>
      </w:r>
      <w:bookmarkEnd w:id="72"/>
      <w:bookmarkEnd w:id="73"/>
      <w:bookmarkEnd w:id="74"/>
      <w:bookmarkEnd w:id="75"/>
      <w:bookmarkEnd w:id="76"/>
    </w:p>
    <w:p w14:paraId="309A8A4F">
      <w:pPr>
        <w:ind w:firstLine="411" w:firstLineChars="196"/>
        <w:rPr>
          <w:rFonts w:hint="eastAsia" w:ascii="宋体" w:hAnsi="宋体"/>
          <w:szCs w:val="21"/>
        </w:rPr>
      </w:pPr>
      <w:r>
        <w:rPr>
          <w:rFonts w:hint="eastAsia" w:ascii="宋体" w:hAnsi="宋体"/>
          <w:szCs w:val="21"/>
        </w:rPr>
        <w:t>本项目的合同将授予经本招标文件规定评审确定的中标供应商。</w:t>
      </w:r>
    </w:p>
    <w:p w14:paraId="413B5E6D">
      <w:pPr>
        <w:rPr>
          <w:rFonts w:hint="eastAsia" w:ascii="黑体" w:hAnsi="宋体" w:eastAsia="黑体"/>
          <w:sz w:val="24"/>
        </w:rPr>
      </w:pPr>
      <w:bookmarkStart w:id="78" w:name="_Toc73518158"/>
      <w:bookmarkStart w:id="79" w:name="_Toc73517680"/>
      <w:bookmarkStart w:id="80" w:name="_Toc100052409"/>
      <w:bookmarkStart w:id="81" w:name="_Toc73521675"/>
      <w:bookmarkStart w:id="82" w:name="_Toc73521587"/>
      <w:r>
        <w:rPr>
          <w:rFonts w:hint="eastAsia" w:ascii="黑体" w:hAnsi="宋体" w:eastAsia="黑体"/>
          <w:sz w:val="24"/>
        </w:rPr>
        <w:t>44．</w:t>
      </w:r>
      <w:bookmarkEnd w:id="78"/>
      <w:bookmarkEnd w:id="79"/>
      <w:bookmarkEnd w:id="80"/>
      <w:bookmarkEnd w:id="81"/>
      <w:bookmarkEnd w:id="82"/>
      <w:r>
        <w:rPr>
          <w:rFonts w:hint="eastAsia" w:ascii="黑体" w:hAnsi="宋体" w:eastAsia="黑体"/>
          <w:sz w:val="24"/>
        </w:rPr>
        <w:t>接受和拒绝任何或所有投标的权力</w:t>
      </w:r>
    </w:p>
    <w:p w14:paraId="43A87AC4">
      <w:pPr>
        <w:ind w:firstLine="411" w:firstLineChars="196"/>
        <w:rPr>
          <w:rFonts w:hint="eastAsia" w:ascii="宋体" w:hAnsi="宋体"/>
          <w:szCs w:val="21"/>
        </w:rPr>
      </w:pPr>
      <w:r>
        <w:rPr>
          <w:rFonts w:hint="eastAsia" w:ascii="宋体" w:hAnsi="宋体"/>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2967EB05">
      <w:pPr>
        <w:rPr>
          <w:rFonts w:hint="eastAsia" w:ascii="黑体" w:hAnsi="宋体" w:eastAsia="黑体"/>
          <w:sz w:val="24"/>
        </w:rPr>
      </w:pPr>
      <w:bookmarkStart w:id="83" w:name="_Toc73521677"/>
      <w:bookmarkStart w:id="84" w:name="_Toc73521589"/>
      <w:bookmarkStart w:id="85" w:name="_Toc73518160"/>
      <w:bookmarkStart w:id="86" w:name="_Toc100052410"/>
      <w:bookmarkStart w:id="87" w:name="_Toc73517682"/>
      <w:r>
        <w:rPr>
          <w:rFonts w:hint="eastAsia" w:ascii="黑体" w:hAnsi="宋体" w:eastAsia="黑体"/>
          <w:sz w:val="24"/>
        </w:rPr>
        <w:t>45．合同的签订</w:t>
      </w:r>
      <w:bookmarkEnd w:id="83"/>
      <w:bookmarkEnd w:id="84"/>
      <w:bookmarkEnd w:id="85"/>
      <w:bookmarkEnd w:id="86"/>
      <w:bookmarkEnd w:id="87"/>
    </w:p>
    <w:p w14:paraId="5BA53FF3">
      <w:pPr>
        <w:ind w:firstLine="411" w:firstLineChars="196"/>
        <w:rPr>
          <w:rFonts w:hint="eastAsia" w:ascii="宋体" w:hAnsi="宋体"/>
          <w:szCs w:val="21"/>
        </w:rPr>
      </w:pPr>
      <w:r>
        <w:rPr>
          <w:rFonts w:hint="eastAsia" w:ascii="宋体" w:hAnsi="宋体"/>
          <w:szCs w:val="21"/>
        </w:rPr>
        <w:t>45.1中标人将于中标通知书发出之日起十个工作日内，按照采购文件（招标文件和投标文件等）内容与采购人签订政府采购合同；合同的实质性内容应当符合招标文件的规定；</w:t>
      </w:r>
    </w:p>
    <w:p w14:paraId="051A66B4">
      <w:pPr>
        <w:ind w:firstLine="411" w:firstLineChars="196"/>
        <w:rPr>
          <w:rFonts w:hint="eastAsia" w:ascii="宋体" w:hAnsi="宋体"/>
          <w:szCs w:val="21"/>
        </w:rPr>
      </w:pPr>
      <w:r>
        <w:rPr>
          <w:rFonts w:hint="eastAsia" w:ascii="宋体" w:hAnsi="宋体"/>
          <w:szCs w:val="21"/>
        </w:rPr>
        <w:t>45.2中标人如不按本通用条款第45</w:t>
      </w:r>
      <w:r>
        <w:rPr>
          <w:rFonts w:ascii="宋体" w:hAnsi="宋体"/>
          <w:szCs w:val="21"/>
        </w:rPr>
        <w:t>.1</w:t>
      </w:r>
      <w:r>
        <w:rPr>
          <w:rFonts w:hint="eastAsia" w:ascii="宋体" w:hAnsi="宋体"/>
          <w:szCs w:val="21"/>
        </w:rPr>
        <w:t>款的规定与采购人签订合同，</w:t>
      </w:r>
      <w:r>
        <w:rPr>
          <w:rFonts w:ascii="宋体" w:hAnsi="宋体" w:cs="宋体"/>
          <w:kern w:val="0"/>
          <w:szCs w:val="21"/>
        </w:rPr>
        <w:t>情节严重的，由</w:t>
      </w:r>
      <w:r>
        <w:rPr>
          <w:rFonts w:hint="eastAsia" w:ascii="宋体" w:hAnsi="宋体" w:cs="宋体"/>
          <w:kern w:val="0"/>
          <w:szCs w:val="21"/>
        </w:rPr>
        <w:t>同级财政</w:t>
      </w:r>
      <w:r>
        <w:rPr>
          <w:rFonts w:ascii="宋体" w:hAnsi="宋体" w:cs="宋体"/>
          <w:kern w:val="0"/>
          <w:szCs w:val="21"/>
        </w:rPr>
        <w:t>部门记入供应商诚信档案，予以通报</w:t>
      </w:r>
      <w:r>
        <w:rPr>
          <w:rFonts w:hint="eastAsia" w:ascii="宋体" w:hAnsi="宋体"/>
          <w:szCs w:val="21"/>
        </w:rPr>
        <w:t>；</w:t>
      </w:r>
    </w:p>
    <w:p w14:paraId="2137507C">
      <w:pPr>
        <w:ind w:firstLine="411" w:firstLineChars="196"/>
        <w:rPr>
          <w:rFonts w:hint="eastAsia" w:ascii="宋体" w:hAnsi="宋体"/>
          <w:szCs w:val="21"/>
        </w:rPr>
      </w:pPr>
      <w:r>
        <w:rPr>
          <w:rFonts w:hint="eastAsia" w:ascii="宋体" w:hAnsi="宋体"/>
          <w:szCs w:val="21"/>
        </w:rPr>
        <w:t>45.3中标人应当按照合同约定履行义务，完成中标项目，不得将中标项目转让（转包）给他人。</w:t>
      </w:r>
    </w:p>
    <w:p w14:paraId="5237C0B1">
      <w:pPr>
        <w:rPr>
          <w:rFonts w:hint="eastAsia" w:ascii="黑体" w:hAnsi="宋体" w:eastAsia="黑体"/>
          <w:sz w:val="24"/>
        </w:rPr>
      </w:pPr>
      <w:bookmarkStart w:id="88" w:name="_Toc73517683"/>
      <w:bookmarkStart w:id="89" w:name="_Toc73521678"/>
      <w:bookmarkStart w:id="90" w:name="_Toc100052411"/>
      <w:bookmarkStart w:id="91" w:name="_Toc73518161"/>
      <w:bookmarkStart w:id="92" w:name="_Toc73521590"/>
      <w:r>
        <w:rPr>
          <w:rFonts w:hint="eastAsia" w:ascii="黑体" w:hAnsi="宋体" w:eastAsia="黑体"/>
          <w:sz w:val="24"/>
        </w:rPr>
        <w:t>46．履约担保</w:t>
      </w:r>
      <w:bookmarkEnd w:id="88"/>
      <w:bookmarkEnd w:id="89"/>
      <w:bookmarkEnd w:id="90"/>
      <w:bookmarkEnd w:id="91"/>
      <w:bookmarkEnd w:id="92"/>
    </w:p>
    <w:p w14:paraId="018F5895">
      <w:pPr>
        <w:ind w:firstLine="411" w:firstLineChars="196"/>
        <w:rPr>
          <w:rFonts w:hint="eastAsia" w:ascii="宋体" w:hAnsi="宋体"/>
          <w:szCs w:val="21"/>
        </w:rPr>
      </w:pPr>
      <w:r>
        <w:rPr>
          <w:rFonts w:hint="eastAsia" w:ascii="宋体" w:hAnsi="宋体"/>
          <w:szCs w:val="21"/>
        </w:rPr>
        <w:t>46.1在签订项目合同的同时，中标人应按“对通用条款的补充内容”中规定的金额向采购人提交履约担保；</w:t>
      </w:r>
    </w:p>
    <w:p w14:paraId="6FA84FF0">
      <w:pPr>
        <w:ind w:firstLine="411" w:firstLineChars="196"/>
        <w:rPr>
          <w:rFonts w:hint="eastAsia" w:ascii="宋体" w:hAnsi="宋体"/>
          <w:szCs w:val="21"/>
        </w:rPr>
      </w:pPr>
      <w:r>
        <w:rPr>
          <w:rFonts w:hint="eastAsia" w:ascii="宋体" w:hAnsi="宋体"/>
          <w:szCs w:val="21"/>
        </w:rPr>
        <w:t>46.2，允许供应商自主选择以支票、汇票、本票、保函等非现金方式提交履约担保；</w:t>
      </w:r>
      <w:r>
        <w:t>中标</w:t>
      </w:r>
      <w:r>
        <w:rPr>
          <w:rFonts w:hint="eastAsia"/>
        </w:rPr>
        <w:t>人</w:t>
      </w:r>
      <w:r>
        <w:t>提交履约</w:t>
      </w:r>
      <w:r>
        <w:rPr>
          <w:rFonts w:hint="eastAsia"/>
        </w:rPr>
        <w:t>担保不是</w:t>
      </w:r>
      <w:r>
        <w:t>合同签订的</w:t>
      </w:r>
      <w:r>
        <w:rPr>
          <w:rFonts w:hint="eastAsia"/>
        </w:rPr>
        <w:t>前提</w:t>
      </w:r>
      <w:r>
        <w:t>条件，不要求中标</w:t>
      </w:r>
      <w:r>
        <w:rPr>
          <w:rFonts w:hint="eastAsia"/>
        </w:rPr>
        <w:t>人</w:t>
      </w:r>
      <w:r>
        <w:t>提供除法律、法规明确规定外的其他担保</w:t>
      </w:r>
      <w:r>
        <w:rPr>
          <w:rFonts w:hint="eastAsia"/>
        </w:rPr>
        <w:t>。</w:t>
      </w:r>
    </w:p>
    <w:p w14:paraId="5CD79650">
      <w:pPr>
        <w:rPr>
          <w:rFonts w:hint="eastAsia" w:ascii="黑体" w:hAnsi="宋体" w:eastAsia="黑体"/>
          <w:sz w:val="24"/>
        </w:rPr>
      </w:pPr>
      <w:r>
        <w:rPr>
          <w:rFonts w:hint="eastAsia" w:ascii="黑体" w:hAnsi="宋体" w:eastAsia="黑体"/>
          <w:sz w:val="24"/>
        </w:rPr>
        <w:t>47. 合同备案</w:t>
      </w:r>
    </w:p>
    <w:p w14:paraId="572CB316">
      <w:pPr>
        <w:rPr>
          <w:rFonts w:hint="eastAsia" w:ascii="黑体" w:hAnsi="宋体" w:eastAsia="黑体"/>
          <w:sz w:val="24"/>
        </w:rPr>
      </w:pPr>
      <w:r>
        <w:rPr>
          <w:rFonts w:hint="eastAsia" w:ascii="宋体" w:hAnsi="宋体" w:eastAsia="宋体" w:cs="Times New Roman"/>
          <w:szCs w:val="21"/>
          <w:lang w:eastAsia="zh-Hans"/>
        </w:rPr>
        <w:t>采购人与中标供应商自中标通知书发出之日起10个工作日内签订政府采购合同，</w:t>
      </w:r>
      <w:r>
        <w:rPr>
          <w:rFonts w:hint="eastAsia" w:ascii="宋体" w:hAnsi="宋体" w:eastAsia="宋体" w:cs="Times New Roman"/>
          <w:szCs w:val="21"/>
        </w:rPr>
        <w:t>并按财政部门规定提交备案。</w:t>
      </w:r>
      <w:r>
        <w:rPr>
          <w:rFonts w:hint="eastAsia" w:ascii="黑体" w:hAnsi="宋体" w:eastAsia="黑体"/>
          <w:sz w:val="24"/>
        </w:rPr>
        <w:t>48. 合同变更</w:t>
      </w:r>
    </w:p>
    <w:p w14:paraId="1D9F715A">
      <w:pPr>
        <w:ind w:firstLine="411" w:firstLineChars="196"/>
        <w:rPr>
          <w:rFonts w:hint="eastAsia" w:ascii="宋体" w:hAnsi="宋体"/>
          <w:szCs w:val="21"/>
        </w:rPr>
      </w:pPr>
      <w:r>
        <w:rPr>
          <w:rFonts w:hint="eastAsia" w:ascii="宋体" w:hAnsi="宋体"/>
          <w:szCs w:val="21"/>
        </w:rPr>
        <w:t>合同变更事宜按《深圳市财政局关于优化政府采购合同备案的通知》（深财发保〔2022〕2号）相关规定执行。</w:t>
      </w:r>
    </w:p>
    <w:p w14:paraId="4E8E188F">
      <w:pPr>
        <w:rPr>
          <w:rFonts w:hint="eastAsia" w:ascii="黑体" w:hAnsi="宋体" w:eastAsia="黑体"/>
          <w:sz w:val="24"/>
        </w:rPr>
      </w:pPr>
      <w:r>
        <w:rPr>
          <w:rFonts w:hint="eastAsia" w:ascii="黑体" w:hAnsi="宋体" w:eastAsia="黑体"/>
          <w:sz w:val="24"/>
        </w:rPr>
        <w:t>49. 项目验收</w:t>
      </w:r>
    </w:p>
    <w:p w14:paraId="7C0BEA02">
      <w:pPr>
        <w:widowControl/>
        <w:ind w:right="176" w:firstLine="420"/>
        <w:jc w:val="left"/>
        <w:rPr>
          <w:rFonts w:hint="eastAsia" w:ascii="宋体" w:hAnsi="宋体"/>
        </w:rPr>
      </w:pPr>
      <w:r>
        <w:rPr>
          <w:rFonts w:hint="eastAsia" w:ascii="宋体" w:hAnsi="宋体"/>
        </w:rPr>
        <w:t>49.1采购人应当按照招标文件和合同规定的标准和方法，及时组织验收。</w:t>
      </w:r>
      <w:r>
        <w:rPr>
          <w:rFonts w:ascii="宋体" w:hAnsi="宋体"/>
        </w:rPr>
        <w:t xml:space="preserve"> </w:t>
      </w:r>
    </w:p>
    <w:p w14:paraId="205C70F0">
      <w:pPr>
        <w:rPr>
          <w:rFonts w:hint="eastAsia" w:ascii="黑体" w:hAnsi="宋体" w:eastAsia="黑体"/>
          <w:sz w:val="24"/>
        </w:rPr>
      </w:pPr>
      <w:r>
        <w:rPr>
          <w:rFonts w:hint="eastAsia" w:ascii="黑体" w:hAnsi="宋体" w:eastAsia="黑体"/>
          <w:sz w:val="24"/>
        </w:rPr>
        <w:t>50. 宣传</w:t>
      </w:r>
    </w:p>
    <w:p w14:paraId="63586564">
      <w:pPr>
        <w:ind w:left="210" w:leftChars="100" w:firstLine="411" w:firstLineChars="196"/>
        <w:rPr>
          <w:rFonts w:hint="eastAsia" w:ascii="宋体" w:hAnsi="宋体"/>
        </w:rPr>
      </w:pPr>
      <w:r>
        <w:rPr>
          <w:rFonts w:hint="eastAsia" w:ascii="宋体" w:hAnsi="宋体"/>
        </w:rPr>
        <w:t>凡与政府采购活动有关的宣传或广告，若当中提及政府采购，</w:t>
      </w:r>
      <w:r>
        <w:rPr>
          <w:rFonts w:ascii="宋体" w:hAnsi="宋体"/>
        </w:rPr>
        <w:t>必须事先将具体对外宣传方案报</w:t>
      </w:r>
      <w:r>
        <w:rPr>
          <w:rFonts w:hint="eastAsia" w:ascii="宋体" w:hAnsi="宋体"/>
        </w:rPr>
        <w:t>同级财政部门</w:t>
      </w:r>
      <w:r>
        <w:rPr>
          <w:rFonts w:ascii="宋体" w:hAnsi="宋体"/>
        </w:rPr>
        <w:t>和</w:t>
      </w:r>
      <w:r>
        <w:rPr>
          <w:rFonts w:hint="eastAsia" w:ascii="宋体" w:hAnsi="宋体"/>
        </w:rPr>
        <w:t>政府集中采购机构</w:t>
      </w:r>
      <w:r>
        <w:rPr>
          <w:rFonts w:ascii="宋体" w:hAnsi="宋体"/>
        </w:rPr>
        <w:t>，并征得其同意。对外市场宣传包括但不限于以下形式：</w:t>
      </w:r>
    </w:p>
    <w:p w14:paraId="12B3D376">
      <w:pPr>
        <w:ind w:left="210" w:leftChars="100" w:firstLine="411" w:firstLineChars="196"/>
        <w:rPr>
          <w:rFonts w:hint="eastAsia" w:ascii="宋体" w:hAnsi="宋体"/>
        </w:rPr>
      </w:pPr>
      <w:r>
        <w:rPr>
          <w:rFonts w:ascii="宋体" w:hAnsi="宋体"/>
        </w:rPr>
        <w:t>a.名片、宣传册、广告标语等；</w:t>
      </w:r>
    </w:p>
    <w:p w14:paraId="7CCCC962">
      <w:pPr>
        <w:ind w:left="210" w:leftChars="100" w:firstLine="411" w:firstLineChars="196"/>
        <w:rPr>
          <w:rFonts w:hint="eastAsia" w:ascii="宋体" w:hAnsi="宋体"/>
        </w:rPr>
      </w:pPr>
      <w:r>
        <w:rPr>
          <w:rFonts w:ascii="宋体" w:hAnsi="宋体"/>
        </w:rPr>
        <w:t>b.案例介绍、推广等；</w:t>
      </w:r>
    </w:p>
    <w:p w14:paraId="7141245B">
      <w:pPr>
        <w:ind w:left="210" w:leftChars="100" w:firstLine="411" w:firstLineChars="196"/>
        <w:rPr>
          <w:rFonts w:hint="eastAsia" w:ascii="宋体" w:hAnsi="宋体"/>
        </w:rPr>
      </w:pPr>
      <w:r>
        <w:rPr>
          <w:rFonts w:hint="eastAsia" w:ascii="宋体" w:hAnsi="宋体"/>
        </w:rPr>
        <w:t>c.工作</w:t>
      </w:r>
      <w:r>
        <w:rPr>
          <w:rFonts w:ascii="宋体" w:hAnsi="宋体"/>
        </w:rPr>
        <w:t>人员向其他消费群体宣传。</w:t>
      </w:r>
    </w:p>
    <w:p w14:paraId="520E8EA1">
      <w:pPr>
        <w:rPr>
          <w:rFonts w:hint="eastAsia" w:ascii="黑体" w:hAnsi="宋体" w:eastAsia="黑体"/>
          <w:sz w:val="24"/>
        </w:rPr>
      </w:pPr>
      <w:r>
        <w:rPr>
          <w:rFonts w:hint="eastAsia" w:ascii="黑体" w:hAnsi="宋体" w:eastAsia="黑体"/>
          <w:sz w:val="24"/>
        </w:rPr>
        <w:t>51. 供应商违法责任</w:t>
      </w:r>
    </w:p>
    <w:p w14:paraId="0350F9F1">
      <w:pPr>
        <w:ind w:firstLine="411" w:firstLineChars="196"/>
        <w:rPr>
          <w:rFonts w:hint="eastAsia" w:ascii="宋体" w:hAnsi="宋体"/>
          <w:szCs w:val="21"/>
        </w:rPr>
      </w:pPr>
      <w:r>
        <w:rPr>
          <w:rFonts w:hint="eastAsia" w:ascii="宋体" w:hAnsi="宋体"/>
          <w:szCs w:val="21"/>
        </w:rPr>
        <w:t>5</w:t>
      </w:r>
      <w:r>
        <w:rPr>
          <w:rFonts w:ascii="宋体" w:hAnsi="宋体"/>
          <w:szCs w:val="21"/>
        </w:rPr>
        <w:t>1.1</w:t>
      </w:r>
      <w:r>
        <w:rPr>
          <w:rFonts w:hint="eastAsia" w:ascii="宋体" w:hAnsi="宋体"/>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7C37A5D8">
      <w:pPr>
        <w:ind w:firstLine="411" w:firstLineChars="196"/>
        <w:rPr>
          <w:rFonts w:hint="eastAsia" w:ascii="宋体" w:hAnsi="宋体"/>
          <w:szCs w:val="21"/>
        </w:rPr>
      </w:pPr>
      <w:r>
        <w:rPr>
          <w:rFonts w:hint="eastAsia" w:ascii="宋体" w:hAnsi="宋体"/>
          <w:szCs w:val="21"/>
        </w:rPr>
        <w:t>（1）在采购活动中应当回避而未回避的；</w:t>
      </w:r>
    </w:p>
    <w:p w14:paraId="4322B6B9">
      <w:pPr>
        <w:ind w:firstLine="411" w:firstLineChars="196"/>
        <w:rPr>
          <w:rFonts w:hint="eastAsia" w:ascii="宋体" w:hAnsi="宋体"/>
          <w:szCs w:val="21"/>
        </w:rPr>
      </w:pPr>
      <w:r>
        <w:rPr>
          <w:rFonts w:hint="eastAsia" w:ascii="宋体" w:hAnsi="宋体"/>
          <w:szCs w:val="21"/>
        </w:rPr>
        <w:t>（2）未按本条例规定签订、履行采购合同，造成严重后果的；</w:t>
      </w:r>
    </w:p>
    <w:p w14:paraId="3FAF76BF">
      <w:pPr>
        <w:ind w:firstLine="411" w:firstLineChars="196"/>
        <w:rPr>
          <w:rFonts w:hint="eastAsia" w:ascii="宋体" w:hAnsi="宋体"/>
          <w:szCs w:val="21"/>
        </w:rPr>
      </w:pPr>
      <w:r>
        <w:rPr>
          <w:rFonts w:hint="eastAsia" w:ascii="宋体" w:hAnsi="宋体"/>
          <w:szCs w:val="21"/>
        </w:rPr>
        <w:t>（3）隐瞒真实情况，提供虚假资料的；</w:t>
      </w:r>
    </w:p>
    <w:p w14:paraId="0B4281E4">
      <w:pPr>
        <w:ind w:firstLine="411" w:firstLineChars="196"/>
        <w:rPr>
          <w:rFonts w:hint="eastAsia" w:ascii="宋体" w:hAnsi="宋体"/>
          <w:szCs w:val="21"/>
        </w:rPr>
      </w:pPr>
      <w:r>
        <w:rPr>
          <w:rFonts w:hint="eastAsia" w:ascii="宋体" w:hAnsi="宋体"/>
          <w:szCs w:val="21"/>
        </w:rPr>
        <w:t>（4）以非法手段排斥其他供应商参与竞争的；</w:t>
      </w:r>
    </w:p>
    <w:p w14:paraId="2BCD284B">
      <w:pPr>
        <w:ind w:firstLine="411" w:firstLineChars="196"/>
        <w:rPr>
          <w:rFonts w:hint="eastAsia" w:ascii="宋体" w:hAnsi="宋体"/>
          <w:szCs w:val="21"/>
        </w:rPr>
      </w:pPr>
      <w:r>
        <w:rPr>
          <w:rFonts w:hint="eastAsia" w:ascii="宋体" w:hAnsi="宋体"/>
          <w:szCs w:val="21"/>
        </w:rPr>
        <w:t>（5）与其他采购参加人串通投标的；</w:t>
      </w:r>
    </w:p>
    <w:p w14:paraId="20EFAB3B">
      <w:pPr>
        <w:ind w:firstLine="411" w:firstLineChars="196"/>
        <w:rPr>
          <w:rFonts w:hint="eastAsia" w:ascii="宋体" w:hAnsi="宋体"/>
          <w:szCs w:val="21"/>
        </w:rPr>
      </w:pPr>
      <w:r>
        <w:rPr>
          <w:rFonts w:hint="eastAsia" w:ascii="宋体" w:hAnsi="宋体"/>
          <w:szCs w:val="21"/>
        </w:rPr>
        <w:t>（6）恶意投诉的；</w:t>
      </w:r>
    </w:p>
    <w:p w14:paraId="7C784ACF">
      <w:pPr>
        <w:ind w:firstLine="411" w:firstLineChars="196"/>
        <w:rPr>
          <w:rFonts w:hint="eastAsia" w:ascii="宋体" w:hAnsi="宋体"/>
          <w:szCs w:val="21"/>
        </w:rPr>
      </w:pPr>
      <w:r>
        <w:rPr>
          <w:rFonts w:hint="eastAsia" w:ascii="宋体" w:hAnsi="宋体"/>
          <w:szCs w:val="21"/>
        </w:rPr>
        <w:t>（7）向采购项目相关人行贿或者提供其他不当利益的；</w:t>
      </w:r>
    </w:p>
    <w:p w14:paraId="17C40B6B">
      <w:pPr>
        <w:ind w:firstLine="411" w:firstLineChars="196"/>
        <w:rPr>
          <w:rFonts w:hint="eastAsia" w:ascii="宋体" w:hAnsi="宋体"/>
          <w:szCs w:val="21"/>
        </w:rPr>
      </w:pPr>
      <w:r>
        <w:rPr>
          <w:rFonts w:hint="eastAsia" w:ascii="宋体" w:hAnsi="宋体"/>
          <w:szCs w:val="21"/>
        </w:rPr>
        <w:t>（8）阻碍、抗拒主管部门监督检查的；</w:t>
      </w:r>
    </w:p>
    <w:p w14:paraId="4A1AD80E">
      <w:pPr>
        <w:ind w:firstLine="411" w:firstLineChars="196"/>
        <w:rPr>
          <w:rFonts w:hint="eastAsia" w:ascii="宋体" w:hAnsi="宋体"/>
          <w:szCs w:val="21"/>
        </w:rPr>
      </w:pPr>
      <w:r>
        <w:rPr>
          <w:rFonts w:hint="eastAsia" w:ascii="宋体" w:hAnsi="宋体"/>
          <w:szCs w:val="21"/>
        </w:rPr>
        <w:t>（9）其他违反本条例规定的行为。</w:t>
      </w:r>
    </w:p>
    <w:p w14:paraId="6023E26F">
      <w:pPr>
        <w:ind w:firstLine="411" w:firstLineChars="196"/>
        <w:rPr>
          <w:rFonts w:hint="eastAsia" w:ascii="宋体" w:hAnsi="宋体"/>
          <w:szCs w:val="21"/>
        </w:rPr>
      </w:pPr>
      <w:r>
        <w:rPr>
          <w:rFonts w:hint="eastAsia" w:ascii="宋体" w:hAnsi="宋体"/>
          <w:szCs w:val="21"/>
        </w:rPr>
        <w:t>5</w:t>
      </w:r>
      <w:r>
        <w:rPr>
          <w:rFonts w:ascii="宋体" w:hAnsi="宋体"/>
          <w:szCs w:val="21"/>
        </w:rPr>
        <w:t xml:space="preserve">1.2 </w:t>
      </w:r>
      <w:r>
        <w:rPr>
          <w:rFonts w:hint="eastAsia" w:ascii="宋体" w:hAnsi="宋体"/>
          <w:szCs w:val="21"/>
        </w:rPr>
        <w:t>根据《深圳市财政局关于调整政府采购投标（响应）保证金管理政策的通知 》（深财购〔2021〕51 号）的要求，供应商在政府采购活动中出现《深圳经济特区政府采购条例实施细则》第八十条所列情形的，</w:t>
      </w:r>
      <w:bookmarkStart w:id="93" w:name="_Hlk72440769"/>
      <w:r>
        <w:rPr>
          <w:rFonts w:hint="eastAsia" w:ascii="宋体" w:hAnsi="宋体"/>
          <w:szCs w:val="21"/>
        </w:rPr>
        <w:t>政府集中采购机构或采购人不予退还其交纳的谈判保证金，情节严重的，并由主管部门</w:t>
      </w:r>
      <w:bookmarkEnd w:id="93"/>
      <w:r>
        <w:rPr>
          <w:rFonts w:hint="eastAsia" w:ascii="宋体" w:hAnsi="宋体"/>
          <w:szCs w:val="21"/>
        </w:rPr>
        <w:t>记入供应商诚信档案，予以通报：</w:t>
      </w:r>
    </w:p>
    <w:p w14:paraId="34F7BA2C">
      <w:pPr>
        <w:ind w:firstLine="411" w:firstLineChars="196"/>
        <w:rPr>
          <w:rFonts w:hint="eastAsia" w:ascii="宋体" w:hAnsi="宋体"/>
          <w:szCs w:val="21"/>
        </w:rPr>
      </w:pPr>
      <w:r>
        <w:rPr>
          <w:rFonts w:hint="eastAsia" w:ascii="宋体" w:hAnsi="宋体"/>
          <w:szCs w:val="21"/>
        </w:rPr>
        <w:t>（1</w:t>
      </w:r>
      <w:r>
        <w:rPr>
          <w:rFonts w:ascii="宋体" w:hAnsi="宋体"/>
          <w:szCs w:val="21"/>
        </w:rPr>
        <w:t>）投标截止后，撤销投标的；</w:t>
      </w:r>
    </w:p>
    <w:p w14:paraId="3A321A8A">
      <w:pPr>
        <w:ind w:firstLine="411" w:firstLineChars="196"/>
        <w:rPr>
          <w:rFonts w:hint="eastAsia" w:ascii="宋体" w:hAnsi="宋体"/>
          <w:szCs w:val="21"/>
        </w:rPr>
      </w:pPr>
      <w:r>
        <w:rPr>
          <w:rFonts w:ascii="宋体" w:hAnsi="宋体"/>
          <w:szCs w:val="21"/>
        </w:rPr>
        <w:t>（</w:t>
      </w:r>
      <w:r>
        <w:rPr>
          <w:rFonts w:hint="eastAsia" w:ascii="宋体" w:hAnsi="宋体"/>
          <w:szCs w:val="21"/>
        </w:rPr>
        <w:t>2</w:t>
      </w:r>
      <w:r>
        <w:rPr>
          <w:rFonts w:ascii="宋体" w:hAnsi="宋体"/>
          <w:szCs w:val="21"/>
        </w:rPr>
        <w:t>）中标后无正当理由未在规定期限内签订合同的；</w:t>
      </w:r>
    </w:p>
    <w:p w14:paraId="086E3B9C">
      <w:pPr>
        <w:ind w:firstLine="411" w:firstLineChars="196"/>
        <w:rPr>
          <w:rFonts w:hint="eastAsia" w:ascii="宋体" w:hAnsi="宋体"/>
          <w:szCs w:val="21"/>
        </w:rPr>
      </w:pPr>
      <w:r>
        <w:rPr>
          <w:rFonts w:ascii="宋体" w:hAnsi="宋体"/>
          <w:szCs w:val="21"/>
        </w:rPr>
        <w:t>（</w:t>
      </w:r>
      <w:r>
        <w:rPr>
          <w:rFonts w:hint="eastAsia" w:ascii="宋体" w:hAnsi="宋体"/>
          <w:szCs w:val="21"/>
        </w:rPr>
        <w:t>3</w:t>
      </w:r>
      <w:r>
        <w:rPr>
          <w:rFonts w:ascii="宋体" w:hAnsi="宋体"/>
          <w:szCs w:val="21"/>
        </w:rPr>
        <w:t>）将中标项目转让给他人、或者在投标文件中未说明且未经采购人、采购招标机构同意，将中标项目分包给他人的；</w:t>
      </w:r>
    </w:p>
    <w:p w14:paraId="0C5457CE">
      <w:pPr>
        <w:ind w:firstLine="411" w:firstLineChars="196"/>
        <w:rPr>
          <w:rFonts w:hint="eastAsia" w:ascii="宋体" w:hAnsi="宋体"/>
          <w:szCs w:val="21"/>
        </w:rPr>
      </w:pPr>
      <w:r>
        <w:rPr>
          <w:rFonts w:ascii="宋体" w:hAnsi="宋体"/>
          <w:szCs w:val="21"/>
        </w:rPr>
        <w:t>（</w:t>
      </w:r>
      <w:r>
        <w:rPr>
          <w:rFonts w:hint="eastAsia" w:ascii="宋体" w:hAnsi="宋体"/>
          <w:szCs w:val="21"/>
        </w:rPr>
        <w:t>4</w:t>
      </w:r>
      <w:r>
        <w:rPr>
          <w:rFonts w:ascii="宋体" w:hAnsi="宋体"/>
          <w:szCs w:val="21"/>
        </w:rPr>
        <w:t>）拒绝履行合同义务的</w:t>
      </w:r>
      <w:r>
        <w:rPr>
          <w:rFonts w:hint="eastAsia" w:ascii="宋体" w:hAnsi="宋体"/>
          <w:szCs w:val="21"/>
        </w:rPr>
        <w:t>。</w:t>
      </w:r>
    </w:p>
    <w:bookmarkEnd w:id="77"/>
    <w:p w14:paraId="7E765356">
      <w:pPr>
        <w:pStyle w:val="5"/>
        <w:numPr>
          <w:ilvl w:val="0"/>
          <w:numId w:val="11"/>
        </w:numPr>
        <w:spacing w:before="156" w:beforeLines="50" w:after="156" w:afterLines="50"/>
        <w:ind w:left="562" w:hanging="562"/>
        <w:rPr>
          <w:sz w:val="28"/>
          <w:szCs w:val="28"/>
        </w:rPr>
      </w:pPr>
      <w:r>
        <w:rPr>
          <w:rFonts w:hint="eastAsia"/>
          <w:sz w:val="28"/>
          <w:szCs w:val="28"/>
        </w:rPr>
        <w:t>质疑处理</w:t>
      </w:r>
    </w:p>
    <w:p w14:paraId="4216B54A">
      <w:pPr>
        <w:rPr>
          <w:rFonts w:hint="eastAsia" w:ascii="黑体" w:hAnsi="宋体" w:eastAsia="黑体"/>
          <w:sz w:val="24"/>
        </w:rPr>
      </w:pPr>
      <w:r>
        <w:rPr>
          <w:rFonts w:hint="eastAsia" w:ascii="黑体" w:hAnsi="宋体" w:eastAsia="黑体"/>
          <w:sz w:val="24"/>
        </w:rPr>
        <w:t>52.质疑提出与答复</w:t>
      </w:r>
    </w:p>
    <w:p w14:paraId="3F3CEA71">
      <w:pPr>
        <w:rPr>
          <w:rFonts w:hint="eastAsia" w:ascii="宋体" w:hAnsi="宋体"/>
          <w:szCs w:val="21"/>
        </w:rPr>
      </w:pPr>
      <w:r>
        <w:rPr>
          <w:rFonts w:hint="eastAsia" w:ascii="宋体" w:hAnsi="宋体"/>
          <w:szCs w:val="21"/>
        </w:rPr>
        <w:t xml:space="preserve">    52.1提出质疑</w:t>
      </w:r>
    </w:p>
    <w:p w14:paraId="23215C7A">
      <w:pPr>
        <w:rPr>
          <w:rFonts w:hint="eastAsia" w:ascii="宋体" w:hAnsi="宋体"/>
          <w:szCs w:val="21"/>
        </w:rPr>
      </w:pPr>
      <w:r>
        <w:rPr>
          <w:rFonts w:hint="eastAsia" w:ascii="宋体" w:hAnsi="宋体"/>
          <w:szCs w:val="21"/>
        </w:rPr>
        <w:t xml:space="preserve">    参与政府采购活动的供应商认为自己的权益在采购活动中受到损害的，应当自知道或者应当知道其权益受到损害之日起七个工作日内向采购人、政府集中采购机构以书面形式提出质疑。</w:t>
      </w:r>
    </w:p>
    <w:p w14:paraId="789069EC">
      <w:pPr>
        <w:rPr>
          <w:rFonts w:hint="eastAsia" w:ascii="宋体" w:hAnsi="宋体"/>
          <w:szCs w:val="21"/>
        </w:rPr>
      </w:pPr>
      <w:r>
        <w:rPr>
          <w:rFonts w:hint="eastAsia" w:ascii="宋体" w:hAnsi="宋体"/>
          <w:szCs w:val="21"/>
        </w:rPr>
        <w:t xml:space="preserve">    52.2</w:t>
      </w:r>
      <w:r>
        <w:rPr>
          <w:rFonts w:ascii="宋体" w:hAnsi="宋体"/>
          <w:szCs w:val="21"/>
        </w:rPr>
        <w:t>法律依据</w:t>
      </w:r>
    </w:p>
    <w:p w14:paraId="0E806F72">
      <w:pPr>
        <w:rPr>
          <w:rFonts w:hint="eastAsia" w:ascii="宋体" w:hAnsi="宋体"/>
          <w:szCs w:val="21"/>
        </w:rPr>
      </w:pPr>
      <w:r>
        <w:rPr>
          <w:rFonts w:hint="eastAsia" w:ascii="宋体" w:hAnsi="宋体"/>
          <w:szCs w:val="21"/>
        </w:rPr>
        <w:t xml:space="preserve">    《中华人民共和国政府采购法》、《中华人民共和国政府采购法实施条例》、</w:t>
      </w:r>
      <w:r>
        <w:rPr>
          <w:rFonts w:ascii="宋体" w:hAnsi="宋体"/>
          <w:szCs w:val="21"/>
        </w:rPr>
        <w:t>《</w:t>
      </w:r>
      <w:r>
        <w:rPr>
          <w:rFonts w:hint="eastAsia" w:ascii="宋体" w:hAnsi="宋体"/>
          <w:szCs w:val="21"/>
        </w:rPr>
        <w:t>深圳经济特区政府采购</w:t>
      </w:r>
      <w:r>
        <w:rPr>
          <w:rFonts w:ascii="宋体" w:hAnsi="宋体"/>
          <w:szCs w:val="21"/>
        </w:rPr>
        <w:t>条例</w:t>
      </w:r>
      <w:r>
        <w:rPr>
          <w:rFonts w:hint="eastAsia" w:ascii="宋体" w:hAnsi="宋体"/>
          <w:szCs w:val="21"/>
        </w:rPr>
        <w:t>》、《深圳经济特区政府采购条例实施细则》、《政府采购质疑和投诉办法》（财政部令第94号）和其他有关法律法规规定。</w:t>
      </w:r>
    </w:p>
    <w:p w14:paraId="0040664F">
      <w:pPr>
        <w:rPr>
          <w:rFonts w:hint="eastAsia" w:ascii="宋体" w:hAnsi="宋体"/>
          <w:szCs w:val="21"/>
        </w:rPr>
      </w:pPr>
      <w:r>
        <w:rPr>
          <w:rFonts w:hint="eastAsia" w:ascii="宋体" w:hAnsi="宋体"/>
          <w:szCs w:val="21"/>
        </w:rPr>
        <w:t xml:space="preserve">  </w:t>
      </w:r>
      <w:r>
        <w:rPr>
          <w:rFonts w:hint="eastAsia" w:ascii="宋体" w:hAnsi="宋体"/>
          <w:color w:val="FF0000"/>
          <w:szCs w:val="21"/>
        </w:rPr>
        <w:t xml:space="preserve">  </w:t>
      </w:r>
      <w:r>
        <w:rPr>
          <w:rFonts w:hint="eastAsia" w:ascii="宋体" w:hAnsi="宋体"/>
          <w:szCs w:val="21"/>
        </w:rPr>
        <w:t>52.3质疑条件</w:t>
      </w:r>
    </w:p>
    <w:p w14:paraId="302234BA">
      <w:pPr>
        <w:rPr>
          <w:rFonts w:hint="eastAsia" w:ascii="宋体" w:hAnsi="宋体"/>
          <w:szCs w:val="21"/>
        </w:rPr>
      </w:pPr>
      <w:r>
        <w:rPr>
          <w:rFonts w:hint="eastAsia" w:ascii="宋体" w:hAnsi="宋体"/>
          <w:szCs w:val="21"/>
        </w:rPr>
        <w:t xml:space="preserve">    52.3.1提出质疑的供应商应当是参与所质疑项目采购活动的供应商；</w:t>
      </w:r>
      <w:bookmarkStart w:id="94" w:name="_Hlk75374941"/>
      <w:r>
        <w:rPr>
          <w:rFonts w:hint="eastAsia" w:ascii="宋体" w:hAnsi="宋体"/>
          <w:szCs w:val="21"/>
        </w:rPr>
        <w:t>以联合体形式参与的，质疑应当由组成联合体的所有成员共同提出</w:t>
      </w:r>
      <w:bookmarkEnd w:id="94"/>
      <w:r>
        <w:rPr>
          <w:rFonts w:hint="eastAsia" w:ascii="宋体" w:hAnsi="宋体"/>
          <w:szCs w:val="21"/>
        </w:rPr>
        <w:t>；</w:t>
      </w:r>
    </w:p>
    <w:p w14:paraId="0FD4E2F2">
      <w:pPr>
        <w:rPr>
          <w:rFonts w:hint="eastAsia" w:ascii="宋体" w:hAnsi="宋体"/>
          <w:szCs w:val="21"/>
        </w:rPr>
      </w:pPr>
      <w:r>
        <w:rPr>
          <w:rFonts w:hint="eastAsia" w:ascii="宋体" w:hAnsi="宋体"/>
          <w:szCs w:val="21"/>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1A9AC60C">
      <w:pPr>
        <w:ind w:firstLine="420"/>
        <w:rPr>
          <w:rFonts w:hint="eastAsia" w:ascii="宋体" w:hAnsi="宋体"/>
          <w:szCs w:val="21"/>
        </w:rPr>
      </w:pPr>
      <w:r>
        <w:rPr>
          <w:rFonts w:hint="eastAsia" w:ascii="宋体" w:hAnsi="宋体"/>
          <w:szCs w:val="21"/>
        </w:rPr>
        <w:t>52.3.3应提交书面质疑函，质疑函应当包括以下内容：</w:t>
      </w:r>
      <w:r>
        <w:rPr>
          <w:rFonts w:ascii="宋体" w:hAnsi="宋体"/>
          <w:szCs w:val="21"/>
        </w:rPr>
        <w:t xml:space="preserve"> </w:t>
      </w:r>
    </w:p>
    <w:p w14:paraId="7D9E09B8">
      <w:pPr>
        <w:ind w:firstLine="420"/>
        <w:rPr>
          <w:rFonts w:hint="eastAsia" w:ascii="宋体" w:hAnsi="宋体"/>
          <w:szCs w:val="21"/>
        </w:rPr>
      </w:pPr>
      <w:r>
        <w:rPr>
          <w:rFonts w:hint="eastAsia" w:ascii="宋体" w:hAnsi="宋体"/>
          <w:szCs w:val="21"/>
        </w:rPr>
        <w:t>（1）供应商的名称（或者姓名）、地址、邮编、邮箱、联系人及联系电话；</w:t>
      </w:r>
    </w:p>
    <w:p w14:paraId="7DB33EAA">
      <w:pPr>
        <w:ind w:firstLine="420" w:firstLineChars="200"/>
        <w:rPr>
          <w:rFonts w:hint="eastAsia" w:ascii="宋体" w:hAnsi="宋体"/>
          <w:szCs w:val="21"/>
        </w:rPr>
      </w:pPr>
      <w:r>
        <w:rPr>
          <w:rFonts w:hint="eastAsia" w:ascii="宋体" w:hAnsi="宋体"/>
          <w:szCs w:val="21"/>
        </w:rPr>
        <w:t>（2）质疑项目的名称、编号；</w:t>
      </w:r>
    </w:p>
    <w:p w14:paraId="323DC6EF">
      <w:pPr>
        <w:ind w:firstLine="420" w:firstLineChars="200"/>
        <w:rPr>
          <w:rFonts w:hint="eastAsia" w:ascii="宋体" w:hAnsi="宋体"/>
          <w:szCs w:val="21"/>
        </w:rPr>
      </w:pPr>
      <w:r>
        <w:rPr>
          <w:rFonts w:hint="eastAsia" w:ascii="宋体" w:hAnsi="宋体"/>
          <w:szCs w:val="21"/>
        </w:rPr>
        <w:t>（3）具体、明确的质疑对象、质疑事项和质疑请求；</w:t>
      </w:r>
    </w:p>
    <w:p w14:paraId="1C8690D1">
      <w:pPr>
        <w:ind w:firstLine="420" w:firstLineChars="200"/>
        <w:rPr>
          <w:rFonts w:hint="eastAsia" w:ascii="宋体" w:hAnsi="宋体"/>
          <w:szCs w:val="21"/>
        </w:rPr>
      </w:pPr>
      <w:r>
        <w:rPr>
          <w:rFonts w:hint="eastAsia" w:ascii="宋体" w:hAnsi="宋体"/>
          <w:szCs w:val="21"/>
        </w:rPr>
        <w:t>（4）因质疑事项而受损害的权益；</w:t>
      </w:r>
    </w:p>
    <w:p w14:paraId="5DD89744">
      <w:pPr>
        <w:ind w:firstLine="420" w:firstLineChars="200"/>
        <w:rPr>
          <w:rFonts w:hint="eastAsia" w:ascii="宋体" w:hAnsi="宋体"/>
          <w:szCs w:val="21"/>
        </w:rPr>
      </w:pPr>
      <w:r>
        <w:rPr>
          <w:rFonts w:hint="eastAsia" w:ascii="宋体" w:hAnsi="宋体"/>
          <w:szCs w:val="21"/>
        </w:rPr>
        <w:t>（5）事实依据；</w:t>
      </w:r>
    </w:p>
    <w:p w14:paraId="5FE488B3">
      <w:pPr>
        <w:ind w:firstLine="420" w:firstLineChars="200"/>
        <w:rPr>
          <w:rFonts w:hint="eastAsia" w:ascii="宋体" w:hAnsi="宋体"/>
          <w:szCs w:val="21"/>
        </w:rPr>
      </w:pPr>
      <w:r>
        <w:rPr>
          <w:rFonts w:hint="eastAsia" w:ascii="宋体" w:hAnsi="宋体"/>
          <w:szCs w:val="21"/>
        </w:rPr>
        <w:t>（6）必要的法律依据；</w:t>
      </w:r>
    </w:p>
    <w:p w14:paraId="163ADDC4">
      <w:pPr>
        <w:ind w:firstLine="420" w:firstLineChars="200"/>
        <w:rPr>
          <w:rFonts w:hint="eastAsia" w:ascii="宋体" w:hAnsi="宋体"/>
          <w:szCs w:val="21"/>
        </w:rPr>
      </w:pPr>
      <w:r>
        <w:rPr>
          <w:rFonts w:hint="eastAsia" w:ascii="宋体" w:hAnsi="宋体"/>
          <w:szCs w:val="21"/>
        </w:rPr>
        <w:t>（7）提出质疑的日期。</w:t>
      </w:r>
    </w:p>
    <w:p w14:paraId="4F3B5715">
      <w:pPr>
        <w:ind w:firstLine="420" w:firstLineChars="200"/>
        <w:rPr>
          <w:rFonts w:hint="eastAsia"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14:paraId="11BD861A">
      <w:pPr>
        <w:ind w:firstLine="420" w:firstLineChars="200"/>
        <w:rPr>
          <w:rFonts w:hint="eastAsia" w:ascii="宋体" w:hAnsi="宋体"/>
          <w:szCs w:val="21"/>
        </w:rPr>
      </w:pPr>
      <w:r>
        <w:rPr>
          <w:rFonts w:hint="eastAsia" w:ascii="宋体" w:hAnsi="宋体"/>
          <w:szCs w:val="21"/>
        </w:rPr>
        <w:t>52.4提交</w:t>
      </w:r>
      <w:r>
        <w:rPr>
          <w:rFonts w:ascii="宋体" w:hAnsi="宋体"/>
          <w:szCs w:val="21"/>
        </w:rPr>
        <w:t>材料</w:t>
      </w:r>
    </w:p>
    <w:p w14:paraId="32258F93">
      <w:pPr>
        <w:ind w:firstLine="420" w:firstLineChars="200"/>
        <w:rPr>
          <w:rFonts w:hint="eastAsia" w:ascii="宋体" w:hAnsi="宋体"/>
          <w:szCs w:val="21"/>
        </w:rPr>
      </w:pPr>
      <w:r>
        <w:rPr>
          <w:rFonts w:hint="eastAsia" w:ascii="宋体" w:hAnsi="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3760DA61">
      <w:pPr>
        <w:ind w:firstLine="420" w:firstLineChars="200"/>
        <w:rPr>
          <w:rFonts w:hint="eastAsia" w:ascii="宋体" w:hAnsi="宋体"/>
          <w:szCs w:val="21"/>
        </w:rPr>
      </w:pPr>
      <w:r>
        <w:rPr>
          <w:rFonts w:hint="eastAsia" w:ascii="宋体" w:hAnsi="宋体"/>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3E7E4F41">
      <w:pPr>
        <w:ind w:firstLine="420" w:firstLineChars="200"/>
        <w:rPr>
          <w:rFonts w:hint="eastAsia" w:ascii="宋体" w:hAnsi="宋体"/>
          <w:szCs w:val="21"/>
        </w:rPr>
      </w:pPr>
      <w:r>
        <w:rPr>
          <w:rFonts w:hint="eastAsia" w:ascii="宋体" w:hAnsi="宋体"/>
          <w:szCs w:val="21"/>
        </w:rPr>
        <w:t>52.5收文地点</w:t>
      </w:r>
    </w:p>
    <w:p w14:paraId="4E523BDF">
      <w:pPr>
        <w:ind w:firstLine="422" w:firstLineChars="200"/>
        <w:rPr>
          <w:rFonts w:hint="eastAsia" w:ascii="宋体" w:hAnsi="宋体"/>
          <w:b/>
          <w:bCs/>
          <w:szCs w:val="21"/>
        </w:rPr>
      </w:pPr>
      <w:r>
        <w:rPr>
          <w:rFonts w:hint="eastAsia" w:ascii="宋体" w:hAnsi="宋体"/>
          <w:b/>
          <w:bCs/>
          <w:szCs w:val="21"/>
        </w:rPr>
        <w:t>地址：深圳公共资源交易中心（深圳交易集团有限公司龙华分公司）（地址：深圳市龙华区观湖街道大和社区大和路288号宝观城锦鲤大厦办公楼22楼）。</w:t>
      </w:r>
    </w:p>
    <w:p w14:paraId="28316484">
      <w:pPr>
        <w:ind w:firstLine="420" w:firstLineChars="200"/>
        <w:rPr>
          <w:rFonts w:hint="eastAsia" w:ascii="宋体" w:hAnsi="宋体"/>
          <w:szCs w:val="21"/>
        </w:rPr>
      </w:pPr>
      <w:r>
        <w:rPr>
          <w:rFonts w:hint="eastAsia" w:ascii="宋体" w:hAnsi="宋体"/>
          <w:szCs w:val="21"/>
        </w:rPr>
        <w:t>52.6收文办理</w:t>
      </w:r>
      <w:r>
        <w:rPr>
          <w:rFonts w:ascii="宋体" w:hAnsi="宋体"/>
          <w:szCs w:val="21"/>
        </w:rPr>
        <w:t>程序</w:t>
      </w:r>
    </w:p>
    <w:p w14:paraId="30F53473">
      <w:pPr>
        <w:ind w:firstLine="420" w:firstLineChars="200"/>
        <w:rPr>
          <w:rFonts w:hint="eastAsia" w:ascii="宋体" w:hAnsi="宋体"/>
          <w:szCs w:val="21"/>
        </w:rPr>
      </w:pPr>
      <w:r>
        <w:rPr>
          <w:rFonts w:hint="eastAsia" w:ascii="宋体" w:hAnsi="宋体"/>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14:paraId="1D386DBA">
      <w:pPr>
        <w:ind w:firstLine="420" w:firstLineChars="200"/>
        <w:rPr>
          <w:rFonts w:hint="eastAsia" w:ascii="仿宋" w:hAnsi="仿宋" w:eastAsia="仿宋"/>
          <w:sz w:val="28"/>
          <w:szCs w:val="28"/>
        </w:rPr>
      </w:pPr>
      <w:r>
        <w:rPr>
          <w:rFonts w:hint="eastAsia" w:ascii="宋体" w:hAnsi="宋体"/>
          <w:szCs w:val="21"/>
        </w:rPr>
        <w:t>52.6.2供应商提交的质疑材料不符合质疑条件的，视情况处理：</w:t>
      </w:r>
    </w:p>
    <w:p w14:paraId="4845DB4A">
      <w:pPr>
        <w:ind w:firstLine="420" w:firstLineChars="200"/>
        <w:rPr>
          <w:rFonts w:hint="eastAsia" w:ascii="宋体" w:hAnsi="宋体"/>
          <w:szCs w:val="21"/>
        </w:rPr>
      </w:pPr>
      <w:r>
        <w:rPr>
          <w:rFonts w:hint="eastAsia" w:ascii="宋体" w:hAnsi="宋体"/>
          <w:szCs w:val="21"/>
        </w:rPr>
        <w:t>供应商提交的质疑材料不全或者未按要求签字或者盖章的，政府集中采购机构应当一次性告知供应商需补正的内容和补正期限。</w:t>
      </w:r>
    </w:p>
    <w:p w14:paraId="35671E75">
      <w:pPr>
        <w:ind w:firstLine="420" w:firstLineChars="200"/>
        <w:rPr>
          <w:rFonts w:hint="eastAsia" w:ascii="宋体" w:hAnsi="宋体"/>
          <w:szCs w:val="21"/>
        </w:rPr>
      </w:pPr>
      <w:r>
        <w:rPr>
          <w:rFonts w:hint="eastAsia" w:ascii="宋体" w:hAnsi="宋体"/>
          <w:szCs w:val="21"/>
        </w:rPr>
        <w:t>供应商提交的质疑存在下列情形之一的，不予受理：</w:t>
      </w:r>
    </w:p>
    <w:p w14:paraId="65DB8EA7">
      <w:pPr>
        <w:ind w:firstLine="420" w:firstLineChars="200"/>
        <w:rPr>
          <w:rFonts w:hint="eastAsia" w:ascii="宋体" w:hAnsi="宋体"/>
          <w:szCs w:val="21"/>
        </w:rPr>
      </w:pPr>
      <w:r>
        <w:rPr>
          <w:rFonts w:hint="eastAsia" w:ascii="宋体" w:hAnsi="宋体"/>
          <w:szCs w:val="21"/>
        </w:rPr>
        <w:t>（1）质疑主体不满足要求的；</w:t>
      </w:r>
    </w:p>
    <w:p w14:paraId="18707FEE">
      <w:pPr>
        <w:ind w:firstLine="420" w:firstLineChars="200"/>
        <w:rPr>
          <w:rFonts w:hint="eastAsia" w:ascii="宋体" w:hAnsi="宋体"/>
          <w:szCs w:val="21"/>
        </w:rPr>
      </w:pPr>
      <w:r>
        <w:rPr>
          <w:rFonts w:hint="eastAsia" w:ascii="宋体" w:hAnsi="宋体"/>
          <w:szCs w:val="21"/>
        </w:rPr>
        <w:t>（2）供应商自身权益未受到损害的；</w:t>
      </w:r>
    </w:p>
    <w:p w14:paraId="20C29E31">
      <w:pPr>
        <w:ind w:firstLine="420" w:firstLineChars="200"/>
        <w:rPr>
          <w:rFonts w:hint="eastAsia" w:ascii="宋体" w:hAnsi="宋体"/>
          <w:szCs w:val="21"/>
        </w:rPr>
      </w:pPr>
      <w:r>
        <w:rPr>
          <w:rFonts w:hint="eastAsia" w:ascii="宋体" w:hAnsi="宋体"/>
          <w:szCs w:val="21"/>
        </w:rPr>
        <w:t>（3）供应商未在法定质疑期限内提出质疑的；</w:t>
      </w:r>
    </w:p>
    <w:p w14:paraId="111B4B18">
      <w:pPr>
        <w:ind w:firstLine="420" w:firstLineChars="200"/>
        <w:rPr>
          <w:rFonts w:hint="eastAsia" w:ascii="宋体" w:hAnsi="宋体"/>
          <w:szCs w:val="21"/>
        </w:rPr>
      </w:pPr>
      <w:r>
        <w:rPr>
          <w:rFonts w:hint="eastAsia" w:ascii="宋体" w:hAnsi="宋体"/>
          <w:szCs w:val="21"/>
        </w:rPr>
        <w:t>（4）质疑材料不全或者未按要求签字或者盖章的情况下，要求补正后，逾期未补正或者补正后仍不符合规定的；</w:t>
      </w:r>
    </w:p>
    <w:p w14:paraId="5F56E351">
      <w:pPr>
        <w:ind w:firstLine="420" w:firstLineChars="200"/>
        <w:rPr>
          <w:rFonts w:hint="eastAsia" w:ascii="宋体" w:hAnsi="宋体"/>
          <w:szCs w:val="21"/>
        </w:rPr>
      </w:pPr>
      <w:r>
        <w:rPr>
          <w:rFonts w:hint="eastAsia" w:ascii="宋体" w:hAnsi="宋体"/>
          <w:szCs w:val="21"/>
        </w:rPr>
        <w:t>（5）其他不符合受理条件情形的。</w:t>
      </w:r>
    </w:p>
    <w:p w14:paraId="32E9A434">
      <w:pPr>
        <w:ind w:firstLine="420" w:firstLineChars="200"/>
        <w:rPr>
          <w:rFonts w:hint="eastAsia" w:ascii="宋体" w:hAnsi="宋体"/>
          <w:szCs w:val="21"/>
        </w:rPr>
      </w:pPr>
      <w:r>
        <w:rPr>
          <w:rFonts w:hint="eastAsia" w:ascii="宋体" w:hAnsi="宋体"/>
          <w:szCs w:val="21"/>
        </w:rPr>
        <w:t>质疑事项不予受理的，政府集中采购机构应当向供应商出具不符合质疑条件告知书。</w:t>
      </w:r>
    </w:p>
    <w:p w14:paraId="0E6255B9">
      <w:pPr>
        <w:rPr>
          <w:rFonts w:hint="eastAsia" w:ascii="宋体" w:hAnsi="宋体"/>
          <w:szCs w:val="21"/>
        </w:rPr>
      </w:pPr>
      <w:r>
        <w:rPr>
          <w:rFonts w:hint="eastAsia" w:ascii="宋体" w:hAnsi="宋体"/>
          <w:color w:val="FF0000"/>
          <w:szCs w:val="21"/>
        </w:rPr>
        <w:t xml:space="preserve">  </w:t>
      </w:r>
      <w:r>
        <w:rPr>
          <w:rFonts w:hint="eastAsia" w:ascii="宋体" w:hAnsi="宋体"/>
          <w:szCs w:val="21"/>
        </w:rPr>
        <w:t xml:space="preserve">  52.7质疑答复时限</w:t>
      </w:r>
    </w:p>
    <w:p w14:paraId="7B1BB19D">
      <w:pPr>
        <w:rPr>
          <w:rFonts w:hint="eastAsia" w:ascii="宋体" w:hAnsi="宋体"/>
          <w:szCs w:val="21"/>
        </w:rPr>
      </w:pPr>
      <w:r>
        <w:rPr>
          <w:rFonts w:hint="eastAsia" w:ascii="宋体" w:hAnsi="宋体"/>
          <w:szCs w:val="21"/>
        </w:rPr>
        <w:t xml:space="preserve">    自收文之日起七个工作日内。</w:t>
      </w:r>
    </w:p>
    <w:p w14:paraId="27C1B98A">
      <w:pPr>
        <w:rPr>
          <w:rFonts w:hint="eastAsia" w:ascii="宋体" w:hAnsi="宋体"/>
          <w:szCs w:val="21"/>
        </w:rPr>
      </w:pPr>
      <w:r>
        <w:rPr>
          <w:rFonts w:hint="eastAsia" w:ascii="宋体" w:hAnsi="宋体"/>
          <w:szCs w:val="21"/>
        </w:rPr>
        <w:t xml:space="preserve">    52.8投诉</w:t>
      </w:r>
    </w:p>
    <w:p w14:paraId="0A24F82B">
      <w:pPr>
        <w:rPr>
          <w:rFonts w:hint="eastAsia" w:ascii="宋体" w:hAnsi="宋体"/>
          <w:szCs w:val="21"/>
        </w:rPr>
      </w:pPr>
      <w:r>
        <w:rPr>
          <w:rFonts w:hint="eastAsia" w:ascii="宋体" w:hAnsi="宋体"/>
          <w:szCs w:val="21"/>
        </w:rPr>
        <w:t xml:space="preserve">    对质疑答复不满意或者未在规定时间内答复的，提出质疑的供应商可以在答复期满后15个工作日内向本项目预算主管单位投诉。</w:t>
      </w:r>
    </w:p>
    <w:p w14:paraId="349CC321">
      <w:pPr>
        <w:rPr>
          <w:rFonts w:hint="eastAsia" w:ascii="黑体" w:hAnsi="宋体" w:eastAsia="黑体"/>
          <w:sz w:val="24"/>
        </w:rPr>
      </w:pPr>
      <w:r>
        <w:rPr>
          <w:rFonts w:hint="eastAsia" w:ascii="黑体" w:hAnsi="宋体" w:eastAsia="黑体"/>
          <w:sz w:val="24"/>
        </w:rPr>
        <w:t>53. 质疑后续处理</w:t>
      </w:r>
    </w:p>
    <w:p w14:paraId="4327DB6A">
      <w:pPr>
        <w:rPr>
          <w:rFonts w:hint="eastAsia" w:ascii="宋体" w:hAnsi="宋体"/>
          <w:szCs w:val="21"/>
        </w:rPr>
      </w:pPr>
      <w:r>
        <w:rPr>
          <w:rFonts w:hint="eastAsia" w:ascii="宋体" w:hAnsi="宋体"/>
          <w:szCs w:val="21"/>
        </w:rPr>
        <w:t xml:space="preserve">    53.1供应商质疑不成立，或者成立但未对中标、成交结果构成影响的，继续开展采购活动。</w:t>
      </w:r>
    </w:p>
    <w:p w14:paraId="2DA0BD19">
      <w:pPr>
        <w:jc w:val="center"/>
      </w:pPr>
      <w:r>
        <w:rPr>
          <w:rFonts w:hint="eastAsia" w:ascii="宋体" w:hAnsi="宋体"/>
          <w:szCs w:val="21"/>
        </w:rPr>
        <w:t xml:space="preserve">    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r>
        <w:t>---- END ----</w:t>
      </w:r>
    </w:p>
    <w:p w14:paraId="3E206AE2">
      <w:pPr>
        <w:jc w:val="center"/>
        <w:rPr>
          <w:rFonts w:ascii="Times New Roman" w:hAnsi="Times New Roman" w:eastAsia="宋体" w:cs="Times New Roman"/>
          <w:szCs w:val="24"/>
        </w:rPr>
      </w:pPr>
      <w:r>
        <w:rPr>
          <w:rFonts w:ascii="Times New Roman" w:hAnsi="Times New Roman" w:eastAsia="宋体" w:cs="Times New Roman"/>
          <w:szCs w:val="24"/>
        </w:rPr>
        <w:t>---- END ----</w:t>
      </w:r>
      <w:bookmarkEnd w:id="41"/>
    </w:p>
    <w:p w14:paraId="6891AF29">
      <w:pPr>
        <w:rPr>
          <w:b/>
          <w:color w:val="FF0000"/>
          <w:sz w:val="52"/>
          <w:szCs w:val="52"/>
        </w:rPr>
      </w:pPr>
    </w:p>
    <w:p w14:paraId="269AEC26">
      <w:pPr>
        <w:rPr>
          <w:rFonts w:hint="eastAsia" w:ascii="宋体" w:hAnsi="宋体" w:eastAsia="黑体" w:cs="Times New Roman"/>
          <w:b/>
          <w:bCs/>
          <w:color w:val="0000FF"/>
          <w:kern w:val="44"/>
          <w:sz w:val="36"/>
          <w:szCs w:val="44"/>
        </w:rPr>
      </w:pPr>
    </w:p>
    <w:sectPr>
      <w:headerReference r:id="rId8" w:type="first"/>
      <w:footerReference r:id="rId11" w:type="first"/>
      <w:headerReference r:id="rId6" w:type="default"/>
      <w:footerReference r:id="rId9" w:type="default"/>
      <w:headerReference r:id="rId7" w:type="even"/>
      <w:footerReference r:id="rId10" w:type="even"/>
      <w:pgSz w:w="11906" w:h="16838"/>
      <w:pgMar w:top="1440" w:right="1417" w:bottom="1440" w:left="141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5F" w:usb2="00000000" w:usb3="00000000" w:csb0="2000019F" w:csb1="00000000"/>
  </w:font>
  <w:font w:name="H Yb 2gj">
    <w:altName w:val="微软雅黑"/>
    <w:panose1 w:val="00000000000000000000"/>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ˎ̥">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6204F">
    <w:pPr>
      <w:pStyle w:val="14"/>
      <w:framePr w:wrap="around" w:vAnchor="text" w:hAnchor="margin" w:xAlign="center" w:y="1"/>
      <w:rPr>
        <w:rStyle w:val="26"/>
      </w:rPr>
    </w:pPr>
    <w:r>
      <w:t xml:space="preserve">- </w:t>
    </w:r>
    <w:r>
      <w:fldChar w:fldCharType="begin"/>
    </w:r>
    <w:r>
      <w:instrText xml:space="preserve"> PAGE </w:instrText>
    </w:r>
    <w:r>
      <w:fldChar w:fldCharType="separate"/>
    </w:r>
    <w:r>
      <w:t>29</w:t>
    </w:r>
    <w:r>
      <w:fldChar w:fldCharType="end"/>
    </w:r>
    <w:r>
      <w:t xml:space="preserve"> -</w:t>
    </w:r>
  </w:p>
  <w:p w14:paraId="066A60D8">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DA061">
    <w:pPr>
      <w:pStyle w:val="14"/>
      <w:framePr w:wrap="around" w:vAnchor="text" w:hAnchor="margin" w:xAlign="center" w:y="1"/>
      <w:rPr>
        <w:rStyle w:val="26"/>
      </w:rPr>
    </w:pPr>
    <w:r>
      <w:rPr>
        <w:rStyle w:val="26"/>
      </w:rPr>
      <w:fldChar w:fldCharType="begin"/>
    </w:r>
    <w:r>
      <w:rPr>
        <w:rStyle w:val="26"/>
      </w:rPr>
      <w:instrText xml:space="preserve">PAGE  </w:instrText>
    </w:r>
    <w:r>
      <w:rPr>
        <w:rStyle w:val="26"/>
      </w:rPr>
      <w:fldChar w:fldCharType="end"/>
    </w:r>
  </w:p>
  <w:p w14:paraId="5E46EE16">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2060"/>
    </w:sdtPr>
    <w:sdtContent>
      <w:p w14:paraId="60CA69C8">
        <w:pPr>
          <w:pStyle w:val="14"/>
          <w:jc w:val="center"/>
        </w:pPr>
        <w:r>
          <w:fldChar w:fldCharType="begin"/>
        </w:r>
        <w:r>
          <w:instrText xml:space="preserve"> PAGE   \* MERGEFORMAT </w:instrText>
        </w:r>
        <w:r>
          <w:fldChar w:fldCharType="separate"/>
        </w:r>
        <w:r>
          <w:rPr>
            <w:lang w:val="zh-CN"/>
          </w:rPr>
          <w:t>29</w:t>
        </w:r>
        <w:r>
          <w:rPr>
            <w:lang w:val="zh-CN"/>
          </w:rPr>
          <w:fldChar w:fldCharType="end"/>
        </w:r>
      </w:p>
    </w:sdtContent>
  </w:sdt>
  <w:p w14:paraId="099E6F6F">
    <w:pPr>
      <w:pStyle w:val="14"/>
      <w:spacing w:after="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50567">
    <w:pPr>
      <w:pStyle w:val="14"/>
      <w:spacing w:after="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67757">
    <w:pPr>
      <w:pStyle w:val="14"/>
      <w:spacing w:after="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4B046">
    <w:pPr>
      <w:pStyle w:val="15"/>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26EBB">
    <w:pPr>
      <w:pStyle w:val="15"/>
      <w:spacing w:after="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DD378">
    <w:pPr>
      <w:pStyle w:val="15"/>
      <w:spacing w:after="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8F649">
    <w:pPr>
      <w:pStyle w:val="15"/>
      <w:spacing w:after="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02A6DD"/>
    <w:multiLevelType w:val="singleLevel"/>
    <w:tmpl w:val="A702A6DD"/>
    <w:lvl w:ilvl="0" w:tentative="0">
      <w:start w:val="1"/>
      <w:numFmt w:val="decimal"/>
      <w:suff w:val="nothing"/>
      <w:lvlText w:val="%1、"/>
      <w:lvlJc w:val="left"/>
    </w:lvl>
  </w:abstractNum>
  <w:abstractNum w:abstractNumId="1">
    <w:nsid w:val="B9358C2E"/>
    <w:multiLevelType w:val="singleLevel"/>
    <w:tmpl w:val="B9358C2E"/>
    <w:lvl w:ilvl="0" w:tentative="0">
      <w:start w:val="2"/>
      <w:numFmt w:val="decimal"/>
      <w:suff w:val="nothing"/>
      <w:lvlText w:val="%1、"/>
      <w:lvlJc w:val="left"/>
    </w:lvl>
  </w:abstractNum>
  <w:abstractNum w:abstractNumId="2">
    <w:nsid w:val="08072EA8"/>
    <w:multiLevelType w:val="multilevel"/>
    <w:tmpl w:val="08072EA8"/>
    <w:lvl w:ilvl="0" w:tentative="0">
      <w:start w:val="1"/>
      <w:numFmt w:val="decimal"/>
      <w:lvlText w:val="%1)"/>
      <w:lvlJc w:val="left"/>
      <w:pPr>
        <w:ind w:left="420" w:hanging="420"/>
      </w:pPr>
      <w:rPr>
        <w:rFonts w:hint="default" w:ascii="Tahoma" w:hAnsi="Tahoma" w:cs="Tahom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14C4528C"/>
    <w:multiLevelType w:val="multilevel"/>
    <w:tmpl w:val="14C4528C"/>
    <w:lvl w:ilvl="0" w:tentative="0">
      <w:start w:val="1"/>
      <w:numFmt w:val="decimal"/>
      <w:lvlText w:val="%1)"/>
      <w:lvlJc w:val="left"/>
      <w:pPr>
        <w:ind w:left="420" w:hanging="420"/>
      </w:pPr>
      <w:rPr>
        <w:rFonts w:hint="default" w:ascii="Tahoma" w:hAnsi="Tahoma" w:cs="Tahom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9963A6D"/>
    <w:multiLevelType w:val="multilevel"/>
    <w:tmpl w:val="19963A6D"/>
    <w:lvl w:ilvl="0" w:tentative="0">
      <w:start w:val="1"/>
      <w:numFmt w:val="decimal"/>
      <w:lvlText w:val="%1)"/>
      <w:lvlJc w:val="left"/>
      <w:pPr>
        <w:ind w:left="420" w:hanging="420"/>
      </w:pPr>
      <w:rPr>
        <w:rFonts w:hint="default" w:ascii="Tahoma" w:hAnsi="Tahoma" w:cs="Tahom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D0863CF"/>
    <w:multiLevelType w:val="multilevel"/>
    <w:tmpl w:val="1D0863CF"/>
    <w:lvl w:ilvl="0" w:tentative="0">
      <w:start w:val="1"/>
      <w:numFmt w:val="decimal"/>
      <w:lvlText w:val="%1)"/>
      <w:lvlJc w:val="left"/>
      <w:pPr>
        <w:ind w:left="420" w:hanging="420"/>
      </w:pPr>
      <w:rPr>
        <w:rFonts w:hint="default" w:ascii="Tahoma" w:hAnsi="Tahoma" w:cs="Tahom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4416252"/>
    <w:multiLevelType w:val="multilevel"/>
    <w:tmpl w:val="34416252"/>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A5C0D7C"/>
    <w:multiLevelType w:val="multilevel"/>
    <w:tmpl w:val="3A5C0D7C"/>
    <w:lvl w:ilvl="0" w:tentative="0">
      <w:start w:val="1"/>
      <w:numFmt w:val="decimal"/>
      <w:lvlText w:val="%1)"/>
      <w:lvlJc w:val="left"/>
      <w:pPr>
        <w:ind w:left="420" w:hanging="420"/>
      </w:pPr>
      <w:rPr>
        <w:rFonts w:hint="default" w:ascii="Tahoma" w:hAnsi="Tahoma" w:cs="Tahom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79B1594"/>
    <w:multiLevelType w:val="multilevel"/>
    <w:tmpl w:val="579B1594"/>
    <w:lvl w:ilvl="0" w:tentative="0">
      <w:start w:val="1"/>
      <w:numFmt w:val="decimal"/>
      <w:lvlText w:val="%1)"/>
      <w:lvlJc w:val="left"/>
      <w:pPr>
        <w:ind w:left="420" w:hanging="420"/>
      </w:pPr>
      <w:rPr>
        <w:rFonts w:hint="default" w:ascii="Tahoma" w:hAnsi="Tahoma" w:cs="Tahom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5B517936"/>
    <w:multiLevelType w:val="multilevel"/>
    <w:tmpl w:val="5B517936"/>
    <w:lvl w:ilvl="0" w:tentative="0">
      <w:start w:val="1"/>
      <w:numFmt w:val="decimal"/>
      <w:lvlText w:val="%1)"/>
      <w:lvlJc w:val="left"/>
      <w:pPr>
        <w:ind w:left="420" w:hanging="420"/>
      </w:pPr>
      <w:rPr>
        <w:rFonts w:hint="default" w:ascii="Tahoma" w:hAnsi="Tahoma" w:cs="Tahom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
  </w:num>
  <w:num w:numId="10">
    <w:abstractNumId w:val="7"/>
  </w:num>
  <w:num w:numId="11">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聪">
    <w15:presenceInfo w15:providerId="WPS Office" w15:userId="1496714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g1MDk5MWI1M2ZiZDkzYWFiOTFhMDJiNTBiNDJjNjcifQ=="/>
  </w:docVars>
  <w:rsids>
    <w:rsidRoot w:val="002B296E"/>
    <w:rsid w:val="00005740"/>
    <w:rsid w:val="00005B4D"/>
    <w:rsid w:val="0000723B"/>
    <w:rsid w:val="000102B3"/>
    <w:rsid w:val="00012263"/>
    <w:rsid w:val="00012DCA"/>
    <w:rsid w:val="00015451"/>
    <w:rsid w:val="00015C20"/>
    <w:rsid w:val="000165A0"/>
    <w:rsid w:val="00017ECC"/>
    <w:rsid w:val="00022383"/>
    <w:rsid w:val="000227FD"/>
    <w:rsid w:val="00024DCF"/>
    <w:rsid w:val="00027E40"/>
    <w:rsid w:val="00030B9F"/>
    <w:rsid w:val="00030F85"/>
    <w:rsid w:val="00033591"/>
    <w:rsid w:val="00035243"/>
    <w:rsid w:val="00036C4D"/>
    <w:rsid w:val="00036CC4"/>
    <w:rsid w:val="0004487D"/>
    <w:rsid w:val="0004655D"/>
    <w:rsid w:val="00046AE3"/>
    <w:rsid w:val="00047161"/>
    <w:rsid w:val="00047F90"/>
    <w:rsid w:val="0005162F"/>
    <w:rsid w:val="00051863"/>
    <w:rsid w:val="000520B1"/>
    <w:rsid w:val="00055C90"/>
    <w:rsid w:val="000579F6"/>
    <w:rsid w:val="00071DC8"/>
    <w:rsid w:val="000722BF"/>
    <w:rsid w:val="00073BE1"/>
    <w:rsid w:val="000762AC"/>
    <w:rsid w:val="00076F24"/>
    <w:rsid w:val="00082568"/>
    <w:rsid w:val="00083BC2"/>
    <w:rsid w:val="00086895"/>
    <w:rsid w:val="0009130D"/>
    <w:rsid w:val="00094FCC"/>
    <w:rsid w:val="000A08E3"/>
    <w:rsid w:val="000A7A9D"/>
    <w:rsid w:val="000B3AC3"/>
    <w:rsid w:val="000B4D4A"/>
    <w:rsid w:val="000B587C"/>
    <w:rsid w:val="000B7A0E"/>
    <w:rsid w:val="000C0E1A"/>
    <w:rsid w:val="000C2BCB"/>
    <w:rsid w:val="000C4236"/>
    <w:rsid w:val="000C64E7"/>
    <w:rsid w:val="000C689A"/>
    <w:rsid w:val="000C7808"/>
    <w:rsid w:val="000D123C"/>
    <w:rsid w:val="000D5B9F"/>
    <w:rsid w:val="000E0D11"/>
    <w:rsid w:val="000E23D7"/>
    <w:rsid w:val="000E7DAA"/>
    <w:rsid w:val="000F1063"/>
    <w:rsid w:val="000F1328"/>
    <w:rsid w:val="000F2DF3"/>
    <w:rsid w:val="00102CAD"/>
    <w:rsid w:val="001031B0"/>
    <w:rsid w:val="00105092"/>
    <w:rsid w:val="0010582A"/>
    <w:rsid w:val="001075AD"/>
    <w:rsid w:val="00110CBD"/>
    <w:rsid w:val="00122477"/>
    <w:rsid w:val="001232EC"/>
    <w:rsid w:val="00123E98"/>
    <w:rsid w:val="00123EB7"/>
    <w:rsid w:val="00125B86"/>
    <w:rsid w:val="00125EA7"/>
    <w:rsid w:val="00133F32"/>
    <w:rsid w:val="00134804"/>
    <w:rsid w:val="00135452"/>
    <w:rsid w:val="00135D16"/>
    <w:rsid w:val="001423E8"/>
    <w:rsid w:val="0014403A"/>
    <w:rsid w:val="00145A2D"/>
    <w:rsid w:val="00147326"/>
    <w:rsid w:val="001477E0"/>
    <w:rsid w:val="001523C7"/>
    <w:rsid w:val="00152E85"/>
    <w:rsid w:val="001559D5"/>
    <w:rsid w:val="00157D5E"/>
    <w:rsid w:val="00160312"/>
    <w:rsid w:val="001604FE"/>
    <w:rsid w:val="00164113"/>
    <w:rsid w:val="00164DF0"/>
    <w:rsid w:val="00174F2C"/>
    <w:rsid w:val="001776D1"/>
    <w:rsid w:val="00183B03"/>
    <w:rsid w:val="00184F4C"/>
    <w:rsid w:val="00186AD1"/>
    <w:rsid w:val="00190D4E"/>
    <w:rsid w:val="00192AD1"/>
    <w:rsid w:val="00196ADD"/>
    <w:rsid w:val="001A0653"/>
    <w:rsid w:val="001A62A4"/>
    <w:rsid w:val="001B150F"/>
    <w:rsid w:val="001B3DCD"/>
    <w:rsid w:val="001B77F3"/>
    <w:rsid w:val="001C1026"/>
    <w:rsid w:val="001C146D"/>
    <w:rsid w:val="001C164F"/>
    <w:rsid w:val="001C1957"/>
    <w:rsid w:val="001C3631"/>
    <w:rsid w:val="001D0EB9"/>
    <w:rsid w:val="001D1A0E"/>
    <w:rsid w:val="001D4E88"/>
    <w:rsid w:val="001D5427"/>
    <w:rsid w:val="001D6F99"/>
    <w:rsid w:val="001E7D92"/>
    <w:rsid w:val="001F2FF4"/>
    <w:rsid w:val="001F4DAC"/>
    <w:rsid w:val="0020017A"/>
    <w:rsid w:val="0020780A"/>
    <w:rsid w:val="00210364"/>
    <w:rsid w:val="0021479B"/>
    <w:rsid w:val="00215571"/>
    <w:rsid w:val="00225BA9"/>
    <w:rsid w:val="00231E55"/>
    <w:rsid w:val="00234B58"/>
    <w:rsid w:val="0023517A"/>
    <w:rsid w:val="002360AF"/>
    <w:rsid w:val="002373AF"/>
    <w:rsid w:val="0024137C"/>
    <w:rsid w:val="002425D6"/>
    <w:rsid w:val="002428AB"/>
    <w:rsid w:val="00244C00"/>
    <w:rsid w:val="00245B43"/>
    <w:rsid w:val="00250418"/>
    <w:rsid w:val="002505A6"/>
    <w:rsid w:val="002549D4"/>
    <w:rsid w:val="0026325C"/>
    <w:rsid w:val="0026418F"/>
    <w:rsid w:val="0026450A"/>
    <w:rsid w:val="002709A8"/>
    <w:rsid w:val="00270C27"/>
    <w:rsid w:val="00271D87"/>
    <w:rsid w:val="00272EB2"/>
    <w:rsid w:val="002746A1"/>
    <w:rsid w:val="00280C2F"/>
    <w:rsid w:val="002823CE"/>
    <w:rsid w:val="00285DE2"/>
    <w:rsid w:val="00290910"/>
    <w:rsid w:val="00293B10"/>
    <w:rsid w:val="002961D1"/>
    <w:rsid w:val="002966B6"/>
    <w:rsid w:val="0029795C"/>
    <w:rsid w:val="002A0ED3"/>
    <w:rsid w:val="002A29E5"/>
    <w:rsid w:val="002A758C"/>
    <w:rsid w:val="002B296E"/>
    <w:rsid w:val="002B5C22"/>
    <w:rsid w:val="002B6A5A"/>
    <w:rsid w:val="002C3DA7"/>
    <w:rsid w:val="002C3F0A"/>
    <w:rsid w:val="002C500F"/>
    <w:rsid w:val="002C6B4A"/>
    <w:rsid w:val="002D2996"/>
    <w:rsid w:val="002D36C4"/>
    <w:rsid w:val="002D5EB6"/>
    <w:rsid w:val="002D63FF"/>
    <w:rsid w:val="002E0BE7"/>
    <w:rsid w:val="002E1005"/>
    <w:rsid w:val="002E4C9D"/>
    <w:rsid w:val="002E5DA1"/>
    <w:rsid w:val="002E63F0"/>
    <w:rsid w:val="002E6F35"/>
    <w:rsid w:val="002F006C"/>
    <w:rsid w:val="002F019C"/>
    <w:rsid w:val="002F403D"/>
    <w:rsid w:val="002F4FC9"/>
    <w:rsid w:val="002F54BE"/>
    <w:rsid w:val="00305131"/>
    <w:rsid w:val="00305CE7"/>
    <w:rsid w:val="00305DA0"/>
    <w:rsid w:val="003075D2"/>
    <w:rsid w:val="003103D1"/>
    <w:rsid w:val="00311E94"/>
    <w:rsid w:val="00315035"/>
    <w:rsid w:val="00321622"/>
    <w:rsid w:val="0032311B"/>
    <w:rsid w:val="00323813"/>
    <w:rsid w:val="00324CB2"/>
    <w:rsid w:val="00326B43"/>
    <w:rsid w:val="003277CD"/>
    <w:rsid w:val="0033310F"/>
    <w:rsid w:val="0033356C"/>
    <w:rsid w:val="00335A76"/>
    <w:rsid w:val="003402FF"/>
    <w:rsid w:val="00341AAD"/>
    <w:rsid w:val="00345849"/>
    <w:rsid w:val="00350F69"/>
    <w:rsid w:val="00353939"/>
    <w:rsid w:val="003553CD"/>
    <w:rsid w:val="00356426"/>
    <w:rsid w:val="00356A28"/>
    <w:rsid w:val="00362D56"/>
    <w:rsid w:val="0037109F"/>
    <w:rsid w:val="003710C6"/>
    <w:rsid w:val="003731BF"/>
    <w:rsid w:val="00373CC6"/>
    <w:rsid w:val="00374CA2"/>
    <w:rsid w:val="0037772B"/>
    <w:rsid w:val="003811DD"/>
    <w:rsid w:val="00384FDC"/>
    <w:rsid w:val="00387363"/>
    <w:rsid w:val="0039233C"/>
    <w:rsid w:val="003936FA"/>
    <w:rsid w:val="00395B93"/>
    <w:rsid w:val="003960E2"/>
    <w:rsid w:val="003A0898"/>
    <w:rsid w:val="003A13DC"/>
    <w:rsid w:val="003A22B2"/>
    <w:rsid w:val="003A283F"/>
    <w:rsid w:val="003A3EA6"/>
    <w:rsid w:val="003A5619"/>
    <w:rsid w:val="003B4BF9"/>
    <w:rsid w:val="003B627E"/>
    <w:rsid w:val="003C55EB"/>
    <w:rsid w:val="003D016D"/>
    <w:rsid w:val="003D1101"/>
    <w:rsid w:val="003D2AD2"/>
    <w:rsid w:val="003E32F8"/>
    <w:rsid w:val="003F0159"/>
    <w:rsid w:val="003F0EBF"/>
    <w:rsid w:val="003F1A85"/>
    <w:rsid w:val="0040232B"/>
    <w:rsid w:val="00411AD4"/>
    <w:rsid w:val="004142D5"/>
    <w:rsid w:val="004155CD"/>
    <w:rsid w:val="004159E6"/>
    <w:rsid w:val="00420DE3"/>
    <w:rsid w:val="00421174"/>
    <w:rsid w:val="00422460"/>
    <w:rsid w:val="004303AA"/>
    <w:rsid w:val="004308A1"/>
    <w:rsid w:val="00430AF8"/>
    <w:rsid w:val="00432891"/>
    <w:rsid w:val="0043317D"/>
    <w:rsid w:val="00434018"/>
    <w:rsid w:val="00435930"/>
    <w:rsid w:val="004370D7"/>
    <w:rsid w:val="004432FE"/>
    <w:rsid w:val="004437AE"/>
    <w:rsid w:val="004454D9"/>
    <w:rsid w:val="00446748"/>
    <w:rsid w:val="004468B4"/>
    <w:rsid w:val="0045104F"/>
    <w:rsid w:val="00460807"/>
    <w:rsid w:val="00460ABA"/>
    <w:rsid w:val="00460E5B"/>
    <w:rsid w:val="00461030"/>
    <w:rsid w:val="004621E5"/>
    <w:rsid w:val="00463D37"/>
    <w:rsid w:val="00471274"/>
    <w:rsid w:val="00471E81"/>
    <w:rsid w:val="00472409"/>
    <w:rsid w:val="00480F0D"/>
    <w:rsid w:val="00486E73"/>
    <w:rsid w:val="004A0C96"/>
    <w:rsid w:val="004A19DD"/>
    <w:rsid w:val="004A20E5"/>
    <w:rsid w:val="004A27E3"/>
    <w:rsid w:val="004A5261"/>
    <w:rsid w:val="004A7791"/>
    <w:rsid w:val="004B0CD6"/>
    <w:rsid w:val="004B3152"/>
    <w:rsid w:val="004B5FA8"/>
    <w:rsid w:val="004C3ADD"/>
    <w:rsid w:val="004D1052"/>
    <w:rsid w:val="004D7F2E"/>
    <w:rsid w:val="004E098B"/>
    <w:rsid w:val="004E2AEC"/>
    <w:rsid w:val="004E3FBD"/>
    <w:rsid w:val="004E41AC"/>
    <w:rsid w:val="004E5F5E"/>
    <w:rsid w:val="004E7B5C"/>
    <w:rsid w:val="004E7E22"/>
    <w:rsid w:val="004F1DAC"/>
    <w:rsid w:val="00501787"/>
    <w:rsid w:val="00501E4E"/>
    <w:rsid w:val="005038E9"/>
    <w:rsid w:val="00506897"/>
    <w:rsid w:val="00511618"/>
    <w:rsid w:val="00516147"/>
    <w:rsid w:val="00516737"/>
    <w:rsid w:val="0052007E"/>
    <w:rsid w:val="00524AB1"/>
    <w:rsid w:val="00530432"/>
    <w:rsid w:val="00532047"/>
    <w:rsid w:val="00535134"/>
    <w:rsid w:val="0053774E"/>
    <w:rsid w:val="00542088"/>
    <w:rsid w:val="0054303D"/>
    <w:rsid w:val="005436FB"/>
    <w:rsid w:val="0055085C"/>
    <w:rsid w:val="0055090F"/>
    <w:rsid w:val="005543A6"/>
    <w:rsid w:val="005554AD"/>
    <w:rsid w:val="005568B0"/>
    <w:rsid w:val="00557C1B"/>
    <w:rsid w:val="005668BA"/>
    <w:rsid w:val="00572D56"/>
    <w:rsid w:val="0057738E"/>
    <w:rsid w:val="00583993"/>
    <w:rsid w:val="00586861"/>
    <w:rsid w:val="0058780A"/>
    <w:rsid w:val="005901F0"/>
    <w:rsid w:val="005912AD"/>
    <w:rsid w:val="00591B30"/>
    <w:rsid w:val="00591BAF"/>
    <w:rsid w:val="00594982"/>
    <w:rsid w:val="005962CA"/>
    <w:rsid w:val="005A0B67"/>
    <w:rsid w:val="005A1E16"/>
    <w:rsid w:val="005A43AB"/>
    <w:rsid w:val="005A482C"/>
    <w:rsid w:val="005A5025"/>
    <w:rsid w:val="005A579C"/>
    <w:rsid w:val="005A5B03"/>
    <w:rsid w:val="005B0170"/>
    <w:rsid w:val="005B1875"/>
    <w:rsid w:val="005B1FAC"/>
    <w:rsid w:val="005B3AB8"/>
    <w:rsid w:val="005B5597"/>
    <w:rsid w:val="005B629B"/>
    <w:rsid w:val="005B7B25"/>
    <w:rsid w:val="005C09EC"/>
    <w:rsid w:val="005C2223"/>
    <w:rsid w:val="005E513F"/>
    <w:rsid w:val="005E6307"/>
    <w:rsid w:val="005F0B55"/>
    <w:rsid w:val="005F0EA2"/>
    <w:rsid w:val="005F464F"/>
    <w:rsid w:val="00602045"/>
    <w:rsid w:val="006137B4"/>
    <w:rsid w:val="00622334"/>
    <w:rsid w:val="00623B5C"/>
    <w:rsid w:val="0062431E"/>
    <w:rsid w:val="0063178E"/>
    <w:rsid w:val="00634CA8"/>
    <w:rsid w:val="00634D11"/>
    <w:rsid w:val="006357F8"/>
    <w:rsid w:val="00637736"/>
    <w:rsid w:val="00642E74"/>
    <w:rsid w:val="0064411E"/>
    <w:rsid w:val="00650F5B"/>
    <w:rsid w:val="006530D0"/>
    <w:rsid w:val="00660418"/>
    <w:rsid w:val="00666B5D"/>
    <w:rsid w:val="00666D92"/>
    <w:rsid w:val="006706B4"/>
    <w:rsid w:val="0067242A"/>
    <w:rsid w:val="00673CED"/>
    <w:rsid w:val="00674722"/>
    <w:rsid w:val="006749FE"/>
    <w:rsid w:val="006762D5"/>
    <w:rsid w:val="006801A9"/>
    <w:rsid w:val="0068296E"/>
    <w:rsid w:val="00685EAE"/>
    <w:rsid w:val="006900CE"/>
    <w:rsid w:val="00690C3A"/>
    <w:rsid w:val="00693B11"/>
    <w:rsid w:val="00693C62"/>
    <w:rsid w:val="00693D42"/>
    <w:rsid w:val="00697AEC"/>
    <w:rsid w:val="006A4089"/>
    <w:rsid w:val="006A5F3A"/>
    <w:rsid w:val="006A6F0A"/>
    <w:rsid w:val="006B00E1"/>
    <w:rsid w:val="006B0A36"/>
    <w:rsid w:val="006B1275"/>
    <w:rsid w:val="006B1578"/>
    <w:rsid w:val="006B1F77"/>
    <w:rsid w:val="006B4428"/>
    <w:rsid w:val="006B56AA"/>
    <w:rsid w:val="006B6BCB"/>
    <w:rsid w:val="006B6F2B"/>
    <w:rsid w:val="006C4C6F"/>
    <w:rsid w:val="006C5C8C"/>
    <w:rsid w:val="006D0314"/>
    <w:rsid w:val="006D1AD5"/>
    <w:rsid w:val="006D20BD"/>
    <w:rsid w:val="006D4663"/>
    <w:rsid w:val="006D66CE"/>
    <w:rsid w:val="006D77F1"/>
    <w:rsid w:val="006E37A8"/>
    <w:rsid w:val="006E4B2D"/>
    <w:rsid w:val="006E4D4C"/>
    <w:rsid w:val="006F75CA"/>
    <w:rsid w:val="00701086"/>
    <w:rsid w:val="00701EE1"/>
    <w:rsid w:val="007031C1"/>
    <w:rsid w:val="007037E0"/>
    <w:rsid w:val="007046E4"/>
    <w:rsid w:val="0070524E"/>
    <w:rsid w:val="00721A12"/>
    <w:rsid w:val="00726CBC"/>
    <w:rsid w:val="00731E2A"/>
    <w:rsid w:val="00734FD4"/>
    <w:rsid w:val="0074155C"/>
    <w:rsid w:val="00744A0C"/>
    <w:rsid w:val="0074718B"/>
    <w:rsid w:val="00750BEB"/>
    <w:rsid w:val="00751194"/>
    <w:rsid w:val="00752F41"/>
    <w:rsid w:val="007553E2"/>
    <w:rsid w:val="00755821"/>
    <w:rsid w:val="00760711"/>
    <w:rsid w:val="00760C63"/>
    <w:rsid w:val="007612BB"/>
    <w:rsid w:val="00761E34"/>
    <w:rsid w:val="00763D77"/>
    <w:rsid w:val="00764256"/>
    <w:rsid w:val="0076454F"/>
    <w:rsid w:val="00771537"/>
    <w:rsid w:val="007746E5"/>
    <w:rsid w:val="007764F5"/>
    <w:rsid w:val="0078066F"/>
    <w:rsid w:val="00783694"/>
    <w:rsid w:val="0079172F"/>
    <w:rsid w:val="00791F91"/>
    <w:rsid w:val="00792E1B"/>
    <w:rsid w:val="00793C07"/>
    <w:rsid w:val="00794DAC"/>
    <w:rsid w:val="007958AE"/>
    <w:rsid w:val="0079703B"/>
    <w:rsid w:val="0079727B"/>
    <w:rsid w:val="007A2280"/>
    <w:rsid w:val="007A5B9B"/>
    <w:rsid w:val="007A6674"/>
    <w:rsid w:val="007A7C7A"/>
    <w:rsid w:val="007B3C6D"/>
    <w:rsid w:val="007B48FC"/>
    <w:rsid w:val="007B743A"/>
    <w:rsid w:val="007C3FAA"/>
    <w:rsid w:val="007D1F29"/>
    <w:rsid w:val="007D2D0F"/>
    <w:rsid w:val="007D31C8"/>
    <w:rsid w:val="007D38B1"/>
    <w:rsid w:val="007D3AB6"/>
    <w:rsid w:val="007D4637"/>
    <w:rsid w:val="007D4C6C"/>
    <w:rsid w:val="007D4EC4"/>
    <w:rsid w:val="007D5983"/>
    <w:rsid w:val="007D65BA"/>
    <w:rsid w:val="007D72FB"/>
    <w:rsid w:val="007E4C94"/>
    <w:rsid w:val="007E5F04"/>
    <w:rsid w:val="007F1677"/>
    <w:rsid w:val="007F2C2A"/>
    <w:rsid w:val="007F5169"/>
    <w:rsid w:val="007F647E"/>
    <w:rsid w:val="007F7EC0"/>
    <w:rsid w:val="00801A38"/>
    <w:rsid w:val="00803B40"/>
    <w:rsid w:val="00806F28"/>
    <w:rsid w:val="00807B69"/>
    <w:rsid w:val="00810E85"/>
    <w:rsid w:val="00812244"/>
    <w:rsid w:val="00812D31"/>
    <w:rsid w:val="0081372D"/>
    <w:rsid w:val="008138A3"/>
    <w:rsid w:val="008140E8"/>
    <w:rsid w:val="008166D4"/>
    <w:rsid w:val="00817DB8"/>
    <w:rsid w:val="0082057C"/>
    <w:rsid w:val="008223B6"/>
    <w:rsid w:val="00830E2C"/>
    <w:rsid w:val="00835FB6"/>
    <w:rsid w:val="008363CE"/>
    <w:rsid w:val="00841109"/>
    <w:rsid w:val="00845602"/>
    <w:rsid w:val="00846672"/>
    <w:rsid w:val="00847127"/>
    <w:rsid w:val="00853091"/>
    <w:rsid w:val="00856054"/>
    <w:rsid w:val="00856105"/>
    <w:rsid w:val="0086614D"/>
    <w:rsid w:val="00867F98"/>
    <w:rsid w:val="0087225E"/>
    <w:rsid w:val="00872B38"/>
    <w:rsid w:val="00872CDB"/>
    <w:rsid w:val="008801A3"/>
    <w:rsid w:val="0088330C"/>
    <w:rsid w:val="00883AA8"/>
    <w:rsid w:val="008853B1"/>
    <w:rsid w:val="008859FC"/>
    <w:rsid w:val="00885C49"/>
    <w:rsid w:val="0089165B"/>
    <w:rsid w:val="008920BC"/>
    <w:rsid w:val="00896917"/>
    <w:rsid w:val="008976C8"/>
    <w:rsid w:val="008A1016"/>
    <w:rsid w:val="008A402F"/>
    <w:rsid w:val="008A73D1"/>
    <w:rsid w:val="008B2078"/>
    <w:rsid w:val="008B641C"/>
    <w:rsid w:val="008B6A92"/>
    <w:rsid w:val="008B6F21"/>
    <w:rsid w:val="008B7807"/>
    <w:rsid w:val="008C2951"/>
    <w:rsid w:val="008C4241"/>
    <w:rsid w:val="008C50F1"/>
    <w:rsid w:val="008C6819"/>
    <w:rsid w:val="008D3759"/>
    <w:rsid w:val="008D5DDF"/>
    <w:rsid w:val="008E2B32"/>
    <w:rsid w:val="008E6B4B"/>
    <w:rsid w:val="008F0E1B"/>
    <w:rsid w:val="008F59CA"/>
    <w:rsid w:val="008F615A"/>
    <w:rsid w:val="008F7FE5"/>
    <w:rsid w:val="00900B57"/>
    <w:rsid w:val="00904713"/>
    <w:rsid w:val="009059F6"/>
    <w:rsid w:val="00905D0E"/>
    <w:rsid w:val="00912406"/>
    <w:rsid w:val="009136FB"/>
    <w:rsid w:val="0091459A"/>
    <w:rsid w:val="00914845"/>
    <w:rsid w:val="00921A8A"/>
    <w:rsid w:val="009220BF"/>
    <w:rsid w:val="00922256"/>
    <w:rsid w:val="0092669F"/>
    <w:rsid w:val="0092791C"/>
    <w:rsid w:val="00933427"/>
    <w:rsid w:val="009356F2"/>
    <w:rsid w:val="00937148"/>
    <w:rsid w:val="00940369"/>
    <w:rsid w:val="009454F4"/>
    <w:rsid w:val="00946EFC"/>
    <w:rsid w:val="00946F59"/>
    <w:rsid w:val="00950E98"/>
    <w:rsid w:val="0095203B"/>
    <w:rsid w:val="009537E3"/>
    <w:rsid w:val="00957952"/>
    <w:rsid w:val="009612CA"/>
    <w:rsid w:val="00962F8A"/>
    <w:rsid w:val="00963D52"/>
    <w:rsid w:val="00965A51"/>
    <w:rsid w:val="00970EA5"/>
    <w:rsid w:val="00973CA7"/>
    <w:rsid w:val="009757C4"/>
    <w:rsid w:val="0097679F"/>
    <w:rsid w:val="00987D22"/>
    <w:rsid w:val="009929A4"/>
    <w:rsid w:val="00993BB4"/>
    <w:rsid w:val="009974A8"/>
    <w:rsid w:val="009A0EA8"/>
    <w:rsid w:val="009A1BDE"/>
    <w:rsid w:val="009A6E5F"/>
    <w:rsid w:val="009B170E"/>
    <w:rsid w:val="009B1762"/>
    <w:rsid w:val="009B4107"/>
    <w:rsid w:val="009B6F40"/>
    <w:rsid w:val="009C1E9F"/>
    <w:rsid w:val="009C4AF0"/>
    <w:rsid w:val="009C75DB"/>
    <w:rsid w:val="009D062B"/>
    <w:rsid w:val="009D39E4"/>
    <w:rsid w:val="009D4278"/>
    <w:rsid w:val="009E444A"/>
    <w:rsid w:val="009E50FB"/>
    <w:rsid w:val="009E5DEE"/>
    <w:rsid w:val="009E66C2"/>
    <w:rsid w:val="009E6EF2"/>
    <w:rsid w:val="009F76F8"/>
    <w:rsid w:val="00A027FE"/>
    <w:rsid w:val="00A049ED"/>
    <w:rsid w:val="00A06F79"/>
    <w:rsid w:val="00A13404"/>
    <w:rsid w:val="00A13C69"/>
    <w:rsid w:val="00A13FD3"/>
    <w:rsid w:val="00A15662"/>
    <w:rsid w:val="00A15B4D"/>
    <w:rsid w:val="00A17A05"/>
    <w:rsid w:val="00A20B5D"/>
    <w:rsid w:val="00A21678"/>
    <w:rsid w:val="00A21934"/>
    <w:rsid w:val="00A249CD"/>
    <w:rsid w:val="00A26BE9"/>
    <w:rsid w:val="00A26F82"/>
    <w:rsid w:val="00A3093B"/>
    <w:rsid w:val="00A30D3A"/>
    <w:rsid w:val="00A32364"/>
    <w:rsid w:val="00A33CFD"/>
    <w:rsid w:val="00A40BCE"/>
    <w:rsid w:val="00A50064"/>
    <w:rsid w:val="00A51785"/>
    <w:rsid w:val="00A52400"/>
    <w:rsid w:val="00A53AEC"/>
    <w:rsid w:val="00A55EDA"/>
    <w:rsid w:val="00A57355"/>
    <w:rsid w:val="00A610B1"/>
    <w:rsid w:val="00A63E72"/>
    <w:rsid w:val="00A665D9"/>
    <w:rsid w:val="00A66F56"/>
    <w:rsid w:val="00A67011"/>
    <w:rsid w:val="00A675A0"/>
    <w:rsid w:val="00A7451A"/>
    <w:rsid w:val="00A83A06"/>
    <w:rsid w:val="00A925B1"/>
    <w:rsid w:val="00A92A0C"/>
    <w:rsid w:val="00A95ABA"/>
    <w:rsid w:val="00AA0D1E"/>
    <w:rsid w:val="00AA1328"/>
    <w:rsid w:val="00AA42D3"/>
    <w:rsid w:val="00AA470C"/>
    <w:rsid w:val="00AA5E0D"/>
    <w:rsid w:val="00AA6718"/>
    <w:rsid w:val="00AB0EAD"/>
    <w:rsid w:val="00AB2F6A"/>
    <w:rsid w:val="00AB6537"/>
    <w:rsid w:val="00AC01BC"/>
    <w:rsid w:val="00AC108C"/>
    <w:rsid w:val="00AC6148"/>
    <w:rsid w:val="00AD25EB"/>
    <w:rsid w:val="00AD273D"/>
    <w:rsid w:val="00AD3773"/>
    <w:rsid w:val="00AD6720"/>
    <w:rsid w:val="00AD732E"/>
    <w:rsid w:val="00AE1C0F"/>
    <w:rsid w:val="00AE2AFA"/>
    <w:rsid w:val="00AE7D66"/>
    <w:rsid w:val="00AF1DF5"/>
    <w:rsid w:val="00AF7704"/>
    <w:rsid w:val="00AF79C5"/>
    <w:rsid w:val="00B13D11"/>
    <w:rsid w:val="00B1422D"/>
    <w:rsid w:val="00B1504B"/>
    <w:rsid w:val="00B16D72"/>
    <w:rsid w:val="00B17FE0"/>
    <w:rsid w:val="00B20EEA"/>
    <w:rsid w:val="00B21464"/>
    <w:rsid w:val="00B27CA4"/>
    <w:rsid w:val="00B31267"/>
    <w:rsid w:val="00B35B9A"/>
    <w:rsid w:val="00B35E87"/>
    <w:rsid w:val="00B372CB"/>
    <w:rsid w:val="00B37D32"/>
    <w:rsid w:val="00B41ECA"/>
    <w:rsid w:val="00B45AD9"/>
    <w:rsid w:val="00B46B50"/>
    <w:rsid w:val="00B51FC7"/>
    <w:rsid w:val="00B532E2"/>
    <w:rsid w:val="00B55775"/>
    <w:rsid w:val="00B600C1"/>
    <w:rsid w:val="00B61F3D"/>
    <w:rsid w:val="00B63142"/>
    <w:rsid w:val="00B63FE9"/>
    <w:rsid w:val="00B66E98"/>
    <w:rsid w:val="00B70040"/>
    <w:rsid w:val="00B70889"/>
    <w:rsid w:val="00B75E35"/>
    <w:rsid w:val="00B762CF"/>
    <w:rsid w:val="00B7694F"/>
    <w:rsid w:val="00B810FB"/>
    <w:rsid w:val="00B85510"/>
    <w:rsid w:val="00B86F8C"/>
    <w:rsid w:val="00B87097"/>
    <w:rsid w:val="00B935F7"/>
    <w:rsid w:val="00B94787"/>
    <w:rsid w:val="00B96CF9"/>
    <w:rsid w:val="00B97368"/>
    <w:rsid w:val="00B97861"/>
    <w:rsid w:val="00BA0C36"/>
    <w:rsid w:val="00BA2DFA"/>
    <w:rsid w:val="00BA5985"/>
    <w:rsid w:val="00BA6DCA"/>
    <w:rsid w:val="00BB2E37"/>
    <w:rsid w:val="00BB3B9D"/>
    <w:rsid w:val="00BB475D"/>
    <w:rsid w:val="00BB612C"/>
    <w:rsid w:val="00BB74E8"/>
    <w:rsid w:val="00BC0022"/>
    <w:rsid w:val="00BC2E32"/>
    <w:rsid w:val="00BC3702"/>
    <w:rsid w:val="00BC3723"/>
    <w:rsid w:val="00BC3A0B"/>
    <w:rsid w:val="00BC4367"/>
    <w:rsid w:val="00BC79A5"/>
    <w:rsid w:val="00BD1749"/>
    <w:rsid w:val="00BD19A7"/>
    <w:rsid w:val="00BD4173"/>
    <w:rsid w:val="00BD7D8C"/>
    <w:rsid w:val="00BE2354"/>
    <w:rsid w:val="00BE5E00"/>
    <w:rsid w:val="00BE7E28"/>
    <w:rsid w:val="00BF134C"/>
    <w:rsid w:val="00BF53C2"/>
    <w:rsid w:val="00BF55BD"/>
    <w:rsid w:val="00C036E1"/>
    <w:rsid w:val="00C06DAA"/>
    <w:rsid w:val="00C13727"/>
    <w:rsid w:val="00C148C6"/>
    <w:rsid w:val="00C14B6A"/>
    <w:rsid w:val="00C15825"/>
    <w:rsid w:val="00C174A1"/>
    <w:rsid w:val="00C24AC7"/>
    <w:rsid w:val="00C25258"/>
    <w:rsid w:val="00C255CE"/>
    <w:rsid w:val="00C26177"/>
    <w:rsid w:val="00C27633"/>
    <w:rsid w:val="00C27BEA"/>
    <w:rsid w:val="00C35401"/>
    <w:rsid w:val="00C3712E"/>
    <w:rsid w:val="00C435E6"/>
    <w:rsid w:val="00C443E4"/>
    <w:rsid w:val="00C446EE"/>
    <w:rsid w:val="00C51F32"/>
    <w:rsid w:val="00C520EF"/>
    <w:rsid w:val="00C5244A"/>
    <w:rsid w:val="00C56E41"/>
    <w:rsid w:val="00C609D6"/>
    <w:rsid w:val="00C622B3"/>
    <w:rsid w:val="00C67553"/>
    <w:rsid w:val="00C676A9"/>
    <w:rsid w:val="00C67EFD"/>
    <w:rsid w:val="00C719FB"/>
    <w:rsid w:val="00C71C81"/>
    <w:rsid w:val="00C71F2E"/>
    <w:rsid w:val="00C720B8"/>
    <w:rsid w:val="00C72488"/>
    <w:rsid w:val="00C741BF"/>
    <w:rsid w:val="00C746A8"/>
    <w:rsid w:val="00C77F0C"/>
    <w:rsid w:val="00C835AC"/>
    <w:rsid w:val="00C85BA9"/>
    <w:rsid w:val="00C867A5"/>
    <w:rsid w:val="00C86A3C"/>
    <w:rsid w:val="00C87A3B"/>
    <w:rsid w:val="00C87D50"/>
    <w:rsid w:val="00C901A7"/>
    <w:rsid w:val="00C9117D"/>
    <w:rsid w:val="00C91D5D"/>
    <w:rsid w:val="00CA1F6D"/>
    <w:rsid w:val="00CA5ACE"/>
    <w:rsid w:val="00CB2684"/>
    <w:rsid w:val="00CB7888"/>
    <w:rsid w:val="00CB7DE1"/>
    <w:rsid w:val="00CD0810"/>
    <w:rsid w:val="00CD0871"/>
    <w:rsid w:val="00CD15AC"/>
    <w:rsid w:val="00CD3BC6"/>
    <w:rsid w:val="00CD7D7E"/>
    <w:rsid w:val="00CE00DF"/>
    <w:rsid w:val="00CE0851"/>
    <w:rsid w:val="00CE2815"/>
    <w:rsid w:val="00CE52DC"/>
    <w:rsid w:val="00CF1384"/>
    <w:rsid w:val="00CF2476"/>
    <w:rsid w:val="00CF31A3"/>
    <w:rsid w:val="00CF53F3"/>
    <w:rsid w:val="00D0005C"/>
    <w:rsid w:val="00D01223"/>
    <w:rsid w:val="00D0531F"/>
    <w:rsid w:val="00D0649F"/>
    <w:rsid w:val="00D06A2B"/>
    <w:rsid w:val="00D07388"/>
    <w:rsid w:val="00D101DB"/>
    <w:rsid w:val="00D137A0"/>
    <w:rsid w:val="00D14DA8"/>
    <w:rsid w:val="00D152BD"/>
    <w:rsid w:val="00D17566"/>
    <w:rsid w:val="00D20765"/>
    <w:rsid w:val="00D22980"/>
    <w:rsid w:val="00D23242"/>
    <w:rsid w:val="00D23D28"/>
    <w:rsid w:val="00D32D76"/>
    <w:rsid w:val="00D3713E"/>
    <w:rsid w:val="00D40D69"/>
    <w:rsid w:val="00D43946"/>
    <w:rsid w:val="00D463F3"/>
    <w:rsid w:val="00D46E2E"/>
    <w:rsid w:val="00D526AB"/>
    <w:rsid w:val="00D54B44"/>
    <w:rsid w:val="00D559A3"/>
    <w:rsid w:val="00D65A9A"/>
    <w:rsid w:val="00D6748D"/>
    <w:rsid w:val="00D67EFB"/>
    <w:rsid w:val="00D8046B"/>
    <w:rsid w:val="00D825BB"/>
    <w:rsid w:val="00D9165B"/>
    <w:rsid w:val="00DA03A3"/>
    <w:rsid w:val="00DA044F"/>
    <w:rsid w:val="00DA0F19"/>
    <w:rsid w:val="00DA1172"/>
    <w:rsid w:val="00DA4D0F"/>
    <w:rsid w:val="00DA72AF"/>
    <w:rsid w:val="00DB05CE"/>
    <w:rsid w:val="00DB09FD"/>
    <w:rsid w:val="00DB214F"/>
    <w:rsid w:val="00DC0B27"/>
    <w:rsid w:val="00DC0DC3"/>
    <w:rsid w:val="00DC5979"/>
    <w:rsid w:val="00DC683E"/>
    <w:rsid w:val="00DD7ACC"/>
    <w:rsid w:val="00DD7C86"/>
    <w:rsid w:val="00DE210F"/>
    <w:rsid w:val="00DE6729"/>
    <w:rsid w:val="00DE780F"/>
    <w:rsid w:val="00DF005C"/>
    <w:rsid w:val="00DF193F"/>
    <w:rsid w:val="00DF25E1"/>
    <w:rsid w:val="00DF45C1"/>
    <w:rsid w:val="00DF63D3"/>
    <w:rsid w:val="00E01277"/>
    <w:rsid w:val="00E0373F"/>
    <w:rsid w:val="00E07FC2"/>
    <w:rsid w:val="00E10C3F"/>
    <w:rsid w:val="00E11A5D"/>
    <w:rsid w:val="00E1277C"/>
    <w:rsid w:val="00E16381"/>
    <w:rsid w:val="00E16BE0"/>
    <w:rsid w:val="00E20FDC"/>
    <w:rsid w:val="00E21413"/>
    <w:rsid w:val="00E22D57"/>
    <w:rsid w:val="00E278B7"/>
    <w:rsid w:val="00E30D44"/>
    <w:rsid w:val="00E329CC"/>
    <w:rsid w:val="00E35F37"/>
    <w:rsid w:val="00E426CB"/>
    <w:rsid w:val="00E4477C"/>
    <w:rsid w:val="00E53672"/>
    <w:rsid w:val="00E5578E"/>
    <w:rsid w:val="00E604F1"/>
    <w:rsid w:val="00E61DE2"/>
    <w:rsid w:val="00E71B7C"/>
    <w:rsid w:val="00E72E33"/>
    <w:rsid w:val="00E7592D"/>
    <w:rsid w:val="00E826CD"/>
    <w:rsid w:val="00E8442D"/>
    <w:rsid w:val="00E854A1"/>
    <w:rsid w:val="00E93D2E"/>
    <w:rsid w:val="00E9738B"/>
    <w:rsid w:val="00E97895"/>
    <w:rsid w:val="00E97ED5"/>
    <w:rsid w:val="00EA233A"/>
    <w:rsid w:val="00EA6339"/>
    <w:rsid w:val="00EB051B"/>
    <w:rsid w:val="00EB0F3C"/>
    <w:rsid w:val="00EB2414"/>
    <w:rsid w:val="00EB4289"/>
    <w:rsid w:val="00EB44C9"/>
    <w:rsid w:val="00EB5B32"/>
    <w:rsid w:val="00EB6F24"/>
    <w:rsid w:val="00EB75BE"/>
    <w:rsid w:val="00EC1A0F"/>
    <w:rsid w:val="00EC2883"/>
    <w:rsid w:val="00EC3753"/>
    <w:rsid w:val="00EC40A2"/>
    <w:rsid w:val="00EC4659"/>
    <w:rsid w:val="00EC4D83"/>
    <w:rsid w:val="00EC69E5"/>
    <w:rsid w:val="00ED4FC7"/>
    <w:rsid w:val="00ED59E6"/>
    <w:rsid w:val="00EE126C"/>
    <w:rsid w:val="00EE2C1D"/>
    <w:rsid w:val="00EF10A6"/>
    <w:rsid w:val="00EF1CEA"/>
    <w:rsid w:val="00EF299F"/>
    <w:rsid w:val="00EF31F9"/>
    <w:rsid w:val="00EF4E8F"/>
    <w:rsid w:val="00EF5AA6"/>
    <w:rsid w:val="00EF6432"/>
    <w:rsid w:val="00EF6661"/>
    <w:rsid w:val="00F013C6"/>
    <w:rsid w:val="00F035C6"/>
    <w:rsid w:val="00F04A50"/>
    <w:rsid w:val="00F0516B"/>
    <w:rsid w:val="00F05E51"/>
    <w:rsid w:val="00F0669D"/>
    <w:rsid w:val="00F17533"/>
    <w:rsid w:val="00F21003"/>
    <w:rsid w:val="00F211FE"/>
    <w:rsid w:val="00F21E92"/>
    <w:rsid w:val="00F238BB"/>
    <w:rsid w:val="00F23BD1"/>
    <w:rsid w:val="00F246C6"/>
    <w:rsid w:val="00F361B8"/>
    <w:rsid w:val="00F43EFC"/>
    <w:rsid w:val="00F446EB"/>
    <w:rsid w:val="00F4506A"/>
    <w:rsid w:val="00F508E5"/>
    <w:rsid w:val="00F571BE"/>
    <w:rsid w:val="00F5795E"/>
    <w:rsid w:val="00F57B77"/>
    <w:rsid w:val="00F6136F"/>
    <w:rsid w:val="00F6601D"/>
    <w:rsid w:val="00F67588"/>
    <w:rsid w:val="00F70F28"/>
    <w:rsid w:val="00F72CA9"/>
    <w:rsid w:val="00F739A8"/>
    <w:rsid w:val="00F742EC"/>
    <w:rsid w:val="00F8221A"/>
    <w:rsid w:val="00F87390"/>
    <w:rsid w:val="00F92922"/>
    <w:rsid w:val="00F940B3"/>
    <w:rsid w:val="00F95BD0"/>
    <w:rsid w:val="00FA593E"/>
    <w:rsid w:val="00FB3604"/>
    <w:rsid w:val="00FB45E4"/>
    <w:rsid w:val="00FC18D7"/>
    <w:rsid w:val="00FC62F9"/>
    <w:rsid w:val="00FC6BE7"/>
    <w:rsid w:val="00FD2FD3"/>
    <w:rsid w:val="00FD5E8F"/>
    <w:rsid w:val="00FE26CC"/>
    <w:rsid w:val="00FE48A3"/>
    <w:rsid w:val="00FE692E"/>
    <w:rsid w:val="00FE78A2"/>
    <w:rsid w:val="00FF3E28"/>
    <w:rsid w:val="01031527"/>
    <w:rsid w:val="012C1C02"/>
    <w:rsid w:val="014063FE"/>
    <w:rsid w:val="01721FEB"/>
    <w:rsid w:val="01722330"/>
    <w:rsid w:val="01CA5CC8"/>
    <w:rsid w:val="02226211"/>
    <w:rsid w:val="0293255D"/>
    <w:rsid w:val="02987B74"/>
    <w:rsid w:val="02E25F12"/>
    <w:rsid w:val="030516AD"/>
    <w:rsid w:val="038A3F97"/>
    <w:rsid w:val="03993BA4"/>
    <w:rsid w:val="03A66B69"/>
    <w:rsid w:val="03E017D2"/>
    <w:rsid w:val="042C4F6C"/>
    <w:rsid w:val="04446205"/>
    <w:rsid w:val="047255F5"/>
    <w:rsid w:val="048C54B6"/>
    <w:rsid w:val="049A4077"/>
    <w:rsid w:val="04DF1132"/>
    <w:rsid w:val="05130EC4"/>
    <w:rsid w:val="05452235"/>
    <w:rsid w:val="055A330C"/>
    <w:rsid w:val="05A21435"/>
    <w:rsid w:val="06127C3D"/>
    <w:rsid w:val="06215480"/>
    <w:rsid w:val="062E1176"/>
    <w:rsid w:val="063E255E"/>
    <w:rsid w:val="065D710A"/>
    <w:rsid w:val="069468A4"/>
    <w:rsid w:val="06AB5681"/>
    <w:rsid w:val="06D86E6E"/>
    <w:rsid w:val="06E710CA"/>
    <w:rsid w:val="06E94E42"/>
    <w:rsid w:val="07101435"/>
    <w:rsid w:val="072B0FB7"/>
    <w:rsid w:val="07724E37"/>
    <w:rsid w:val="07B37245"/>
    <w:rsid w:val="07EC1177"/>
    <w:rsid w:val="08A54D99"/>
    <w:rsid w:val="08D916F2"/>
    <w:rsid w:val="08E33B14"/>
    <w:rsid w:val="09B4074E"/>
    <w:rsid w:val="09B47989"/>
    <w:rsid w:val="09CB6A81"/>
    <w:rsid w:val="0A0106F5"/>
    <w:rsid w:val="0A0F43A2"/>
    <w:rsid w:val="0A522CFE"/>
    <w:rsid w:val="0A537E82"/>
    <w:rsid w:val="0A652801"/>
    <w:rsid w:val="0A670558"/>
    <w:rsid w:val="0AD31B13"/>
    <w:rsid w:val="0B1F1512"/>
    <w:rsid w:val="0B5C3158"/>
    <w:rsid w:val="0B845139"/>
    <w:rsid w:val="0B913B41"/>
    <w:rsid w:val="0BB023D2"/>
    <w:rsid w:val="0BC027C4"/>
    <w:rsid w:val="0BC750CE"/>
    <w:rsid w:val="0BE16F32"/>
    <w:rsid w:val="0BEA5DBA"/>
    <w:rsid w:val="0C204376"/>
    <w:rsid w:val="0C254A1B"/>
    <w:rsid w:val="0C526FE5"/>
    <w:rsid w:val="0C6875C2"/>
    <w:rsid w:val="0C9866B9"/>
    <w:rsid w:val="0CA77331"/>
    <w:rsid w:val="0CB16402"/>
    <w:rsid w:val="0CEC0DE7"/>
    <w:rsid w:val="0D0227BA"/>
    <w:rsid w:val="0D5F19BA"/>
    <w:rsid w:val="0D605732"/>
    <w:rsid w:val="0D844388"/>
    <w:rsid w:val="0DEE34CD"/>
    <w:rsid w:val="0E0B7D94"/>
    <w:rsid w:val="0E230C39"/>
    <w:rsid w:val="0E607F86"/>
    <w:rsid w:val="0E8A0CB9"/>
    <w:rsid w:val="0E9C279A"/>
    <w:rsid w:val="0EB421D9"/>
    <w:rsid w:val="0ECF2A4F"/>
    <w:rsid w:val="0F142273"/>
    <w:rsid w:val="0F5B4403"/>
    <w:rsid w:val="0F5D008C"/>
    <w:rsid w:val="0F6627A1"/>
    <w:rsid w:val="0F9A5CF8"/>
    <w:rsid w:val="0FD3114F"/>
    <w:rsid w:val="0FEE5EBF"/>
    <w:rsid w:val="108300B5"/>
    <w:rsid w:val="108654B0"/>
    <w:rsid w:val="108C64EF"/>
    <w:rsid w:val="1097590F"/>
    <w:rsid w:val="10BE733F"/>
    <w:rsid w:val="10CA1840"/>
    <w:rsid w:val="10CF3F1B"/>
    <w:rsid w:val="10D97CD5"/>
    <w:rsid w:val="10FC5772"/>
    <w:rsid w:val="11093651"/>
    <w:rsid w:val="11662604"/>
    <w:rsid w:val="11796EDC"/>
    <w:rsid w:val="118B0DEE"/>
    <w:rsid w:val="119D5A3B"/>
    <w:rsid w:val="121C00A4"/>
    <w:rsid w:val="12635AA8"/>
    <w:rsid w:val="127840D2"/>
    <w:rsid w:val="12900790"/>
    <w:rsid w:val="12900868"/>
    <w:rsid w:val="12F0143E"/>
    <w:rsid w:val="13280779"/>
    <w:rsid w:val="134F24D1"/>
    <w:rsid w:val="13AA7707"/>
    <w:rsid w:val="13FF3EF7"/>
    <w:rsid w:val="144E2788"/>
    <w:rsid w:val="14806439"/>
    <w:rsid w:val="149C1746"/>
    <w:rsid w:val="14E4477F"/>
    <w:rsid w:val="14EE6121"/>
    <w:rsid w:val="15BD1BCA"/>
    <w:rsid w:val="15FB113C"/>
    <w:rsid w:val="16105DC5"/>
    <w:rsid w:val="166E7112"/>
    <w:rsid w:val="16730284"/>
    <w:rsid w:val="16753FFC"/>
    <w:rsid w:val="16B965DF"/>
    <w:rsid w:val="170E68D9"/>
    <w:rsid w:val="1741793A"/>
    <w:rsid w:val="1743234C"/>
    <w:rsid w:val="174B2FAF"/>
    <w:rsid w:val="17933E49"/>
    <w:rsid w:val="17966F3F"/>
    <w:rsid w:val="179901BE"/>
    <w:rsid w:val="17B13853"/>
    <w:rsid w:val="17C24EE1"/>
    <w:rsid w:val="17C27715"/>
    <w:rsid w:val="17C57205"/>
    <w:rsid w:val="17E4768B"/>
    <w:rsid w:val="17FC3BA5"/>
    <w:rsid w:val="182513C0"/>
    <w:rsid w:val="18397E11"/>
    <w:rsid w:val="18735E22"/>
    <w:rsid w:val="194505FE"/>
    <w:rsid w:val="19687E48"/>
    <w:rsid w:val="196B1CEA"/>
    <w:rsid w:val="198E1EAE"/>
    <w:rsid w:val="19E05949"/>
    <w:rsid w:val="19FB3499"/>
    <w:rsid w:val="1A24288D"/>
    <w:rsid w:val="1B1B5294"/>
    <w:rsid w:val="1B356450"/>
    <w:rsid w:val="1B434F04"/>
    <w:rsid w:val="1B9C14FB"/>
    <w:rsid w:val="1BEB4F4B"/>
    <w:rsid w:val="1BEF4851"/>
    <w:rsid w:val="1BEF65FF"/>
    <w:rsid w:val="1BFE3C79"/>
    <w:rsid w:val="1C2C01A7"/>
    <w:rsid w:val="1C3154D0"/>
    <w:rsid w:val="1C4F3541"/>
    <w:rsid w:val="1C584649"/>
    <w:rsid w:val="1C792E22"/>
    <w:rsid w:val="1CB01607"/>
    <w:rsid w:val="1CB57848"/>
    <w:rsid w:val="1CBF2475"/>
    <w:rsid w:val="1CF4323C"/>
    <w:rsid w:val="1D26253E"/>
    <w:rsid w:val="1D2D5631"/>
    <w:rsid w:val="1D345E0F"/>
    <w:rsid w:val="1D581D92"/>
    <w:rsid w:val="1D880AB9"/>
    <w:rsid w:val="1DAE2109"/>
    <w:rsid w:val="1DB9452C"/>
    <w:rsid w:val="1DDE5424"/>
    <w:rsid w:val="1DE33F41"/>
    <w:rsid w:val="1DE71C83"/>
    <w:rsid w:val="1E206809"/>
    <w:rsid w:val="1E210E91"/>
    <w:rsid w:val="1E5A0F1E"/>
    <w:rsid w:val="1E5A29B0"/>
    <w:rsid w:val="1E71779F"/>
    <w:rsid w:val="1E8A6AB3"/>
    <w:rsid w:val="1EBC700B"/>
    <w:rsid w:val="1EFB3211"/>
    <w:rsid w:val="1F103EA9"/>
    <w:rsid w:val="1F1D7927"/>
    <w:rsid w:val="1F784B5D"/>
    <w:rsid w:val="1FB14636"/>
    <w:rsid w:val="1FCA3C17"/>
    <w:rsid w:val="1FDB296A"/>
    <w:rsid w:val="1FE909DC"/>
    <w:rsid w:val="1FF42436"/>
    <w:rsid w:val="204333BD"/>
    <w:rsid w:val="20457135"/>
    <w:rsid w:val="20631369"/>
    <w:rsid w:val="20755F4B"/>
    <w:rsid w:val="20AF152F"/>
    <w:rsid w:val="21431371"/>
    <w:rsid w:val="2149055F"/>
    <w:rsid w:val="21513626"/>
    <w:rsid w:val="215C64E4"/>
    <w:rsid w:val="215D225D"/>
    <w:rsid w:val="219537A4"/>
    <w:rsid w:val="21C36564"/>
    <w:rsid w:val="21CB63E2"/>
    <w:rsid w:val="21DF0EC4"/>
    <w:rsid w:val="221C055F"/>
    <w:rsid w:val="223A4029"/>
    <w:rsid w:val="22525E8C"/>
    <w:rsid w:val="228D0920"/>
    <w:rsid w:val="22F26118"/>
    <w:rsid w:val="230A7A8F"/>
    <w:rsid w:val="23290736"/>
    <w:rsid w:val="23362D65"/>
    <w:rsid w:val="236E5E5F"/>
    <w:rsid w:val="2378337E"/>
    <w:rsid w:val="239A32F4"/>
    <w:rsid w:val="23A61C99"/>
    <w:rsid w:val="23C5440E"/>
    <w:rsid w:val="23F30C56"/>
    <w:rsid w:val="23F97868"/>
    <w:rsid w:val="24266C7C"/>
    <w:rsid w:val="244A2F6C"/>
    <w:rsid w:val="246A64EC"/>
    <w:rsid w:val="248E0882"/>
    <w:rsid w:val="24AB04CD"/>
    <w:rsid w:val="24B85FE4"/>
    <w:rsid w:val="24D67678"/>
    <w:rsid w:val="251417B8"/>
    <w:rsid w:val="2524556B"/>
    <w:rsid w:val="252E63EA"/>
    <w:rsid w:val="25440C67"/>
    <w:rsid w:val="25493224"/>
    <w:rsid w:val="25551BC9"/>
    <w:rsid w:val="256533FF"/>
    <w:rsid w:val="25714E00"/>
    <w:rsid w:val="25A53D6F"/>
    <w:rsid w:val="25A832FF"/>
    <w:rsid w:val="25E847EB"/>
    <w:rsid w:val="265557EF"/>
    <w:rsid w:val="267047E0"/>
    <w:rsid w:val="26793FA2"/>
    <w:rsid w:val="26EA5477"/>
    <w:rsid w:val="270F7B55"/>
    <w:rsid w:val="272532E2"/>
    <w:rsid w:val="273B6B9C"/>
    <w:rsid w:val="27427F2B"/>
    <w:rsid w:val="276918C6"/>
    <w:rsid w:val="276C3345"/>
    <w:rsid w:val="276F2332"/>
    <w:rsid w:val="27857F9B"/>
    <w:rsid w:val="2795721C"/>
    <w:rsid w:val="27A13D6B"/>
    <w:rsid w:val="27A641C3"/>
    <w:rsid w:val="27A6670B"/>
    <w:rsid w:val="27C546B8"/>
    <w:rsid w:val="282633A8"/>
    <w:rsid w:val="284461F5"/>
    <w:rsid w:val="286F1880"/>
    <w:rsid w:val="28A10C81"/>
    <w:rsid w:val="28BD0522"/>
    <w:rsid w:val="28DB6828"/>
    <w:rsid w:val="28EC2844"/>
    <w:rsid w:val="29114058"/>
    <w:rsid w:val="29745A9F"/>
    <w:rsid w:val="29895F6F"/>
    <w:rsid w:val="298E5CC2"/>
    <w:rsid w:val="29995DFC"/>
    <w:rsid w:val="29AC6F9B"/>
    <w:rsid w:val="29B91807"/>
    <w:rsid w:val="29C97866"/>
    <w:rsid w:val="29E821D3"/>
    <w:rsid w:val="29F75268"/>
    <w:rsid w:val="2A930A9D"/>
    <w:rsid w:val="2A967EB2"/>
    <w:rsid w:val="2AD417E1"/>
    <w:rsid w:val="2B065713"/>
    <w:rsid w:val="2B0D2CED"/>
    <w:rsid w:val="2B2871E7"/>
    <w:rsid w:val="2B9057FA"/>
    <w:rsid w:val="2BA9299F"/>
    <w:rsid w:val="2BF832AE"/>
    <w:rsid w:val="2BFE65C2"/>
    <w:rsid w:val="2C02412C"/>
    <w:rsid w:val="2C1665B8"/>
    <w:rsid w:val="2C295297"/>
    <w:rsid w:val="2C493B09"/>
    <w:rsid w:val="2C6E17C2"/>
    <w:rsid w:val="2D205D35"/>
    <w:rsid w:val="2D7F69DE"/>
    <w:rsid w:val="2DB16F26"/>
    <w:rsid w:val="2DB3388B"/>
    <w:rsid w:val="2DC0604D"/>
    <w:rsid w:val="2DCA6ECC"/>
    <w:rsid w:val="2E0A056F"/>
    <w:rsid w:val="2E815E80"/>
    <w:rsid w:val="2E954277"/>
    <w:rsid w:val="2ED53A12"/>
    <w:rsid w:val="2EDF69A7"/>
    <w:rsid w:val="2F1A79DF"/>
    <w:rsid w:val="2F2A413F"/>
    <w:rsid w:val="2F363171"/>
    <w:rsid w:val="2F487431"/>
    <w:rsid w:val="30311375"/>
    <w:rsid w:val="30473F91"/>
    <w:rsid w:val="306058C5"/>
    <w:rsid w:val="30B023A9"/>
    <w:rsid w:val="30C714A1"/>
    <w:rsid w:val="311772A4"/>
    <w:rsid w:val="31186537"/>
    <w:rsid w:val="31B92B8B"/>
    <w:rsid w:val="32326CFB"/>
    <w:rsid w:val="324D032D"/>
    <w:rsid w:val="3257574A"/>
    <w:rsid w:val="329E21EF"/>
    <w:rsid w:val="32FB3683"/>
    <w:rsid w:val="32FD564D"/>
    <w:rsid w:val="3328091C"/>
    <w:rsid w:val="338F3097"/>
    <w:rsid w:val="33A51F6D"/>
    <w:rsid w:val="33C06DA7"/>
    <w:rsid w:val="342509B8"/>
    <w:rsid w:val="34297F29"/>
    <w:rsid w:val="344A5876"/>
    <w:rsid w:val="348E47AF"/>
    <w:rsid w:val="34AE6BFF"/>
    <w:rsid w:val="34CA3E45"/>
    <w:rsid w:val="34D34153"/>
    <w:rsid w:val="355E745E"/>
    <w:rsid w:val="359202CF"/>
    <w:rsid w:val="359758E5"/>
    <w:rsid w:val="359D5EEA"/>
    <w:rsid w:val="35BA1D81"/>
    <w:rsid w:val="35D02BA5"/>
    <w:rsid w:val="35D46B3A"/>
    <w:rsid w:val="35E8637E"/>
    <w:rsid w:val="35FC7E3E"/>
    <w:rsid w:val="361B0127"/>
    <w:rsid w:val="363C3B17"/>
    <w:rsid w:val="36474247"/>
    <w:rsid w:val="365612FD"/>
    <w:rsid w:val="3677309A"/>
    <w:rsid w:val="36AD2EE7"/>
    <w:rsid w:val="36F40B16"/>
    <w:rsid w:val="370C52DF"/>
    <w:rsid w:val="370C5E5F"/>
    <w:rsid w:val="374B6987"/>
    <w:rsid w:val="374D6BA3"/>
    <w:rsid w:val="374D74A9"/>
    <w:rsid w:val="375A306E"/>
    <w:rsid w:val="37AA6440"/>
    <w:rsid w:val="37AF0A14"/>
    <w:rsid w:val="37CE1367"/>
    <w:rsid w:val="37D746BF"/>
    <w:rsid w:val="37E528A4"/>
    <w:rsid w:val="38085F26"/>
    <w:rsid w:val="38426065"/>
    <w:rsid w:val="384A0187"/>
    <w:rsid w:val="38C84008"/>
    <w:rsid w:val="38CA5FD2"/>
    <w:rsid w:val="38EB0F04"/>
    <w:rsid w:val="39411452"/>
    <w:rsid w:val="396740E4"/>
    <w:rsid w:val="397B72CC"/>
    <w:rsid w:val="397C49C3"/>
    <w:rsid w:val="39B22FFA"/>
    <w:rsid w:val="39BA7DF4"/>
    <w:rsid w:val="39C15930"/>
    <w:rsid w:val="3A173499"/>
    <w:rsid w:val="3A30022F"/>
    <w:rsid w:val="3A371445"/>
    <w:rsid w:val="3A886145"/>
    <w:rsid w:val="3A8D72B7"/>
    <w:rsid w:val="3AB900AC"/>
    <w:rsid w:val="3AC52EF5"/>
    <w:rsid w:val="3AC91083"/>
    <w:rsid w:val="3B007A89"/>
    <w:rsid w:val="3B027CA5"/>
    <w:rsid w:val="3B0A5A2B"/>
    <w:rsid w:val="3B2E2848"/>
    <w:rsid w:val="3B5D4EDB"/>
    <w:rsid w:val="3B81506E"/>
    <w:rsid w:val="3BA60D07"/>
    <w:rsid w:val="3BA6272A"/>
    <w:rsid w:val="3BB22833"/>
    <w:rsid w:val="3BC4775F"/>
    <w:rsid w:val="3BE27C97"/>
    <w:rsid w:val="3BE473AB"/>
    <w:rsid w:val="3BFB1F35"/>
    <w:rsid w:val="3C9A513B"/>
    <w:rsid w:val="3CCD2793"/>
    <w:rsid w:val="3CEB06BB"/>
    <w:rsid w:val="3CFA57E4"/>
    <w:rsid w:val="3D0221DE"/>
    <w:rsid w:val="3D1E60DF"/>
    <w:rsid w:val="3DE2791A"/>
    <w:rsid w:val="3E053B4B"/>
    <w:rsid w:val="3E151A9D"/>
    <w:rsid w:val="3E375EB7"/>
    <w:rsid w:val="3E38205E"/>
    <w:rsid w:val="3E9E5F37"/>
    <w:rsid w:val="3EA47C68"/>
    <w:rsid w:val="3ED03C16"/>
    <w:rsid w:val="3EEB27FE"/>
    <w:rsid w:val="3EF25F54"/>
    <w:rsid w:val="3F3423F7"/>
    <w:rsid w:val="3F8E1B07"/>
    <w:rsid w:val="40161AFD"/>
    <w:rsid w:val="401D10DD"/>
    <w:rsid w:val="403326AF"/>
    <w:rsid w:val="408B6047"/>
    <w:rsid w:val="40AF442B"/>
    <w:rsid w:val="40E165AE"/>
    <w:rsid w:val="411C75E7"/>
    <w:rsid w:val="41540B2E"/>
    <w:rsid w:val="415E333C"/>
    <w:rsid w:val="418F600A"/>
    <w:rsid w:val="419B5FD1"/>
    <w:rsid w:val="419E1DAA"/>
    <w:rsid w:val="420D5851"/>
    <w:rsid w:val="422B6F8D"/>
    <w:rsid w:val="424B3CDF"/>
    <w:rsid w:val="426D19F0"/>
    <w:rsid w:val="42D31F27"/>
    <w:rsid w:val="42D33CD5"/>
    <w:rsid w:val="42FC5208"/>
    <w:rsid w:val="43341596"/>
    <w:rsid w:val="436F7EA2"/>
    <w:rsid w:val="43860D47"/>
    <w:rsid w:val="43ED0DC6"/>
    <w:rsid w:val="43F85357"/>
    <w:rsid w:val="43FB4652"/>
    <w:rsid w:val="43FF1225"/>
    <w:rsid w:val="4410457F"/>
    <w:rsid w:val="44265D5C"/>
    <w:rsid w:val="443F242D"/>
    <w:rsid w:val="445F4788"/>
    <w:rsid w:val="449633BF"/>
    <w:rsid w:val="44B32884"/>
    <w:rsid w:val="44D61B0B"/>
    <w:rsid w:val="44D94857"/>
    <w:rsid w:val="44E73A68"/>
    <w:rsid w:val="45223845"/>
    <w:rsid w:val="45290298"/>
    <w:rsid w:val="45B51211"/>
    <w:rsid w:val="45BD6D52"/>
    <w:rsid w:val="45BF5F80"/>
    <w:rsid w:val="45E94130"/>
    <w:rsid w:val="45EF52CA"/>
    <w:rsid w:val="46276812"/>
    <w:rsid w:val="462A4554"/>
    <w:rsid w:val="46517D32"/>
    <w:rsid w:val="465377A4"/>
    <w:rsid w:val="46753001"/>
    <w:rsid w:val="46821C9A"/>
    <w:rsid w:val="46E51A75"/>
    <w:rsid w:val="46F84891"/>
    <w:rsid w:val="46FE4779"/>
    <w:rsid w:val="473A07C7"/>
    <w:rsid w:val="47474F00"/>
    <w:rsid w:val="47762C36"/>
    <w:rsid w:val="477C0DDF"/>
    <w:rsid w:val="480212E4"/>
    <w:rsid w:val="482B73A4"/>
    <w:rsid w:val="48C04CFB"/>
    <w:rsid w:val="48FF5824"/>
    <w:rsid w:val="49266FC3"/>
    <w:rsid w:val="492B03C7"/>
    <w:rsid w:val="493C6A78"/>
    <w:rsid w:val="49425710"/>
    <w:rsid w:val="494D38A5"/>
    <w:rsid w:val="498E5824"/>
    <w:rsid w:val="49DE053E"/>
    <w:rsid w:val="4A201EF6"/>
    <w:rsid w:val="4A49107C"/>
    <w:rsid w:val="4A625D30"/>
    <w:rsid w:val="4A767D68"/>
    <w:rsid w:val="4B475260"/>
    <w:rsid w:val="4B4B65BB"/>
    <w:rsid w:val="4B4C2876"/>
    <w:rsid w:val="4B9E1324"/>
    <w:rsid w:val="4BBF201F"/>
    <w:rsid w:val="4BE17463"/>
    <w:rsid w:val="4CA26BF2"/>
    <w:rsid w:val="4CEE1E37"/>
    <w:rsid w:val="4D145F92"/>
    <w:rsid w:val="4D330192"/>
    <w:rsid w:val="4D392112"/>
    <w:rsid w:val="4D461C73"/>
    <w:rsid w:val="4D6A1826"/>
    <w:rsid w:val="4DB7789D"/>
    <w:rsid w:val="4E092CA1"/>
    <w:rsid w:val="4E111A5A"/>
    <w:rsid w:val="4E345F70"/>
    <w:rsid w:val="4E4156DB"/>
    <w:rsid w:val="4E93713A"/>
    <w:rsid w:val="4F1456D4"/>
    <w:rsid w:val="4F754A92"/>
    <w:rsid w:val="4F9905AE"/>
    <w:rsid w:val="4FC33F25"/>
    <w:rsid w:val="4FD001C7"/>
    <w:rsid w:val="4FFF6109"/>
    <w:rsid w:val="500B71A4"/>
    <w:rsid w:val="501231C1"/>
    <w:rsid w:val="502E60F8"/>
    <w:rsid w:val="50334005"/>
    <w:rsid w:val="50572C95"/>
    <w:rsid w:val="505E4B9C"/>
    <w:rsid w:val="50A30487"/>
    <w:rsid w:val="50DD1804"/>
    <w:rsid w:val="51A52CE0"/>
    <w:rsid w:val="520D262F"/>
    <w:rsid w:val="521102F7"/>
    <w:rsid w:val="52195EFA"/>
    <w:rsid w:val="529674E9"/>
    <w:rsid w:val="52B1378F"/>
    <w:rsid w:val="535D3873"/>
    <w:rsid w:val="535D7DB8"/>
    <w:rsid w:val="53876B42"/>
    <w:rsid w:val="53C9097C"/>
    <w:rsid w:val="54153BAB"/>
    <w:rsid w:val="541908DA"/>
    <w:rsid w:val="543E18F6"/>
    <w:rsid w:val="546B1FBF"/>
    <w:rsid w:val="54996B2C"/>
    <w:rsid w:val="54FA7CE1"/>
    <w:rsid w:val="550A7A2A"/>
    <w:rsid w:val="554A7E27"/>
    <w:rsid w:val="555E1B24"/>
    <w:rsid w:val="556A04C9"/>
    <w:rsid w:val="558F102F"/>
    <w:rsid w:val="559E5653"/>
    <w:rsid w:val="55AB3C2F"/>
    <w:rsid w:val="55EC35D4"/>
    <w:rsid w:val="560E52F8"/>
    <w:rsid w:val="561A4621"/>
    <w:rsid w:val="56383CF3"/>
    <w:rsid w:val="56455CD4"/>
    <w:rsid w:val="565C42B5"/>
    <w:rsid w:val="56AE76A6"/>
    <w:rsid w:val="56D4209E"/>
    <w:rsid w:val="56D94AC1"/>
    <w:rsid w:val="56DB2C2D"/>
    <w:rsid w:val="56E4418B"/>
    <w:rsid w:val="57064221"/>
    <w:rsid w:val="5773022F"/>
    <w:rsid w:val="57770C7B"/>
    <w:rsid w:val="57DF277D"/>
    <w:rsid w:val="57E50495"/>
    <w:rsid w:val="580A1AEF"/>
    <w:rsid w:val="58776655"/>
    <w:rsid w:val="58B74216"/>
    <w:rsid w:val="58C16652"/>
    <w:rsid w:val="590752B6"/>
    <w:rsid w:val="591F15CA"/>
    <w:rsid w:val="596D67DA"/>
    <w:rsid w:val="59760D08"/>
    <w:rsid w:val="599E6993"/>
    <w:rsid w:val="59A60DC8"/>
    <w:rsid w:val="59AC5554"/>
    <w:rsid w:val="59C8232E"/>
    <w:rsid w:val="59F15916"/>
    <w:rsid w:val="5A564466"/>
    <w:rsid w:val="5A902780"/>
    <w:rsid w:val="5A9F4737"/>
    <w:rsid w:val="5AAE2C06"/>
    <w:rsid w:val="5AE8436A"/>
    <w:rsid w:val="5AF80325"/>
    <w:rsid w:val="5B6339F0"/>
    <w:rsid w:val="5BF6561B"/>
    <w:rsid w:val="5BFA4C14"/>
    <w:rsid w:val="5C20557D"/>
    <w:rsid w:val="5C2A6C04"/>
    <w:rsid w:val="5C3543D2"/>
    <w:rsid w:val="5C406532"/>
    <w:rsid w:val="5C4E69BE"/>
    <w:rsid w:val="5CE36031"/>
    <w:rsid w:val="5CFC5838"/>
    <w:rsid w:val="5DB26EB1"/>
    <w:rsid w:val="5DBA559D"/>
    <w:rsid w:val="5DD85FC9"/>
    <w:rsid w:val="5DFE3EA4"/>
    <w:rsid w:val="5E465887"/>
    <w:rsid w:val="5E473A9D"/>
    <w:rsid w:val="5E804CC0"/>
    <w:rsid w:val="5E8425FB"/>
    <w:rsid w:val="5EE50BC0"/>
    <w:rsid w:val="5F181B76"/>
    <w:rsid w:val="5F463D55"/>
    <w:rsid w:val="5FD4389C"/>
    <w:rsid w:val="5FEC48FC"/>
    <w:rsid w:val="6013374F"/>
    <w:rsid w:val="60B116A2"/>
    <w:rsid w:val="60B42F40"/>
    <w:rsid w:val="60B7767B"/>
    <w:rsid w:val="60CC348A"/>
    <w:rsid w:val="60F6212A"/>
    <w:rsid w:val="61221DAA"/>
    <w:rsid w:val="61696F59"/>
    <w:rsid w:val="61D672CA"/>
    <w:rsid w:val="61E63AF5"/>
    <w:rsid w:val="626A2DAC"/>
    <w:rsid w:val="62784498"/>
    <w:rsid w:val="62A86D6B"/>
    <w:rsid w:val="63293771"/>
    <w:rsid w:val="637C0DF3"/>
    <w:rsid w:val="637C7D45"/>
    <w:rsid w:val="639808F7"/>
    <w:rsid w:val="63EF1280"/>
    <w:rsid w:val="64565496"/>
    <w:rsid w:val="645F2960"/>
    <w:rsid w:val="64654C7D"/>
    <w:rsid w:val="646C7950"/>
    <w:rsid w:val="64BD496D"/>
    <w:rsid w:val="64BE25DF"/>
    <w:rsid w:val="64C44758"/>
    <w:rsid w:val="64F23CBA"/>
    <w:rsid w:val="64F93617"/>
    <w:rsid w:val="65246D5E"/>
    <w:rsid w:val="655D3BA6"/>
    <w:rsid w:val="65655387"/>
    <w:rsid w:val="659A6BA8"/>
    <w:rsid w:val="65A50F20"/>
    <w:rsid w:val="65E5510B"/>
    <w:rsid w:val="65EF58FA"/>
    <w:rsid w:val="65FE7BFD"/>
    <w:rsid w:val="66AF4C3B"/>
    <w:rsid w:val="66EC6F90"/>
    <w:rsid w:val="66F2031E"/>
    <w:rsid w:val="676209A1"/>
    <w:rsid w:val="67AA7E58"/>
    <w:rsid w:val="67AB0BF9"/>
    <w:rsid w:val="67E662B3"/>
    <w:rsid w:val="68077DF9"/>
    <w:rsid w:val="680F6F74"/>
    <w:rsid w:val="682C0B73"/>
    <w:rsid w:val="68382663"/>
    <w:rsid w:val="686314D3"/>
    <w:rsid w:val="6888718C"/>
    <w:rsid w:val="68E5527F"/>
    <w:rsid w:val="69480F43"/>
    <w:rsid w:val="69551B89"/>
    <w:rsid w:val="69A578CA"/>
    <w:rsid w:val="6A7343B6"/>
    <w:rsid w:val="6A9C03FA"/>
    <w:rsid w:val="6AB029CA"/>
    <w:rsid w:val="6AB40090"/>
    <w:rsid w:val="6ADE7537"/>
    <w:rsid w:val="6AE34B4E"/>
    <w:rsid w:val="6B1F6200"/>
    <w:rsid w:val="6B4A3375"/>
    <w:rsid w:val="6B825FC3"/>
    <w:rsid w:val="6B8359E9"/>
    <w:rsid w:val="6B9D0892"/>
    <w:rsid w:val="6C613F7C"/>
    <w:rsid w:val="6C631880"/>
    <w:rsid w:val="6C634D45"/>
    <w:rsid w:val="6C6D16B4"/>
    <w:rsid w:val="6C806253"/>
    <w:rsid w:val="6CB542C8"/>
    <w:rsid w:val="6CD74FCF"/>
    <w:rsid w:val="6CF748E0"/>
    <w:rsid w:val="6D15191A"/>
    <w:rsid w:val="6D52620C"/>
    <w:rsid w:val="6D7D3037"/>
    <w:rsid w:val="6D8E14DE"/>
    <w:rsid w:val="6D934609"/>
    <w:rsid w:val="6DAE50AD"/>
    <w:rsid w:val="6DD624F7"/>
    <w:rsid w:val="6DDA2238"/>
    <w:rsid w:val="6E0E1EE1"/>
    <w:rsid w:val="6E5A21EA"/>
    <w:rsid w:val="6EB8009F"/>
    <w:rsid w:val="6EC72090"/>
    <w:rsid w:val="6F0A3093"/>
    <w:rsid w:val="6F834B73"/>
    <w:rsid w:val="6F857F81"/>
    <w:rsid w:val="6F883155"/>
    <w:rsid w:val="6F9E1041"/>
    <w:rsid w:val="6FC6124D"/>
    <w:rsid w:val="6FC62348"/>
    <w:rsid w:val="6FE10E18"/>
    <w:rsid w:val="6FEC14A9"/>
    <w:rsid w:val="6FEC6252"/>
    <w:rsid w:val="702E23C7"/>
    <w:rsid w:val="70A15EF2"/>
    <w:rsid w:val="70C96037"/>
    <w:rsid w:val="70CB230C"/>
    <w:rsid w:val="71B752F6"/>
    <w:rsid w:val="721E46BD"/>
    <w:rsid w:val="72271FEC"/>
    <w:rsid w:val="722E41C4"/>
    <w:rsid w:val="72655E48"/>
    <w:rsid w:val="72824C4C"/>
    <w:rsid w:val="728A3B01"/>
    <w:rsid w:val="72D93738"/>
    <w:rsid w:val="73434202"/>
    <w:rsid w:val="734819F2"/>
    <w:rsid w:val="734B5436"/>
    <w:rsid w:val="735B7378"/>
    <w:rsid w:val="737A608E"/>
    <w:rsid w:val="7396718F"/>
    <w:rsid w:val="73A806E2"/>
    <w:rsid w:val="73BC418E"/>
    <w:rsid w:val="741D2E7E"/>
    <w:rsid w:val="74A16CBA"/>
    <w:rsid w:val="74CB28DA"/>
    <w:rsid w:val="74D53759"/>
    <w:rsid w:val="74F33BDF"/>
    <w:rsid w:val="750556C0"/>
    <w:rsid w:val="752B5D11"/>
    <w:rsid w:val="752C70F1"/>
    <w:rsid w:val="75387844"/>
    <w:rsid w:val="753903C8"/>
    <w:rsid w:val="75CC2E8E"/>
    <w:rsid w:val="75DA0F18"/>
    <w:rsid w:val="75DC4AB5"/>
    <w:rsid w:val="75EF406B"/>
    <w:rsid w:val="76391AC6"/>
    <w:rsid w:val="765B7C8E"/>
    <w:rsid w:val="76707B96"/>
    <w:rsid w:val="76726D86"/>
    <w:rsid w:val="768D36C7"/>
    <w:rsid w:val="76A85AB4"/>
    <w:rsid w:val="76C12BCB"/>
    <w:rsid w:val="76C3504D"/>
    <w:rsid w:val="770422FE"/>
    <w:rsid w:val="7746449A"/>
    <w:rsid w:val="775546DD"/>
    <w:rsid w:val="778C3E77"/>
    <w:rsid w:val="7796215A"/>
    <w:rsid w:val="77E31CE9"/>
    <w:rsid w:val="78376C25"/>
    <w:rsid w:val="785B7ACE"/>
    <w:rsid w:val="78746DE5"/>
    <w:rsid w:val="789932F4"/>
    <w:rsid w:val="78A72AF0"/>
    <w:rsid w:val="78A8319C"/>
    <w:rsid w:val="790F6B0E"/>
    <w:rsid w:val="79134850"/>
    <w:rsid w:val="791F507F"/>
    <w:rsid w:val="79200163"/>
    <w:rsid w:val="79261AEA"/>
    <w:rsid w:val="7956473D"/>
    <w:rsid w:val="798661F3"/>
    <w:rsid w:val="7989385B"/>
    <w:rsid w:val="799314ED"/>
    <w:rsid w:val="79DC4F1F"/>
    <w:rsid w:val="79EE2C15"/>
    <w:rsid w:val="7A0B3162"/>
    <w:rsid w:val="7A6C7707"/>
    <w:rsid w:val="7A7206F1"/>
    <w:rsid w:val="7AA46F38"/>
    <w:rsid w:val="7B467F1D"/>
    <w:rsid w:val="7BA7772C"/>
    <w:rsid w:val="7BAB331D"/>
    <w:rsid w:val="7C0924C9"/>
    <w:rsid w:val="7C507B69"/>
    <w:rsid w:val="7C711A95"/>
    <w:rsid w:val="7C8D4919"/>
    <w:rsid w:val="7CBA4FE2"/>
    <w:rsid w:val="7CD24A22"/>
    <w:rsid w:val="7D121F1E"/>
    <w:rsid w:val="7D2F777E"/>
    <w:rsid w:val="7D5660EF"/>
    <w:rsid w:val="7D574D28"/>
    <w:rsid w:val="7D5F0561"/>
    <w:rsid w:val="7D60202E"/>
    <w:rsid w:val="7D6458CE"/>
    <w:rsid w:val="7D8555F0"/>
    <w:rsid w:val="7D916095"/>
    <w:rsid w:val="7DB14637"/>
    <w:rsid w:val="7DC51E91"/>
    <w:rsid w:val="7E141A72"/>
    <w:rsid w:val="7E703977"/>
    <w:rsid w:val="7E963DC6"/>
    <w:rsid w:val="7EF02F3D"/>
    <w:rsid w:val="7F1B1599"/>
    <w:rsid w:val="7F5F65D1"/>
    <w:rsid w:val="7F606315"/>
    <w:rsid w:val="7F6210EB"/>
    <w:rsid w:val="7F8B73C1"/>
    <w:rsid w:val="7F961D37"/>
    <w:rsid w:val="7FAC330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7"/>
    <w:qFormat/>
    <w:uiPriority w:val="0"/>
    <w:pPr>
      <w:keepNext/>
      <w:keepLines/>
      <w:spacing w:before="340" w:afterLines="25" w:line="578" w:lineRule="auto"/>
      <w:outlineLvl w:val="0"/>
    </w:pPr>
    <w:rPr>
      <w:rFonts w:ascii="Arial" w:hAnsi="Arial" w:eastAsia="宋体" w:cs="Times New Roman"/>
      <w:b/>
      <w:bCs/>
      <w:kern w:val="44"/>
      <w:sz w:val="44"/>
      <w:szCs w:val="44"/>
    </w:rPr>
  </w:style>
  <w:style w:type="paragraph" w:styleId="5">
    <w:name w:val="heading 2"/>
    <w:basedOn w:val="1"/>
    <w:next w:val="1"/>
    <w:link w:val="40"/>
    <w:semiHidden/>
    <w:unhideWhenUsed/>
    <w:qFormat/>
    <w:uiPriority w:val="9"/>
    <w:pPr>
      <w:spacing w:line="416" w:lineRule="auto"/>
      <w:outlineLvl w:val="1"/>
    </w:pPr>
    <w:rPr>
      <w:rFonts w:asciiTheme="majorHAnsi" w:hAnsiTheme="majorHAnsi" w:eastAsiaTheme="majorEastAsia" w:cstheme="majorBidi"/>
      <w:sz w:val="32"/>
    </w:rPr>
  </w:style>
  <w:style w:type="paragraph" w:styleId="6">
    <w:name w:val="heading 3"/>
    <w:basedOn w:val="7"/>
    <w:next w:val="1"/>
    <w:qFormat/>
    <w:uiPriority w:val="9"/>
    <w:pPr>
      <w:spacing w:before="260" w:after="260" w:line="240" w:lineRule="auto"/>
      <w:outlineLvl w:val="2"/>
    </w:pPr>
    <w:rPr>
      <w:rFonts w:ascii="宋体" w:hAnsi="宋体" w:eastAsia="宋体"/>
      <w:szCs w:val="32"/>
    </w:rPr>
  </w:style>
  <w:style w:type="paragraph" w:styleId="7">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24">
    <w:name w:val="Default Paragraph Font"/>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b/>
      <w:bCs/>
      <w:sz w:val="24"/>
    </w:rPr>
  </w:style>
  <w:style w:type="paragraph" w:styleId="3">
    <w:name w:val="Body Text 2"/>
    <w:basedOn w:val="1"/>
    <w:qFormat/>
    <w:uiPriority w:val="0"/>
    <w:pPr>
      <w:spacing w:line="360" w:lineRule="auto"/>
    </w:pPr>
    <w:rPr>
      <w:sz w:val="24"/>
    </w:rPr>
  </w:style>
  <w:style w:type="paragraph" w:styleId="8">
    <w:name w:val="Normal Indent"/>
    <w:basedOn w:val="1"/>
    <w:next w:val="2"/>
    <w:qFormat/>
    <w:uiPriority w:val="0"/>
    <w:pPr>
      <w:ind w:firstLine="420"/>
    </w:pPr>
    <w:rPr>
      <w:szCs w:val="20"/>
    </w:rPr>
  </w:style>
  <w:style w:type="paragraph" w:styleId="9">
    <w:name w:val="Document Map"/>
    <w:basedOn w:val="1"/>
    <w:link w:val="39"/>
    <w:semiHidden/>
    <w:unhideWhenUsed/>
    <w:qFormat/>
    <w:uiPriority w:val="99"/>
    <w:rPr>
      <w:rFonts w:ascii="宋体" w:eastAsia="宋体"/>
      <w:sz w:val="18"/>
      <w:szCs w:val="18"/>
    </w:rPr>
  </w:style>
  <w:style w:type="paragraph" w:styleId="10">
    <w:name w:val="annotation text"/>
    <w:basedOn w:val="1"/>
    <w:link w:val="41"/>
    <w:unhideWhenUsed/>
    <w:qFormat/>
    <w:uiPriority w:val="99"/>
    <w:pPr>
      <w:jc w:val="left"/>
    </w:pPr>
  </w:style>
  <w:style w:type="paragraph" w:styleId="11">
    <w:name w:val="Plain Text"/>
    <w:basedOn w:val="1"/>
    <w:next w:val="12"/>
    <w:qFormat/>
    <w:uiPriority w:val="99"/>
    <w:rPr>
      <w:rFonts w:ascii="宋体" w:hAnsi="Courier New"/>
      <w:szCs w:val="20"/>
    </w:rPr>
  </w:style>
  <w:style w:type="paragraph" w:customStyle="1" w:styleId="12">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styleId="13">
    <w:name w:val="Balloon Text"/>
    <w:basedOn w:val="1"/>
    <w:link w:val="35"/>
    <w:semiHidden/>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2"/>
    <w:basedOn w:val="1"/>
    <w:next w:val="1"/>
    <w:semiHidden/>
    <w:qFormat/>
    <w:uiPriority w:val="0"/>
    <w:pPr>
      <w:tabs>
        <w:tab w:val="right" w:leader="dot" w:pos="8296"/>
      </w:tabs>
      <w:ind w:left="210"/>
      <w:jc w:val="left"/>
    </w:pPr>
    <w:rPr>
      <w:smallCaps/>
    </w:rPr>
  </w:style>
  <w:style w:type="paragraph" w:styleId="17">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8">
    <w:name w:val="Normal (Web)"/>
    <w:basedOn w:val="1"/>
    <w:link w:val="36"/>
    <w:qFormat/>
    <w:uiPriority w:val="99"/>
    <w:pPr>
      <w:widowControl/>
      <w:spacing w:before="100" w:beforeAutospacing="1" w:afterAutospacing="1"/>
      <w:jc w:val="left"/>
    </w:pPr>
    <w:rPr>
      <w:rFonts w:ascii="宋体" w:hAnsi="宋体"/>
      <w:sz w:val="24"/>
      <w:szCs w:val="24"/>
    </w:rPr>
  </w:style>
  <w:style w:type="paragraph" w:styleId="19">
    <w:name w:val="Title"/>
    <w:basedOn w:val="1"/>
    <w:next w:val="1"/>
    <w:qFormat/>
    <w:uiPriority w:val="0"/>
    <w:pPr>
      <w:spacing w:before="240" w:after="60"/>
      <w:jc w:val="center"/>
      <w:outlineLvl w:val="0"/>
    </w:pPr>
    <w:rPr>
      <w:rFonts w:ascii="Arial" w:hAnsi="Arial" w:eastAsia="隶书" w:cs="Arial"/>
      <w:b/>
      <w:bCs/>
      <w:sz w:val="32"/>
      <w:szCs w:val="32"/>
    </w:rPr>
  </w:style>
  <w:style w:type="paragraph" w:styleId="20">
    <w:name w:val="annotation subject"/>
    <w:basedOn w:val="10"/>
    <w:next w:val="10"/>
    <w:link w:val="43"/>
    <w:semiHidden/>
    <w:unhideWhenUsed/>
    <w:qFormat/>
    <w:uiPriority w:val="99"/>
    <w:rPr>
      <w:b/>
      <w:bCs/>
    </w:rPr>
  </w:style>
  <w:style w:type="paragraph" w:styleId="21">
    <w:name w:val="Body Text First Indent"/>
    <w:basedOn w:val="2"/>
    <w:qFormat/>
    <w:uiPriority w:val="0"/>
    <w:pPr>
      <w:spacing w:after="120" w:line="240" w:lineRule="auto"/>
      <w:ind w:firstLine="420" w:firstLineChars="100"/>
    </w:pPr>
    <w:rPr>
      <w:sz w:val="21"/>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qFormat/>
    <w:uiPriority w:val="0"/>
    <w:rPr>
      <w:b/>
      <w:bCs/>
    </w:rPr>
  </w:style>
  <w:style w:type="character" w:styleId="26">
    <w:name w:val="page number"/>
    <w:basedOn w:val="24"/>
    <w:qFormat/>
    <w:uiPriority w:val="0"/>
  </w:style>
  <w:style w:type="character" w:styleId="27">
    <w:name w:val="FollowedHyperlink"/>
    <w:basedOn w:val="24"/>
    <w:semiHidden/>
    <w:unhideWhenUsed/>
    <w:qFormat/>
    <w:uiPriority w:val="99"/>
    <w:rPr>
      <w:color w:val="800080" w:themeColor="followedHyperlink"/>
      <w:u w:val="single"/>
      <w14:textFill>
        <w14:solidFill>
          <w14:schemeClr w14:val="folHlink"/>
        </w14:solidFill>
      </w14:textFill>
    </w:rPr>
  </w:style>
  <w:style w:type="character" w:styleId="28">
    <w:name w:val="Hyperlink"/>
    <w:basedOn w:val="24"/>
    <w:unhideWhenUsed/>
    <w:qFormat/>
    <w:uiPriority w:val="99"/>
    <w:rPr>
      <w:color w:val="0000FF" w:themeColor="hyperlink"/>
      <w:u w:val="single"/>
      <w14:textFill>
        <w14:solidFill>
          <w14:schemeClr w14:val="hlink"/>
        </w14:solidFill>
      </w14:textFill>
    </w:rPr>
  </w:style>
  <w:style w:type="character" w:styleId="29">
    <w:name w:val="annotation reference"/>
    <w:basedOn w:val="24"/>
    <w:semiHidden/>
    <w:unhideWhenUsed/>
    <w:qFormat/>
    <w:uiPriority w:val="99"/>
    <w:rPr>
      <w:sz w:val="21"/>
      <w:szCs w:val="21"/>
    </w:rPr>
  </w:style>
  <w:style w:type="paragraph" w:styleId="30">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31">
    <w:name w:val="正文内容格式"/>
    <w:basedOn w:val="1"/>
    <w:qFormat/>
    <w:uiPriority w:val="0"/>
    <w:pPr>
      <w:widowControl/>
      <w:ind w:firstLine="482"/>
      <w:textAlignment w:val="baseline"/>
    </w:pPr>
    <w:rPr>
      <w:rFonts w:eastAsia="仿宋_GB2312"/>
      <w:kern w:val="0"/>
      <w:sz w:val="28"/>
    </w:rPr>
  </w:style>
  <w:style w:type="paragraph" w:styleId="32">
    <w:name w:val="Quote"/>
    <w:next w:val="1"/>
    <w:qFormat/>
    <w:uiPriority w:val="29"/>
    <w:pPr>
      <w:widowControl w:val="0"/>
      <w:jc w:val="both"/>
    </w:pPr>
    <w:rPr>
      <w:rFonts w:ascii="Calibri" w:hAnsi="Calibri" w:cs="Calibri" w:eastAsiaTheme="minorEastAsia"/>
      <w:i/>
      <w:iCs/>
      <w:color w:val="000000"/>
      <w:kern w:val="2"/>
      <w:sz w:val="22"/>
      <w:szCs w:val="22"/>
      <w:lang w:val="en-US" w:eastAsia="zh-CN" w:bidi="ar-SA"/>
    </w:rPr>
  </w:style>
  <w:style w:type="character" w:customStyle="1" w:styleId="33">
    <w:name w:val="页眉 字符"/>
    <w:basedOn w:val="24"/>
    <w:link w:val="15"/>
    <w:qFormat/>
    <w:uiPriority w:val="99"/>
    <w:rPr>
      <w:sz w:val="18"/>
      <w:szCs w:val="18"/>
    </w:rPr>
  </w:style>
  <w:style w:type="character" w:customStyle="1" w:styleId="34">
    <w:name w:val="页脚 字符"/>
    <w:basedOn w:val="24"/>
    <w:link w:val="14"/>
    <w:qFormat/>
    <w:uiPriority w:val="99"/>
    <w:rPr>
      <w:sz w:val="18"/>
      <w:szCs w:val="18"/>
    </w:rPr>
  </w:style>
  <w:style w:type="character" w:customStyle="1" w:styleId="35">
    <w:name w:val="批注框文本 字符"/>
    <w:basedOn w:val="24"/>
    <w:link w:val="13"/>
    <w:semiHidden/>
    <w:qFormat/>
    <w:uiPriority w:val="99"/>
    <w:rPr>
      <w:sz w:val="18"/>
      <w:szCs w:val="18"/>
    </w:rPr>
  </w:style>
  <w:style w:type="character" w:customStyle="1" w:styleId="36">
    <w:name w:val="普通(网站) 字符"/>
    <w:link w:val="18"/>
    <w:qFormat/>
    <w:uiPriority w:val="99"/>
    <w:rPr>
      <w:rFonts w:ascii="宋体" w:hAnsi="宋体"/>
      <w:sz w:val="24"/>
      <w:szCs w:val="24"/>
    </w:rPr>
  </w:style>
  <w:style w:type="character" w:customStyle="1" w:styleId="37">
    <w:name w:val="标题 1 字符"/>
    <w:basedOn w:val="24"/>
    <w:link w:val="4"/>
    <w:qFormat/>
    <w:uiPriority w:val="0"/>
    <w:rPr>
      <w:rFonts w:ascii="Arial" w:hAnsi="Arial" w:eastAsia="宋体" w:cs="Times New Roman"/>
      <w:b/>
      <w:bCs/>
      <w:kern w:val="44"/>
      <w:sz w:val="44"/>
      <w:szCs w:val="44"/>
    </w:rPr>
  </w:style>
  <w:style w:type="paragraph" w:styleId="38">
    <w:name w:val="List Paragraph"/>
    <w:basedOn w:val="1"/>
    <w:qFormat/>
    <w:uiPriority w:val="34"/>
    <w:pPr>
      <w:ind w:firstLine="420" w:firstLineChars="200"/>
    </w:pPr>
  </w:style>
  <w:style w:type="character" w:customStyle="1" w:styleId="39">
    <w:name w:val="文档结构图 字符"/>
    <w:basedOn w:val="24"/>
    <w:link w:val="9"/>
    <w:semiHidden/>
    <w:qFormat/>
    <w:uiPriority w:val="99"/>
    <w:rPr>
      <w:rFonts w:ascii="宋体" w:eastAsia="宋体"/>
      <w:sz w:val="18"/>
      <w:szCs w:val="18"/>
    </w:rPr>
  </w:style>
  <w:style w:type="character" w:customStyle="1" w:styleId="40">
    <w:name w:val="标题 2 字符"/>
    <w:basedOn w:val="24"/>
    <w:link w:val="5"/>
    <w:semiHidden/>
    <w:qFormat/>
    <w:uiPriority w:val="9"/>
    <w:rPr>
      <w:rFonts w:asciiTheme="majorHAnsi" w:hAnsiTheme="majorHAnsi" w:eastAsiaTheme="majorEastAsia" w:cstheme="majorBidi"/>
      <w:b/>
      <w:bCs/>
      <w:sz w:val="32"/>
      <w:szCs w:val="32"/>
    </w:rPr>
  </w:style>
  <w:style w:type="character" w:customStyle="1" w:styleId="41">
    <w:name w:val="批注文字 字符"/>
    <w:basedOn w:val="24"/>
    <w:link w:val="10"/>
    <w:qFormat/>
    <w:uiPriority w:val="99"/>
  </w:style>
  <w:style w:type="character" w:customStyle="1" w:styleId="42">
    <w:name w:val="标题 3 Char"/>
    <w:qFormat/>
    <w:uiPriority w:val="0"/>
    <w:rPr>
      <w:rFonts w:ascii="黑体" w:eastAsia="黑体"/>
      <w:bCs/>
      <w:sz w:val="30"/>
    </w:rPr>
  </w:style>
  <w:style w:type="character" w:customStyle="1" w:styleId="43">
    <w:name w:val="批注主题 字符"/>
    <w:basedOn w:val="41"/>
    <w:link w:val="20"/>
    <w:semiHidden/>
    <w:qFormat/>
    <w:uiPriority w:val="99"/>
    <w:rPr>
      <w:b/>
      <w:bCs/>
    </w:rPr>
  </w:style>
  <w:style w:type="table" w:customStyle="1" w:styleId="44">
    <w:name w:val="网格型1"/>
    <w:basedOn w:val="22"/>
    <w:qFormat/>
    <w:uiPriority w:val="39"/>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5">
    <w:name w:val="Table Paragraph"/>
    <w:qFormat/>
    <w:uiPriority w:val="1"/>
    <w:pPr>
      <w:widowControl w:val="0"/>
      <w:jc w:val="both"/>
    </w:pPr>
    <w:rPr>
      <w:rFonts w:ascii="宋体" w:hAnsi="宋体" w:eastAsia="宋体" w:cs="宋体"/>
      <w:kern w:val="2"/>
      <w:sz w:val="21"/>
      <w:szCs w:val="24"/>
      <w:lang w:val="zh-CN" w:eastAsia="zh-CN" w:bidi="zh-CN"/>
    </w:rPr>
  </w:style>
  <w:style w:type="paragraph" w:customStyle="1" w:styleId="46">
    <w:name w:val="Normal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7">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48">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49">
    <w:name w:val="修订3"/>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50">
    <w:name w:val="font21"/>
    <w:basedOn w:val="24"/>
    <w:qFormat/>
    <w:uiPriority w:val="0"/>
    <w:rPr>
      <w:rFonts w:hint="eastAsia" w:ascii="宋体" w:hAnsi="宋体" w:eastAsia="宋体" w:cs="宋体"/>
      <w:color w:val="000000"/>
      <w:sz w:val="22"/>
      <w:szCs w:val="22"/>
      <w:u w:val="none"/>
    </w:rPr>
  </w:style>
  <w:style w:type="character" w:customStyle="1" w:styleId="51">
    <w:name w:val="font31"/>
    <w:basedOn w:val="24"/>
    <w:qFormat/>
    <w:uiPriority w:val="0"/>
    <w:rPr>
      <w:rFonts w:hint="eastAsia" w:ascii="宋体" w:hAnsi="宋体" w:eastAsia="宋体" w:cs="宋体"/>
      <w:color w:val="000000"/>
      <w:sz w:val="22"/>
      <w:szCs w:val="22"/>
      <w:u w:val="none"/>
    </w:rPr>
  </w:style>
  <w:style w:type="character" w:customStyle="1" w:styleId="52">
    <w:name w:val="font51"/>
    <w:basedOn w:val="24"/>
    <w:qFormat/>
    <w:uiPriority w:val="0"/>
    <w:rPr>
      <w:rFonts w:hint="eastAsia" w:ascii="宋体" w:hAnsi="宋体" w:eastAsia="宋体" w:cs="宋体"/>
      <w:color w:val="000000"/>
      <w:sz w:val="21"/>
      <w:szCs w:val="21"/>
      <w:u w:val="none"/>
    </w:rPr>
  </w:style>
  <w:style w:type="character" w:customStyle="1" w:styleId="53">
    <w:name w:val="font61"/>
    <w:basedOn w:val="24"/>
    <w:qFormat/>
    <w:uiPriority w:val="0"/>
    <w:rPr>
      <w:rFonts w:hint="default" w:ascii="Times New Roman" w:hAnsi="Times New Roman" w:cs="Times New Roman"/>
      <w:color w:val="000000"/>
      <w:sz w:val="21"/>
      <w:szCs w:val="21"/>
      <w:u w:val="none"/>
    </w:rPr>
  </w:style>
  <w:style w:type="paragraph" w:customStyle="1" w:styleId="54">
    <w:name w:val="pf0"/>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55">
    <w:name w:val="font41"/>
    <w:qFormat/>
    <w:uiPriority w:val="0"/>
    <w:rPr>
      <w:rFonts w:hint="eastAsia" w:ascii="宋体" w:hAnsi="宋体" w:eastAsia="宋体"/>
      <w:color w:val="000000"/>
      <w:kern w:val="2"/>
      <w:sz w:val="18"/>
      <w:u w:val="none"/>
    </w:rPr>
  </w:style>
  <w:style w:type="paragraph" w:customStyle="1" w:styleId="56">
    <w:name w:val="普通段落"/>
    <w:qFormat/>
    <w:uiPriority w:val="0"/>
    <w:pPr>
      <w:widowControl w:val="0"/>
      <w:adjustRightInd w:val="0"/>
      <w:spacing w:line="360" w:lineRule="auto"/>
      <w:ind w:firstLine="425"/>
      <w:jc w:val="both"/>
      <w:textAlignment w:val="baseline"/>
    </w:pPr>
    <w:rPr>
      <w:rFonts w:ascii="Times New Roman" w:hAnsi="Times New Roman" w:eastAsia="宋体" w:cs="Times New Roman"/>
      <w:sz w:val="24"/>
      <w:lang w:val="en-US" w:eastAsia="zh-CN" w:bidi="ar-SA"/>
    </w:rPr>
  </w:style>
  <w:style w:type="paragraph" w:customStyle="1" w:styleId="57">
    <w:name w:val="p0"/>
    <w:basedOn w:val="1"/>
    <w:qFormat/>
    <w:uiPriority w:val="0"/>
    <w:pPr>
      <w:widowControl/>
    </w:pPr>
    <w:rPr>
      <w:rFonts w:ascii="Times New Roman" w:hAnsi="Times New Roman"/>
      <w:kern w:val="0"/>
      <w:szCs w:val="21"/>
    </w:rPr>
  </w:style>
  <w:style w:type="paragraph" w:customStyle="1" w:styleId="58">
    <w:name w:val="Revision"/>
    <w:hidden/>
    <w:unhideWhenUsed/>
    <w:qFormat/>
    <w:uiPriority w:val="99"/>
    <w:rPr>
      <w:rFonts w:asciiTheme="minorHAnsi" w:hAnsiTheme="minorHAnsi" w:eastAsiaTheme="minorEastAsia" w:cstheme="minorBidi"/>
      <w:kern w:val="2"/>
      <w:sz w:val="21"/>
      <w:szCs w:val="22"/>
      <w:lang w:val="en-US" w:eastAsia="zh-CN" w:bidi="ar-SA"/>
    </w:rPr>
  </w:style>
  <w:style w:type="table" w:customStyle="1" w:styleId="59">
    <w:name w:val="Table Normal_0"/>
    <w:unhideWhenUsed/>
    <w:qFormat/>
    <w:uiPriority w:val="0"/>
    <w:rPr>
      <w:rFonts w:ascii="Arial" w:hAnsi="Arial" w:eastAsia="宋体" w:cs="Arial"/>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53</Pages>
  <Words>44763</Words>
  <Characters>46874</Characters>
  <Lines>365</Lines>
  <Paragraphs>102</Paragraphs>
  <TotalTime>10</TotalTime>
  <ScaleCrop>false</ScaleCrop>
  <LinksUpToDate>false</LinksUpToDate>
  <CharactersWithSpaces>48419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2025-07-08T11:28:00Z</dcterms:created>
  <dc:creator>win7-1</dc:creator>
  <cp:lastModifiedBy>陈聪</cp:lastModifiedBy>
  <cp:lastPrinted>2021-01-15T01:17:00Z</cp:lastPrinted>
  <dcterms:modified xsi:type="dcterms:W3CDTF">2025-07-24T07:24:08Z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5640A3603DEC4F9991DD0C80F5DAE4DA_13</vt:lpwstr>
  </property>
  <property fmtid="{D5CDD505-2E9C-101B-9397-08002B2CF9AE}" pid="4" name="KSOTemplateDocerSaveRecord">
    <vt:lpwstr>eyJoZGlkIjoiMmE1ODA5NTMwY2Q3OWI4NGJkZjk1NzcwMmIzZmRhMjIiLCJ1c2VySWQiOiIyMTE2Mzg2ODgifQ==</vt:lpwstr>
  </property>
</Properties>
</file>