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sz w:val="30"/>
                <w:szCs w:val="30"/>
              </w:rPr>
              <w:t>BAZXCG-2025-00346</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深圳市宝安区西湾小学（集团）蘅芳校区厨房设备采购项目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96"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18"/>
        <w:gridCol w:w="563"/>
        <w:gridCol w:w="681"/>
        <w:gridCol w:w="2837"/>
        <w:gridCol w:w="681"/>
        <w:gridCol w:w="4198"/>
        <w:gridCol w:w="11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18"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18" w:type="dxa"/>
          <w:tblCellSpacing w:w="0" w:type="dxa"/>
          <w:jc w:val="center"/>
        </w:trPr>
        <w:tc>
          <w:tcPr>
            <w:tcW w:w="9078" w:type="dxa"/>
            <w:gridSpan w:val="6"/>
            <w:shd w:val="clear" w:color="auto" w:fill="auto"/>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rHeight w:val="379" w:hRule="atLeast"/>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eastAsiaTheme="minorEastAsia"/>
                <w:szCs w:val="21"/>
                <w:lang w:val="en-US" w:eastAsia="zh-CN"/>
              </w:rPr>
              <w:t>47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6.25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eastAsiaTheme="minorEastAsia"/>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0.27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kern w:val="0"/>
                <w:sz w:val="21"/>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1"/>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评审内容：</w:t>
            </w:r>
          </w:p>
          <w:p>
            <w:pPr>
              <w:widowControl/>
              <w:numPr>
                <w:ilvl w:val="-1"/>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投标人提供本项目的组织实施方案，方案中应包含</w:t>
            </w:r>
            <w:r>
              <w:rPr>
                <w:rFonts w:hint="eastAsia" w:ascii="宋体" w:hAnsi="宋体" w:eastAsia="宋体" w:cs="宋体"/>
                <w:kern w:val="0"/>
                <w:sz w:val="21"/>
                <w:szCs w:val="21"/>
                <w:lang w:eastAsia="zh-CN" w:bidi="ar"/>
              </w:rPr>
              <w:t>：</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项目进度计划安排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施工组织计划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验收组织计划 </w:t>
            </w:r>
          </w:p>
          <w:p>
            <w:pPr>
              <w:widowControl/>
              <w:numPr>
                <w:ilvl w:val="0"/>
                <w:numId w:val="2"/>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产品培训方案 </w:t>
            </w:r>
          </w:p>
          <w:p>
            <w:pPr>
              <w:widowControl/>
              <w:numPr>
                <w:ilvl w:val="0"/>
                <w:numId w:val="1"/>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评审标准：</w:t>
            </w:r>
          </w:p>
          <w:p>
            <w:pPr>
              <w:widowControl/>
              <w:numPr>
                <w:ilvl w:val="-1"/>
                <w:numId w:val="0"/>
              </w:numPr>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bidi="ar"/>
              </w:rPr>
              <w:t>方案中含有上述一个内容得15分</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最高得60分</w:t>
            </w:r>
            <w:r>
              <w:rPr>
                <w:rFonts w:hint="eastAsia" w:ascii="宋体" w:hAnsi="宋体" w:eastAsia="宋体" w:cs="宋体"/>
                <w:kern w:val="0"/>
                <w:sz w:val="21"/>
                <w:szCs w:val="21"/>
                <w:lang w:bidi="ar"/>
              </w:rPr>
              <w:t>。</w:t>
            </w:r>
          </w:p>
          <w:p>
            <w:pPr>
              <w:widowControl/>
              <w:numPr>
                <w:ilvl w:val="-1"/>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在此基础上，对方案的合理性、可行性进行打分</w:t>
            </w:r>
            <w:r>
              <w:rPr>
                <w:rFonts w:hint="eastAsia" w:ascii="宋体" w:hAnsi="宋体" w:eastAsia="宋体" w:cs="宋体"/>
                <w:kern w:val="0"/>
                <w:sz w:val="21"/>
                <w:szCs w:val="21"/>
                <w:lang w:eastAsia="zh-CN" w:bidi="ar"/>
              </w:rPr>
              <w:t>：</w:t>
            </w:r>
          </w:p>
          <w:p>
            <w:pPr>
              <w:widowControl/>
              <w:numPr>
                <w:ilvl w:val="-1"/>
                <w:numId w:val="0"/>
              </w:numPr>
              <w:ind w:left="105"/>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方案清晰周密、合理可行、表述完整、方法得当、技术先进、符合相关规范要求得40分。 </w:t>
            </w:r>
          </w:p>
          <w:p>
            <w:pPr>
              <w:widowControl/>
              <w:numPr>
                <w:ilvl w:val="-1"/>
                <w:numId w:val="0"/>
              </w:numPr>
              <w:ind w:left="105"/>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方案基本可行表述基本完整得20分。 </w:t>
            </w:r>
          </w:p>
          <w:p>
            <w:pPr>
              <w:widowControl/>
              <w:numPr>
                <w:ilvl w:val="-1"/>
                <w:numId w:val="0"/>
              </w:numPr>
              <w:ind w:left="105"/>
              <w:jc w:val="left"/>
              <w:textAlignment w:val="center"/>
              <w:rPr>
                <w:rFonts w:hint="eastAsia" w:ascii="宋体" w:hAnsi="宋体" w:eastAsia="宋体" w:cs="宋体"/>
                <w:color w:val="0000FF"/>
                <w:kern w:val="2"/>
                <w:sz w:val="21"/>
                <w:szCs w:val="21"/>
                <w:lang w:val="en-US" w:eastAsia="zh-CN" w:bidi="ar"/>
              </w:rPr>
            </w:pP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3</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未提供或方案计划不切合本项目的实际情况、合理完善性差、可行性差的对应项不得分。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sz w:val="21"/>
                <w:szCs w:val="21"/>
              </w:rPr>
              <w:t>厨房设备布局设计图整体评价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color w:val="030405"/>
                <w:sz w:val="21"/>
                <w:szCs w:val="21"/>
                <w:lang w:val="en-US" w:eastAsia="zh-CN"/>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投标人提供设计符合招标文件要求，空间设计布置合理，符合采购单位需求，针对本项目提供项目设计图方案，方案中应包含：</w:t>
            </w:r>
          </w:p>
          <w:p>
            <w:pPr>
              <w:numPr>
                <w:ilvl w:val="0"/>
                <w:numId w:val="3"/>
              </w:num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厨房</w:t>
            </w:r>
            <w:r>
              <w:rPr>
                <w:rFonts w:hint="eastAsia" w:ascii="宋体" w:hAnsi="宋体" w:cs="宋体"/>
                <w:color w:val="0000FF"/>
                <w:szCs w:val="21"/>
                <w:highlight w:val="none"/>
                <w:lang w:val="en-US" w:eastAsia="zh-CN"/>
              </w:rPr>
              <w:t>设备</w:t>
            </w:r>
            <w:r>
              <w:rPr>
                <w:rFonts w:hint="eastAsia" w:ascii="宋体" w:hAnsi="宋体" w:eastAsia="宋体" w:cs="宋体"/>
                <w:color w:val="0000FF"/>
                <w:szCs w:val="21"/>
                <w:highlight w:val="none"/>
              </w:rPr>
              <w:t>平面</w:t>
            </w:r>
            <w:r>
              <w:rPr>
                <w:rFonts w:hint="eastAsia" w:ascii="宋体" w:hAnsi="宋体" w:cs="宋体"/>
                <w:color w:val="0000FF"/>
                <w:szCs w:val="21"/>
                <w:highlight w:val="none"/>
                <w:lang w:val="en-US" w:eastAsia="zh-CN"/>
              </w:rPr>
              <w:t>布置</w:t>
            </w:r>
            <w:r>
              <w:rPr>
                <w:rFonts w:hint="eastAsia" w:ascii="宋体" w:hAnsi="宋体" w:eastAsia="宋体" w:cs="宋体"/>
                <w:color w:val="0000FF"/>
                <w:szCs w:val="21"/>
                <w:highlight w:val="none"/>
              </w:rPr>
              <w:t>图</w:t>
            </w:r>
          </w:p>
          <w:p>
            <w:pPr>
              <w:numPr>
                <w:ilvl w:val="0"/>
                <w:numId w:val="3"/>
              </w:numPr>
              <w:snapToGrid w:val="0"/>
              <w:jc w:val="both"/>
              <w:rPr>
                <w:rFonts w:hint="eastAsia" w:ascii="宋体" w:hAnsi="宋体" w:eastAsia="宋体" w:cs="宋体"/>
                <w:color w:val="0000FF"/>
                <w:szCs w:val="21"/>
                <w:highlight w:val="none"/>
              </w:rPr>
            </w:pPr>
            <w:r>
              <w:rPr>
                <w:rFonts w:hint="eastAsia" w:ascii="宋体" w:hAnsi="宋体" w:cs="宋体"/>
                <w:color w:val="0000FF"/>
                <w:szCs w:val="21"/>
                <w:highlight w:val="none"/>
                <w:lang w:val="en-US" w:eastAsia="zh-CN"/>
              </w:rPr>
              <w:t>厨房</w:t>
            </w:r>
            <w:r>
              <w:rPr>
                <w:rFonts w:hint="eastAsia" w:ascii="宋体" w:hAnsi="宋体" w:eastAsia="宋体" w:cs="宋体"/>
                <w:color w:val="0000FF"/>
                <w:szCs w:val="21"/>
                <w:highlight w:val="none"/>
              </w:rPr>
              <w:t>设备</w:t>
            </w:r>
            <w:r>
              <w:rPr>
                <w:rFonts w:hint="eastAsia" w:ascii="宋体" w:hAnsi="宋体" w:cs="宋体"/>
                <w:color w:val="0000FF"/>
                <w:szCs w:val="21"/>
                <w:highlight w:val="none"/>
                <w:lang w:val="en-US" w:eastAsia="zh-CN"/>
              </w:rPr>
              <w:t>布电点位</w:t>
            </w:r>
            <w:r>
              <w:rPr>
                <w:rFonts w:hint="eastAsia" w:ascii="宋体" w:hAnsi="宋体" w:eastAsia="宋体" w:cs="宋体"/>
                <w:color w:val="0000FF"/>
                <w:szCs w:val="21"/>
                <w:highlight w:val="none"/>
              </w:rPr>
              <w:t>图</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jc w:val="both"/>
              <w:rPr>
                <w:rFonts w:hint="eastAsia" w:ascii="宋体" w:hAnsi="宋体" w:eastAsia="宋体" w:cs="宋体"/>
                <w:color w:val="0000FF"/>
                <w:szCs w:val="21"/>
                <w:highlight w:val="none"/>
              </w:rPr>
            </w:pPr>
            <w:r>
              <w:rPr>
                <w:rFonts w:hint="eastAsia" w:ascii="宋体" w:hAnsi="宋体" w:cs="宋体"/>
                <w:color w:val="0000FF"/>
                <w:szCs w:val="21"/>
                <w:highlight w:val="none"/>
                <w:lang w:val="en-US" w:eastAsia="zh-CN"/>
              </w:rPr>
              <w:t>1、</w:t>
            </w:r>
            <w:r>
              <w:rPr>
                <w:rFonts w:hint="eastAsia" w:ascii="宋体" w:hAnsi="宋体" w:eastAsia="宋体" w:cs="宋体"/>
                <w:color w:val="0000FF"/>
                <w:szCs w:val="21"/>
                <w:highlight w:val="none"/>
              </w:rPr>
              <w:t>提供厨房</w:t>
            </w:r>
            <w:r>
              <w:rPr>
                <w:rFonts w:hint="eastAsia" w:ascii="宋体" w:hAnsi="宋体" w:cs="宋体"/>
                <w:color w:val="0000FF"/>
                <w:szCs w:val="21"/>
                <w:highlight w:val="none"/>
                <w:lang w:val="en-US" w:eastAsia="zh-CN"/>
              </w:rPr>
              <w:t>设备</w:t>
            </w:r>
            <w:r>
              <w:rPr>
                <w:rFonts w:hint="eastAsia" w:ascii="宋体" w:hAnsi="宋体" w:eastAsia="宋体" w:cs="宋体"/>
                <w:color w:val="0000FF"/>
                <w:szCs w:val="21"/>
                <w:highlight w:val="none"/>
              </w:rPr>
              <w:t>平面</w:t>
            </w:r>
            <w:r>
              <w:rPr>
                <w:rFonts w:hint="eastAsia" w:ascii="宋体" w:hAnsi="宋体" w:cs="宋体"/>
                <w:color w:val="0000FF"/>
                <w:szCs w:val="21"/>
                <w:highlight w:val="none"/>
                <w:lang w:val="en-US" w:eastAsia="zh-CN"/>
              </w:rPr>
              <w:t>布置</w:t>
            </w:r>
            <w:r>
              <w:rPr>
                <w:rFonts w:hint="eastAsia" w:ascii="宋体" w:hAnsi="宋体" w:eastAsia="宋体" w:cs="宋体"/>
                <w:color w:val="0000FF"/>
                <w:szCs w:val="21"/>
                <w:highlight w:val="none"/>
              </w:rPr>
              <w:t>图、</w:t>
            </w:r>
            <w:r>
              <w:rPr>
                <w:rFonts w:hint="eastAsia" w:ascii="宋体" w:hAnsi="宋体" w:cs="宋体"/>
                <w:color w:val="0000FF"/>
                <w:szCs w:val="21"/>
                <w:highlight w:val="none"/>
                <w:lang w:val="en-US" w:eastAsia="zh-CN"/>
              </w:rPr>
              <w:t>厨房</w:t>
            </w:r>
            <w:r>
              <w:rPr>
                <w:rFonts w:hint="eastAsia" w:ascii="宋体" w:hAnsi="宋体" w:eastAsia="宋体" w:cs="宋体"/>
                <w:color w:val="0000FF"/>
                <w:szCs w:val="21"/>
                <w:highlight w:val="none"/>
              </w:rPr>
              <w:t>设备</w:t>
            </w:r>
            <w:r>
              <w:rPr>
                <w:rFonts w:hint="eastAsia" w:ascii="宋体" w:hAnsi="宋体" w:cs="宋体"/>
                <w:color w:val="0000FF"/>
                <w:szCs w:val="21"/>
                <w:highlight w:val="none"/>
                <w:lang w:val="en-US" w:eastAsia="zh-CN"/>
              </w:rPr>
              <w:t>布电点位</w:t>
            </w:r>
            <w:r>
              <w:rPr>
                <w:rFonts w:hint="eastAsia" w:ascii="宋体" w:hAnsi="宋体" w:eastAsia="宋体" w:cs="宋体"/>
                <w:color w:val="0000FF"/>
                <w:szCs w:val="21"/>
                <w:highlight w:val="none"/>
              </w:rPr>
              <w:t>图，每提供</w:t>
            </w:r>
            <w:r>
              <w:rPr>
                <w:rFonts w:hint="eastAsia" w:ascii="宋体" w:hAnsi="宋体" w:cs="宋体"/>
                <w:color w:val="0000FF"/>
                <w:szCs w:val="21"/>
                <w:highlight w:val="none"/>
                <w:lang w:val="en-US" w:eastAsia="zh-CN"/>
              </w:rPr>
              <w:t>其中</w:t>
            </w:r>
            <w:r>
              <w:rPr>
                <w:rFonts w:hint="eastAsia" w:ascii="宋体" w:hAnsi="宋体" w:eastAsia="宋体" w:cs="宋体"/>
                <w:color w:val="0000FF"/>
                <w:szCs w:val="21"/>
                <w:highlight w:val="none"/>
              </w:rPr>
              <w:t>一个得</w:t>
            </w:r>
            <w:r>
              <w:rPr>
                <w:rFonts w:hint="eastAsia" w:ascii="宋体" w:hAnsi="宋体" w:cs="宋体"/>
                <w:color w:val="0000FF"/>
                <w:szCs w:val="21"/>
                <w:highlight w:val="none"/>
                <w:lang w:val="en-US" w:eastAsia="zh-CN"/>
              </w:rPr>
              <w:t>20</w:t>
            </w:r>
            <w:r>
              <w:rPr>
                <w:rFonts w:hint="eastAsia" w:ascii="宋体" w:hAnsi="宋体" w:eastAsia="宋体" w:cs="宋体"/>
                <w:color w:val="0000FF"/>
                <w:szCs w:val="21"/>
                <w:highlight w:val="none"/>
              </w:rPr>
              <w:t>分，最高得</w:t>
            </w:r>
            <w:r>
              <w:rPr>
                <w:rFonts w:hint="eastAsia" w:ascii="宋体" w:hAnsi="宋体" w:cs="宋体"/>
                <w:color w:val="0000FF"/>
                <w:szCs w:val="21"/>
                <w:highlight w:val="none"/>
                <w:lang w:val="en-US" w:eastAsia="zh-CN"/>
              </w:rPr>
              <w:t>40</w:t>
            </w:r>
            <w:r>
              <w:rPr>
                <w:rFonts w:hint="eastAsia" w:ascii="宋体" w:hAnsi="宋体" w:eastAsia="宋体" w:cs="宋体"/>
                <w:color w:val="0000FF"/>
                <w:szCs w:val="21"/>
                <w:highlight w:val="none"/>
              </w:rPr>
              <w:t>分。</w:t>
            </w:r>
          </w:p>
          <w:p>
            <w:pPr>
              <w:snapToGrid w:val="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2、在此基础上，依以下标准打分：</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1）优：</w:t>
            </w:r>
            <w:r>
              <w:rPr>
                <w:rFonts w:hint="eastAsia" w:ascii="宋体" w:hAnsi="宋体" w:cs="宋体"/>
                <w:color w:val="0000FF"/>
                <w:szCs w:val="21"/>
                <w:highlight w:val="none"/>
                <w:lang w:val="en-US" w:eastAsia="zh-CN"/>
              </w:rPr>
              <w:t>图纸</w:t>
            </w:r>
            <w:r>
              <w:rPr>
                <w:rFonts w:hint="eastAsia" w:ascii="宋体" w:hAnsi="宋体" w:eastAsia="宋体" w:cs="宋体"/>
                <w:color w:val="0000FF"/>
                <w:szCs w:val="21"/>
                <w:highlight w:val="none"/>
              </w:rPr>
              <w:t>有结合现场实际环境设计、图纸合理符合评审要求、可实施性强、清晰准确、符合学校的实际需求，评价为优，得60分；</w:t>
            </w:r>
          </w:p>
          <w:p>
            <w:pPr>
              <w:snapToGrid w:val="0"/>
              <w:jc w:val="both"/>
              <w:rPr>
                <w:rFonts w:hint="eastAsia" w:ascii="宋体" w:hAnsi="宋体" w:eastAsia="宋体" w:cs="宋体"/>
                <w:color w:val="0000FF"/>
                <w:szCs w:val="21"/>
                <w:highlight w:val="none"/>
              </w:rPr>
            </w:pPr>
            <w:r>
              <w:rPr>
                <w:rFonts w:hint="eastAsia" w:ascii="宋体" w:hAnsi="宋体" w:eastAsia="宋体" w:cs="宋体"/>
                <w:color w:val="0000FF"/>
                <w:szCs w:val="21"/>
                <w:highlight w:val="none"/>
              </w:rPr>
              <w:t xml:space="preserve"> 2）良：</w:t>
            </w:r>
            <w:r>
              <w:rPr>
                <w:rFonts w:hint="eastAsia" w:ascii="宋体" w:hAnsi="宋体" w:cs="宋体"/>
                <w:color w:val="0000FF"/>
                <w:szCs w:val="21"/>
                <w:highlight w:val="none"/>
                <w:lang w:val="en-US" w:eastAsia="zh-CN"/>
              </w:rPr>
              <w:t>图纸</w:t>
            </w:r>
            <w:r>
              <w:rPr>
                <w:rFonts w:hint="eastAsia" w:ascii="宋体" w:hAnsi="宋体" w:eastAsia="宋体" w:cs="宋体"/>
                <w:color w:val="0000FF"/>
                <w:szCs w:val="21"/>
                <w:highlight w:val="none"/>
              </w:rPr>
              <w:t>有结合现场实际环境设计、图纸较合理、可实施较强、较清晰准确，较好的满足学校实际需求，得</w:t>
            </w:r>
            <w:r>
              <w:rPr>
                <w:rFonts w:hint="eastAsia" w:ascii="宋体" w:hAnsi="宋体" w:cs="宋体"/>
                <w:color w:val="0000FF"/>
                <w:szCs w:val="21"/>
                <w:highlight w:val="none"/>
                <w:lang w:val="en-US" w:eastAsia="zh-CN"/>
              </w:rPr>
              <w:t>3</w:t>
            </w:r>
            <w:r>
              <w:rPr>
                <w:rFonts w:hint="eastAsia" w:ascii="宋体" w:hAnsi="宋体" w:eastAsia="宋体" w:cs="宋体"/>
                <w:color w:val="0000FF"/>
                <w:szCs w:val="21"/>
                <w:highlight w:val="none"/>
              </w:rPr>
              <w:t>0分；</w:t>
            </w:r>
          </w:p>
          <w:p>
            <w:pPr>
              <w:snapToGrid w:val="0"/>
              <w:jc w:val="both"/>
              <w:rPr>
                <w:rFonts w:hint="eastAsia" w:ascii="宋体" w:hAnsi="宋体" w:eastAsia="等线" w:cs="Times New Roman"/>
                <w:kern w:val="2"/>
                <w:sz w:val="21"/>
                <w:szCs w:val="21"/>
                <w:lang w:val="en-US" w:eastAsia="zh-CN" w:bidi="ar-SA"/>
              </w:rPr>
            </w:pPr>
            <w:r>
              <w:rPr>
                <w:rFonts w:hint="eastAsia" w:ascii="宋体" w:hAnsi="宋体" w:eastAsia="宋体" w:cs="宋体"/>
                <w:color w:val="0000FF"/>
                <w:szCs w:val="21"/>
                <w:highlight w:val="none"/>
              </w:rPr>
              <w:t xml:space="preserve"> </w:t>
            </w:r>
            <w:r>
              <w:rPr>
                <w:rFonts w:hint="eastAsia" w:ascii="宋体" w:hAnsi="宋体" w:cs="宋体"/>
                <w:color w:val="0000FF"/>
                <w:szCs w:val="21"/>
                <w:highlight w:val="none"/>
                <w:lang w:val="en-US" w:eastAsia="zh-CN"/>
              </w:rPr>
              <w:t>3</w:t>
            </w:r>
            <w:r>
              <w:rPr>
                <w:rFonts w:hint="eastAsia" w:ascii="宋体" w:hAnsi="宋体" w:eastAsia="宋体" w:cs="宋体"/>
                <w:color w:val="0000FF"/>
                <w:szCs w:val="21"/>
                <w:highlight w:val="none"/>
              </w:rPr>
              <w:t>）差：未结合现场实际环境设计、随意用其它设计图纸代替，得0分。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Times New Roman"/>
                <w:szCs w:val="21"/>
                <w:lang w:val="en-US" w:eastAsia="zh-CN"/>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Times New Roman"/>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cs="Times New Roman"/>
                <w:color w:val="0000FF"/>
                <w:szCs w:val="21"/>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Times New Roman"/>
                <w:szCs w:val="21"/>
                <w:lang w:val="en-US" w:eastAsia="zh-CN"/>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Times New Roman"/>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cs="Times New Roman"/>
                <w:color w:val="0000FF"/>
                <w:szCs w:val="21"/>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Times New Roman"/>
                <w:kern w:val="2"/>
                <w:sz w:val="21"/>
                <w:szCs w:val="21"/>
                <w:lang w:val="en-US" w:eastAsia="zh-CN" w:bidi="ar-SA"/>
              </w:rPr>
            </w:pPr>
            <w:r>
              <w:rPr>
                <w:rFonts w:hint="eastAsia" w:ascii="宋体" w:hAnsi="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2021年1月1日（以合同签订日期为准）以后，投标人具有与本项目同类项目经验，每提供一个得50分，最高得100分。</w:t>
            </w:r>
          </w:p>
          <w:p>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证明材料：</w:t>
            </w:r>
          </w:p>
          <w:p>
            <w:pPr>
              <w:pStyle w:val="10"/>
              <w:rPr>
                <w:rFonts w:hint="eastAsia" w:ascii="宋体" w:hAnsi="宋体" w:cs="宋体"/>
                <w:szCs w:val="21"/>
              </w:rPr>
            </w:pPr>
            <w:r>
              <w:rPr>
                <w:rFonts w:hint="eastAsia" w:ascii="宋体" w:hAnsi="宋体" w:eastAsia="宋体" w:cs="宋体"/>
                <w:kern w:val="0"/>
                <w:sz w:val="21"/>
                <w:szCs w:val="21"/>
                <w:lang w:bidi="ar"/>
              </w:rPr>
              <w:t>1、同时提供以下：（1）合同关键页</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须能体现投标人信息</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扫描件；（2）设备配置清单扫描件；</w:t>
            </w:r>
          </w:p>
          <w:p>
            <w:pPr>
              <w:widowControl/>
              <w:jc w:val="left"/>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color w:val="030405"/>
                <w:kern w:val="0"/>
                <w:sz w:val="21"/>
                <w:szCs w:val="21"/>
                <w:lang w:bidi="ar"/>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bidi="ar"/>
              </w:rPr>
            </w:pPr>
            <w:r>
              <w:rPr>
                <w:rFonts w:hint="eastAsia" w:ascii="宋体" w:hAnsi="宋体" w:eastAsia="宋体" w:cs="宋体"/>
                <w:color w:val="030405"/>
                <w:kern w:val="0"/>
                <w:sz w:val="21"/>
                <w:szCs w:val="21"/>
                <w:lang w:bidi="ar"/>
              </w:rPr>
              <w:t>投标人通过相关认证情况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30405"/>
                <w:kern w:val="0"/>
                <w:sz w:val="21"/>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default" w:ascii="宋体" w:hAnsi="宋体" w:eastAsia="宋体" w:cs="宋体"/>
                <w:color w:val="030405"/>
                <w:kern w:val="0"/>
                <w:sz w:val="21"/>
                <w:szCs w:val="21"/>
                <w:lang w:val="en-US" w:eastAsia="zh-CN" w:bidi="ar"/>
              </w:rPr>
            </w:pPr>
            <w:r>
              <w:rPr>
                <w:rFonts w:hint="eastAsia" w:ascii="宋体" w:hAnsi="宋体" w:eastAsia="宋体" w:cs="宋体"/>
                <w:color w:val="030405"/>
                <w:kern w:val="0"/>
                <w:sz w:val="21"/>
                <w:szCs w:val="21"/>
                <w:lang w:bidi="ar"/>
              </w:rPr>
              <w:t>（一）评审内容：投标人</w:t>
            </w:r>
            <w:r>
              <w:rPr>
                <w:rFonts w:hint="eastAsia" w:ascii="宋体" w:hAnsi="宋体" w:eastAsia="宋体" w:cs="宋体"/>
                <w:color w:val="030405"/>
                <w:kern w:val="0"/>
                <w:sz w:val="21"/>
                <w:szCs w:val="21"/>
                <w:lang w:val="en-US" w:eastAsia="zh-CN" w:bidi="ar"/>
              </w:rPr>
              <w:t>具有以下证书：</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1.具有质量管理体系认证证书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r>
              <w:rPr>
                <w:rFonts w:hint="eastAsia" w:ascii="宋体" w:hAnsi="宋体" w:eastAsia="宋体" w:cs="宋体"/>
                <w:color w:val="030405"/>
                <w:kern w:val="0"/>
                <w:sz w:val="21"/>
                <w:szCs w:val="21"/>
                <w:lang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2.具有环境管理体系认证证书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r>
              <w:rPr>
                <w:rFonts w:hint="eastAsia" w:ascii="宋体" w:hAnsi="宋体" w:eastAsia="宋体" w:cs="宋体"/>
                <w:color w:val="030405"/>
                <w:kern w:val="0"/>
                <w:sz w:val="21"/>
                <w:szCs w:val="21"/>
                <w:lang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3.具有</w:t>
            </w:r>
            <w:r>
              <w:rPr>
                <w:rFonts w:hint="eastAsia" w:ascii="宋体" w:hAnsi="宋体" w:eastAsia="宋体" w:cs="宋体"/>
                <w:color w:val="030405"/>
                <w:kern w:val="0"/>
                <w:sz w:val="21"/>
                <w:szCs w:val="21"/>
                <w:lang w:val="zh-CN" w:bidi="ar"/>
              </w:rPr>
              <w:t>职业健康安全管理体系认证证书</w:t>
            </w:r>
            <w:r>
              <w:rPr>
                <w:rFonts w:hint="eastAsia" w:ascii="宋体" w:hAnsi="宋体" w:cs="宋体"/>
                <w:color w:val="030405"/>
                <w:kern w:val="0"/>
                <w:sz w:val="21"/>
                <w:szCs w:val="21"/>
                <w:lang w:eastAsia="zh-CN" w:bidi="ar"/>
              </w:rPr>
              <w:t>（</w:t>
            </w:r>
            <w:r>
              <w:rPr>
                <w:rFonts w:hint="eastAsia" w:ascii="宋体" w:hAnsi="宋体" w:cs="宋体"/>
                <w:color w:val="030405"/>
                <w:kern w:val="0"/>
                <w:szCs w:val="21"/>
                <w:lang w:bidi="ar"/>
              </w:rPr>
              <w:t>证书认证范围包括但不限于：不锈钢商用厨房设备的生产(电热食品加工设备除外);商用燃气灶、商用电磁炉的销售及相关管理活动</w:t>
            </w:r>
            <w:r>
              <w:rPr>
                <w:rFonts w:hint="eastAsia" w:ascii="宋体" w:hAnsi="宋体" w:cs="宋体"/>
                <w:color w:val="030405"/>
                <w:kern w:val="0"/>
                <w:szCs w:val="21"/>
                <w:lang w:eastAsia="zh-CN" w:bidi="ar"/>
              </w:rPr>
              <w:t>）</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每提供 1 项得33.4分，最高得 100分。</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（二）评分依据：</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1、提供相关认证机构颁发的有效期内的认证证书扫描件及认证信息查询截图（截图需显示证书状态为有效）。</w:t>
            </w:r>
          </w:p>
          <w:p>
            <w:pPr>
              <w:widowControl/>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说明：</w:t>
            </w:r>
            <w:r>
              <w:rPr>
                <w:rFonts w:hint="eastAsia" w:ascii="宋体" w:hAnsi="宋体" w:cs="宋体"/>
                <w:color w:val="030405"/>
                <w:kern w:val="0"/>
                <w:sz w:val="21"/>
                <w:szCs w:val="21"/>
                <w:lang w:val="en-US" w:eastAsia="zh-CN" w:bidi="ar"/>
              </w:rPr>
              <w:t>1</w:t>
            </w:r>
            <w:r>
              <w:rPr>
                <w:rFonts w:hint="eastAsia" w:ascii="宋体" w:hAnsi="宋体" w:eastAsia="宋体" w:cs="宋体"/>
                <w:color w:val="030405"/>
                <w:kern w:val="0"/>
                <w:sz w:val="21"/>
                <w:szCs w:val="21"/>
                <w:lang w:bidi="ar"/>
              </w:rPr>
              <w:t>.证书与查询信息截图必须同时提供，缺一不可。未同时提供的不得分，后果由投标人自行承担。</w:t>
            </w:r>
            <w:r>
              <w:rPr>
                <w:rFonts w:hint="eastAsia" w:ascii="宋体" w:hAnsi="宋体" w:cs="宋体"/>
                <w:color w:val="030405"/>
                <w:kern w:val="0"/>
                <w:sz w:val="21"/>
                <w:szCs w:val="21"/>
                <w:lang w:val="en-US" w:eastAsia="zh-CN" w:bidi="ar"/>
              </w:rPr>
              <w:t>2</w:t>
            </w:r>
            <w:r>
              <w:rPr>
                <w:rFonts w:hint="eastAsia" w:ascii="宋体" w:hAnsi="宋体" w:eastAsia="宋体" w:cs="宋体"/>
                <w:color w:val="030405"/>
                <w:kern w:val="0"/>
                <w:sz w:val="21"/>
                <w:szCs w:val="21"/>
                <w:lang w:bidi="ar"/>
              </w:rPr>
              <w:t>.投标人应确保认证证书在开标当天仍处于有效状态，并对所提供的证书及查询截图的真实性负责，如出现与事实不符的情形，视同隐瞒真实情况，提供虚假资料，将依法承担相应的法律责任。</w:t>
            </w:r>
            <w:r>
              <w:rPr>
                <w:rFonts w:hint="eastAsia" w:ascii="宋体" w:hAnsi="宋体" w:eastAsia="宋体" w:cs="宋体"/>
                <w:color w:val="030405"/>
                <w:kern w:val="0"/>
                <w:sz w:val="21"/>
                <w:szCs w:val="21"/>
                <w:lang w:val="en-US" w:eastAsia="zh-CN" w:bidi="ar"/>
              </w:rPr>
              <w:t>4</w:t>
            </w:r>
            <w:r>
              <w:rPr>
                <w:rFonts w:hint="eastAsia" w:ascii="宋体" w:hAnsi="宋体" w:eastAsia="宋体" w:cs="宋体"/>
                <w:color w:val="030405"/>
                <w:kern w:val="0"/>
                <w:sz w:val="21"/>
                <w:szCs w:val="21"/>
                <w:lang w:bidi="ar"/>
              </w:rPr>
              <w:t xml:space="preserve">.质疑投诉处理中对证书是否有效的认定，以国家认监委网站【全国认证认可信息公共服务平台（//cx.cnca.cn）】查询结果为准。 </w:t>
            </w:r>
          </w:p>
          <w:p>
            <w:pPr>
              <w:widowControl/>
              <w:jc w:val="left"/>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color w:val="030405"/>
                <w:kern w:val="0"/>
                <w:sz w:val="21"/>
                <w:szCs w:val="21"/>
                <w:lang w:bidi="ar"/>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18"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4"/>
        <w:rPr>
          <w:rFonts w:hint="eastAsia"/>
        </w:rPr>
      </w:pPr>
    </w:p>
    <w:p>
      <w:pPr>
        <w:pStyle w:val="14"/>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4"/>
        <w:jc w:val="center"/>
        <w:rPr>
          <w:color w:val="FF0000"/>
          <w:sz w:val="24"/>
        </w:rPr>
      </w:pPr>
      <w:bookmarkStart w:id="6" w:name="bt投标报价汇总表"/>
      <w:bookmarkEnd w:id="6"/>
      <w:bookmarkStart w:id="7" w:name="bt开标一览表"/>
      <w:bookmarkEnd w:id="7"/>
      <w:bookmarkStart w:id="8" w:name="bt投标人须知"/>
      <w:bookmarkEnd w:id="8"/>
      <w:bookmarkStart w:id="9" w:name="bt本工程承诺书"/>
      <w:bookmarkEnd w:id="9"/>
      <w:bookmarkStart w:id="10" w:name="bt说明"/>
      <w:bookmarkEnd w:id="10"/>
      <w:bookmarkStart w:id="11" w:name="bt投标人情况介绍"/>
      <w:bookmarkEnd w:id="11"/>
      <w:bookmarkStart w:id="12" w:name="bt合同条款及格式"/>
      <w:bookmarkEnd w:id="12"/>
      <w:bookmarkStart w:id="13" w:name="bt其他资料由投标人自定"/>
      <w:bookmarkEnd w:id="13"/>
      <w:bookmarkStart w:id="14" w:name="bt合同格式"/>
      <w:bookmarkEnd w:id="14"/>
      <w:bookmarkStart w:id="15" w:name="合同格式"/>
      <w:bookmarkEnd w:id="15"/>
      <w:bookmarkStart w:id="16" w:name="bt项目管理班子配备情况"/>
      <w:bookmarkEnd w:id="16"/>
      <w:bookmarkStart w:id="17" w:name="bt合同条款"/>
      <w:bookmarkEnd w:id="17"/>
      <w:bookmarkStart w:id="18" w:name="bt商务标投标文件格式"/>
      <w:bookmarkEnd w:id="18"/>
      <w:bookmarkStart w:id="19" w:name="bt投标文件签署授权委托书"/>
      <w:bookmarkEnd w:id="19"/>
      <w:bookmarkStart w:id="20" w:name="bt其他资料2"/>
      <w:bookmarkEnd w:id="20"/>
      <w:bookmarkStart w:id="21" w:name="bt技术标投标文件格式"/>
      <w:bookmarkEnd w:id="21"/>
      <w:bookmarkStart w:id="22" w:name="bt投标函"/>
      <w:bookmarkEnd w:id="22"/>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7"/>
        <w:spacing w:before="120" w:beforeLines="50" w:after="120" w:afterLines="50"/>
        <w:jc w:val="center"/>
        <w:rPr>
          <w:szCs w:val="24"/>
        </w:rPr>
      </w:pPr>
      <w:bookmarkStart w:id="24" w:name="_Toc60631620"/>
      <w:bookmarkStart w:id="25" w:name="_Toc101074876"/>
      <w:bookmarkStart w:id="26" w:name="_Toc73521547"/>
      <w:bookmarkStart w:id="27" w:name="_Toc73518117"/>
      <w:bookmarkStart w:id="28" w:name="_Toc73521635"/>
      <w:bookmarkStart w:id="29" w:name="_Toc100052364"/>
      <w:bookmarkStart w:id="30" w:name="_Toc60560625"/>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rPr>
              <w:t>深圳市宝安区西湾小学（集团）蘅芳校区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7"/>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评标方法</w:t>
            </w:r>
          </w:p>
        </w:tc>
        <w:tc>
          <w:tcPr>
            <w:tcW w:w="3235" w:type="dxa"/>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候选中标供应商家数</w:t>
            </w:r>
          </w:p>
        </w:tc>
        <w:tc>
          <w:tcPr>
            <w:tcW w:w="3235" w:type="dxa"/>
            <w:vAlign w:val="top"/>
          </w:tcPr>
          <w:p>
            <w:pPr>
              <w:jc w:val="center"/>
              <w:rPr>
                <w:rFonts w:hint="default" w:eastAsia="宋体"/>
                <w:lang w:val="en-US" w:eastAsia="zh-CN"/>
              </w:rPr>
            </w:pPr>
            <w:r>
              <w:rPr>
                <w:rFonts w:hint="eastAsia"/>
              </w:rPr>
              <w:t>1</w:t>
            </w:r>
          </w:p>
        </w:tc>
        <w:tc>
          <w:tcPr>
            <w:tcW w:w="2450" w:type="dxa"/>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中标供应商家数</w:t>
            </w:r>
          </w:p>
        </w:tc>
        <w:tc>
          <w:tcPr>
            <w:tcW w:w="3235" w:type="dxa"/>
            <w:vAlign w:val="top"/>
          </w:tcPr>
          <w:p>
            <w:pPr>
              <w:jc w:val="center"/>
            </w:pPr>
            <w:r>
              <w:rPr>
                <w:rFonts w:hint="eastAsia"/>
              </w:rPr>
              <w:t>1</w:t>
            </w:r>
          </w:p>
        </w:tc>
        <w:tc>
          <w:tcPr>
            <w:tcW w:w="2450" w:type="dxa"/>
            <w:vAlign w:val="top"/>
          </w:tcPr>
          <w:p>
            <w:pPr>
              <w:jc w:val="center"/>
              <w:rPr>
                <w:rFonts w:hint="eastAsia"/>
              </w:rPr>
            </w:pPr>
            <w:r>
              <w:rPr>
                <w:rFonts w:hint="eastAsia"/>
              </w:rPr>
              <w:t>1</w:t>
            </w:r>
          </w:p>
        </w:tc>
      </w:tr>
    </w:tbl>
    <w:p>
      <w:pPr>
        <w:pStyle w:val="14"/>
      </w:pPr>
    </w:p>
    <w:p>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pPr>
        <w:pStyle w:val="10"/>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本项目定于</w:t>
      </w:r>
      <w:r>
        <w:rPr>
          <w:rFonts w:hint="eastAsia" w:ascii="宋体" w:hAnsi="宋体"/>
          <w:szCs w:val="21"/>
          <w:lang w:val="en-US" w:eastAsia="zh-CN"/>
        </w:rPr>
        <w:t>2025</w:t>
      </w:r>
      <w:r>
        <w:rPr>
          <w:rFonts w:hint="eastAsia" w:ascii="宋体" w:hAnsi="宋体"/>
          <w:szCs w:val="21"/>
        </w:rPr>
        <w:t>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日上午09：30在深圳市</w:t>
      </w:r>
      <w:r>
        <w:rPr>
          <w:rFonts w:ascii="宋体" w:hAnsi="宋体" w:eastAsia="宋体" w:cstheme="minorBidi"/>
          <w:kern w:val="2"/>
          <w:sz w:val="21"/>
          <w:szCs w:val="21"/>
          <w:lang w:eastAsia="zh-CN"/>
        </w:rPr>
        <w:t>宝安区西乡街道西乡大道514号深圳市宝安区西湾小学（集团）蘅芳校区大门口</w:t>
      </w:r>
      <w:r>
        <w:rPr>
          <w:rFonts w:hint="eastAsia" w:ascii="宋体" w:hAnsi="宋体"/>
          <w:szCs w:val="21"/>
        </w:rPr>
        <w:t>集中，统一组织踏勘现场，请各投标人准时参加（参与现场踏勘的投标人代表携带授权委托书及身份证原件），逾期不再单独安排；联系人：邢老师，联系电话：15219502612。</w:t>
      </w: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bCs/>
                <w:color w:val="FF0000"/>
                <w:szCs w:val="21"/>
              </w:rPr>
              <w:t>BAJYJ2025061007312A</w:t>
            </w:r>
          </w:p>
        </w:tc>
        <w:tc>
          <w:tcPr>
            <w:tcW w:w="3158" w:type="dxa"/>
            <w:vAlign w:val="center"/>
          </w:tcPr>
          <w:p>
            <w:pPr>
              <w:jc w:val="center"/>
              <w:rPr>
                <w:b/>
                <w:bCs/>
                <w:color w:val="FF0000"/>
                <w:szCs w:val="21"/>
              </w:rPr>
            </w:pPr>
            <w:r>
              <w:rPr>
                <w:rFonts w:hint="eastAsia"/>
                <w:b/>
                <w:bCs/>
                <w:color w:val="FF0000"/>
                <w:szCs w:val="21"/>
              </w:rPr>
              <w:t>深圳市宝安区西湾小学（集团）蘅芳校区厨房设备采购项目</w:t>
            </w:r>
          </w:p>
        </w:tc>
        <w:tc>
          <w:tcPr>
            <w:tcW w:w="2355" w:type="dxa"/>
            <w:vAlign w:val="center"/>
          </w:tcPr>
          <w:p>
            <w:pPr>
              <w:jc w:val="center"/>
              <w:rPr>
                <w:bCs/>
                <w:color w:val="FF0000"/>
                <w:szCs w:val="21"/>
              </w:rPr>
            </w:pPr>
            <w:r>
              <w:rPr>
                <w:bCs/>
                <w:color w:val="FF0000"/>
                <w:szCs w:val="21"/>
              </w:rPr>
              <w:t>765,000.00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bCs/>
                <w:color w:val="FF0000"/>
                <w:szCs w:val="21"/>
              </w:rPr>
              <w:t>765,000.00</w:t>
            </w:r>
          </w:p>
        </w:tc>
      </w:tr>
    </w:tbl>
    <w:p>
      <w:pPr>
        <w:rPr>
          <w:rFonts w:ascii="宋体" w:hAnsi="宋体"/>
          <w:b/>
          <w:color w:val="FF0000"/>
          <w:szCs w:val="21"/>
        </w:rPr>
      </w:pPr>
    </w:p>
    <w:p>
      <w:pPr>
        <w:rPr>
          <w:rFonts w:ascii="宋体" w:hAnsi="宋体"/>
          <w:b/>
          <w:color w:val="FF0000"/>
          <w:szCs w:val="21"/>
        </w:rPr>
      </w:pPr>
    </w:p>
    <w:p>
      <w:pPr>
        <w:pStyle w:val="7"/>
        <w:spacing w:before="120" w:beforeLines="50" w:after="120" w:afterLines="50"/>
        <w:jc w:val="center"/>
        <w:rPr>
          <w:rFonts w:hint="eastAsia"/>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7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13"/>
        <w:gridCol w:w="1249"/>
        <w:gridCol w:w="1704"/>
        <w:gridCol w:w="782"/>
        <w:gridCol w:w="782"/>
        <w:gridCol w:w="965"/>
        <w:gridCol w:w="782"/>
        <w:gridCol w:w="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货物名称（标的名称）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是否接受进口</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是否专门面向中小企业</w:t>
            </w: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BAJYJ2025061007312A</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拒绝进口</w:t>
            </w:r>
          </w:p>
        </w:tc>
        <w:tc>
          <w:tcPr>
            <w:tcW w:w="782"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否</w:t>
            </w:r>
          </w:p>
        </w:tc>
        <w:tc>
          <w:tcPr>
            <w:tcW w:w="843"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五层栅格层架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五层栅格层架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绞切肉机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大单星盆台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单星杀鱼台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热水器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高压花洒龙头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刀具消毒柜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洗地龙头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五层冲孔货架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风幕机</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洗手星连感应水龙头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烘手机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燃气单门蒸柜（带推车）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燃气双头矮汤炉</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双通打荷台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炉拼台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双星盆台</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挂墙双层架</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大单星盆台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双门高身雪柜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燃气一大一小炒炉</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开水器带底座</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双门消毒柜</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双星盆台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工具挂钩</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12</w:t>
            </w:r>
            <w:r>
              <w:rPr>
                <w:rStyle w:val="40"/>
                <w:lang w:val="en-US" w:eastAsia="zh-CN" w:bidi="ar"/>
              </w:rPr>
              <w:t>格更衣柜</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木质案板台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活动面粉车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搅拌机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单门醒发箱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压面机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三层电热烤箱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落地式电饼铛</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油网烟罩</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添加剂挂墙箱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电热暖汤车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双通打荷台</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五格保温售饭台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双门立式玻璃门冰箱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单星盆台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双门消毒柜</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洁碟台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挂墙茜架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风幕机</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双层收餐车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双孔污碟柜（带推车）</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单通打荷台</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双层工作台</w:t>
            </w:r>
            <w:r>
              <w:rPr>
                <w:rStyle w:val="39"/>
                <w:rFonts w:eastAsia="宋体"/>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挡鼠板</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洗碗机</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抽气罩</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抽气罩</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排气管</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净水器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纯水箱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恒压水泵</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五格餐盘</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汤碗</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勺子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筷子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砍刀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斩切刀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松木砧板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胶砧板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方胶砧板</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油盆</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漏网</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翅厘</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机喱</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木柄疏壳</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木柄疏壳</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锅铲</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锅扫</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调料更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瓜刨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电子秤</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网隔</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炒更</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面包夹</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磨刀石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水壳</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锅架</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锅架</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保鲜盒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薯闸</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刨丝削皮刀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马斗</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马斗</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酱汁唧樽</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猪插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开蚝刀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剪刀</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木柄鱼鳞刨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S</w:t>
            </w:r>
            <w:r>
              <w:rPr>
                <w:rStyle w:val="40"/>
                <w:lang w:val="en-US" w:eastAsia="zh-CN" w:bidi="ar"/>
              </w:rPr>
              <w:t>勾</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份数盆</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复合底汤桶</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八格调味盒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六格调味盒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方筛菜篮</w:t>
            </w:r>
            <w:r>
              <w:rPr>
                <w:rStyle w:val="39"/>
                <w:rFonts w:eastAsia="宋体"/>
                <w:lang w:val="en-US" w:eastAsia="zh-CN" w:bidi="ar"/>
              </w:rPr>
              <w:t>3</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特厚大炒锅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小炒锅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壁挂式纸巾盒</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商用压力锅</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打蒜器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土豆刨丝器</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洗菜盆</w:t>
            </w:r>
            <w:r>
              <w:rPr>
                <w:rStyle w:val="39"/>
                <w:rFonts w:eastAsia="宋体"/>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38"/>
                <w:lang w:val="en-US" w:eastAsia="zh-CN" w:bidi="ar"/>
              </w:rPr>
              <w:t>洗菜盆</w:t>
            </w:r>
            <w:r>
              <w:rPr>
                <w:rStyle w:val="39"/>
                <w:rFonts w:eastAsia="宋体"/>
                <w:lang w:val="en-US" w:eastAsia="zh-CN"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厨房排烟管</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排烟管安装辅材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厨房鲜风管道</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风管安装辅材</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8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4"/>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洗碗机   </w:t>
      </w:r>
      <w:r>
        <w:rPr>
          <w:rFonts w:hint="eastAsia" w:ascii="宋体" w:hAnsi="宋体"/>
          <w:b/>
          <w:color w:val="FF0000"/>
          <w:szCs w:val="21"/>
        </w:rPr>
        <w:t>。</w:t>
      </w:r>
    </w:p>
    <w:bookmarkEnd w:id="37"/>
    <w:p>
      <w:pPr>
        <w:rPr>
          <w:rFonts w:ascii="宋体" w:hAnsi="宋体"/>
          <w:b/>
          <w:color w:val="FF0000"/>
          <w:szCs w:val="21"/>
        </w:rPr>
      </w:pPr>
    </w:p>
    <w:p>
      <w:pPr>
        <w:pStyle w:val="2"/>
      </w:pPr>
    </w:p>
    <w:p>
      <w:pPr>
        <w:pStyle w:val="7"/>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pPr>
              <w:jc w:val="center"/>
            </w:pPr>
            <w:r>
              <w:rPr>
                <w:rFonts w:hint="eastAsia"/>
              </w:rPr>
              <w:t>1</w:t>
            </w:r>
          </w:p>
        </w:tc>
        <w:tc>
          <w:tcPr>
            <w:tcW w:w="7832" w:type="dxa"/>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7"/>
        <w:gridCol w:w="907"/>
        <w:gridCol w:w="65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设备名称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米面架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1.规格：1500*600*300（±10%）（单位：mm）；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2.立柱及框架采用304#*1.0厚不锈钢管制作；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4.规格：1400*500*1800（±10%）（单位：mm）；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6.层板用30*15*1.0mm厚不锈钢扁管制作；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7.配可调不锈钢子弹脚。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8.规格：1500*500*1800（±10%）（单位：mm）；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10.层板用30*15*1.0mm厚不锈钢扁管制作；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12.规格：L=2000（±10%）（单位：mm）；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13.面板采用304#1.0不锈钢板。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灭蝇灯</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14.规格：395*120*290（±10%）（单位：mm）；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16.功率：≥20W；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17.灯管：灯管：双灯管紫外线灯；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18.覆盖面积≥80㎡；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19.双面粘板在使用过程能保持完全敞开，通过粘捕纸粘黏蚊蝇。耗能低，无异味，无辐射；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灭蝇灯主板依据GB/T2423.16-2022环境试验第2部分：试验方法试验J和导则：长霉，在放大50倍下，没有发现明显有黑曲霉、绿色木霉、绳状青霉，达到0级，产品依据GB/T2423.1-2008电工电子产品环境试验第2部分：试验方法试验A:低温GB/T2423.2-2008电工电子产品环境试验第2部分：试验方法试验B:高温，在温度为-20℃和60℃的试验箱中持续工作2小时，试验中，样品功能正常；（</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绞切肉机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21.规格：550*400*750（±10%）（单位：mm）；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22.双电机，标配切肉厚度：3.5mm，可订做：6mm；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23.功率：0.75KW/220V。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28.规格：1000*350*600（±10%）（单位：mm）；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30.规格：1200*760*800/150（±10%）（单位：mm）；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32.星盆斗采用304#1.2厚不锈钢板；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34.规格：1200*350*600（±10%）（单位：mm）；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单星杀鱼台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36.规格：1500*760*800/150（±10%）（单位：mm）；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 </w:t>
            </w:r>
          </w:p>
        </w:tc>
        <w:tc>
          <w:tcPr>
            <w:tcW w:w="544" w:type="pct"/>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热水器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40.规格：80L（±10%）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41.圆桶。功率：≥2.2KW/220V。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r>
              <w:rPr>
                <w:rFonts w:hint="eastAsia" w:ascii="宋体" w:hAnsi="宋体" w:eastAsia="宋体" w:cs="宋体"/>
                <w:i w:val="0"/>
                <w:iCs w:val="0"/>
                <w:color w:val="auto"/>
                <w:kern w:val="0"/>
                <w:sz w:val="22"/>
                <w:szCs w:val="22"/>
                <w:highlight w:val="yellow"/>
                <w:u w:val="none"/>
                <w:lang w:val="en-US" w:eastAsia="zh-CN" w:bidi="ar"/>
              </w:rPr>
              <w:t>★投标时提供获得国家认可的认证机构出具的处于有效期内的节能产品认证证书。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高压花洒龙头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42.座台式单孔双温高压花洒、黄铜铸造表面抛光镀铬处理；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43.直管采用快速安装设计，安装简单高效；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44.150mm±5%长的墙上托架；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45.工作高度：980mm±5%；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46.进水口配有止回阀，防止回水倒流；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48.附加12寸摇摆龙头；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49.符合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Fonts w:hint="eastAsia" w:ascii="宋体" w:hAnsi="宋体" w:eastAsia="宋体" w:cs="宋体"/>
                <w:i w:val="0"/>
                <w:color w:val="0000FF"/>
                <w:kern w:val="0"/>
                <w:sz w:val="24"/>
                <w:szCs w:val="24"/>
                <w:highlight w:val="yellow"/>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r>
              <w:rPr>
                <w:rStyle w:val="41"/>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r>
              <w:rPr>
                <w:rStyle w:val="42"/>
                <w:lang w:val="en-US" w:eastAsia="zh-CN" w:bidi="ar"/>
              </w:rPr>
              <w:t>51.产品需符合GB 25501-2019标准，水嘴水效等级为1级，投标时提供水效标识。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刀具消毒柜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52.规格：540*135*646（±10%）（单位：mm）；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53.功率:15W/220V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洗地龙头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55.外形尺寸∶ L=10米（±10%）；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56.壳体为ST14冷轧板制成，支架为Q235钢制成，表面静电喷塑处理；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57.中心轴为硬度高不易磨损的特殊钢材；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58.锰钢弹簧；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59.10米黑色液压钢丝管，耐温95℃，承压300PSI；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60.接水口口径为1/2"外螺纹；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61.所投产品水嘴通过技术条件须符合QB/T1334-2013《水嘴通用技术条件》，符合产品表面涂、镀层按GB/T10125-2021进行24h乙酸盐雾试验后，其表面性能不应低于GB/T6461表1中外观评级(RA)10级的要求，并且塑料部件须具有第三方检测报告的依据，塑料耐老化性试验时间1000小时，外观颜色变色评级≥5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▲62.所投产品冲洗地龙头配件304不锈钢旋转接头需符合GB/T3280-2015《不锈钢冷轧钢板和钢带》标准中06Cr19Ni10牌号的要求；（</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63.符合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Style w:val="43"/>
                <w:highlight w:val="yellow"/>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64.规格：1000*550*800（±10%）（单位：mm）；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五层冲孔货架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68.规格：1200*500*1800（±10%）（单位：mm）；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69.立柱采用304#1.2mm厚不锈钢；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70.层板用304#1.0mm厚不锈钢；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71.配可调不锈钢子弹脚。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72.规格：1000*600*800/150（±10%）（单位：mm）；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76.规格：1200*210*220（±10%）（单位：mm）；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77.额定电压、功率：220V/165W；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78.风量m3/h：≥2600；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79.安装高度(m)：2.5-3.2。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洗手星连感应水龙头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80.星盆规格：450*450*250/150（±10%）（单位：mm）；采用304#不锈钢板制作；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81.工作电压：1.5V×4（四节五号干电池）或者110V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82.工作水压：0.1-0.6MP55 可接冷热混水，出水温度可调；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83.开孔径：32mm；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84.台式安装黄铜铸造水嘴，表面镀铬处理；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 接水口口径为1/2"外螺纹；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▲86.感应水龙头头需具有中国节水认证产品：符合CJ/T194-2014《非接触式给水器具》；GB 25501-2019</w:t>
            </w:r>
            <w:r>
              <w:rPr>
                <w:rStyle w:val="41"/>
                <w:rFonts w:hint="eastAsia"/>
                <w:highlight w:val="yellow"/>
                <w:lang w:val="en-US" w:eastAsia="zh-CN" w:bidi="ar"/>
              </w:rPr>
              <w:t>《水嘴水效限定值及水效等级》</w:t>
            </w:r>
            <w:r>
              <w:rPr>
                <w:rStyle w:val="41"/>
                <w:highlight w:val="yellow"/>
                <w:lang w:val="en-US" w:eastAsia="zh-CN" w:bidi="ar"/>
              </w:rPr>
              <w:t>，</w:t>
            </w:r>
            <w:r>
              <w:rPr>
                <w:rStyle w:val="41"/>
                <w:b/>
                <w:bCs/>
                <w:highlight w:val="yellow"/>
                <w:lang w:val="en-US" w:eastAsia="zh-CN" w:bidi="ar"/>
              </w:rPr>
              <w:t>投标时提供感应龙头节水认证证书扫描件</w:t>
            </w:r>
            <w:r>
              <w:rPr>
                <w:rStyle w:val="41"/>
                <w:highlight w:val="yellow"/>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87.感应水龙头产品需符合GB 25501-2019标准，水嘴水效等级为1级，</w:t>
            </w:r>
            <w:r>
              <w:rPr>
                <w:rStyle w:val="42"/>
                <w:lang w:val="en-US" w:eastAsia="zh-CN" w:bidi="ar"/>
              </w:rPr>
              <w:t>投标时提供水效标识扫描件</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烘手机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88.规格：240*230*240（±10%）（单位：mm）；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89.功率：1.8KW/220V；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90.安装方式：壁挂式。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91.规格：2548*1200*550（±10%）（单位：mm）；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92.采用≥1.2mm厚304#不锈钢板；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93.配油烟网；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94.底部接油槽及活动集油器。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燃气单门蒸柜（带推车）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95.规格：24盘，1420*1000*1850（±10%）（单位：mm）；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96.采用 304#不锈钢板制作，炉面采用 304#≥1.0mm 厚，柜身采用 304#≥1.0mm 厚不锈钢制作；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97.侧板及背板采用 304#≥1.0mm 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98.内燃火管水胆采用 304#≥2.0mm 厚不锈钢；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99.配节能直燃式炉头及熄火保护器；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100.配蒸饭盆，≥24盘。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101.规格：10743*1400*550（±10%）（单位：mm）；2.采用≥1.2mm厚304#不锈钢板；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燃气双头矮汤炉</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104.规格：1400*700*500/300（±10%）（单位：mm）；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105.炉面采用304#1.5mm 厚不锈钢，带可调重力脚；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106.侧板及背板采用304#1.0mm不锈钢板；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107.配节能环保炉头及熄火保护器.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108.规格：1800*750*800（±10%）（单位：mm）；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双层工作台4</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112.规格：1000*700*800/150（±10%）（单位：mm）；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炉拼台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116.规格：300*1200*800/450（±10%）（单位：mm）；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118.规格：1500*700*800/150（±10%）（单位：mm）；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119.台面板采用304#≥1.2mm厚不锈钢板；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120.星盆斗采用304#≥1.2mm厚不锈钢板；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122.规格：1500*350*600（±10%）（单位：mm）；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124.规格：1200*700*800/100（±10%）（单位：mm）；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双门高身雪柜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128.规格：1220*760*1960（±10%）（单位：mm）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129.柜内外不锈钢材质耐用易清洁；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130.配≥3层不锈钢层网；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131.顶部安装模块化压缩机组;单组插头；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132.发泡密度≥42Kg/m³；130mm万向轮带刹车；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133.采用环保雪种(R-290) ，柜体保温厚度60mm，保温材料环保绝缘；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134.纯铜管直冷制冷方式；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135.微电脑数字温控显示器;精确控温至0.1℃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136.圆角底盘；箱体内圆弧设计；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137.可承受环境温度不低于38℃；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138.可拆卸式密封胶条；符合食品卫生安全要求；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139.电压/频率/总功率：220v/50HZ/≥350W；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140.电源插头：10A；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141.容量：≥500L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142.投标时提供一级或二级能效认证扫描件，按GB 26920.2-2015相关的要求，检测能效等级为一级或二级。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143.所投冷柜提供产品核心部件“蒸发器铜管”的检测报告，检测内容至少包含尺寸外形，力学性能，化学成分，其中要求外径实测不低于（6mm）壁厚实测不低（0.60mm）符合GB/T17791-2017《空调与制冷设备用铜及铜合金无缝管》标准中牌号TP2的要求。力学性能:抗拉力强度Rm≥205MPa;GB/T17791-2017《空调与制冷设备用铜及铜合金无缝管》化学成分:铜Cu+银Ag≥99.94磷P含量应低于0.034%；（</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▲144.蒸发器中性盐雾检测（100hNSS)冰箱中采用的蒸发器均通过国家GB/T10125-2021标准的中性盐雾测试（100hNSS)；（</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燃气一大一小炒炉</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145.规格：2100*1200*800/450（±10%）（单位：mm）；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146.采用304#不锈钢板制作，台面三周采用304#≥1.5mm厚不锈钢整体成形，带可调重力脚；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147.侧板及背板采用304#≥1.0mm不锈钢板；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148.配节能环保炉头及熄火保护器；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开水器带底座</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149.规格：60L（±10%）（单位：mm）；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150.功率：9KW/380V；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151.容量：≥60L。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152.规格：1300*590*1900（±10%）（单位：mm）；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153.容积：≥680L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154.电压/频率：380V/50HZ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155.输入功率：≥4.5kW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156.温度范围：50～125℃可调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157.控制方式：微电脑智能控制器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158.8个拉篮（可放600个餐盘）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159.所投产品依据《食具消毒柜安全和卫生要求》中产品潮湿试验在空气相对湿度≥90%的潮湿箱内处理48小时，满足器具应能承受正常使用中可能出现的潮湿条件和潮湿试验后器具泄漏电流不应过大，且应有足够的电气强度的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▲160.所投产品依据GB/T2423.16-2022，消毒柜门封硅胶条在长霉试验中，防霉等级≦1级；（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161.规格：1200*700*800/150（±10%）（单位：mm）；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162.台面板采用304#≥1.2mm厚不锈钢板；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163.星盆斗采用304#≥1.2mm厚不锈钢板；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工具挂钩</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165.规格：1000*20*35（±10%）（单位：mm）；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12格更衣柜</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167.规格：1200*400*1800（±10%）（单位：mm）；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168.采用冷轧钢板，喷涂工艺.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169.规格：L=1000（±10%）（单位：mm）；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170.采用≥1.2mm304#不锈钢板材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木质案板台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171.规格：1800*700*800（±10%）（单位：mm）；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172.台面 304#≥1.2不锈钢板，下衬木板加固，不锈钢板封底；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173.下可推入面粉车；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174.台脚采用不锈钢圆管，带防震脚。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活动面粉车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175.规格：550*550*600（±10%）（单位：mm）；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176.板材采用厚304#≥1.2mm不锈钢板，盖板采用304#≥1.0mm不锈钢板；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177.不锈钢桶内需四周圆边处理；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178.配活动脚轮。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179.规格：680*550*1025（±10%）（单位：mm）；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180.容量：38L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181.最大和面量：≥10公斤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182.转速：一档65</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二档102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三档296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183.功率：1.5KW/220V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单门醒发箱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184.规格：500*770*1900（±10%）（单位：mm）；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185.额定电压:220V~；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186.额定频率(Hz):50；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187.额定输入功率(kW):2.5；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压面机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188.规格：600*750*1120（±10%）（单位：mm）；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189.电压：220V/380V， 频率：50Hz，  功率：1.5 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190.滚转速：125r/min，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191.滚筒长度：300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192.压面辊直径：113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193.压面调厚度：1～18mm。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194.产能：200kg/h；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195.机架201#不锈钢，滚筒304#不锈钢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196.所投产品检测机构依据食品接触的国家标准，食品接触用金属材料及制品对感观测试（三次迁移试验检测结果砷＜0.0002mg/kg、镉＜0.0001mg/kg、铅＜0.0003、0.0004mg/kg、锑&lt;0.002mg/kg、铬0.002mg/kg、镍＜0.002mg/kg、镍＜0.002mg/kg、锌＜0.06mg/kg)的合格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▲197.提供所投产品符合有对应该检测资质的检测机构出具的GB/T 10125-2021(试验周期≥600h的中性盐雾试验(NSS))、GB/T 6461-2002标准进行保护评级为10级；（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三层电热烤箱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198.规格：1220*860*1530（±10%）（单位：mm）；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199.额定电压:380V3N~；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200.频率(Hz):≥50；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201.额定输入功率(kW):19.8；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202.烤盘规格(mm):600x400±5%；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203.控温范围(°C): 室温~300。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落地式电饼铛</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204.规格：760*640*770（±10%）（单位：mm）；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205.功率：4.5KW/220V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206.规格：2548*1200*550（±10%）（单位：mm）；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207.采用≥1.2mm厚304#不锈钢板；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208.配油烟网；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209.底部接油槽及活动集油器。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添加剂挂墙箱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210.规格：500*350*600（±10%）（单位：mm）；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211.采用≥1.2mm厚304#不锈钢板。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电热暖汤车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212.规格：600*600*800（±10%）（单位：mm）；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213.全自动温度控制，带指示灯、加热保温系统、缺水保护装置；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214.车身采用304#1.2±0.1mm 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215.配≥4个平底轮；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216.电功率：1.5KW/220V。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217.规格：1500*700*800（±10%）（单位：mm）；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五格保温售饭台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221.规格：1800*800*800（±10%）（单位：mm）；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222.全自动温度控制，带指示灯，带加热保温系统，带缺水保护装置；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223.采用不锈钢发热管；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224.电功率：4KW/220V。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双门立式玻璃门冰箱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225.规格：630*760*1980（±10%）（单位：mm）；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 xml:space="preserve">226.柜内外不锈钢材质耐用易清洁；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227.配3层不锈钢层网；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228.顶部安装模块化压缩机组;单组插头；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229.发泡密度≥42Kg/m³；130mm万向轮带刹车；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230.采用环保雪种(R-290) ，柜体保温厚度60mm，保温材料环保绝缘；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231.纯铜管直冷制冷方式；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232.微电脑数字温控显示器;精确控温至0.1℃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233.圆角底盘；箱体内圆弧设计；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234.可承受环境温度不低于38℃；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235.可拆卸式密封胶条；符合食品卫生安全要求；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236.温度：0℃～-18℃；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237.电压/频率/总功率：220v/50HZ/≥550W；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238.电源插头：10A。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单星盆台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239.规格：700*700*800/150（±10%）（单位：mm）；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240.台面板采用304#≥1.2厚不锈钢板；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241.星盆斗采用304#≥1.2厚不锈钢板；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242.配可调子弹脚。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243.规格：1860*850*1570（±10%）（单位：mm）；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244.电压：380V 3N~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245.功率：≥9KW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246.每台消毒柜内配2台活动车及12个不锈钢篮。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洁碟台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247.规格：1650*800*800/150（±10%）（单位：mm）；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248.台面板采用304#1.2mm不锈钢板。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双层工作台5</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249.规格：1200*550*800/150（±10%）（单位：mm）；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250.台面板采用304#≥1.2mm不锈钢板；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251.层板用全不锈钢码槽加硬；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挂墙茜架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253.规格：1250*530*300（±10%）（单位：mm）；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254.采用304#≥1.0mm不锈钢板制作。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255.规格：1800*210*220（±10%）（单位：mm）；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256.电源：220v/0.3kw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257.风量：≥4200/5100m³/h；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258.风幕机配置轻触控制面板，可在线显示工作状态，可在线任意设置24小时内杀菌消毒时间；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▲259.具有杀菌消毒净化功能，无菌整机；风幕机内置净化模块满足：依据GB/T 34012-2017《通风系统用空气净化装置》、GB 10891-1989《空气处理机组 安全要求》检测时，空气中大肠杆菌祛除率≥99%，白葡萄球菌祛除率≥99%，自然菌祛除率≥99%；（</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▲260.产品安全方面：满足家用电器安全检测要求,在工作温度下的电气强度测试中，对L/N与易触及部件之间在3000V试验电压下测试时，未被击穿；（</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双层收餐车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261.规格：500*800*900（±10%）（单位：mm）；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262.车身层板：δ＝1.2mm304#不锈钢板材；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263.车轮：≥4寸万向橡胶承重轮；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264.车身拉手：ф25mm304#不锈钢管。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双孔污碟柜（带推车）</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265.规格：1800*700*800/150（±10%）（单位：mm）；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266.台面板采用304#≥1.2不锈钢板；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267.带不锈钢可调子弹脚。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单通打荷台</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268.规格：1800*700*800/150（±10%）（单位：mm）；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269.台面板采用304#≥1.2不锈钢板；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270.活动中层板，层板用全不锈钢码槽加硬；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271.带不锈钢可调子弹脚。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双层工作台6</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272.规格：1200*700*800/150（±10%）（单位：mm）；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273.台面板采用304#≥1.2mm不锈钢板；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274.层板用全不锈钢码槽加硬；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275.配可调子弹脚。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276.规格：L=1200（±10%）（单位：mm）；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278.面板采用304#1.0不锈钢板。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洗碗机</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279、具有纳米超声清洗除菌、自动高压冲洗、高温漂洗、风干、餐具自动传输出来等等功能。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280、 根据场地设计，整机外形尺寸水小于（长*宽*高）3400*900*1700 mm±50mm，不含水槽、工作台，可拐弯放置。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281、 总功率： 不大于25KW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282、加热方式：电加热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283、耗水量：350升水/小时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284、为节省费用，减少化学残留，只须使用普通家用洗洁精，不得使用专用洗涤剂。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285、大肠杆菌、金黄色葡萄球菌消灭率大于标准值99.9%。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286、传送带有效宽度：不小于570mm,整机清洗量： 2500-4500件/小时(标准6寸碟)。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287、喷淋管：喷淋管上四下四复合不锈钢，直径不小于38mm。为方便每天清洗，喷淋管需采用插接连接，不得采用螺纹连接。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▲288、</w:t>
            </w:r>
            <w:r>
              <w:rPr>
                <w:rStyle w:val="43"/>
                <w:lang w:val="en-US" w:eastAsia="zh-CN" w:bidi="ar"/>
              </w:rPr>
              <w:t>防触电保护检验检测合格：器具的结构和外壳应使其对意外触及带电部件有足够的防护；电气紧急制动装置试验检测合格：器具具有电气紧急制动装置，有异常时应紧急制动，传送停止运行，排除异常后，可恢复工作。通断试验动作应灵活，瞬时通断，性能可靠。</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289、超声清洗主机的自动控制系统需使用由电脑芯片自动控制，无需人工调节、无需数字显示频率追踪，具有自查自纠功能的系统。不可使用需要人工随时监控调节、带有数字显示的超声清洗主机控制系统。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290、液位自动控制，高温环境中性能灵敏可靠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▲291、</w:t>
            </w:r>
            <w:r>
              <w:rPr>
                <w:rStyle w:val="43"/>
                <w:lang w:val="en-US" w:eastAsia="zh-CN" w:bidi="ar"/>
              </w:rPr>
              <w:t>关于对有害进水的防护等级，器具至少应为IPX7；电击防护类别，器具应至少属于1类；内部布线的绝缘应能经受住在正常使用中可能出现的电气应力，或者符合电气强度测试；铝线不应用于内部布线。</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292、采用304不锈钢制作，包括每颗螺丝钉全为不锈钢材料。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293.规格：450*1100*400（±10%）（单位：mm）；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294.采用304#≥1.0mm不锈钢制作。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295.规格：1000*1000*400（±10%）（单位：mm）；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296.采用304#≥1.0mm不锈钢制作。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排气管</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297.采用304#≥1.0mm不锈钢制作。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净水器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298.外观：整机主体采用拉丝耐指纹430不锈钢，耐用；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299.外观：防磕碰保护：机器棱角采用防磕碰圆角设计，防止出现磕碰事故。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300.设备尺寸：宽600*厚450*高1140mm（±10mm）；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301.投标产品整机采用高精度反渗透过滤系统，净水流量（制水量）≥1.9L/min;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302.额定总净水量≥8000L；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303.过滤滤芯部件：熔喷聚丙烯无纺布滤芯→聚丙烯纤维活性炭磷酸盐复合滤芯→反渗透膜→MF活性炭复合滤芯。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304.使用电源220V，50Hz，额定功率≤100W;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305.具有内置压力桶，压力桶容积≥11G；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★306.过滤系统滤芯单独具有省级或以上卫生部门颁发的《涉及饮用水卫生安全产品卫生许可批件》，投标时提供滤芯有效期内的《涉及饮用水卫生安全产品卫生许可批件》扫描件。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▲307.</w:t>
            </w:r>
            <w:r>
              <w:rPr>
                <w:rStyle w:val="43"/>
                <w:lang w:val="en-US" w:eastAsia="zh-CN" w:bidi="ar"/>
              </w:rPr>
              <w:t>产品核心涉水零部件-水路板：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308.投标产品具备一键排空功能，保障水质新鲜；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309.投标产品具有超过≥9寸（含9寸）液晶屏，方便查看设备状态；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310.产品具有显示纯净水制水量功能；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311.产品具有显示纯水TDS值功能；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312.产品具有显示滤芯寿命状态功能；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313.产品具有漏水保护功能；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314.产品具有缺水提示功能；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315.产品具有滤芯自清洁技术；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316.产品产水率≥65%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317.设备集成电路采用灌胶工艺，使设备具备更强防水性能。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▲318.</w:t>
            </w:r>
            <w:r>
              <w:rPr>
                <w:rStyle w:val="43"/>
                <w:lang w:val="en-US" w:eastAsia="zh-CN" w:bidi="ar"/>
              </w:rPr>
              <w:t>产品核心涉水零部件-滤芯/膜端盖、中心管：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纯水箱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319、设备定制，储水量≥2吨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320、设备包需含紫外线杀菌系统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恒压水泵</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321、功率≥750瓦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五格餐盘</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322.规格：36*27*3cm（±10%）；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323.材质：304不锈钢。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汤碗</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324.规格：11.5*5.5cm（±10%）；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325.材质：304不锈钢。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勺子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326.规格：18.5*4cm（±10%）；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327.材质：304不锈钢。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筷子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328.规格：27cm（±10%）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329.材质：304不锈钢。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砍刀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330.规格：2号（±10%）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331.刀身材质：不锈钢。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76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斩切刀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332.规格：1号（±10%）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333.刀身材质：不锈钢。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77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松木砧板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334.规格：45*12cm（±10%）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335.材质：松木。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78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胶砧板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336.规格：45㎝×10㎝红白绿各1个（±10%）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337.抗菌塑料。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79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方胶砧板</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338.规格：48×33×2㎝（±10%）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339.抗菌塑料。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油盆</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340.规格：10寸1.5加厚（±10%）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341.材质：不锈钢。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漏网</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342.规格：12寸（±10%）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343.材质：不锈钢。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翅厘</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344.规格：11寸（±10%）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345.材质：不锈钢。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机喱</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346.规格：11寸（±10%）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347.材质：不锈钢。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84 </w:t>
            </w:r>
          </w:p>
        </w:tc>
        <w:tc>
          <w:tcPr>
            <w:tcW w:w="544"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348.规格：有孔30cm（±10%）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544"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349.疏壳材质：不锈钢。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350.规格：无孔（±10%）；疏壳材质：不锈钢。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锅铲</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351.规格： 2#1.5厚木柄沙光铲（±10%）；材质：不锈钢。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锅扫</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352.规格：细锅扫（±10%）；材质：不锈钢。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353.规格： 8两1.5厚木柄沙光壳（±10%）；材质：不锈钢。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调料更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354.规格：19.5cm（±10%）；材质：不锈钢。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355.规格：16CM0.8（±10%）；材质：不锈钢。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356.规格：15cm（±10%）；材质：复古青石。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瓜刨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357.规格：中号治中瓜刨（±10%）；材质：不锈钢。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电子秤</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358.规格：150KG（±10%）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网隔</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359.规格：15cm（±10%）；材质：不锈钢。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炒更</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360.规格：13寸（±10%）；材质：不锈钢。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面包夹</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361.规格：1 2 寸（±10%），材质：不锈钢。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磨刀石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362.规格：大滑石（±10%）；材质：磨油石。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水壳</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363.规格： 3斤（±10%）；材质：不锈钢。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364.规格：290×H40（±10%）；材质：不锈钢。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365.规格：240×H40（±10%）；材质：不锈钢。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保鲜盒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366.规格：303×207×107 (mm)（±10%）；材质：食品PP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薯闸</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367.规格：180×120（±10%）；材质：不锈钢。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刨丝削皮刀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368.规格：185×25×55（±10%）；材质：不锈钢。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打蛋器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369.规格：10寸 25cm胶柄（±10%）；材质：不锈钢。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370.规格：16cm0.8不锈钢马斗（±10%）；材质：不锈钢。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371.规格：18cm0.8不锈钢马斗（±10%）；材质：不锈钢。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酱汁唧樽</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372.规格： 8安士红色2个，白1个（±10%）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373.规格：大号红木柄圆形猪皮插（±10%；材质：不锈钢。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开蚝刀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374.规格：胶柄开蚝刀（±10%）；材质：不锈钢。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375.规格：胶柄（±10%）；材质：不锈钢。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剪刀</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376.规格：厨房剪（±10%）；材质：不锈钢。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木柄鱼鳞刨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377.规格：四排木柄鱼鳞刨（±10%）；材质：不锈钢。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S勾</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378.规格：8寸4厘不锈钢S勾（±10%）；材质：不锈钢。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份数盆</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379.规格：327×265×100×0.7（±10%）（单位：mm）；材质：不锈钢。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复合底汤桶</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380.规格：φ300×300×0.8（±10%）（单位：mm）；材质：不锈钢。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八格调味盒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381.规格：435×285×60（±10%）（单位：mm）；材质：不锈钢。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六格调味盒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382.规格：330×285×60（±10%）（单位：mm）；材质：不锈钢。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383.规格：红395*310*120（±10%）（单位：mm）；食品塑料。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384.规格：白530*385*180 （±10%）（单位：mm）；食品塑料。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方筛菜篮3</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385.规格：蓝580*410*200 （±10%）（单位：mm）；食品塑料。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特厚大炒锅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386.规格：φ900（±10%）（单位：mm）；材质：铁锅。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小炒锅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387.规格：φ450（±10%）（单位：mm）；材质：铁锅。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123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壁挂式纸巾盒</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388.规格：135*125*275（±10%）（单位：mm）；材质：塑料。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124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商用压力锅</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389.规格：23L（±10%）；；内胆材质：不粘内胆；加热方式：发热盘。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125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打蒜器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390.规格：2.6L（±10%）；材质：不锈钢。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126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土豆刨丝器</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391.材质：不锈钢。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127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洗菜盆1</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392.规格：中号（±10%），材质：不锈钢。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128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洗菜盆2</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393.规格：大号（±10%），材质：不锈钢。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厨房排烟管</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394.采用1.0mm厚镀锌板。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排烟管安装辅材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395.玻璃胶，丝杆等。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厨房鲜风管道</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396.采用1.0mm厚镀锌板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 </w:t>
            </w:r>
          </w:p>
        </w:tc>
        <w:tc>
          <w:tcPr>
            <w:tcW w:w="54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风管安装辅材</w:t>
            </w:r>
          </w:p>
        </w:tc>
        <w:tc>
          <w:tcPr>
            <w:tcW w:w="391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397.玻璃胶，丝杆等。</w:t>
            </w:r>
          </w:p>
        </w:tc>
      </w:tr>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07"/>
        <w:gridCol w:w="6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1407"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商务需求项</w:t>
            </w:r>
          </w:p>
        </w:tc>
        <w:tc>
          <w:tcPr>
            <w:tcW w:w="6308" w:type="dxa"/>
            <w:vAlign w:val="center"/>
          </w:tcPr>
          <w:p>
            <w:pPr>
              <w:jc w:val="center"/>
              <w:rPr>
                <w:rFonts w:hint="eastAsia" w:ascii="宋体" w:hAnsi="宋体" w:eastAsia="宋体" w:cs="宋体"/>
                <w:b/>
                <w:color w:val="auto"/>
                <w:sz w:val="24"/>
              </w:rPr>
            </w:pPr>
            <w:r>
              <w:rPr>
                <w:rFonts w:hint="eastAsia" w:ascii="宋体" w:hAnsi="宋体" w:eastAsia="宋体" w:cs="宋体"/>
                <w:b/>
                <w:color w:val="auto"/>
                <w:sz w:val="24"/>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526" w:type="dxa"/>
            <w:gridSpan w:val="3"/>
            <w:vAlign w:val="top"/>
          </w:tcPr>
          <w:p>
            <w:pPr>
              <w:rPr>
                <w:rFonts w:hint="eastAsia" w:ascii="宋体" w:hAnsi="宋体" w:eastAsia="宋体" w:cs="宋体"/>
                <w:b/>
                <w:color w:val="auto"/>
                <w:sz w:val="24"/>
              </w:rPr>
            </w:pPr>
            <w:r>
              <w:rPr>
                <w:rFonts w:hint="eastAsia" w:ascii="宋体" w:hAnsi="宋体" w:eastAsia="宋体" w:cs="宋体"/>
                <w:b/>
                <w:color w:val="auto"/>
                <w:sz w:val="24"/>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11" w:type="dxa"/>
            <w:vAlign w:val="center"/>
          </w:tcPr>
          <w:p>
            <w:pPr>
              <w:jc w:val="center"/>
              <w:rPr>
                <w:rFonts w:hint="eastAsia" w:ascii="宋体" w:hAnsi="宋体" w:eastAsia="宋体" w:cs="宋体"/>
                <w:bCs/>
                <w:color w:val="auto"/>
                <w:sz w:val="24"/>
              </w:rPr>
            </w:pPr>
            <w:r>
              <w:rPr>
                <w:rFonts w:hint="eastAsia" w:ascii="宋体" w:hAnsi="宋体" w:eastAsia="宋体" w:cs="宋体"/>
                <w:bCs/>
                <w:color w:val="auto"/>
                <w:sz w:val="24"/>
              </w:rPr>
              <w:t>1</w:t>
            </w:r>
          </w:p>
        </w:tc>
        <w:tc>
          <w:tcPr>
            <w:tcW w:w="1407" w:type="dxa"/>
            <w:vAlign w:val="top"/>
          </w:tcPr>
          <w:p>
            <w:pPr>
              <w:jc w:val="center"/>
              <w:rPr>
                <w:rFonts w:hint="eastAsia" w:ascii="宋体" w:hAnsi="宋体" w:eastAsia="宋体" w:cs="宋体"/>
                <w:color w:val="auto"/>
                <w:sz w:val="24"/>
              </w:rPr>
            </w:pPr>
            <w:r>
              <w:rPr>
                <w:rFonts w:hint="eastAsia" w:ascii="宋体" w:hAnsi="宋体" w:eastAsia="宋体" w:cs="宋体"/>
                <w:color w:val="auto"/>
                <w:sz w:val="24"/>
              </w:rPr>
              <w:t>维修响应及故障解决时间</w:t>
            </w:r>
          </w:p>
        </w:tc>
        <w:tc>
          <w:tcPr>
            <w:tcW w:w="6308" w:type="dxa"/>
            <w:vAlign w:val="top"/>
          </w:tcPr>
          <w:p>
            <w:pPr>
              <w:rPr>
                <w:rFonts w:hint="eastAsia" w:ascii="宋体" w:hAnsi="宋体" w:eastAsia="宋体" w:cs="宋体"/>
                <w:b/>
                <w:color w:val="auto"/>
                <w:sz w:val="24"/>
              </w:rPr>
            </w:pPr>
            <w:r>
              <w:rPr>
                <w:rFonts w:hint="eastAsia" w:ascii="宋体" w:hAnsi="宋体" w:eastAsia="宋体" w:cs="宋体"/>
                <w:bCs/>
                <w:color w:val="auto"/>
                <w:sz w:val="24"/>
                <w:szCs w:val="24"/>
              </w:rPr>
              <w:t>在免费保修期内，一旦发生质量问题，中标人保证在接到通知</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11"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07"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免费保修期</w:t>
            </w:r>
          </w:p>
        </w:tc>
        <w:tc>
          <w:tcPr>
            <w:tcW w:w="6308" w:type="dxa"/>
            <w:vAlign w:val="top"/>
          </w:tcPr>
          <w:p>
            <w:pPr>
              <w:rPr>
                <w:rFonts w:hint="eastAsia" w:ascii="宋体" w:hAnsi="宋体" w:eastAsia="宋体" w:cs="宋体"/>
                <w:b/>
                <w:color w:val="auto"/>
                <w:sz w:val="24"/>
                <w:szCs w:val="24"/>
              </w:rPr>
            </w:pPr>
            <w:r>
              <w:rPr>
                <w:rFonts w:hint="eastAsia" w:ascii="宋体" w:hAnsi="宋体" w:eastAsia="宋体" w:cs="宋体"/>
                <w:bCs/>
                <w:color w:val="auto"/>
                <w:sz w:val="24"/>
                <w:szCs w:val="24"/>
              </w:rPr>
              <w:t>1.货物免费保修期</w:t>
            </w:r>
            <w:r>
              <w:rPr>
                <w:rFonts w:hint="eastAsia" w:ascii="宋体" w:hAnsi="宋体" w:eastAsia="宋体" w:cs="宋体"/>
                <w:bCs/>
                <w:color w:val="auto"/>
                <w:sz w:val="24"/>
                <w:szCs w:val="24"/>
                <w:u w:val="single"/>
              </w:rPr>
              <w:t xml:space="preserve">  1  </w:t>
            </w:r>
            <w:r>
              <w:rPr>
                <w:rFonts w:hint="eastAsia" w:ascii="宋体" w:hAnsi="宋体" w:eastAsia="宋体" w:cs="宋体"/>
                <w:bCs/>
                <w:color w:val="auto"/>
                <w:sz w:val="24"/>
                <w:szCs w:val="24"/>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1" w:type="dxa"/>
            <w:vMerge w:val="continue"/>
            <w:vAlign w:val="center"/>
          </w:tcPr>
          <w:p>
            <w:pPr>
              <w:jc w:val="center"/>
              <w:rPr>
                <w:rFonts w:hint="eastAsia" w:ascii="宋体" w:hAnsi="宋体" w:eastAsia="宋体" w:cs="宋体"/>
                <w:b/>
                <w:color w:val="auto"/>
                <w:sz w:val="24"/>
              </w:rPr>
            </w:pPr>
          </w:p>
        </w:tc>
        <w:tc>
          <w:tcPr>
            <w:tcW w:w="1407" w:type="dxa"/>
            <w:vMerge w:val="continue"/>
            <w:vAlign w:val="center"/>
          </w:tcPr>
          <w:p>
            <w:pPr>
              <w:rPr>
                <w:rFonts w:hint="eastAsia" w:ascii="宋体" w:hAnsi="宋体" w:eastAsia="宋体" w:cs="宋体"/>
                <w:color w:val="auto"/>
                <w:sz w:val="24"/>
              </w:rPr>
            </w:pPr>
          </w:p>
        </w:tc>
        <w:tc>
          <w:tcPr>
            <w:tcW w:w="6308" w:type="dxa"/>
            <w:vAlign w:val="center"/>
          </w:tcPr>
          <w:p>
            <w:pPr>
              <w:rPr>
                <w:rFonts w:hint="eastAsia" w:ascii="宋体" w:hAnsi="宋体" w:eastAsia="宋体" w:cs="宋体"/>
                <w:bCs/>
                <w:color w:val="auto"/>
                <w:sz w:val="24"/>
                <w:szCs w:val="24"/>
              </w:rPr>
            </w:pPr>
            <w:r>
              <w:rPr>
                <w:rFonts w:hint="eastAsia" w:ascii="宋体" w:hAnsi="宋体" w:eastAsia="宋体" w:cs="宋体"/>
                <w:bCs/>
                <w:color w:val="auto"/>
                <w:sz w:val="24"/>
                <w:szCs w:val="24"/>
              </w:rPr>
              <w:t>2.免费保修期内，</w:t>
            </w:r>
            <w:r>
              <w:rPr>
                <w:rFonts w:hint="eastAsia" w:ascii="宋体" w:hAnsi="宋体" w:eastAsia="宋体" w:cs="宋体"/>
                <w:color w:val="auto"/>
                <w:sz w:val="24"/>
                <w:szCs w:val="24"/>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11" w:type="dxa"/>
            <w:vAlign w:val="center"/>
          </w:tcPr>
          <w:p>
            <w:pPr>
              <w:jc w:val="center"/>
              <w:rPr>
                <w:rFonts w:hint="eastAsia" w:ascii="宋体" w:hAnsi="宋体" w:eastAsia="宋体" w:cs="宋体"/>
                <w:b/>
                <w:color w:val="auto"/>
                <w:sz w:val="24"/>
              </w:rPr>
            </w:pPr>
            <w:r>
              <w:rPr>
                <w:rFonts w:hint="eastAsia" w:ascii="宋体" w:hAnsi="宋体" w:eastAsia="宋体" w:cs="宋体"/>
                <w:color w:val="auto"/>
                <w:sz w:val="24"/>
                <w:szCs w:val="24"/>
              </w:rPr>
              <w:t>3</w:t>
            </w:r>
          </w:p>
        </w:tc>
        <w:tc>
          <w:tcPr>
            <w:tcW w:w="1407" w:type="dxa"/>
            <w:vAlign w:val="center"/>
          </w:tcPr>
          <w:p>
            <w:pPr>
              <w:jc w:val="center"/>
              <w:rPr>
                <w:rFonts w:hint="eastAsia" w:ascii="宋体" w:hAnsi="宋体" w:eastAsia="宋体" w:cs="宋体"/>
                <w:b/>
                <w:color w:val="auto"/>
                <w:sz w:val="24"/>
              </w:rPr>
            </w:pPr>
            <w:r>
              <w:rPr>
                <w:rFonts w:hint="eastAsia" w:ascii="宋体" w:hAnsi="宋体" w:eastAsia="宋体" w:cs="宋体"/>
                <w:color w:val="auto"/>
                <w:sz w:val="24"/>
                <w:szCs w:val="24"/>
              </w:rPr>
              <w:t>技术文件</w:t>
            </w:r>
          </w:p>
        </w:tc>
        <w:tc>
          <w:tcPr>
            <w:tcW w:w="6308" w:type="dxa"/>
            <w:vAlign w:val="center"/>
          </w:tcPr>
          <w:p>
            <w:pPr>
              <w:rPr>
                <w:rFonts w:hint="eastAsia" w:ascii="宋体" w:hAnsi="宋体" w:eastAsia="宋体" w:cs="宋体"/>
                <w:bCs/>
                <w:color w:val="auto"/>
                <w:sz w:val="24"/>
              </w:rPr>
            </w:pPr>
            <w:r>
              <w:rPr>
                <w:rFonts w:hint="eastAsia" w:ascii="宋体" w:hAnsi="宋体" w:eastAsia="宋体" w:cs="宋体"/>
                <w:bCs/>
                <w:color w:val="auto"/>
                <w:sz w:val="24"/>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6" w:type="dxa"/>
            <w:gridSpan w:val="3"/>
            <w:vAlign w:val="center"/>
          </w:tcPr>
          <w:p>
            <w:pPr>
              <w:spacing w:line="240" w:lineRule="auto"/>
              <w:rPr>
                <w:rFonts w:hint="eastAsia" w:ascii="宋体" w:hAnsi="宋体" w:eastAsia="宋体" w:cs="宋体"/>
                <w:b/>
                <w:color w:val="auto"/>
                <w:sz w:val="24"/>
              </w:rPr>
            </w:pPr>
            <w:r>
              <w:rPr>
                <w:rFonts w:hint="eastAsia" w:ascii="宋体" w:hAnsi="宋体" w:eastAsia="宋体" w:cs="宋体"/>
                <w:b/>
                <w:color w:val="auto"/>
                <w:sz w:val="24"/>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1" w:type="dxa"/>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1</w:t>
            </w:r>
          </w:p>
        </w:tc>
        <w:tc>
          <w:tcPr>
            <w:tcW w:w="1407" w:type="dxa"/>
            <w:vAlign w:val="center"/>
          </w:tcPr>
          <w:p>
            <w:pPr>
              <w:spacing w:line="240" w:lineRule="auto"/>
              <w:jc w:val="center"/>
              <w:rPr>
                <w:rFonts w:hint="eastAsia" w:ascii="宋体" w:hAnsi="宋体" w:eastAsia="宋体" w:cs="宋体"/>
                <w:b/>
                <w:color w:val="auto"/>
                <w:sz w:val="24"/>
                <w:szCs w:val="24"/>
              </w:rPr>
            </w:pPr>
            <w:r>
              <w:rPr>
                <w:rStyle w:val="20"/>
                <w:rFonts w:hint="eastAsia" w:ascii="宋体" w:hAnsi="宋体" w:eastAsia="宋体" w:cs="宋体"/>
                <w:color w:val="auto"/>
                <w:sz w:val="24"/>
                <w:szCs w:val="24"/>
              </w:rPr>
              <w:t>维修零配件、消耗品和延续保修合同的报价</w:t>
            </w:r>
          </w:p>
        </w:tc>
        <w:tc>
          <w:tcPr>
            <w:tcW w:w="6308" w:type="dxa"/>
            <w:vAlign w:val="center"/>
          </w:tcPr>
          <w:p>
            <w:pPr>
              <w:spacing w:line="240" w:lineRule="auto"/>
              <w:rPr>
                <w:rFonts w:hint="eastAsia" w:ascii="宋体" w:hAnsi="宋体" w:eastAsia="宋体" w:cs="宋体"/>
                <w:b/>
                <w:color w:val="auto"/>
                <w:sz w:val="24"/>
              </w:rPr>
            </w:pPr>
            <w:r>
              <w:rPr>
                <w:rFonts w:hint="eastAsia" w:ascii="宋体" w:hAnsi="宋体" w:eastAsia="宋体" w:cs="宋体"/>
                <w:color w:val="auto"/>
                <w:sz w:val="24"/>
                <w:szCs w:val="24"/>
              </w:rPr>
              <w:t>1.1由设备制造商提供售后服务，</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1 </w:t>
            </w:r>
            <w:r>
              <w:rPr>
                <w:rFonts w:hint="eastAsia" w:ascii="宋体" w:hAnsi="宋体" w:eastAsia="宋体" w:cs="宋体"/>
                <w:color w:val="auto"/>
                <w:sz w:val="24"/>
                <w:szCs w:val="24"/>
              </w:rPr>
              <w:t>小时内响应，</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24</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26" w:type="dxa"/>
            <w:gridSpan w:val="3"/>
            <w:vAlign w:val="center"/>
          </w:tcPr>
          <w:p>
            <w:pPr>
              <w:spacing w:line="240" w:lineRule="auto"/>
              <w:rPr>
                <w:rFonts w:hint="eastAsia" w:ascii="宋体" w:hAnsi="宋体" w:eastAsia="宋体" w:cs="宋体"/>
                <w:b/>
                <w:color w:val="auto"/>
                <w:sz w:val="24"/>
              </w:rPr>
            </w:pPr>
            <w:r>
              <w:rPr>
                <w:rFonts w:hint="eastAsia" w:ascii="宋体" w:hAnsi="宋体" w:eastAsia="宋体" w:cs="宋体"/>
                <w:b/>
                <w:color w:val="auto"/>
                <w:sz w:val="24"/>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1</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违约责任</w:t>
            </w: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.1中标人不能交货的，需偿付不能交货部分货款的</w:t>
            </w:r>
            <w:r>
              <w:rPr>
                <w:rFonts w:hint="eastAsia" w:ascii="宋体" w:hAnsi="宋体" w:eastAsia="宋体" w:cs="宋体"/>
                <w:color w:val="auto"/>
                <w:sz w:val="24"/>
                <w:szCs w:val="24"/>
                <w:u w:val="single"/>
                <w:lang w:val="en-US" w:eastAsia="zh-CN"/>
              </w:rPr>
              <w:t>50</w:t>
            </w:r>
            <w:r>
              <w:rPr>
                <w:rFonts w:hint="eastAsia" w:ascii="宋体" w:hAnsi="宋体" w:eastAsia="宋体" w:cs="宋体"/>
                <w:color w:val="auto"/>
                <w:sz w:val="24"/>
                <w:szCs w:val="24"/>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jc w:val="center"/>
              <w:rPr>
                <w:rFonts w:hint="eastAsia" w:ascii="宋体" w:hAnsi="宋体" w:eastAsia="宋体" w:cs="宋体"/>
                <w:b/>
                <w:color w:val="auto"/>
                <w:sz w:val="24"/>
                <w:szCs w:val="24"/>
              </w:rPr>
            </w:pP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jc w:val="center"/>
              <w:rPr>
                <w:rFonts w:hint="eastAsia" w:ascii="宋体" w:hAnsi="宋体" w:eastAsia="宋体" w:cs="宋体"/>
                <w:b/>
                <w:color w:val="auto"/>
                <w:sz w:val="24"/>
                <w:szCs w:val="24"/>
              </w:rPr>
            </w:pPr>
          </w:p>
        </w:tc>
        <w:tc>
          <w:tcPr>
            <w:tcW w:w="6308" w:type="dxa"/>
            <w:vAlign w:val="top"/>
          </w:tcPr>
          <w:p>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将根据标的的性质以及损失的大小，可以合理选择要求</w:t>
            </w:r>
            <w:r>
              <w:rPr>
                <w:rFonts w:hint="eastAsia" w:ascii="宋体" w:hAnsi="宋体" w:eastAsia="宋体" w:cs="宋体"/>
                <w:color w:val="auto"/>
                <w:sz w:val="24"/>
                <w:szCs w:val="24"/>
                <w:lang w:val="en-US" w:eastAsia="zh-CN"/>
              </w:rPr>
              <w:t>中标人</w:t>
            </w:r>
            <w:r>
              <w:rPr>
                <w:rFonts w:hint="eastAsia" w:ascii="宋体" w:hAnsi="宋体" w:eastAsia="宋体" w:cs="宋体"/>
                <w:color w:val="auto"/>
                <w:sz w:val="24"/>
                <w:szCs w:val="24"/>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val="en-US" w:eastAsia="zh-CN"/>
              </w:rPr>
              <w:t>2</w:t>
            </w:r>
          </w:p>
        </w:tc>
        <w:tc>
          <w:tcPr>
            <w:tcW w:w="1407" w:type="dxa"/>
            <w:vMerge w:val="restart"/>
            <w:vAlign w:val="center"/>
          </w:tcPr>
          <w:p>
            <w:pPr>
              <w:spacing w:line="240" w:lineRule="auto"/>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交货</w:t>
            </w:r>
            <w:r>
              <w:rPr>
                <w:rFonts w:hint="eastAsia" w:ascii="宋体" w:hAnsi="宋体" w:eastAsia="宋体" w:cs="宋体"/>
                <w:b/>
                <w:bCs w:val="0"/>
                <w:color w:val="auto"/>
                <w:sz w:val="24"/>
                <w:szCs w:val="24"/>
                <w:lang w:val="en-US" w:eastAsia="zh-CN"/>
              </w:rPr>
              <w:t>及付款要求</w:t>
            </w:r>
          </w:p>
        </w:tc>
        <w:tc>
          <w:tcPr>
            <w:tcW w:w="6308" w:type="dxa"/>
            <w:vAlign w:val="center"/>
          </w:tcPr>
          <w:p>
            <w:pPr>
              <w:spacing w:line="240" w:lineRule="auto"/>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.1履约时间和地点：投标供应商在签订合同之日起30天内交货，交货地点为</w:t>
            </w:r>
            <w:r>
              <w:rPr>
                <w:rFonts w:hint="eastAsia" w:ascii="宋体" w:hAnsi="宋体" w:eastAsia="宋体" w:cs="宋体"/>
                <w:b/>
                <w:color w:val="auto"/>
                <w:sz w:val="24"/>
                <w:szCs w:val="24"/>
              </w:rPr>
              <w:t>深圳市宝安区西湾小学（集团）蘅芳校区</w:t>
            </w:r>
            <w:r>
              <w:rPr>
                <w:rFonts w:hint="eastAsia" w:ascii="宋体" w:hAnsi="宋体" w:eastAsia="宋体" w:cs="宋体"/>
                <w:color w:val="auto"/>
                <w:sz w:val="24"/>
              </w:rPr>
              <w:t>。</w:t>
            </w:r>
          </w:p>
          <w:p>
            <w:pPr>
              <w:pStyle w:val="2"/>
              <w:rPr>
                <w:rFonts w:hint="eastAsia" w:ascii="宋体" w:hAnsi="宋体" w:eastAsia="宋体" w:cs="宋体"/>
                <w:color w:val="auto"/>
                <w:sz w:val="24"/>
                <w:lang w:val="en-US" w:eastAsia="zh-CN"/>
              </w:rPr>
            </w:pPr>
            <w:r>
              <w:rPr>
                <w:rFonts w:hint="eastAsia" w:ascii="宋体" w:hAnsi="宋体" w:eastAsia="宋体" w:cs="宋体"/>
                <w:b w:val="0"/>
                <w:bCs w:val="0"/>
                <w:color w:val="auto"/>
                <w:kern w:val="2"/>
                <w:sz w:val="24"/>
                <w:szCs w:val="24"/>
                <w:lang w:val="en-US" w:eastAsia="zh-CN" w:bidi="ar-SA"/>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11" w:type="dxa"/>
            <w:vMerge w:val="continue"/>
            <w:vAlign w:val="center"/>
          </w:tcPr>
          <w:p>
            <w:pPr>
              <w:spacing w:line="240" w:lineRule="auto"/>
              <w:jc w:val="center"/>
              <w:rPr>
                <w:rFonts w:hint="eastAsia" w:ascii="宋体" w:hAnsi="宋体" w:eastAsia="宋体" w:cs="宋体"/>
                <w:b/>
                <w:bCs w:val="0"/>
                <w:color w:val="auto"/>
                <w:sz w:val="24"/>
                <w:szCs w:val="24"/>
              </w:rPr>
            </w:pPr>
          </w:p>
        </w:tc>
        <w:tc>
          <w:tcPr>
            <w:tcW w:w="1407" w:type="dxa"/>
            <w:vMerge w:val="continue"/>
            <w:vAlign w:val="center"/>
          </w:tcPr>
          <w:p>
            <w:pPr>
              <w:spacing w:line="240" w:lineRule="auto"/>
              <w:jc w:val="center"/>
              <w:rPr>
                <w:rFonts w:hint="eastAsia" w:ascii="宋体" w:hAnsi="宋体" w:eastAsia="宋体" w:cs="宋体"/>
                <w:b/>
                <w:bCs w:val="0"/>
                <w:color w:val="auto"/>
                <w:sz w:val="24"/>
                <w:szCs w:val="24"/>
              </w:rPr>
            </w:pPr>
          </w:p>
        </w:tc>
        <w:tc>
          <w:tcPr>
            <w:tcW w:w="6308" w:type="dxa"/>
            <w:vAlign w:val="center"/>
          </w:tcPr>
          <w:p>
            <w:pPr>
              <w:numPr>
                <w:ilvl w:val="-1"/>
                <w:numId w:val="0"/>
              </w:numPr>
              <w:spacing w:line="440" w:lineRule="exact"/>
              <w:ind w:firstLine="0" w:firstLineChars="0"/>
              <w:jc w:val="left"/>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.2付款期限和方式：</w:t>
            </w:r>
            <w:r>
              <w:rPr>
                <w:rFonts w:hint="eastAsia" w:ascii="宋体" w:hAnsi="宋体" w:eastAsia="宋体" w:cs="宋体"/>
                <w:b w:val="0"/>
                <w:bCs w:val="0"/>
                <w:color w:val="auto"/>
                <w:kern w:val="2"/>
                <w:sz w:val="24"/>
                <w:szCs w:val="24"/>
                <w:lang w:val="en-US" w:eastAsia="zh-CN" w:bidi="ar-SA"/>
              </w:rPr>
              <w:t>本项目完成并经验收合格后，对于满足合同约定支付条件的，采购人应当自收到发票后15日内将资金支付到合同约定的中标供应商账户。</w:t>
            </w:r>
          </w:p>
          <w:p>
            <w:pPr>
              <w:pStyle w:val="2"/>
              <w:rPr>
                <w:rFonts w:hint="eastAsia" w:ascii="宋体" w:hAnsi="宋体" w:eastAsia="宋体" w:cs="宋体"/>
                <w:color w:val="auto"/>
                <w:sz w:val="24"/>
                <w:lang w:val="en-US" w:eastAsia="zh-CN"/>
              </w:rPr>
            </w:pPr>
            <w:r>
              <w:rPr>
                <w:rFonts w:hint="eastAsia" w:ascii="宋体" w:hAnsi="宋体" w:eastAsia="宋体" w:cs="宋体"/>
                <w:b w:val="0"/>
                <w:bCs w:val="0"/>
                <w:color w:val="auto"/>
                <w:kern w:val="2"/>
                <w:sz w:val="24"/>
                <w:szCs w:val="24"/>
                <w:lang w:val="en-US" w:eastAsia="zh-CN" w:bidi="ar-S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1407" w:type="dxa"/>
            <w:vAlign w:val="center"/>
          </w:tcPr>
          <w:p>
            <w:pPr>
              <w:spacing w:line="240" w:lineRule="auto"/>
              <w:jc w:val="center"/>
              <w:rPr>
                <w:rStyle w:val="20"/>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验收条件</w:t>
            </w:r>
          </w:p>
        </w:tc>
        <w:tc>
          <w:tcPr>
            <w:tcW w:w="6308" w:type="dxa"/>
            <w:vAlign w:val="center"/>
          </w:tcPr>
          <w:p>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供货安装完毕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4</w:t>
            </w:r>
          </w:p>
        </w:tc>
        <w:tc>
          <w:tcPr>
            <w:tcW w:w="1407" w:type="dxa"/>
            <w:vMerge w:val="restart"/>
            <w:vAlign w:val="center"/>
          </w:tcPr>
          <w:p>
            <w:pPr>
              <w:spacing w:line="240" w:lineRule="auto"/>
              <w:jc w:val="center"/>
              <w:rPr>
                <w:rFonts w:hint="eastAsia" w:ascii="宋体" w:hAnsi="宋体" w:eastAsia="宋体" w:cs="宋体"/>
                <w:color w:val="auto"/>
                <w:sz w:val="24"/>
                <w:szCs w:val="24"/>
              </w:rPr>
            </w:pPr>
            <w:r>
              <w:rPr>
                <w:rStyle w:val="20"/>
                <w:rFonts w:hint="eastAsia" w:ascii="宋体" w:hAnsi="宋体" w:eastAsia="宋体" w:cs="宋体"/>
                <w:color w:val="auto"/>
                <w:sz w:val="24"/>
                <w:szCs w:val="24"/>
              </w:rPr>
              <w:t>运输、安装条件</w:t>
            </w:r>
          </w:p>
        </w:tc>
        <w:tc>
          <w:tcPr>
            <w:tcW w:w="6308" w:type="dxa"/>
            <w:vAlign w:val="center"/>
          </w:tcPr>
          <w:p>
            <w:pPr>
              <w:spacing w:line="240" w:lineRule="auto"/>
              <w:rPr>
                <w:rFonts w:hint="eastAsia" w:ascii="宋体" w:hAnsi="宋体" w:eastAsia="宋体" w:cs="宋体"/>
                <w:bCs/>
                <w:color w:val="auto"/>
                <w:sz w:val="24"/>
                <w:szCs w:val="24"/>
              </w:rPr>
            </w:pPr>
            <w:r>
              <w:rPr>
                <w:rFonts w:hint="eastAsia" w:ascii="宋体" w:hAnsi="宋体" w:eastAsia="宋体" w:cs="宋体"/>
                <w:color w:val="auto"/>
                <w:sz w:val="24"/>
                <w:szCs w:val="24"/>
              </w:rPr>
              <w:t>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5</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培训</w:t>
            </w: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szCs w:val="24"/>
              </w:rPr>
            </w:pPr>
          </w:p>
        </w:tc>
        <w:tc>
          <w:tcPr>
            <w:tcW w:w="1407" w:type="dxa"/>
            <w:vMerge w:val="continue"/>
            <w:vAlign w:val="center"/>
          </w:tcPr>
          <w:p>
            <w:pPr>
              <w:spacing w:line="240" w:lineRule="auto"/>
              <w:rPr>
                <w:rFonts w:hint="eastAsia" w:ascii="宋体" w:hAnsi="宋体" w:eastAsia="宋体" w:cs="宋体"/>
                <w:b/>
                <w:color w:val="auto"/>
                <w:sz w:val="24"/>
                <w:szCs w:val="24"/>
              </w:rPr>
            </w:pP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restart"/>
            <w:vAlign w:val="center"/>
          </w:tcPr>
          <w:p>
            <w:pPr>
              <w:spacing w:line="24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6</w:t>
            </w:r>
          </w:p>
        </w:tc>
        <w:tc>
          <w:tcPr>
            <w:tcW w:w="1407" w:type="dxa"/>
            <w:vMerge w:val="restart"/>
            <w:vAlign w:val="center"/>
          </w:tcPr>
          <w:p>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知识产权</w:t>
            </w:r>
          </w:p>
        </w:tc>
        <w:tc>
          <w:tcPr>
            <w:tcW w:w="6308" w:type="dxa"/>
            <w:vAlign w:val="top"/>
          </w:tcPr>
          <w:p>
            <w:pPr>
              <w:rPr>
                <w:rFonts w:hint="eastAsia" w:ascii="宋体" w:hAnsi="宋体" w:eastAsia="宋体" w:cs="宋体"/>
                <w:color w:val="auto"/>
                <w:sz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.1涉及采购标的的知识产权归属、处理的，</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Merge w:val="continue"/>
            <w:vAlign w:val="center"/>
          </w:tcPr>
          <w:p>
            <w:pPr>
              <w:spacing w:line="240" w:lineRule="auto"/>
              <w:jc w:val="center"/>
              <w:rPr>
                <w:rFonts w:hint="eastAsia" w:ascii="宋体" w:hAnsi="宋体" w:eastAsia="宋体" w:cs="宋体"/>
                <w:b/>
                <w:color w:val="auto"/>
                <w:sz w:val="24"/>
              </w:rPr>
            </w:pPr>
          </w:p>
        </w:tc>
        <w:tc>
          <w:tcPr>
            <w:tcW w:w="1407" w:type="dxa"/>
            <w:vMerge w:val="continue"/>
            <w:vAlign w:val="center"/>
          </w:tcPr>
          <w:p>
            <w:pPr>
              <w:spacing w:line="240" w:lineRule="auto"/>
              <w:rPr>
                <w:rFonts w:hint="eastAsia" w:ascii="宋体" w:hAnsi="宋体" w:eastAsia="宋体" w:cs="宋体"/>
                <w:b/>
                <w:color w:val="auto"/>
                <w:sz w:val="24"/>
              </w:rPr>
            </w:pP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1" w:type="dxa"/>
            <w:vAlign w:val="center"/>
          </w:tcPr>
          <w:p>
            <w:pPr>
              <w:spacing w:line="240" w:lineRule="auto"/>
              <w:jc w:val="center"/>
              <w:rPr>
                <w:rFonts w:hint="eastAsia" w:ascii="宋体" w:hAnsi="宋体" w:eastAsia="宋体" w:cs="宋体"/>
                <w:b/>
                <w:color w:val="auto"/>
                <w:sz w:val="24"/>
                <w:lang w:eastAsia="zh-CN"/>
              </w:rPr>
            </w:pPr>
            <w:r>
              <w:rPr>
                <w:rFonts w:hint="eastAsia" w:ascii="宋体" w:hAnsi="宋体" w:eastAsia="宋体" w:cs="宋体"/>
                <w:b/>
                <w:color w:val="auto"/>
                <w:sz w:val="24"/>
                <w:lang w:val="en-US" w:eastAsia="zh-CN"/>
              </w:rPr>
              <w:t>7</w:t>
            </w:r>
          </w:p>
        </w:tc>
        <w:tc>
          <w:tcPr>
            <w:tcW w:w="1407" w:type="dxa"/>
            <w:vAlign w:val="center"/>
          </w:tcPr>
          <w:p>
            <w:pPr>
              <w:spacing w:line="240" w:lineRule="auto"/>
              <w:jc w:val="center"/>
              <w:rPr>
                <w:rFonts w:hint="eastAsia" w:ascii="宋体" w:hAnsi="宋体" w:eastAsia="宋体" w:cs="宋体"/>
                <w:b/>
                <w:color w:val="auto"/>
                <w:sz w:val="24"/>
              </w:rPr>
            </w:pPr>
            <w:r>
              <w:rPr>
                <w:rFonts w:hint="eastAsia" w:ascii="宋体" w:hAnsi="宋体" w:eastAsia="宋体" w:cs="宋体"/>
                <w:b/>
                <w:color w:val="auto"/>
                <w:sz w:val="24"/>
                <w:szCs w:val="24"/>
              </w:rPr>
              <w:t>其他</w:t>
            </w:r>
          </w:p>
        </w:tc>
        <w:tc>
          <w:tcPr>
            <w:tcW w:w="6308" w:type="dxa"/>
            <w:vAlign w:val="top"/>
          </w:tcPr>
          <w:p>
            <w:pPr>
              <w:widowControl/>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7.1</w:t>
            </w:r>
            <w:r>
              <w:rPr>
                <w:rFonts w:hint="eastAsia" w:ascii="宋体" w:hAnsi="宋体" w:eastAsia="宋体" w:cs="宋体"/>
                <w:color w:val="auto"/>
                <w:sz w:val="24"/>
                <w:szCs w:val="24"/>
              </w:rPr>
              <w:t>投标供应商应按其投标文件中的承诺，进行其他售后服务工作。</w:t>
            </w:r>
          </w:p>
          <w:p>
            <w:pPr>
              <w:pStyle w:val="6"/>
              <w:spacing w:line="240" w:lineRule="auto"/>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7.2</w:t>
            </w:r>
            <w:r>
              <w:rPr>
                <w:rFonts w:hint="eastAsia" w:ascii="宋体" w:hAnsi="宋体" w:eastAsia="宋体" w:cs="宋体"/>
                <w:b/>
                <w:bCs w:val="0"/>
                <w:color w:val="auto"/>
                <w:kern w:val="0"/>
                <w:sz w:val="24"/>
                <w:szCs w:val="24"/>
                <w:lang w:val="en-US" w:eastAsia="zh-CN"/>
              </w:rPr>
              <w:t>签定合同前</w:t>
            </w:r>
            <w:r>
              <w:rPr>
                <w:rFonts w:hint="eastAsia" w:ascii="宋体" w:hAnsi="宋体" w:eastAsia="宋体" w:cs="宋体"/>
                <w:b/>
                <w:bCs w:val="0"/>
                <w:color w:val="auto"/>
                <w:kern w:val="0"/>
                <w:sz w:val="24"/>
                <w:szCs w:val="24"/>
              </w:rPr>
              <w:t>，</w:t>
            </w:r>
            <w:r>
              <w:rPr>
                <w:rFonts w:hint="eastAsia" w:ascii="宋体" w:hAnsi="宋体" w:eastAsia="宋体" w:cs="宋体"/>
                <w:b/>
                <w:color w:val="auto"/>
                <w:kern w:val="0"/>
                <w:sz w:val="24"/>
                <w:szCs w:val="24"/>
              </w:rPr>
              <w:t>采购方有权要求供应商提供设备清单中“▲”符号的检测报告原件进行查看，如无法提供，采购方有权按相关政府采购法律法规中如供应商存在弄虚作假骗取中标行为的相关规定进行处理。</w:t>
            </w:r>
          </w:p>
        </w:tc>
      </w:tr>
    </w:tbl>
    <w:p>
      <w:pPr>
        <w:rPr>
          <w:b/>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4"/>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）经验评价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）投标人通过相关认证情况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7</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）厨房设备布局设计图整体评价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）政府采购节能环保产品情况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5"/>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5"/>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57"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3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13"/>
        <w:gridCol w:w="2110"/>
        <w:gridCol w:w="527"/>
        <w:gridCol w:w="500"/>
        <w:gridCol w:w="500"/>
        <w:gridCol w:w="502"/>
        <w:gridCol w:w="500"/>
        <w:gridCol w:w="502"/>
        <w:gridCol w:w="503"/>
        <w:gridCol w:w="524"/>
        <w:gridCol w:w="524"/>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2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采购计划编号</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货物名称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品牌</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规格/型号</w:t>
            </w: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1"/>
                <w:szCs w:val="21"/>
                <w:u w:val="none"/>
              </w:rPr>
            </w:pPr>
            <w:r>
              <w:rPr>
                <w:rFonts w:hint="eastAsia" w:ascii="宋体" w:hAnsi="宋体" w:eastAsia="宋体" w:cs="宋体"/>
                <w:b/>
                <w:i w:val="0"/>
                <w:color w:val="FF0000"/>
                <w:kern w:val="0"/>
                <w:sz w:val="21"/>
                <w:szCs w:val="21"/>
                <w:u w:val="none"/>
                <w:lang w:val="en-US" w:eastAsia="zh-CN" w:bidi="ar"/>
              </w:rPr>
              <w:t>原产地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制造商名称</w:t>
            </w: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单价(元)</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合价(元)</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11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BAJYJ2025061007312A</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五层栅格层架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五层栅格层架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绞切肉机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大单星盆台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单星杀鱼台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热水器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高压花洒龙头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刀具消毒柜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洗地龙头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五层冲孔货架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风幕机</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洗手星连感应水龙头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烘手机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燃气单门蒸柜（带推车）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燃气双头矮汤炉</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双通打荷台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4</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炉拼台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双星盆台</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挂墙双层架</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大单星盆台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双门高身雪柜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燃气一大一小炒炉</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开水器带底座</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双门消毒柜</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双星盆台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工具挂钩</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r>
              <w:rPr>
                <w:rFonts w:hint="eastAsia" w:ascii="宋体" w:hAnsi="宋体" w:eastAsia="宋体" w:cs="宋体"/>
                <w:i w:val="0"/>
                <w:color w:val="000000"/>
                <w:kern w:val="0"/>
                <w:sz w:val="21"/>
                <w:szCs w:val="21"/>
                <w:u w:val="none"/>
                <w:lang w:val="en-US" w:eastAsia="zh-CN" w:bidi="ar"/>
              </w:rPr>
              <w:t>格更衣柜</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木质案板台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活动面粉车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搅拌机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单门醒发箱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压面机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三层电热烤箱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落地式电饼铛</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油网烟罩</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添加剂挂墙箱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电热暖汤车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双通打荷台</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五格保温售饭台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双门立式玻璃门冰箱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单星盆台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双门消毒柜</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洁碟台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5</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挂墙茜架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风幕机</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双层收餐车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双孔污碟柜（带推车）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单通打荷台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双层工作台</w:t>
            </w:r>
            <w:r>
              <w:rPr>
                <w:rFonts w:hint="default" w:ascii="Times New Roman" w:hAnsi="Times New Roman" w:eastAsia="宋体" w:cs="Times New Roman"/>
                <w:i w:val="0"/>
                <w:color w:val="000000"/>
                <w:kern w:val="0"/>
                <w:sz w:val="21"/>
                <w:szCs w:val="21"/>
                <w:u w:val="none"/>
                <w:lang w:val="en-US" w:eastAsia="zh-CN" w:bidi="ar"/>
              </w:rPr>
              <w:t>6</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挡鼠板</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洗碗机</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抽气罩</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抽气罩</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排气管</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净水器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纯水箱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恒压水泵</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五格餐盘</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汤碗</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勺子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筷子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砍刀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斩切刀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松木砧板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胶砧板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方胶砧板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油盆</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漏网</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翅厘</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机喱</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木柄疏壳</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木柄疏壳</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锅铲</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锅扫</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调料更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瓜刨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电子秤</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网隔</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炒更</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面包夹</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磨刀石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水壳</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锅架</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锅架</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保鲜盒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薯闸</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刨丝削皮刀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马斗</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马斗</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酱汁唧樽</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猪插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开蚝刀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剪刀</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木柄鱼鳞刨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S</w:t>
            </w:r>
            <w:r>
              <w:rPr>
                <w:rFonts w:hint="eastAsia" w:ascii="宋体" w:hAnsi="宋体" w:eastAsia="宋体" w:cs="宋体"/>
                <w:i w:val="0"/>
                <w:color w:val="000000"/>
                <w:kern w:val="0"/>
                <w:sz w:val="21"/>
                <w:szCs w:val="21"/>
                <w:u w:val="none"/>
                <w:lang w:val="en-US" w:eastAsia="zh-CN" w:bidi="ar"/>
              </w:rPr>
              <w:t>勾</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份数盆</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复合底汤桶</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八格调味盒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六格调味盒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方筛菜篮</w:t>
            </w:r>
            <w:r>
              <w:rPr>
                <w:rFonts w:hint="default" w:ascii="Times New Roman" w:hAnsi="Times New Roman" w:eastAsia="宋体" w:cs="Times New Roman"/>
                <w:i w:val="0"/>
                <w:color w:val="000000"/>
                <w:kern w:val="0"/>
                <w:sz w:val="21"/>
                <w:szCs w:val="21"/>
                <w:u w:val="none"/>
                <w:lang w:val="en-US" w:eastAsia="zh-CN" w:bidi="ar"/>
              </w:rPr>
              <w:t>3</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特厚大炒锅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小炒锅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壁挂式纸巾盒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商用压力锅</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打蒜器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土豆刨丝器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洗菜盆</w:t>
            </w:r>
            <w:r>
              <w:rPr>
                <w:rFonts w:hint="default" w:ascii="Times New Roman" w:hAnsi="Times New Roman" w:eastAsia="宋体" w:cs="Times New Roman"/>
                <w:i w:val="0"/>
                <w:color w:val="000000"/>
                <w:kern w:val="0"/>
                <w:sz w:val="21"/>
                <w:szCs w:val="21"/>
                <w:u w:val="none"/>
                <w:lang w:val="en-US" w:eastAsia="zh-CN" w:bidi="ar"/>
              </w:rPr>
              <w:t>1</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洗菜盆</w:t>
            </w:r>
            <w:r>
              <w:rPr>
                <w:rFonts w:hint="default" w:ascii="Times New Roman" w:hAnsi="Times New Roman" w:eastAsia="宋体" w:cs="Times New Roman"/>
                <w:i w:val="0"/>
                <w:color w:val="000000"/>
                <w:kern w:val="0"/>
                <w:sz w:val="21"/>
                <w:szCs w:val="21"/>
                <w:u w:val="none"/>
                <w:lang w:val="en-US" w:eastAsia="zh-CN" w:bidi="ar"/>
              </w:rPr>
              <w:t>2</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厨房排烟管</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排烟管安装辅材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厨房鲜风管道</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2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风管安装辅材</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w:t>
            </w: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5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11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8326" w:type="dxa"/>
            <w:gridSpan w:val="1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pPr>
        <w:rPr>
          <w:b/>
          <w:bCs/>
        </w:rPr>
      </w:pPr>
    </w:p>
    <w:p/>
    <w:p>
      <w:pPr>
        <w:ind w:firstLine="723" w:firstLineChars="300"/>
        <w:rPr>
          <w:b/>
          <w:color w:val="FF0000"/>
          <w:sz w:val="24"/>
        </w:rPr>
      </w:pPr>
      <w:r>
        <w:rPr>
          <w:rFonts w:hint="eastAsia"/>
          <w:b/>
          <w:color w:val="FF0000"/>
          <w:sz w:val="24"/>
        </w:rPr>
        <w:t>（信息公开部分的内容到此为止！以下为信息不公开部分。）</w:t>
      </w:r>
    </w:p>
    <w:bookmarkEnd w:id="57"/>
    <w:p>
      <w:r>
        <w:br w:type="page"/>
      </w:r>
    </w:p>
    <w:p>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6"/>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6"/>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3"/>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95"/>
        <w:gridCol w:w="759"/>
        <w:gridCol w:w="6140"/>
        <w:gridCol w:w="404"/>
        <w:gridCol w:w="346"/>
        <w:gridCol w:w="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技术参数要求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投标技术响应</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偏离情况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米面架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1.规格：1500*600*300（±10%）（单位：mm）；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2.立柱及框架采用304#*1.0厚不锈钢管制作；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4.规格：1400*500*1800（±10%）（单位：mm）；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6.层板用30*15*1.0mm厚不锈钢扁管制作；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7.配可调不锈钢子弹脚。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五层栅格层架2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8.规格：1500*500*1800（±10%）（单位：mm）；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10.层板用30*15*1.0mm厚不锈钢扁管制作；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12.规格：L=2000（±10%）（单位：mm）；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13.面板采用304#1.0不锈钢板。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灭蝇灯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14.规格：395*120*290（±10%）（单位：mm）；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15.电压：220V；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16.功率：≥20W；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17.灯管：灯管：双灯管紫外线灯；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18.覆盖面积≥80㎡；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19.双面粘板在使用过程能保持完全敞开，通过粘捕纸粘黏蚊蝇。耗能低，无异味，无辐射；</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灭蝇灯主板依据GB/T2423.16-2022环境试验第2部分：试验方法试验J和导则：长霉，在放大50倍下，没有发现明显有黑曲霉、绿色木霉、绳状青霉，达到0级，产品依据GB/T2423.1-2008电工电子产品环境试验第2部分：试验方法试验A:低温GB/T2423.2-2008电工电子产品环境试验第2部分：试验方法试验B:高温，在温度为-20℃和60℃的试验箱中持续工作2小时，试验中，样品功能正常；（</w:t>
            </w:r>
            <w:r>
              <w:rPr>
                <w:rFonts w:hint="eastAsia" w:ascii="宋体" w:hAnsi="宋体" w:eastAsia="宋体" w:cs="宋体"/>
                <w:i w:val="0"/>
                <w:color w:val="0000FF"/>
                <w:kern w:val="0"/>
                <w:sz w:val="24"/>
                <w:szCs w:val="24"/>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绞切肉机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21.规格：550*400*750（±10%）（单位：mm）；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22.双电机，标配切肉厚度：3.5mm，可订做：6mm；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23.功率：0.75KW/220V。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24.规格：1000*760*800/150（±10%）（单位：mm）；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28.规格：1000*350*600（±10%）（单位：mm）；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30.规格：1200*760*800/150（±10%）（单位：mm）；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32.星盆斗采用304#1.2厚不锈钢板；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34.规格：1200*350*600（±10%）（单位：mm）；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单星杀鱼台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36.规格：1500*760*800/150（±10%）（单位：mm）；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 </w:t>
            </w:r>
          </w:p>
        </w:tc>
        <w:tc>
          <w:tcPr>
            <w:tcW w:w="0" w:type="auto"/>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40.规格：80L（±10%）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left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41.圆桶。功率：≥2.2KW/220V。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r>
              <w:rPr>
                <w:rFonts w:hint="eastAsia" w:ascii="宋体" w:hAnsi="宋体" w:eastAsia="宋体" w:cs="宋体"/>
                <w:i w:val="0"/>
                <w:iCs w:val="0"/>
                <w:color w:val="auto"/>
                <w:kern w:val="0"/>
                <w:sz w:val="22"/>
                <w:szCs w:val="22"/>
                <w:highlight w:val="yellow"/>
                <w:u w:val="none"/>
                <w:lang w:val="en-US" w:eastAsia="zh-CN" w:bidi="ar"/>
              </w:rPr>
              <w:t>★投标时提供获得国家认可的认证机构出具的处于有效期内的节能产品认证证书。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高压花洒龙头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42.座台式单孔双温高压花洒、黄铜铸造表面抛光镀铬处理；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43.直管采用快速安装设计，安装简单高效；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44.150mm±5%长的墙上托架；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45.工作高度：980mm±5%；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46.进水口配有止回阀，防止回水倒流；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48.附加12寸摇摆龙头；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49.符合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Fonts w:hint="eastAsia" w:ascii="宋体" w:hAnsi="宋体" w:eastAsia="宋体" w:cs="宋体"/>
                <w:i w:val="0"/>
                <w:color w:val="0000FF"/>
                <w:kern w:val="0"/>
                <w:sz w:val="24"/>
                <w:szCs w:val="24"/>
                <w:highlight w:val="yellow"/>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r>
              <w:rPr>
                <w:rStyle w:val="41"/>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sz w:val="21"/>
                <w:szCs w:val="21"/>
                <w:u w:val="none"/>
              </w:rPr>
            </w:pPr>
            <w:r>
              <w:rPr>
                <w:rFonts w:hint="eastAsia" w:ascii="宋体" w:hAnsi="宋体" w:eastAsia="宋体" w:cs="宋体"/>
                <w:i w:val="0"/>
                <w:color w:val="FF0000"/>
                <w:kern w:val="0"/>
                <w:sz w:val="21"/>
                <w:szCs w:val="21"/>
                <w:u w:val="none"/>
                <w:lang w:val="en-US" w:eastAsia="zh-CN" w:bidi="ar"/>
              </w:rPr>
              <w:t>★</w:t>
            </w:r>
            <w:r>
              <w:rPr>
                <w:rStyle w:val="42"/>
                <w:lang w:val="en-US" w:eastAsia="zh-CN" w:bidi="ar"/>
              </w:rPr>
              <w:t>51.产品需符合GB 25501-2019标准，水嘴水效等级为1级，投标时提供水效标识。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FF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刀具消毒柜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52.规格：540*135*646（±10%）（单位：mm）；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53.功率:15W/220V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洗地龙头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55.外形尺寸∶ L=10米（±10%）；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56.壳体为ST14冷轧板制成，支架为Q235钢制成，表面静电喷塑处理；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57.中心轴为硬度高不易磨损的特殊钢材；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58.锰钢弹簧；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59.10米黑色液压钢丝管，耐温95℃，承压300PSI；</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60.接水口口径为1/2"外螺纹；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61.所投产品水嘴通过技术条件须符合QB/T1334-2013《水嘴通用技术条件》，符合产品表面涂、镀层按GB/T10125-2021进行24h乙酸盐雾试验后，其表面性能不应低于GB/T6461表1中外观评级(RA)10级的要求，并且塑料部件须具有第三方检测报告的依据，塑料耐老化性试验时间1000小时，外观颜色变色评级≥5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▲62.所投产品冲洗地龙头配件304不锈钢旋转接头需符合GB/T3280-2015《不锈钢冷轧钢板和钢带》标准中06Cr19Ni10牌号的要求；（</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highlight w:val="yellow"/>
                <w:u w:val="none"/>
                <w:lang w:val="en-US" w:eastAsia="zh-CN" w:bidi="ar"/>
              </w:rPr>
              <w:t>★</w:t>
            </w:r>
            <w:r>
              <w:rPr>
                <w:rStyle w:val="41"/>
                <w:highlight w:val="yellow"/>
                <w:lang w:val="en-US" w:eastAsia="zh-CN" w:bidi="ar"/>
              </w:rPr>
              <w:t>63.符合 GB 25501-2019</w:t>
            </w:r>
            <w:r>
              <w:rPr>
                <w:rStyle w:val="41"/>
                <w:rFonts w:hint="eastAsia"/>
                <w:highlight w:val="yellow"/>
                <w:lang w:val="en-US" w:eastAsia="zh-CN" w:bidi="ar"/>
              </w:rPr>
              <w:t>《水嘴水效限定值及水效等级》</w:t>
            </w:r>
            <w:r>
              <w:rPr>
                <w:rStyle w:val="41"/>
                <w:highlight w:val="yellow"/>
                <w:lang w:val="en-US" w:eastAsia="zh-CN" w:bidi="ar"/>
              </w:rPr>
              <w:t>的要求；（</w:t>
            </w:r>
            <w:r>
              <w:rPr>
                <w:rStyle w:val="43"/>
                <w:highlight w:val="yellow"/>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highlight w:val="yellow"/>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64.规格：1000*550*800（±10%）（单位：mm）；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五层冲孔货架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68.规格：1200*500*1800（±10%）（单位：mm）；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69.立柱采用304#1.2mm厚不锈钢；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70.层板用304#1.0mm厚不锈钢；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71.配可调不锈钢子弹脚。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72.规格：1000*600*800/150（±10%）（单位：mm）；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76.规格：1200*210*220（±10%）（单位：mm）；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77.额定电压、功率：220V/165W；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78.风量m3/h：≥2600；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79.安装高度(m)：2.5-3.2。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洗手星连感应水龙头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80.星盆规格：450*450*250/150（±10%）（单位：mm）；采用304#不锈钢板制作；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81.工作电压：1.5V×4（四节五号干电池）或者110V  50/60HZ；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82.工作水压：0.1-0.6MP55 可接冷热混水，出水温度可调；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83.开孔径：32mm；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84.台式安装黄铜铸造水嘴，表面镀铬处理；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 接水口口径为1/2"外螺纹；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highlight w:val="yellow"/>
                <w:lang w:val="en-US" w:eastAsia="zh-CN" w:bidi="ar"/>
              </w:rPr>
              <w:t>▲86.感应水龙头头需具有中国节水认证产品：符合CJ/T194-2014《非接触式给水器具》；GB 25501-2019</w:t>
            </w:r>
            <w:r>
              <w:rPr>
                <w:rStyle w:val="41"/>
                <w:rFonts w:hint="eastAsia"/>
                <w:highlight w:val="yellow"/>
                <w:lang w:val="en-US" w:eastAsia="zh-CN" w:bidi="ar"/>
              </w:rPr>
              <w:t>《水嘴水效限定值及水效等级》</w:t>
            </w:r>
            <w:r>
              <w:rPr>
                <w:rStyle w:val="41"/>
                <w:highlight w:val="yellow"/>
                <w:lang w:val="en-US" w:eastAsia="zh-CN" w:bidi="ar"/>
              </w:rPr>
              <w:t>，</w:t>
            </w:r>
            <w:r>
              <w:rPr>
                <w:rStyle w:val="41"/>
                <w:b/>
                <w:bCs/>
                <w:highlight w:val="yellow"/>
                <w:lang w:val="en-US" w:eastAsia="zh-CN" w:bidi="ar"/>
              </w:rPr>
              <w:t>投标时提供感应龙头节水认证证书扫描件</w:t>
            </w:r>
            <w:r>
              <w:rPr>
                <w:rStyle w:val="41"/>
                <w:highlight w:val="yellow"/>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highlight w:val="yellow"/>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87.感应水龙头产品需符合GB 25501-2019标准，水嘴水效等级为1级，</w:t>
            </w:r>
            <w:r>
              <w:rPr>
                <w:rStyle w:val="42"/>
                <w:lang w:val="en-US" w:eastAsia="zh-CN" w:bidi="ar"/>
              </w:rPr>
              <w:t>投标时提供水效标识扫描件</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烘手机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88.规格：240*230*240（±10%）（单位：mm）；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89.功率：1.8KW/220V；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90.安装方式：壁挂式。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91.规格：2548*1200*550（±10%）（单位：mm）；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92.采用≥1.2mm厚304#不锈钢板；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93.配油烟网；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94.底部接油槽及活动集油器。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燃气单门蒸柜（带推车）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95.规格：24盘，1420*1000*1850（±10%）（单位：mm）；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96.采用 304#不锈钢板制作，炉面采用 304#≥1.0mm 厚，柜身采用 304#≥1.0mm 厚不锈钢制作；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97.侧板及背板采用 304#≥1.0mm 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98.内燃火管水胆采用 304#≥2.0mm 厚不锈钢；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99.配节能直燃式炉头及熄火保护器；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100.配蒸饭盆，≥24盘。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101.规格：10743*1400*550（±10%）（单位：mm）；2.采用≥1.2mm厚304#不锈钢板；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燃气双头矮汤炉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104.规格：1400*700*500/300（±10%）（单位：mm）；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105.炉面采用304#1.5mm 厚不锈钢，带可调重力脚；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106.侧板及背板采用304#1.0mm不锈钢板；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107.配节能环保炉头及熄火保护器.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108.规格：1800*750*800（±10%）（单位：mm）；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112.规格：1000*700*800/150（±10%）（单位：mm）；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炉拼台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116.规格：300*1200*800/450（±10%）（单位：mm）；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118.规格：1500*700*800/150（±10%）（单位：mm）；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119.台面板采用304#≥1.2mm厚不锈钢板；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120.星盆斗采用304#≥1.2mm厚不锈钢板；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挂墙双层架3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122.规格：1500*350*600（±10%）（单位：mm）；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大单星盆台2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124.规格：1200*700*800/100（±10%）（单位：mm）；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双门高身雪柜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128.规格：1220*760*1960（±10%）（单位：mm）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129.柜内外不锈钢材质耐用易清洁；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130.配≥3层不锈钢层网；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131.顶部安装模块化压缩机组;单组插头；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132.发泡密度≥42Kg/m³；130mm万向轮带刹车；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133.采用环保雪种(R-290) ，柜体保温厚度60mm，保温材料环保绝缘；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134.纯铜管直冷制冷方式；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135.微电脑数字温控显示器;精确控温至0.1℃  ；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136.圆角底盘；箱体内圆弧设计；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137.可承受环境温度不低于38℃；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138.可拆卸式密封胶条；符合食品卫生安全要求；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139.电压/频率/总功率：220v/50HZ/≥350W；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140.电源插头：10A；</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141.容量：≥500L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1"/>
                <w:lang w:val="en-US" w:eastAsia="zh-CN" w:bidi="ar"/>
              </w:rPr>
              <w:t>142.投标时提供一级或二级能效认证扫描件，按GB 26920.2-2015相关的要求，检测能效等级为一级或二级。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143.所投冷柜提供产品核心部件“蒸发器铜管”的检测报告，检测内容至少包含尺寸外形，力学性能，化学成分，其中要求外径实测不低于（6mm）壁厚实测不低（0.60mm）符合GB/T17791-2017《空调与制冷设备用铜及铜合金无缝管》标准中牌号TP2的要求。力学性能:抗拉力强度Rm≥205MPa;GB/T17791-2017《空调与制冷设备用铜及铜合金无缝管》化学成分:铜Cu+银Ag≥99.94磷P含量应低于0.034%；（</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▲144.蒸发器中性盐雾检测（100hNSS)冰箱中采用的蒸发器均通过国家GB/T10125-2021标准的中性盐雾测试（100hNSS)；（</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燃气一大一小炒炉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145.规格：2100*1200*800/450（±10%）（单位：mm）；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146.采用304#不锈钢板制作，台面三周采用304#≥1.5mm厚不锈钢整体成形，带可调重力脚；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147.侧板及背板采用304#≥1.0mm不锈钢板；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148.配节能环保炉头及熄火保护器；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开水器带底座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149.规格：60L（±10%）（单位：mm）；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150.功率：9KW/380V；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151.容量：≥60L。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152.规格：1300*590*1900（±10%）（单位：mm）；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153.容积：≥680L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154.电压/频率：380V/50HZ</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155.输入功率：≥4.5kW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156.温度范围：50～125℃可调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157.控制方式：微电脑智能控制器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158.8个拉篮（可放600个餐盘）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159.所投产品依据《食具消毒柜安全和卫生要求》中产品潮湿试验在空气相对湿度≥90%的潮湿箱内处理48小时，满足器具应能承受正常使用中可能出现的潮湿条件和潮湿试验后器具泄漏电流不应过大，且应有足够的电气强度的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▲160.所投产品依据GB/T2423.16-2022，消毒柜门封硅胶条在长霉试验中，防霉等级≦1级；（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双星盆台2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161.规格：1200*700*800/150（±10%）（单位：mm）；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162.台面板采用304#≥1.2mm厚不锈钢板；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163.星盆斗采用304#≥1.2mm厚不锈钢板；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工具挂钩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165.规格：1000*20*35（±10%）（单位：mm）；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12格更衣柜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167.规格：1200*400*1800（±10%）（单位：mm）；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168.采用冷轧钢板，喷涂工艺.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169.规格：L=1000（±10%）（单位：mm）；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170.采用≥1.2mm304#不锈钢板材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木质案板台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171.规格：1800*700*800（±10%）（单位：mm）；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172.台面 304#≥1.2不锈钢板，下衬木板加固，不锈钢板封底；</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173.下可推入面粉车；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174.台脚采用不锈钢圆管，带防震脚。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活动面粉车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175.规格：550*550*600（±10%）（单位：mm）；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176.板材采用厚304#≥1.2mm不锈钢板，盖板采用304#≥1.0mm不锈钢板；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177.不锈钢桶内需四周圆边处理；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178.配活动脚轮。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179.规格：680*550*1025（±10%）（单位：mm）；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180.容量：38L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181.最大和面量：≥10公斤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182.转速：一档65</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二档102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三档296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183.功率：1.5KW/220V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单门醒发箱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184.规格：500*770*1900（±10%）（单位：mm）；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185.额定电压:220V~；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186.额定频率(Hz):50；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187.额定输入功率(kW):2.5；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压面机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188.规格：600*750*1120（±10%）（单位：mm）；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189.电压：220V/380V， 频率：50Hz，  功率：1.5 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190.滚转速：125r/min，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191.滚筒长度：300 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192.压面辊直径：113 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193.压面调厚度：1～18mm。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194.产能：200kg/h；</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195.机架201#不锈钢，滚筒304#不锈钢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196.所投产品检测机构依据食品接触的国家标准，食品接触用金属材料及制品对感观测试（三次迁移试验检测结果砷＜0.0002mg/kg、镉＜0.0001mg/kg、铅＜0.0003、0.0004mg/kg、锑&lt;0.002mg/kg、铬0.002mg/kg、镍＜0.002mg/kg、镍＜0.002mg/kg、锌＜0.06mg/kg)的合格检测报告；（</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▲197.提供所投产品符合有对应该检测资质的检测机构出具的GB/T 10125-2021(试验周期≥600h的中性盐雾试验(NSS))、GB/T 6461-2002标准进行保护评级为10级；（</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三层电热烤箱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198.规格：1220*860*1530（±10%）（单位：mm）；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199.额定电压:380V3N~；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200.频率(Hz):≥50；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201.额定输入功率(kW):19.8；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202.烤盘规格(mm):600x400±5%；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203.控温范围(°C): 室温~300。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落地式电饼铛</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204.规格：760*640*770（±10%）（单位：mm）；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205.功率：4.5KW/220V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油网烟罩3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206.规格：2548*1200*550（±10%）（单位：mm）；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207.采用≥1.2mm厚304#不锈钢板；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208.配油烟网；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209.底部接油槽及活动集油器。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添加剂挂墙箱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210.规格：500*350*600（±10%）（单位：mm）；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211.采用≥1.2mm厚304#不锈钢板。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电热暖汤车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212.规格：600*600*800（±10%）（单位：mm）；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213.全自动温度控制，带指示灯、加热保温系统、缺水保护装置；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214.车身采用304#1.2±0.1mm 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215.配≥4个平底轮；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216.电功率：1.5KW/220V。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双通打荷台2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217.规格：1500*700*800（±10%）（单位：mm）；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五格保温售饭台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221.规格：1800*800*800（±10%）（单位：mm）；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222.全自动温度控制，带指示灯，带加热保温系统，带缺水保护装置；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223.采用不锈钢发热管；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224.电功率：4KW/220V。</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双门立式玻璃门冰箱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225.规格：630*760*1980（±10%）（单位：mm）；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 xml:space="preserve">226.柜内外不锈钢材质耐用易清洁；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227.配3层不锈钢层网；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228.顶部安装模块化压缩机组;单组插头；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229.发泡密度≥42Kg/m³；130mm万向轮带刹车；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230.采用环保雪种(R-290) ，柜体保温厚度60mm，保温材料环保绝缘；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231.纯铜管直冷制冷方式；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232.微电脑数字温控显示器;精确控温至0.1℃  ；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233.圆角底盘；箱体内圆弧设计；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234.可承受环境温度不低于38℃；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235.可拆卸式密封胶条；符合食品卫生安全要求；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236.温度：0℃～-18℃；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237.电压/频率/总功率：220v/50HZ/≥550W；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238.电源插头：10A。</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单星盆台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239.规格：700*700*800/150（±10%）（单位：mm）；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240.台面板采用304#≥1.2厚不锈钢板；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241.星盆斗采用304#≥1.2厚不锈钢板；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242.配可调子弹脚。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双门消毒柜2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243.规格：1860*850*1570（±10%）（单位：mm）；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244.电压：380V 3N~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245.功率：≥9KW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246.每台消毒柜内配2台活动车及12个不锈钢篮。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洁碟台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247.规格：1650*800*800/150（±10%）（单位：mm）；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248.台面板采用304#1.2mm不锈钢板。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249.规格：1200*550*800/150（±10%）（单位：mm）；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250.台面板采用304#≥1.2mm不锈钢板；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251.层板用全不锈钢码槽加硬；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252.配可调子弹脚。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挂墙茜架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253.规格：1250*530*300（±10%）（单位：mm）；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254.采用304#≥1.0mm不锈钢板制作。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风幕机2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255.规格：1800*210*220（±10%）（单位：mm）；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256.电源：220v/0.3kw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257.风量：≥4200/5100m³/h；</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258.风幕机配置轻触控制面板，可在线显示工作状态，可在线任意设置24小时内杀菌消毒时间；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▲259.具有杀菌消毒净化功能，无菌整机；风幕机内置净化模块满足：依据GB/T 34012-2017《通风系统用空气净化装置》、GB 10891-1989《空气处理机组 安全要求》检测时，空气中大肠杆菌祛除率≥99%，白葡萄球菌祛除率≥99%，自然菌祛除率≥99%；（</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▲260.产品安全方面：满足家用电器安全检测要求,在工作温度下的电气强度测试中，对L/N与易触及部件之间在3000V试验电压下测试时，未被击穿；（</w:t>
            </w:r>
            <w:r>
              <w:rPr>
                <w:rStyle w:val="43"/>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41"/>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双层收餐车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261.规格：500*800*900（±10%）（单位：mm）；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262.车身层板：δ＝1.2mm304#不锈钢板材；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263.车轮：≥4寸万向橡胶承重轮；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264.车身拉手：ф25mm304#不锈钢管。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双孔污碟柜（带推车）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265.规格：1800*700*800/150（±10%）（单位：mm）；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266.台面板采用304#≥1.2不锈钢板；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267.带不锈钢可调子弹脚。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单通打荷台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268.规格：1800*700*800/150（±10%）（单位：mm）；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269.台面板采用304#≥1.2不锈钢板；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270.活动中层板，层板用全不锈钢码槽加硬；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271.带不锈钢可调子弹脚。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双层工作台6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272.规格：1200*700*800/150（±10%）（单位：mm）；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273.台面板采用304#≥1.2mm不锈钢板；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274.层板用全不锈钢码槽加硬；</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275.配可调子弹脚。</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挡鼠板3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276.规格：L=1200（±10%）（单位：mm）；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278.面板采用304#1.0不锈钢板。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洗碗机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279、具有纳米超声清洗除菌、自动高压冲洗、高温漂洗、风干、餐具自动传输出来等等功能。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280、 根据场地设计，整机外形尺寸水小于（长*宽*高）3400*900*1700 mm±50mm，不含水槽、工作台，可拐弯放置。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281、 总功率： 不大于25KW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282、加热方式：电加热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283、耗水量：350升水/小时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284、为节省费用，减少化学残留，只须使用普通家用洗洁精，不得使用专用洗涤剂。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285、大肠杆菌、金黄色葡萄球菌消灭率大于标准值99.9%。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286、传送带有效宽度：不小于570mm,整机清洗量： 2500-4500件/小时(标准6寸碟)。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287、喷淋管：喷淋管上四下四复合不锈钢，直径不小于38mm。为方便每天清洗，喷淋管需采用插接连接，不得采用螺纹连接。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▲288、</w:t>
            </w:r>
            <w:r>
              <w:rPr>
                <w:rStyle w:val="43"/>
                <w:lang w:val="en-US" w:eastAsia="zh-CN" w:bidi="ar"/>
              </w:rPr>
              <w:t>防触电保护检验检测合格：器具的结构和外壳应使其对意外触及带电部件有足够的防护；电气紧急制动装置试验检测合格：器具具有电气紧急制动装置，有异常时应紧急制动，传送停止运行，排除异常后，可恢复工作。通断试验动作应灵活，瞬时通断，性能可靠。</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289、超声清洗主机的自动控制系统需使用由电脑芯片自动控制，无需人工调节、无需数字显示频率追踪，具有自查自纠功能的系统。不可使用需要人工随时监控调节、带有数字显示的超声清洗主机控制系统。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290、液位自动控制，高温环境中性能灵敏可靠</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▲291、</w:t>
            </w:r>
            <w:r>
              <w:rPr>
                <w:rStyle w:val="43"/>
                <w:lang w:val="en-US" w:eastAsia="zh-CN" w:bidi="ar"/>
              </w:rPr>
              <w:t>关于对有害进水的防护等级，器具至少应为IPX7；电击防护类别，器具应至少属于1类；内部布线的绝缘应能经受住在正常使用中可能出现的电气应力，或者符合电气强度测试；铝线不应用于内部布线。</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292、采用304不锈钢制作，包括每颗螺丝钉全为不锈钢材料。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293.规格：450*1100*400（±10%）（单位：mm）；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294.采用304#≥1.0mm不锈钢制作。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抽气罩2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295.规格：1000*1000*400（±10%）（单位：mm）；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296.采用304#≥1.0mm不锈钢制作。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排气管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297.采用304#≥1.0mm不锈钢制作。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净水器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298.外观：整机主体采用拉丝耐指纹430不锈钢，耐用；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299.外观：防磕碰保护：机器棱角采用防磕碰圆角设计，防止出现磕碰事故。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300.设备尺寸：宽600*厚450*高1140mm（±10mm）；</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301.投标产品整机采用高精度反渗透过滤系统，净水流量（制水量）≥1.9L/min;</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302.额定总净水量≥8000L；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303.过滤滤芯部件：熔喷聚丙烯无纺布滤芯→聚丙烯纤维活性炭磷酸盐复合滤芯→反渗透膜→MF活性炭复合滤芯。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304.使用电源220V，50Hz，额定功率≤100W;</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305.具有内置压力桶，压力桶容积≥11G；</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★306.过滤系统滤芯单独具有省级或以上卫生部门颁发的《涉及饮用水卫生安全产品卫生许可批件》，投标时提供滤芯有效期内的《涉及饮用水卫生安全产品卫生许可批件》扫描件。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▲307.</w:t>
            </w:r>
            <w:r>
              <w:rPr>
                <w:rStyle w:val="43"/>
                <w:lang w:val="en-US" w:eastAsia="zh-CN" w:bidi="ar"/>
              </w:rPr>
              <w:t>产品核心涉水零部件-水路板：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308.投标产品具备一键排空功能，保障水质新鲜；</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309.投标产品具有超过≥9寸（含9寸）液晶屏，方便查看设备状态；</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310.产品具有显示纯净水制水量功能；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311.产品具有显示纯水TDS值功能；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312.产品具有显示滤芯寿命状态功能；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313.产品具有漏水保护功能；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314.产品具有缺水提示功能；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315.产品具有滤芯自清洁技术；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316.产品产水率≥65%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317.设备集成电路采用灌胶工艺，使设备具备更强防水性能。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▲318.</w:t>
            </w:r>
            <w:r>
              <w:rPr>
                <w:rStyle w:val="43"/>
                <w:lang w:val="en-US" w:eastAsia="zh-CN" w:bidi="ar"/>
              </w:rPr>
              <w:t>产品核心涉水零部件-滤芯/膜端盖、中心管：感官要求、总迁移量、高锰酸钾消耗量、重金属（以Pb计）、脱色试验a、芳香族伯胺迁移总量均符合相关标准，其总迁移量≤1.0mg/d㎡，高锰酸钾消耗量≤0.5mg/kg；重金属（以Pb计）≤1mg/kg。</w:t>
            </w:r>
            <w:r>
              <w:rPr>
                <w:rStyle w:val="41"/>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69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纯水箱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319、设备定制，储水量≥2吨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320、设备包需含紫外线杀菌系统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恒压水泵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321、功率≥750瓦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五格餐盘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322.规格：36*27*3cm（±10%）；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323.材质：304不锈钢。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汤碗</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324.规格：11.5*5.5cm（±10%）；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325.材质：304不锈钢。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勺子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326.规格：18.5*4cm（±10%）；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327.材质：304不锈钢。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筷子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328.规格：27cm（±10%）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329.材质：304不锈钢。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75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砍刀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330.规格：2号（±10%）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331.刀身材质：不锈钢。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76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斩切刀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332.规格：1号（±10%）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333.刀身材质：不锈钢。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松木砧板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334.规格：45*12cm（±10%）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335.材质：松木。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78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胶砧板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336.规格：45㎝×10㎝红白绿各1个（±10%）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337.抗菌塑料。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79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方胶砧板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338.规格：48×33×2㎝（±10%）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339.抗菌塑料。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80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340.规格：10寸1.5加厚（±10%）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341.材质：不锈钢。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81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漏网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342.规格：12寸（±10%）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343.材质：不锈钢。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翅厘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344.规格：11寸（±10%）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345.材质：不锈钢。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83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机喱</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346.规格：11寸（±10%）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347.材质：不锈钢。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84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348.规格：有孔30cm（±10%）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left"/>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349.疏壳材质：不锈钢。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木柄疏壳2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350.规格：无孔（±10%）；疏壳材质：不锈钢。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锅铲</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351.规格： 2#1.5厚木柄沙光铲（±10%）；材质：不锈钢。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锅扫</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352.规格：细锅扫（±10%）；材质：不锈钢。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353.规格： 8两1.5厚木柄沙光壳（±10%）；材质：不锈钢。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89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调料更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354.规格：19.5cm（±10%）；材质：不锈钢。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355.规格：16CM0.8（±10%）；材质：不锈钢。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356.规格：15cm（±10%）；材质：复古青石。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瓜刨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357.规格：中号治中瓜刨（±10%）；材质：不锈钢。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电子秤</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358.规格：150KG（±10%）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网隔</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359.规格：15cm（±10%）；材质：不锈钢。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炒更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360.规格：13寸（±10%）；材质：不锈钢。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面包夹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361.规格：1 2 寸（±10%），材质：不锈钢。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磨刀石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362.规格：大滑石（±10%）；材质：磨油石。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水壳</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363.规格： 3斤（±10%）；材质：不锈钢。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364.规格：290×H40（±10%）；材质：不锈钢。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锅架2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365.规格：240×H40（±10%）；材质：不锈钢。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保鲜盒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366.规格：303×207×107 (mm)（±10%）；材质：食品PP</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薯闸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367.规格：180×120（±10%）；材质：不锈钢。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刨丝削皮刀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368.规格：185×25×55（±10%）；材质：不锈钢。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打蛋器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369.规格：10寸 25cm胶柄（±10%）；材质：不锈钢。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370.规格：16cm0.8不锈钢马斗（±10%）；材质：不锈钢。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马斗2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371.规格：18cm0.8不锈钢马斗（±10%）；材质：不锈钢。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酱汁唧樽</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372.规格： 8安士红色2个，白1个（±10%）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373.规格：大号红木柄圆形猪皮插（±10%；材质：不锈钢。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开蚝刀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374.规格：胶柄开蚝刀（±10%）；材质：不锈钢。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375.规格：胶柄（±10%）；材质：不锈钢。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376.规格：厨房剪（±10%）；材质：不锈钢。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木柄鱼鳞刨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377.规格：四排木柄鱼鳞刨（±10%）；材质：不锈钢。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378.规格：8寸4厘不锈钢S勾（±10%）；材质：不锈钢。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份数盆</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379.规格：327×265×100×0.7（±10%）（单位：mm）；材质：不锈钢。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复合底汤桶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380.规格：φ300×300×0.8（±10%）（单位：mm）；材质：不锈钢。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八格调味盒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381.规格：435×285×60（±10%）（单位：mm）；材质：不锈钢。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六格调味盒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382.规格：330×285×60（±10%）（单位：mm）；材质：不锈钢。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383.规格：红395*310*120（±10%）（单位：mm）；食品塑料。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384.规格：白530*385*180 （±10%）（单位：mm）；食品塑料。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方筛菜篮3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385.规格：蓝580*410*200 （±10%）（单位：mm）；食品塑料。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特厚大炒锅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386.规格：φ900（±10%）（单位：mm）；材质：铁锅。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小炒锅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387.规格：φ450（±10%）（单位：mm）；材质：铁锅。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123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壁挂式纸巾盒</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388.规格：135*125*275（±10%）（单位：mm）；材质：塑料。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124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商用压力锅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389.规格：23L（±10%）；；内胆材质：不粘内胆；加热方式：发热盘。</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125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打蒜器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390.规格：2.6L（±10%）；材质：不锈钢。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126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土豆刨丝器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391.材质：不锈钢。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127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392.规格：中号（±10%），材质：不锈钢。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128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洗菜盆2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Style w:val="41"/>
                <w:lang w:val="en-US" w:eastAsia="zh-CN" w:bidi="ar"/>
              </w:rPr>
              <w:t>393.规格：大号（±10%），材质：不锈钢。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Style w:val="41"/>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厨房排烟管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394.采用1.0mm厚镀锌板。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130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排烟管安装辅材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395.玻璃胶，丝杆等。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131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厨房鲜风管道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396.采用1.0mm厚镀锌板</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132 </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风管安装辅材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397.玻璃胶，丝杆等。</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p>
        </w:tc>
      </w:tr>
    </w:tbl>
    <w:p>
      <w:pPr>
        <w:pStyle w:val="5"/>
        <w:jc w:val="cente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sz w:val="21"/>
          <w:szCs w:val="21"/>
        </w:rPr>
      </w:pPr>
      <w:bookmarkStart w:id="63" w:name="_Hlk72095977"/>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r>
        <w:rPr>
          <w:rFonts w:hint="eastAsia"/>
          <w:sz w:val="21"/>
          <w:szCs w:val="21"/>
        </w:rPr>
        <w:t>证明资料【如有的话，提供的证明资料应统一编号（排序），格式自定】</w:t>
      </w:r>
      <w:bookmarkEnd w:id="6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pPr>
        <w:ind w:firstLine="482" w:firstLineChars="200"/>
        <w:rPr>
          <w:b/>
          <w:sz w:val="24"/>
        </w:rPr>
      </w:pPr>
    </w:p>
    <w:p>
      <w:pPr>
        <w:rPr>
          <w:sz w:val="24"/>
        </w:r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74"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8"/>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7"/>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7"/>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7"/>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9"/>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7"/>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0"/>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1"/>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2"/>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3"/>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pPr>
        <w:ind w:firstLine="411" w:firstLineChars="196"/>
        <w:rPr>
          <w:rFonts w:ascii="宋体" w:hAnsi="宋体"/>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pPr>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6"/>
    <w:p>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88"/>
    <w:p>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7" w:name="_Toc73521581"/>
      <w:bookmarkStart w:id="98" w:name="_Toc73518151"/>
      <w:bookmarkStart w:id="99" w:name="_Toc73521669"/>
      <w:bookmarkStart w:id="100" w:name="_Toc73517673"/>
      <w:bookmarkStart w:id="101" w:name="_Toc100052400"/>
      <w:r>
        <w:rPr>
          <w:rFonts w:hint="eastAsia" w:ascii="黑体" w:hAnsi="宋体" w:eastAsia="黑体"/>
          <w:szCs w:val="21"/>
        </w:rPr>
        <w:t>34．错误的修正</w:t>
      </w:r>
      <w:bookmarkEnd w:id="97"/>
      <w:bookmarkEnd w:id="98"/>
      <w:bookmarkEnd w:id="99"/>
      <w:bookmarkEnd w:id="100"/>
      <w:bookmarkEnd w:id="101"/>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3"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3"/>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pPr>
        <w:ind w:firstLine="411" w:firstLineChars="196"/>
        <w:rPr>
          <w:rFonts w:ascii="宋体" w:hAnsi="宋体"/>
          <w:szCs w:val="21"/>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pPr>
        <w:ind w:firstLine="420" w:firstLineChars="200"/>
        <w:rPr>
          <w:rFonts w:ascii="黑体" w:hAnsi="宋体" w:eastAsia="黑体"/>
          <w:szCs w:val="21"/>
        </w:rPr>
      </w:pPr>
      <w:bookmarkStart w:id="112" w:name="_Toc73518157"/>
      <w:bookmarkStart w:id="113" w:name="_Toc73521674"/>
      <w:bookmarkStart w:id="114" w:name="_Toc73521586"/>
      <w:bookmarkStart w:id="115" w:name="_Toc73517679"/>
      <w:bookmarkStart w:id="116" w:name="_Toc100052408"/>
      <w:bookmarkStart w:id="117" w:name="_Hlk72439088"/>
      <w:r>
        <w:rPr>
          <w:rFonts w:hint="eastAsia" w:ascii="黑体" w:hAnsi="宋体" w:eastAsia="黑体"/>
          <w:szCs w:val="21"/>
        </w:rPr>
        <w:t>43．合同授予标准</w:t>
      </w:r>
      <w:bookmarkEnd w:id="112"/>
      <w:bookmarkEnd w:id="113"/>
      <w:bookmarkEnd w:id="114"/>
      <w:bookmarkEnd w:id="115"/>
      <w:bookmarkEnd w:id="116"/>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18" w:name="_Toc73517680"/>
      <w:bookmarkStart w:id="119" w:name="_Toc73521587"/>
      <w:bookmarkStart w:id="120" w:name="_Toc73518158"/>
      <w:bookmarkStart w:id="121" w:name="_Toc73521675"/>
      <w:bookmarkStart w:id="122" w:name="_Toc100052409"/>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3" w:name="_Toc73521589"/>
      <w:bookmarkStart w:id="124" w:name="_Toc73518160"/>
      <w:bookmarkStart w:id="125" w:name="_Toc100052410"/>
      <w:bookmarkStart w:id="126" w:name="_Toc73521677"/>
      <w:bookmarkStart w:id="127" w:name="_Toc73517682"/>
      <w:r>
        <w:rPr>
          <w:rFonts w:hint="eastAsia" w:ascii="黑体" w:hAnsi="宋体" w:eastAsia="黑体"/>
          <w:szCs w:val="21"/>
        </w:rPr>
        <w:t>45．合同的签订</w:t>
      </w:r>
      <w:bookmarkEnd w:id="123"/>
      <w:bookmarkEnd w:id="124"/>
      <w:bookmarkEnd w:id="125"/>
      <w:bookmarkEnd w:id="126"/>
      <w:bookmarkEnd w:id="127"/>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28" w:name="_Toc73518161"/>
      <w:bookmarkStart w:id="129" w:name="_Toc100052411"/>
      <w:bookmarkStart w:id="130" w:name="_Toc73517683"/>
      <w:bookmarkStart w:id="131" w:name="_Toc73521590"/>
      <w:bookmarkStart w:id="132" w:name="_Toc73521678"/>
      <w:r>
        <w:rPr>
          <w:rFonts w:hint="eastAsia" w:ascii="黑体" w:hAnsi="宋体" w:eastAsia="黑体"/>
          <w:szCs w:val="21"/>
        </w:rPr>
        <w:t>46．履约担保</w:t>
      </w:r>
      <w:bookmarkEnd w:id="128"/>
      <w:bookmarkEnd w:id="129"/>
      <w:bookmarkEnd w:id="130"/>
      <w:bookmarkEnd w:id="131"/>
      <w:bookmarkEnd w:id="132"/>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17"/>
    <w:p>
      <w:pPr>
        <w:pStyle w:val="32"/>
        <w:keepNext/>
        <w:keepLines/>
        <w:numPr>
          <w:ilvl w:val="0"/>
          <w:numId w:val="1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0"/>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D01286-350F-4E69-BBC2-FFECC6A843C9}"/>
  </w:font>
  <w:font w:name="Arial">
    <w:panose1 w:val="020B0604020202020204"/>
    <w:charset w:val="01"/>
    <w:family w:val="swiss"/>
    <w:pitch w:val="default"/>
    <w:sig w:usb0="E0002EFF" w:usb1="C000785B" w:usb2="00000009" w:usb3="00000000" w:csb0="400001FF" w:csb1="FFFF0000"/>
    <w:embedRegular r:id="rId2" w:fontKey="{6E960E9C-9BAD-4D9F-A058-850F1B798931}"/>
  </w:font>
  <w:font w:name="黑体">
    <w:panose1 w:val="02010609060101010101"/>
    <w:charset w:val="86"/>
    <w:family w:val="auto"/>
    <w:pitch w:val="default"/>
    <w:sig w:usb0="800002BF" w:usb1="38CF7CFA" w:usb2="00000016" w:usb3="00000000" w:csb0="00040001" w:csb1="00000000"/>
    <w:embedRegular r:id="rId3" w:fontKey="{30E10468-CE8E-4E2E-858C-3C9743B4E38B}"/>
  </w:font>
  <w:font w:name="Courier New">
    <w:panose1 w:val="02070309020205020404"/>
    <w:charset w:val="01"/>
    <w:family w:val="modern"/>
    <w:pitch w:val="default"/>
    <w:sig w:usb0="E0002EFF" w:usb1="C0007843" w:usb2="00000009" w:usb3="00000000" w:csb0="400001FF" w:csb1="FFFF0000"/>
    <w:embedRegular r:id="rId4" w:fontKey="{B684306E-942A-45F1-AB84-558262EE72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2352E218-4E16-48B7-BEC2-F0158EF09A80}"/>
  </w:font>
  <w:font w:name="Cambria">
    <w:panose1 w:val="02040503050406030204"/>
    <w:charset w:val="00"/>
    <w:family w:val="roman"/>
    <w:pitch w:val="default"/>
    <w:sig w:usb0="E00006FF" w:usb1="420024FF" w:usb2="02000000" w:usb3="00000000" w:csb0="2000019F" w:csb1="00000000"/>
    <w:embedRegular r:id="rId6" w:fontKey="{5A3DAE41-7DCD-40E6-B659-38A553195A3A}"/>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7" w:fontKey="{EE05D15C-EFB8-4E97-A793-3D091EAC055D}"/>
  </w:font>
  <w:font w:name="仿宋_GB2312">
    <w:panose1 w:val="02010609030101010101"/>
    <w:charset w:val="86"/>
    <w:family w:val="auto"/>
    <w:pitch w:val="default"/>
    <w:sig w:usb0="00000001" w:usb1="080E0000" w:usb2="00000000" w:usb3="00000000" w:csb0="00040000" w:csb1="00000000"/>
    <w:embedRegular r:id="rId8" w:fontKey="{924EF70A-66E4-4548-81AA-765CDE74C22E}"/>
  </w:font>
  <w:font w:name="方正仿宋_GBK">
    <w:panose1 w:val="02000000000000000000"/>
    <w:charset w:val="86"/>
    <w:family w:val="auto"/>
    <w:pitch w:val="default"/>
    <w:sig w:usb0="00000000" w:usb1="00000000" w:usb2="00000000" w:usb3="00000000" w:csb0="00000000" w:csb1="00000000"/>
    <w:embedRegular r:id="rId9" w:fontKey="{12AB2B73-61C1-4299-BAC7-2BFBDB5FC2B4}"/>
  </w:font>
  <w:font w:name="华文中宋">
    <w:panose1 w:val="02010600040101010101"/>
    <w:charset w:val="86"/>
    <w:family w:val="auto"/>
    <w:pitch w:val="default"/>
    <w:sig w:usb0="00000287" w:usb1="080F0000" w:usb2="00000000" w:usb3="00000000" w:csb0="0004009F" w:csb1="DFD70000"/>
    <w:embedRegular r:id="rId10" w:fontKey="{AFE6A6BB-C8E4-491A-AD5B-4E3D609DA9AB}"/>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embedRegular r:id="rId11" w:fontKey="{4200FA39-7F53-48A2-8303-F20280459829}"/>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2" w:fontKey="{12E36700-351C-4368-B5BC-95A869F4E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BDDBDCD"/>
    <w:multiLevelType w:val="singleLevel"/>
    <w:tmpl w:val="FBDDBDCD"/>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B4BC200"/>
    <w:multiLevelType w:val="singleLevel"/>
    <w:tmpl w:val="0B4BC200"/>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abstractNum w:abstractNumId="13">
    <w:nsid w:val="7DBE6AC9"/>
    <w:multiLevelType w:val="singleLevel"/>
    <w:tmpl w:val="7DBE6AC9"/>
    <w:lvl w:ilvl="0" w:tentative="0">
      <w:start w:val="1"/>
      <w:numFmt w:val="chineseCounting"/>
      <w:suff w:val="nothing"/>
      <w:lvlText w:val="（%1）"/>
      <w:lvlJc w:val="left"/>
      <w:rPr>
        <w:rFonts w:hint="eastAsia"/>
      </w:rPr>
    </w:lvl>
  </w:abstractNum>
  <w:num w:numId="1">
    <w:abstractNumId w:val="13"/>
  </w:num>
  <w:num w:numId="2">
    <w:abstractNumId w:val="10"/>
  </w:num>
  <w:num w:numId="3">
    <w:abstractNumId w:val="8"/>
  </w:num>
  <w:num w:numId="4">
    <w:abstractNumId w:val="7"/>
  </w:num>
  <w:num w:numId="5">
    <w:abstractNumId w:val="0"/>
  </w:num>
  <w:num w:numId="6">
    <w:abstractNumId w:val="1"/>
  </w:num>
  <w:num w:numId="7">
    <w:abstractNumId w:val="12"/>
  </w:num>
  <w:num w:numId="8">
    <w:abstractNumId w:val="3"/>
  </w:num>
  <w:num w:numId="9">
    <w:abstractNumId w:val="9"/>
  </w:num>
  <w:num w:numId="10">
    <w:abstractNumId w:val="5"/>
  </w:num>
  <w:num w:numId="11">
    <w:abstractNumId w:val="4"/>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605C55"/>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AC29BE"/>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0C56"/>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2545CF"/>
    <w:rsid w:val="21431371"/>
    <w:rsid w:val="2149055F"/>
    <w:rsid w:val="21513626"/>
    <w:rsid w:val="215C64E4"/>
    <w:rsid w:val="215D225D"/>
    <w:rsid w:val="219537A4"/>
    <w:rsid w:val="21C36564"/>
    <w:rsid w:val="21DF0EC4"/>
    <w:rsid w:val="22240D19"/>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25561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5720F"/>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57E18"/>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1566E"/>
    <w:rsid w:val="505E4B9C"/>
    <w:rsid w:val="50A30487"/>
    <w:rsid w:val="50DD1804"/>
    <w:rsid w:val="50FB1449"/>
    <w:rsid w:val="516D233C"/>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14509D"/>
    <w:rsid w:val="58776655"/>
    <w:rsid w:val="5881369E"/>
    <w:rsid w:val="58B74216"/>
    <w:rsid w:val="58C16652"/>
    <w:rsid w:val="590752B6"/>
    <w:rsid w:val="591F15CA"/>
    <w:rsid w:val="596D67DA"/>
    <w:rsid w:val="59760D08"/>
    <w:rsid w:val="599E6993"/>
    <w:rsid w:val="59AC5554"/>
    <w:rsid w:val="5A564466"/>
    <w:rsid w:val="5A902780"/>
    <w:rsid w:val="5A9F4737"/>
    <w:rsid w:val="5AAE2C06"/>
    <w:rsid w:val="5AE8436A"/>
    <w:rsid w:val="5AF80325"/>
    <w:rsid w:val="5B426AA9"/>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89690E"/>
    <w:rsid w:val="5FD4389C"/>
    <w:rsid w:val="5FEC48FC"/>
    <w:rsid w:val="6013374F"/>
    <w:rsid w:val="60545FFD"/>
    <w:rsid w:val="60B116A2"/>
    <w:rsid w:val="60B42F40"/>
    <w:rsid w:val="60B7767B"/>
    <w:rsid w:val="61651EA2"/>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20759B"/>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DFD0C42"/>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26"/>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2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Title"/>
    <w:basedOn w:val="1"/>
    <w:qFormat/>
    <w:uiPriority w:val="0"/>
    <w:pPr>
      <w:spacing w:before="240" w:after="60"/>
      <w:jc w:val="center"/>
      <w:outlineLvl w:val="0"/>
    </w:pPr>
    <w:rPr>
      <w:rFonts w:ascii="Arial" w:hAnsi="Arial" w:eastAsia="隶书" w:cs="Arial"/>
      <w:b/>
      <w:bCs/>
      <w:sz w:val="32"/>
      <w:szCs w:val="32"/>
    </w:rPr>
  </w:style>
  <w:style w:type="paragraph" w:styleId="8">
    <w:name w:val="Normal Indent"/>
    <w:basedOn w:val="1"/>
    <w:next w:val="2"/>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30"/>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character" w:customStyle="1" w:styleId="25">
    <w:name w:val="标题 2 Char"/>
    <w:basedOn w:val="19"/>
    <w:link w:val="7"/>
    <w:semiHidden/>
    <w:qFormat/>
    <w:uiPriority w:val="9"/>
    <w:rPr>
      <w:rFonts w:asciiTheme="majorHAnsi" w:hAnsiTheme="majorHAnsi" w:eastAsiaTheme="majorEastAsia" w:cstheme="majorBidi"/>
      <w:b/>
      <w:bCs/>
      <w:sz w:val="32"/>
      <w:szCs w:val="32"/>
    </w:rPr>
  </w:style>
  <w:style w:type="character" w:customStyle="1" w:styleId="26">
    <w:name w:val="标题 1 Char"/>
    <w:basedOn w:val="19"/>
    <w:link w:val="4"/>
    <w:qFormat/>
    <w:uiPriority w:val="0"/>
    <w:rPr>
      <w:rFonts w:ascii="Arial" w:hAnsi="Arial" w:eastAsia="宋体" w:cs="Times New Roman"/>
      <w:b/>
      <w:bCs/>
      <w:kern w:val="44"/>
      <w:sz w:val="44"/>
      <w:szCs w:val="44"/>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19"/>
    <w:link w:val="13"/>
    <w:semiHidden/>
    <w:qFormat/>
    <w:uiPriority w:val="99"/>
    <w:rPr>
      <w:sz w:val="18"/>
      <w:szCs w:val="18"/>
    </w:rPr>
  </w:style>
  <w:style w:type="character" w:customStyle="1" w:styleId="29">
    <w:name w:val="页脚 Char"/>
    <w:basedOn w:val="19"/>
    <w:link w:val="12"/>
    <w:qFormat/>
    <w:uiPriority w:val="99"/>
    <w:rPr>
      <w:sz w:val="18"/>
      <w:szCs w:val="18"/>
    </w:rPr>
  </w:style>
  <w:style w:type="character" w:customStyle="1" w:styleId="30">
    <w:name w:val="批注框文本 Char"/>
    <w:basedOn w:val="19"/>
    <w:link w:val="11"/>
    <w:semiHidden/>
    <w:qFormat/>
    <w:uiPriority w:val="99"/>
    <w:rPr>
      <w:sz w:val="18"/>
      <w:szCs w:val="18"/>
    </w:rPr>
  </w:style>
  <w:style w:type="character" w:customStyle="1" w:styleId="31">
    <w:name w:val="普通(网站) Char"/>
    <w:link w:val="15"/>
    <w:qFormat/>
    <w:uiPriority w:val="99"/>
    <w:rPr>
      <w:rFonts w:ascii="宋体" w:hAnsi="宋体"/>
      <w:sz w:val="24"/>
      <w:szCs w:val="24"/>
    </w:rPr>
  </w:style>
  <w:style w:type="paragraph" w:styleId="32">
    <w:name w:val="List Paragraph"/>
    <w:basedOn w:val="1"/>
    <w:qFormat/>
    <w:uiPriority w:val="34"/>
    <w:pPr>
      <w:ind w:firstLine="420" w:firstLineChars="200"/>
    </w:pPr>
  </w:style>
  <w:style w:type="character" w:customStyle="1" w:styleId="33">
    <w:name w:val="文档结构图 Char"/>
    <w:basedOn w:val="19"/>
    <w:link w:val="9"/>
    <w:semiHidden/>
    <w:qFormat/>
    <w:uiPriority w:val="99"/>
    <w:rPr>
      <w:rFonts w:ascii="宋体" w:eastAsia="宋体"/>
      <w:sz w:val="18"/>
      <w:szCs w:val="18"/>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31"/>
    <w:basedOn w:val="19"/>
    <w:qFormat/>
    <w:uiPriority w:val="0"/>
    <w:rPr>
      <w:rFonts w:hint="eastAsia" w:ascii="宋体" w:hAnsi="宋体" w:eastAsia="宋体" w:cs="宋体"/>
      <w:color w:val="000000"/>
      <w:sz w:val="22"/>
      <w:szCs w:val="22"/>
      <w:u w:val="none"/>
    </w:rPr>
  </w:style>
  <w:style w:type="character" w:customStyle="1" w:styleId="39">
    <w:name w:val="font11"/>
    <w:basedOn w:val="19"/>
    <w:qFormat/>
    <w:uiPriority w:val="0"/>
    <w:rPr>
      <w:rFonts w:hint="default" w:ascii="Times New Roman" w:hAnsi="Times New Roman" w:cs="Times New Roman"/>
      <w:color w:val="000000"/>
      <w:sz w:val="21"/>
      <w:szCs w:val="21"/>
      <w:u w:val="none"/>
    </w:rPr>
  </w:style>
  <w:style w:type="character" w:customStyle="1" w:styleId="40">
    <w:name w:val="font41"/>
    <w:basedOn w:val="19"/>
    <w:qFormat/>
    <w:uiPriority w:val="0"/>
    <w:rPr>
      <w:rFonts w:hint="eastAsia" w:ascii="宋体" w:hAnsi="宋体" w:eastAsia="宋体" w:cs="宋体"/>
      <w:color w:val="000000"/>
      <w:sz w:val="21"/>
      <w:szCs w:val="21"/>
      <w:u w:val="none"/>
    </w:rPr>
  </w:style>
  <w:style w:type="character" w:customStyle="1" w:styleId="41">
    <w:name w:val="font51"/>
    <w:basedOn w:val="19"/>
    <w:qFormat/>
    <w:uiPriority w:val="0"/>
    <w:rPr>
      <w:rFonts w:hint="eastAsia" w:ascii="宋体" w:hAnsi="宋体" w:eastAsia="宋体" w:cs="宋体"/>
      <w:color w:val="000000"/>
      <w:sz w:val="24"/>
      <w:szCs w:val="24"/>
      <w:u w:val="none"/>
    </w:rPr>
  </w:style>
  <w:style w:type="character" w:customStyle="1" w:styleId="42">
    <w:name w:val="font71"/>
    <w:basedOn w:val="19"/>
    <w:qFormat/>
    <w:uiPriority w:val="0"/>
    <w:rPr>
      <w:rFonts w:hint="eastAsia" w:ascii="宋体" w:hAnsi="宋体" w:eastAsia="宋体" w:cs="宋体"/>
      <w:color w:val="FF0000"/>
      <w:sz w:val="24"/>
      <w:szCs w:val="24"/>
      <w:u w:val="none"/>
    </w:rPr>
  </w:style>
  <w:style w:type="character" w:customStyle="1" w:styleId="43">
    <w:name w:val="font21"/>
    <w:basedOn w:val="19"/>
    <w:qFormat/>
    <w:uiPriority w:val="0"/>
    <w:rPr>
      <w:rFonts w:hint="eastAsia" w:ascii="宋体" w:hAnsi="宋体" w:eastAsia="宋体" w:cs="宋体"/>
      <w:color w:val="000000"/>
      <w:sz w:val="24"/>
      <w:szCs w:val="24"/>
      <w:u w:val="none"/>
    </w:rPr>
  </w:style>
  <w:style w:type="character" w:customStyle="1" w:styleId="44">
    <w:name w:val="font81"/>
    <w:basedOn w:val="19"/>
    <w:qFormat/>
    <w:uiPriority w:val="0"/>
    <w:rPr>
      <w:rFonts w:hint="eastAsia" w:ascii="宋体" w:hAnsi="宋体" w:eastAsia="宋体" w:cs="宋体"/>
      <w:color w:val="FF0000"/>
      <w:sz w:val="24"/>
      <w:szCs w:val="24"/>
      <w:u w:val="none"/>
    </w:rPr>
  </w:style>
  <w:style w:type="character" w:customStyle="1" w:styleId="45">
    <w:name w:val="font6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10141</Words>
  <Characters>10867</Characters>
  <Lines>316</Lines>
  <Paragraphs>88</Paragraphs>
  <TotalTime>1</TotalTime>
  <ScaleCrop>false</ScaleCrop>
  <LinksUpToDate>false</LinksUpToDate>
  <CharactersWithSpaces>10973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2025-08-13T06:49:58Z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9C894F5BD47F4941AA78CCE30741D551_13</vt:lpwstr>
  </property>
  <property fmtid="{D5CDD505-2E9C-101B-9397-08002B2CF9AE}" pid="4" name="KSOTemplateDocerSaveRecord">
    <vt:lpwstr>eyJoZGlkIjoiZjJmNjBhMWNiNDBiM2U2ZDBiZTZlZGE0MDhlMDZhYzAiLCJ1c2VySWQiOiI1NDcwNTM3NzAifQ==</vt:lpwstr>
  </property>
</Properties>
</file>