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480"/>
      </w:pPr>
    </w:p>
    <w:p>
      <w:pPr>
        <w:jc w:val="center"/>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市局大院露天停车雨棚</w:t>
      </w:r>
    </w:p>
    <w:p>
      <w:pPr>
        <w:jc w:val="center"/>
        <w:rPr>
          <w:rFonts w:hint="eastAsia" w:ascii="宋体" w:hAnsi="宋体" w:cs="宋体"/>
          <w:sz w:val="72"/>
          <w:szCs w:val="72"/>
        </w:rPr>
      </w:pPr>
      <w:r>
        <w:rPr>
          <w:rFonts w:hint="eastAsia" w:ascii="方正小标宋简体" w:hAnsi="方正小标宋简体" w:eastAsia="方正小标宋简体" w:cs="方正小标宋简体"/>
          <w:b/>
          <w:bCs/>
          <w:sz w:val="72"/>
          <w:szCs w:val="72"/>
          <w:lang w:val="en-US" w:eastAsia="zh-CN"/>
        </w:rPr>
        <w:t>建设工程</w:t>
      </w:r>
      <w:r>
        <w:rPr>
          <w:rFonts w:hint="eastAsia" w:ascii="方正小标宋简体" w:hAnsi="方正小标宋简体" w:eastAsia="方正小标宋简体" w:cs="方正小标宋简体"/>
          <w:b/>
          <w:bCs/>
          <w:sz w:val="72"/>
          <w:szCs w:val="72"/>
        </w:rPr>
        <w:t>监理服务</w:t>
      </w:r>
    </w:p>
    <w:p>
      <w:pPr>
        <w:rPr>
          <w:rFonts w:hint="eastAsia" w:ascii="宋体" w:hAnsi="宋体" w:cs="宋体"/>
        </w:rPr>
      </w:pPr>
    </w:p>
    <w:p>
      <w:pPr>
        <w:jc w:val="center"/>
        <w:rPr>
          <w:rFonts w:hint="eastAsia" w:ascii="宋体" w:hAnsi="宋体" w:cs="宋体"/>
          <w:sz w:val="52"/>
          <w:szCs w:val="52"/>
        </w:rPr>
      </w:pPr>
    </w:p>
    <w:p>
      <w:pPr>
        <w:jc w:val="center"/>
        <w:rPr>
          <w:rFonts w:hint="eastAsia" w:ascii="宋体" w:hAnsi="宋体" w:cs="宋体"/>
          <w:b/>
          <w:bCs/>
          <w:sz w:val="72"/>
          <w:szCs w:val="72"/>
        </w:rPr>
      </w:pPr>
      <w:r>
        <w:rPr>
          <w:rFonts w:hint="eastAsia" w:ascii="宋体" w:hAnsi="宋体" w:cs="宋体"/>
          <w:b/>
          <w:bCs/>
          <w:sz w:val="72"/>
          <w:szCs w:val="72"/>
        </w:rPr>
        <w:t>询 价 文 件</w:t>
      </w:r>
    </w:p>
    <w:p>
      <w:pPr>
        <w:rPr>
          <w:rFonts w:hint="eastAsia" w:ascii="宋体" w:hAnsi="宋体" w:cs="宋体"/>
          <w:b/>
          <w:bCs/>
          <w:sz w:val="36"/>
          <w:szCs w:val="36"/>
        </w:rPr>
      </w:pPr>
    </w:p>
    <w:p>
      <w:pPr>
        <w:ind w:firstLine="1084" w:firstLineChars="300"/>
        <w:rPr>
          <w:rFonts w:hint="eastAsia" w:ascii="宋体" w:hAnsi="宋体" w:cs="宋体"/>
          <w:b/>
          <w:bCs/>
          <w:sz w:val="36"/>
          <w:szCs w:val="36"/>
        </w:rPr>
      </w:pPr>
    </w:p>
    <w:p>
      <w:pPr>
        <w:ind w:firstLine="1084" w:firstLineChars="300"/>
        <w:rPr>
          <w:rFonts w:hint="eastAsia" w:ascii="宋体" w:hAnsi="宋体" w:cs="宋体"/>
          <w:b/>
          <w:bCs/>
          <w:sz w:val="36"/>
          <w:szCs w:val="36"/>
        </w:rPr>
      </w:pPr>
    </w:p>
    <w:p>
      <w:pPr>
        <w:ind w:firstLine="1084" w:firstLineChars="300"/>
        <w:rPr>
          <w:rFonts w:hint="eastAsia" w:ascii="宋体" w:hAnsi="宋体" w:cs="宋体"/>
          <w:b/>
          <w:bCs/>
          <w:sz w:val="36"/>
          <w:szCs w:val="36"/>
        </w:rPr>
      </w:pPr>
      <w:bookmarkStart w:id="8" w:name="_GoBack"/>
      <w:bookmarkEnd w:id="8"/>
    </w:p>
    <w:p>
      <w:pPr>
        <w:ind w:firstLine="1084" w:firstLineChars="300"/>
        <w:rPr>
          <w:rFonts w:hint="eastAsia" w:ascii="宋体" w:hAnsi="宋体" w:cs="宋体"/>
          <w:b/>
          <w:bCs/>
          <w:sz w:val="36"/>
          <w:szCs w:val="36"/>
        </w:rPr>
      </w:pPr>
    </w:p>
    <w:p>
      <w:pPr>
        <w:ind w:firstLine="1084" w:firstLineChars="300"/>
        <w:rPr>
          <w:rFonts w:hint="eastAsia" w:ascii="宋体" w:hAnsi="宋体" w:cs="宋体"/>
          <w:b/>
          <w:bCs/>
          <w:sz w:val="36"/>
          <w:szCs w:val="36"/>
        </w:rPr>
      </w:pPr>
      <w:r>
        <w:rPr>
          <w:rFonts w:hint="eastAsia" w:ascii="宋体" w:hAnsi="宋体" w:cs="宋体"/>
          <w:b/>
          <w:bCs/>
          <w:sz w:val="36"/>
          <w:szCs w:val="36"/>
        </w:rPr>
        <w:t>项目编号：</w:t>
      </w:r>
      <w:r>
        <w:rPr>
          <w:rFonts w:hint="eastAsia" w:ascii="宋体" w:hAnsi="宋体" w:cs="宋体"/>
          <w:b/>
          <w:bCs/>
          <w:sz w:val="36"/>
          <w:szCs w:val="36"/>
          <w:u w:val="none"/>
        </w:rPr>
        <w:t>SZZXJY-2025-01386</w:t>
      </w:r>
    </w:p>
    <w:p>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pPr>
        <w:pStyle w:val="16"/>
        <w:ind w:firstLine="1084" w:firstLineChars="300"/>
        <w:rPr>
          <w:rFonts w:hint="eastAsia" w:ascii="宋体" w:hAnsi="宋体" w:eastAsia="宋体" w:cs="宋体"/>
          <w:b/>
          <w:bCs/>
          <w:sz w:val="36"/>
          <w:szCs w:val="36"/>
          <w:lang w:eastAsia="zh-CN"/>
        </w:rPr>
      </w:pPr>
      <w:r>
        <w:rPr>
          <w:rFonts w:hint="eastAsia" w:ascii="宋体" w:hAnsi="宋体" w:cs="宋体"/>
          <w:b/>
          <w:bCs/>
          <w:sz w:val="36"/>
          <w:szCs w:val="36"/>
        </w:rPr>
        <w:t>采购人： 深圳市公安局</w:t>
      </w:r>
      <w:r>
        <w:rPr>
          <w:rFonts w:hint="eastAsia" w:ascii="宋体" w:hAnsi="宋体" w:cs="宋体"/>
          <w:b/>
          <w:bCs/>
          <w:sz w:val="36"/>
          <w:szCs w:val="36"/>
          <w:lang w:eastAsia="zh-CN"/>
        </w:rPr>
        <w:t>警务保障处</w:t>
      </w:r>
    </w:p>
    <w:p>
      <w:pPr>
        <w:pStyle w:val="16"/>
        <w:rPr>
          <w:rFonts w:hint="eastAsia" w:ascii="宋体" w:hAnsi="宋体" w:cs="宋体"/>
          <w:sz w:val="48"/>
        </w:rPr>
      </w:pPr>
    </w:p>
    <w:p>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第一章 询价公告</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w:t>
      </w:r>
      <w:r>
        <w:rPr>
          <w:rFonts w:hint="eastAsia" w:ascii="宋体" w:hAnsi="宋体" w:cs="宋体"/>
          <w:bCs/>
          <w:kern w:val="0"/>
          <w:szCs w:val="21"/>
          <w:lang w:eastAsia="zh-CN"/>
        </w:rPr>
        <w:t>受托人</w:t>
      </w:r>
      <w:r>
        <w:rPr>
          <w:rFonts w:hint="eastAsia" w:ascii="宋体" w:hAnsi="宋体" w:cs="宋体"/>
          <w:bCs/>
          <w:kern w:val="0"/>
          <w:szCs w:val="21"/>
        </w:rPr>
        <w:t>选用进口产品参与投标（由供应商在《询价承诺函》中作出声明）；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询价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询价应答文件格式-二、营业执照及资格证明文件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pPr>
        <w:pStyle w:val="10"/>
        <w:ind w:firstLine="480"/>
        <w:rPr>
          <w:rFonts w:hint="eastAsia" w:ascii="宋体" w:hAnsi="宋体" w:eastAsia="宋体" w:cs="宋体"/>
          <w:kern w:val="0"/>
          <w:sz w:val="21"/>
          <w:szCs w:val="21"/>
          <w:highlight w:val="none"/>
          <w:lang w:val="en-US" w:eastAsia="zh-CN" w:bidi="ar-SA"/>
        </w:rPr>
      </w:pPr>
      <w:r>
        <w:rPr>
          <w:rFonts w:hint="eastAsia"/>
          <w:highlight w:val="none"/>
        </w:rPr>
        <w:t>9.</w:t>
      </w:r>
      <w:r>
        <w:rPr>
          <w:rFonts w:hint="eastAsia" w:ascii="宋体" w:hAnsi="宋体" w:eastAsia="宋体" w:cs="宋体"/>
          <w:kern w:val="0"/>
          <w:sz w:val="21"/>
          <w:szCs w:val="21"/>
          <w:highlight w:val="none"/>
          <w:lang w:val="en-US" w:eastAsia="zh-CN" w:bidi="ar-SA"/>
        </w:rPr>
        <w:t>受托人须满足</w:t>
      </w:r>
      <w:r>
        <w:rPr>
          <w:rFonts w:hint="eastAsia" w:ascii="宋体" w:hAnsi="宋体" w:eastAsia="宋体" w:cs="宋体"/>
          <w:color w:val="FF0000"/>
          <w:kern w:val="0"/>
          <w:sz w:val="21"/>
          <w:szCs w:val="21"/>
          <w:highlight w:val="none"/>
          <w:lang w:val="en-US" w:eastAsia="zh-CN" w:bidi="ar-SA"/>
        </w:rPr>
        <w:t>房屋建筑工程监理乙级及以上资质或工程监理综合甲级资质</w:t>
      </w:r>
      <w:r>
        <w:rPr>
          <w:rFonts w:hint="eastAsia" w:ascii="宋体" w:hAnsi="宋体" w:eastAsia="宋体" w:cs="宋体"/>
          <w:kern w:val="0"/>
          <w:sz w:val="21"/>
          <w:szCs w:val="21"/>
          <w:highlight w:val="none"/>
          <w:lang w:val="en-US" w:eastAsia="zh-CN" w:bidi="ar-SA"/>
        </w:rPr>
        <w:t>（提供资质证书扫描件）。</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rPr>
        <w:t>询价须知</w:t>
      </w:r>
      <w:bookmarkEnd w:id="0"/>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（一）供应商询价程序</w:t>
      </w:r>
    </w:p>
    <w:p>
      <w:pPr>
        <w:pStyle w:val="19"/>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（1）投标响应。凡愿意参加询价的合格供应商，在询价截止时间前，登陆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，下载查看询价文件。</w:t>
      </w:r>
    </w:p>
    <w:p>
      <w:pPr>
        <w:pStyle w:val="19"/>
        <w:shd w:val="clear" w:color="auto" w:fill="FFFFFF"/>
        <w:spacing w:before="0" w:beforeAutospacing="0" w:after="0" w:afterAutospacing="0"/>
        <w:ind w:firstLine="422"/>
        <w:jc w:val="both"/>
        <w:rPr>
          <w:rFonts w:hint="eastAsia"/>
          <w:sz w:val="21"/>
          <w:szCs w:val="21"/>
        </w:rPr>
      </w:pPr>
      <w:r>
        <w:rPr>
          <w:rFonts w:hint="eastAsia"/>
          <w:sz w:val="21"/>
          <w:szCs w:val="21"/>
        </w:rPr>
        <w:t>（2）报价并提交询价应答文件。</w:t>
      </w:r>
    </w:p>
    <w:p>
      <w:pPr>
        <w:pStyle w:val="19"/>
        <w:shd w:val="clear" w:color="auto" w:fill="FFFFFF"/>
        <w:spacing w:before="0" w:beforeAutospacing="0" w:after="0" w:afterAutospacing="0"/>
        <w:ind w:firstLine="422"/>
        <w:jc w:val="both"/>
        <w:rPr>
          <w:rFonts w:hint="eastAsia"/>
          <w:sz w:val="21"/>
          <w:szCs w:val="21"/>
        </w:rPr>
      </w:pPr>
      <w:r>
        <w:rPr>
          <w:rFonts w:hint="eastAsia"/>
          <w:sz w:val="21"/>
          <w:szCs w:val="21"/>
        </w:rPr>
        <w:t>（3）确定询价结果。采购人按照成交原则，确定成交人。</w:t>
      </w:r>
    </w:p>
    <w:p>
      <w:pPr>
        <w:pStyle w:val="19"/>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pPr>
        <w:pStyle w:val="19"/>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（二）询价文件主要内容：</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询价须知、用户需求书</w:t>
      </w:r>
      <w:r>
        <w:rPr>
          <w:rFonts w:hint="eastAsia" w:ascii="宋体" w:hAnsi="宋体" w:cs="宋体"/>
          <w:kern w:val="0"/>
          <w:szCs w:val="21"/>
        </w:rPr>
        <w:t>、</w:t>
      </w:r>
      <w:r>
        <w:rPr>
          <w:rFonts w:hint="eastAsia" w:ascii="宋体" w:hAnsi="宋体" w:cs="宋体"/>
          <w:b/>
          <w:kern w:val="0"/>
          <w:szCs w:val="21"/>
        </w:rPr>
        <w:t>询价应答文件格式、合同模板、供应商询价操作流程</w:t>
      </w:r>
      <w:r>
        <w:rPr>
          <w:rFonts w:hint="eastAsia" w:ascii="宋体" w:hAnsi="宋体" w:cs="宋体"/>
          <w:kern w:val="0"/>
          <w:szCs w:val="21"/>
        </w:rPr>
        <w:t>六部分组成。</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2、询价用户需求书主要包含本项目的具体采购需求、</w:t>
      </w:r>
      <w:r>
        <w:rPr>
          <w:rFonts w:hint="eastAsia"/>
        </w:rPr>
        <w:t>服务期限</w:t>
      </w:r>
      <w:r>
        <w:rPr>
          <w:rFonts w:hint="eastAsia" w:ascii="宋体" w:hAnsi="宋体" w:cs="宋体"/>
          <w:kern w:val="0"/>
          <w:szCs w:val="21"/>
        </w:rPr>
        <w:t>等要求。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3、询价公告和询价用户需求书出现不一致时，按以下优先顺序解释：</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4、供应商按询价应答文件格式要求填写响应内容，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（三）询价成交原则：</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有效供应商是指参加本项目询价，且对本项目进行实质性响应的供应商。有效供应商数量应不少于三家，</w:t>
      </w:r>
      <w:r>
        <w:rPr>
          <w:rFonts w:hint="eastAsia" w:ascii="宋体" w:hAnsi="宋体" w:cs="宋体"/>
          <w:b/>
          <w:bCs/>
          <w:kern w:val="0"/>
          <w:szCs w:val="21"/>
        </w:rPr>
        <w:t>否则按照本须知第六条询价有关情况处理</w:t>
      </w:r>
      <w:r>
        <w:rPr>
          <w:rFonts w:hint="eastAsia" w:ascii="宋体" w:hAnsi="宋体" w:cs="宋体"/>
          <w:b/>
          <w:kern w:val="0"/>
          <w:szCs w:val="21"/>
        </w:rPr>
        <w:t>。</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highlight w:val="none"/>
        </w:rPr>
        <w:t>2、本项目成交方法采用最低价法</w:t>
      </w:r>
      <w:r>
        <w:rPr>
          <w:rFonts w:hint="eastAsia" w:ascii="宋体" w:hAnsi="宋体" w:cs="宋体"/>
          <w:kern w:val="0"/>
          <w:szCs w:val="21"/>
          <w:highlight w:val="none"/>
        </w:rPr>
        <w:t>，完全满足询价文件的实质性要求，按照报价由低到高的顺序，依据询价文件中规定的数量或比例推</w:t>
      </w:r>
      <w:r>
        <w:rPr>
          <w:rFonts w:hint="eastAsia" w:ascii="宋体" w:hAnsi="宋体" w:cs="宋体"/>
          <w:kern w:val="0"/>
          <w:szCs w:val="21"/>
        </w:rPr>
        <w:t>荐候选成交人。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3、采购人在参与询价的有效供应商中，按照最低价法，确定最低报价的1家为成交人。如出现两家或以上的最低报价，由采购人通过抽签方式确定1家为成交人。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6、供应商应答文件未按询价应答文件格式规定内容、格式提交或填写不完整。</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（五）询价争议的解决：</w:t>
      </w:r>
    </w:p>
    <w:p>
      <w:pPr>
        <w:ind w:firstLine="411" w:firstLineChars="196"/>
        <w:rPr>
          <w:rFonts w:hint="eastAsia" w:ascii="宋体" w:hAnsi="宋体"/>
          <w:szCs w:val="21"/>
        </w:rPr>
      </w:pPr>
      <w:r>
        <w:rPr>
          <w:rFonts w:hint="eastAsia" w:ascii="宋体" w:hAnsi="宋体"/>
          <w:szCs w:val="21"/>
        </w:rPr>
        <w:t>投标文件报价出现前后不一致的，除另有规定外，按照下列规定修正：</w:t>
      </w:r>
    </w:p>
    <w:p>
      <w:pPr>
        <w:ind w:firstLine="411" w:firstLineChars="196"/>
        <w:rPr>
          <w:rFonts w:hint="eastAsia" w:ascii="宋体" w:hAnsi="宋体"/>
          <w:szCs w:val="21"/>
        </w:rPr>
      </w:pPr>
      <w:r>
        <w:rPr>
          <w:rFonts w:hint="eastAsia" w:ascii="宋体" w:hAnsi="宋体"/>
          <w:szCs w:val="21"/>
        </w:rPr>
        <w:t>1、应答文件中开标一览表投标报价内容与应答文件中报价相应内容不一致的，以开标一览表为准；</w:t>
      </w:r>
    </w:p>
    <w:p>
      <w:pPr>
        <w:ind w:firstLine="411" w:firstLineChars="196"/>
        <w:rPr>
          <w:rFonts w:hint="eastAsia" w:ascii="宋体" w:hAnsi="宋体"/>
          <w:szCs w:val="21"/>
        </w:rPr>
      </w:pPr>
      <w:r>
        <w:rPr>
          <w:rFonts w:hint="eastAsia" w:ascii="宋体" w:hAnsi="宋体"/>
          <w:szCs w:val="21"/>
        </w:rPr>
        <w:t>2、大写金额和小写金额不一致的，以大写金额为准；</w:t>
      </w:r>
    </w:p>
    <w:p>
      <w:pPr>
        <w:ind w:firstLine="411" w:firstLineChars="196"/>
        <w:rPr>
          <w:rFonts w:hint="eastAsia" w:ascii="宋体" w:hAnsi="宋体"/>
          <w:szCs w:val="21"/>
        </w:rPr>
      </w:pPr>
      <w:r>
        <w:rPr>
          <w:rFonts w:hint="eastAsia" w:ascii="宋体" w:hAnsi="宋体"/>
          <w:szCs w:val="21"/>
        </w:rPr>
        <w:t>3、单价金额小数点或者百分比有明显错位，以开标一览表的总价为准，并修改单价；</w:t>
      </w:r>
    </w:p>
    <w:p>
      <w:pPr>
        <w:ind w:firstLine="411" w:firstLineChars="196"/>
        <w:rPr>
          <w:rFonts w:hint="eastAsia" w:ascii="宋体" w:hAnsi="宋体"/>
          <w:szCs w:val="21"/>
        </w:rPr>
      </w:pPr>
      <w:r>
        <w:rPr>
          <w:rFonts w:hint="eastAsia" w:ascii="宋体" w:hAnsi="宋体"/>
          <w:szCs w:val="21"/>
        </w:rPr>
        <w:t>4、总价金额与按单价汇总金额不一致的，以单价金额计算结果为准。</w:t>
      </w:r>
    </w:p>
    <w:p>
      <w:pPr>
        <w:ind w:firstLine="411" w:firstLineChars="196"/>
        <w:rPr>
          <w:rFonts w:hint="eastAsia" w:ascii="宋体" w:hAnsi="宋体" w:cs="宋体"/>
          <w:kern w:val="0"/>
          <w:szCs w:val="21"/>
        </w:rPr>
      </w:pPr>
      <w:r>
        <w:rPr>
          <w:rFonts w:hint="eastAsia" w:ascii="宋体" w:hAnsi="宋体"/>
          <w:szCs w:val="21"/>
        </w:rPr>
        <w:t>5、同时出现两种以上不一致的，按照前款规定的顺序修正。</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采购人以修正后的分项报价之和为成交金额并签订合同。</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（六）询价有关情况处理：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1、公开询价有效供应商不足三家的，项目根据以下情况开展：</w:t>
      </w:r>
    </w:p>
    <w:p>
      <w:pPr>
        <w:widowControl/>
        <w:adjustRightInd w:val="0"/>
        <w:ind w:firstLine="422" w:firstLineChars="200"/>
        <w:rPr>
          <w:rFonts w:hint="eastAsia" w:ascii="宋体" w:hAnsi="宋体" w:cs="宋体"/>
          <w:b/>
          <w:bCs/>
          <w:kern w:val="0"/>
          <w:szCs w:val="21"/>
        </w:rPr>
      </w:pPr>
      <w:r>
        <w:rPr>
          <w:rFonts w:hint="eastAsia" w:ascii="宋体" w:hAnsi="宋体" w:cs="宋体"/>
          <w:b/>
          <w:bCs/>
          <w:kern w:val="0"/>
          <w:szCs w:val="21"/>
        </w:rPr>
        <w:sym w:font="Wingdings 2" w:char="0052"/>
      </w:r>
      <w:r>
        <w:rPr>
          <w:rFonts w:hint="eastAsia" w:ascii="宋体" w:hAnsi="宋体" w:cs="宋体"/>
          <w:b/>
          <w:bCs/>
          <w:kern w:val="0"/>
          <w:szCs w:val="21"/>
        </w:rPr>
        <w:t>1.1采购人可选择继续开展项目，按以下规则处理：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1.1.3.无有效供应商的，项目询价失败，采购人另寻其他方式采购。</w:t>
      </w:r>
    </w:p>
    <w:p>
      <w:pPr>
        <w:widowControl/>
        <w:adjustRightInd w:val="0"/>
        <w:ind w:firstLine="420" w:firstLineChars="200"/>
        <w:rPr>
          <w:rFonts w:hint="eastAsia" w:ascii="宋体" w:hAnsi="宋体" w:cs="宋体"/>
          <w:b/>
          <w:bCs/>
          <w:kern w:val="0"/>
          <w:szCs w:val="21"/>
        </w:rPr>
      </w:pPr>
      <w:r>
        <w:rPr>
          <w:rFonts w:hint="eastAsia"/>
        </w:rPr>
        <w:sym w:font="Wingdings 2" w:char="00A3"/>
      </w:r>
      <w:r>
        <w:rPr>
          <w:rFonts w:hint="eastAsia" w:ascii="宋体" w:hAnsi="宋体" w:cs="宋体"/>
          <w:b/>
          <w:bCs/>
          <w:kern w:val="0"/>
          <w:szCs w:val="21"/>
        </w:rPr>
        <w:t>1.2采购人可选择项目询价失败，重新采购。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3、供应商询价截止后撤销其询价，成交后无正当理由未在规定期限内签订合同或者拒绝履行合同义务的，按相关规定处理，并将记入诚信档案处理。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本项目询价文件所涉及的时间一律为北京时间，投标币种均为人民币。供应商有义务在询价活动期间浏览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上公布的与本次询价项目有关的信息视为已送达各供应商。</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pPr>
        <w:widowControl/>
        <w:spacing w:line="240" w:lineRule="exact"/>
        <w:ind w:firstLine="420" w:firstLineChars="200"/>
        <w:jc w:val="left"/>
        <w:rPr>
          <w:rFonts w:hint="eastAsia" w:ascii="宋体" w:hAnsi="宋体" w:eastAsia="宋体" w:cs="宋体"/>
          <w:kern w:val="0"/>
          <w:szCs w:val="21"/>
          <w:lang w:eastAsia="zh-CN"/>
        </w:rPr>
      </w:pPr>
      <w:r>
        <w:rPr>
          <w:rFonts w:ascii="宋体" w:hAnsi="宋体" w:cs="宋体"/>
          <w:kern w:val="0"/>
          <w:szCs w:val="21"/>
        </w:rPr>
        <w:t>本项目设计供应商：</w:t>
      </w:r>
      <w:r>
        <w:rPr>
          <w:rFonts w:hint="eastAsia" w:ascii="宋体" w:hAnsi="宋体" w:cs="宋体"/>
          <w:kern w:val="0"/>
          <w:szCs w:val="21"/>
          <w:lang w:eastAsia="zh-CN"/>
        </w:rPr>
        <w:t>深圳</w:t>
      </w:r>
      <w:r>
        <w:rPr>
          <w:rFonts w:hint="eastAsia" w:ascii="宋体" w:hAnsi="宋体" w:cs="宋体"/>
          <w:kern w:val="0"/>
          <w:szCs w:val="21"/>
          <w:lang w:val="en-US" w:eastAsia="zh-CN"/>
        </w:rPr>
        <w:t>东海建设集团</w:t>
      </w:r>
      <w:r>
        <w:rPr>
          <w:rFonts w:hint="eastAsia" w:ascii="宋体" w:hAnsi="宋体" w:cs="宋体"/>
          <w:kern w:val="0"/>
          <w:szCs w:val="21"/>
          <w:lang w:eastAsia="zh-CN"/>
        </w:rPr>
        <w:t>有限公司</w:t>
      </w:r>
      <w:r>
        <w:rPr>
          <w:rFonts w:hint="eastAsia" w:ascii="宋体" w:hAnsi="宋体" w:cs="宋体"/>
          <w:kern w:val="0"/>
          <w:szCs w:val="21"/>
          <w:lang w:val="en-US" w:eastAsia="zh-CN"/>
        </w:rPr>
        <w:t xml:space="preserve">   </w:t>
      </w:r>
    </w:p>
    <w:p>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本项目造价咨询供应商：</w:t>
      </w:r>
      <w:r>
        <w:rPr>
          <w:rFonts w:hint="eastAsia" w:ascii="宋体" w:hAnsi="宋体" w:cs="宋体"/>
          <w:kern w:val="0"/>
          <w:szCs w:val="21"/>
        </w:rPr>
        <w:t xml:space="preserve">深圳市浩壹项目管理有限公司  </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pPr>
        <w:widowControl/>
        <w:jc w:val="left"/>
        <w:rPr>
          <w:rFonts w:hint="eastAsia" w:ascii="宋体" w:hAnsi="宋体" w:cs="宋体"/>
          <w:b/>
          <w:kern w:val="0"/>
          <w:sz w:val="36"/>
          <w:szCs w:val="36"/>
        </w:rPr>
      </w:pPr>
      <w:r>
        <w:rPr>
          <w:rFonts w:hint="eastAsia" w:ascii="宋体" w:hAnsi="宋体" w:cs="宋体"/>
          <w:b/>
          <w:kern w:val="0"/>
          <w:sz w:val="36"/>
          <w:szCs w:val="36"/>
        </w:rPr>
        <w:br w:type="page"/>
      </w: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pPr>
        <w:ind w:firstLine="422" w:firstLineChars="200"/>
        <w:rPr>
          <w:rFonts w:hint="eastAsia" w:ascii="宋体" w:hAnsi="宋体" w:cs="宋体"/>
          <w:b/>
          <w:bCs/>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23"/>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4088"/>
        <w:gridCol w:w="650"/>
        <w:gridCol w:w="1037"/>
        <w:gridCol w:w="1580"/>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shd w:val="clear" w:color="auto" w:fill="C6D9F1"/>
            <w:vAlign w:val="center"/>
          </w:tcPr>
          <w:p>
            <w:pPr>
              <w:spacing w:line="360" w:lineRule="auto"/>
              <w:jc w:val="center"/>
              <w:rPr>
                <w:b/>
                <w:szCs w:val="21"/>
              </w:rPr>
            </w:pPr>
            <w:r>
              <w:rPr>
                <w:rFonts w:hint="eastAsia"/>
                <w:b/>
                <w:szCs w:val="21"/>
              </w:rPr>
              <w:t>序号</w:t>
            </w:r>
          </w:p>
        </w:tc>
        <w:tc>
          <w:tcPr>
            <w:tcW w:w="4088" w:type="dxa"/>
            <w:shd w:val="clear" w:color="auto" w:fill="C6D9F1"/>
            <w:vAlign w:val="center"/>
          </w:tcPr>
          <w:p>
            <w:pPr>
              <w:spacing w:line="360" w:lineRule="auto"/>
              <w:jc w:val="center"/>
              <w:rPr>
                <w:b/>
                <w:szCs w:val="21"/>
              </w:rPr>
            </w:pPr>
            <w:r>
              <w:rPr>
                <w:rFonts w:hint="eastAsia"/>
                <w:b/>
                <w:szCs w:val="21"/>
              </w:rPr>
              <w:t>服务名称</w:t>
            </w:r>
          </w:p>
        </w:tc>
        <w:tc>
          <w:tcPr>
            <w:tcW w:w="650" w:type="dxa"/>
            <w:shd w:val="clear" w:color="auto" w:fill="C6D9F1"/>
            <w:vAlign w:val="center"/>
          </w:tcPr>
          <w:p>
            <w:pPr>
              <w:spacing w:line="360" w:lineRule="auto"/>
              <w:jc w:val="center"/>
              <w:rPr>
                <w:b/>
                <w:szCs w:val="21"/>
              </w:rPr>
            </w:pPr>
            <w:r>
              <w:rPr>
                <w:rFonts w:hint="eastAsia"/>
                <w:b/>
                <w:szCs w:val="21"/>
              </w:rPr>
              <w:t>数量</w:t>
            </w:r>
          </w:p>
        </w:tc>
        <w:tc>
          <w:tcPr>
            <w:tcW w:w="1037" w:type="dxa"/>
            <w:shd w:val="clear" w:color="auto" w:fill="C6D9F1"/>
          </w:tcPr>
          <w:p>
            <w:pPr>
              <w:spacing w:line="360" w:lineRule="auto"/>
              <w:jc w:val="both"/>
              <w:rPr>
                <w:b/>
                <w:szCs w:val="21"/>
              </w:rPr>
            </w:pPr>
            <w:r>
              <w:rPr>
                <w:rFonts w:hint="eastAsia"/>
                <w:b/>
                <w:szCs w:val="21"/>
              </w:rPr>
              <w:t>单位</w:t>
            </w:r>
          </w:p>
        </w:tc>
        <w:tc>
          <w:tcPr>
            <w:tcW w:w="1580" w:type="dxa"/>
            <w:shd w:val="clear" w:color="auto" w:fill="C6D9F1"/>
            <w:vAlign w:val="center"/>
          </w:tcPr>
          <w:p>
            <w:pPr>
              <w:spacing w:line="360" w:lineRule="auto"/>
              <w:jc w:val="center"/>
              <w:rPr>
                <w:b/>
                <w:szCs w:val="21"/>
              </w:rPr>
            </w:pPr>
            <w:r>
              <w:rPr>
                <w:rFonts w:hint="eastAsia"/>
                <w:b/>
                <w:szCs w:val="21"/>
              </w:rPr>
              <w:t>预算金额（元）</w:t>
            </w:r>
          </w:p>
        </w:tc>
        <w:tc>
          <w:tcPr>
            <w:tcW w:w="787" w:type="dxa"/>
            <w:shd w:val="clear" w:color="auto" w:fill="C6D9F1"/>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50"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088" w:type="dxa"/>
            <w:vAlign w:val="center"/>
          </w:tcPr>
          <w:p>
            <w:pPr>
              <w:spacing w:line="360" w:lineRule="auto"/>
              <w:jc w:val="center"/>
              <w:rPr>
                <w:rFonts w:hint="eastAsia" w:ascii="Times New Roman" w:hAnsi="Times New Roman" w:eastAsia="宋体" w:cs="Times New Roman"/>
                <w:szCs w:val="21"/>
                <w:lang w:eastAsia="zh-CN"/>
              </w:rPr>
            </w:pPr>
            <w:r>
              <w:rPr>
                <w:rFonts w:hint="default" w:ascii="Times New Roman" w:hAnsi="Times New Roman" w:cs="Times New Roman"/>
                <w:szCs w:val="21"/>
                <w:lang w:val="en-US" w:eastAsia="zh-CN"/>
              </w:rPr>
              <w:t>市局大院露天停车雨棚建设工程</w:t>
            </w:r>
            <w:r>
              <w:rPr>
                <w:rFonts w:hint="default" w:ascii="Times New Roman" w:hAnsi="Times New Roman" w:cs="Times New Roman"/>
                <w:szCs w:val="21"/>
              </w:rPr>
              <w:t>监理</w:t>
            </w:r>
            <w:r>
              <w:rPr>
                <w:rFonts w:hint="eastAsia" w:cs="Times New Roman"/>
                <w:szCs w:val="21"/>
                <w:lang w:eastAsia="zh-CN"/>
              </w:rPr>
              <w:t>服务</w:t>
            </w:r>
          </w:p>
        </w:tc>
        <w:tc>
          <w:tcPr>
            <w:tcW w:w="650"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1037" w:type="dxa"/>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项</w:t>
            </w:r>
          </w:p>
        </w:tc>
        <w:tc>
          <w:tcPr>
            <w:tcW w:w="1580" w:type="dxa"/>
            <w:vAlign w:val="center"/>
          </w:tcPr>
          <w:p>
            <w:pPr>
              <w:spacing w:line="360" w:lineRule="auto"/>
              <w:jc w:val="center"/>
              <w:rPr>
                <w:rFonts w:hint="default" w:ascii="Times New Roman" w:hAnsi="Times New Roman" w:cs="Times New Roman"/>
                <w:szCs w:val="21"/>
              </w:rPr>
            </w:pPr>
            <w:r>
              <w:rPr>
                <w:rFonts w:hint="eastAsia" w:cs="Times New Roman"/>
                <w:szCs w:val="21"/>
                <w:lang w:val="en-US" w:eastAsia="zh-CN"/>
              </w:rPr>
              <w:t>63000</w:t>
            </w:r>
            <w:r>
              <w:rPr>
                <w:rFonts w:hint="default" w:ascii="Times New Roman" w:hAnsi="Times New Roman" w:cs="Times New Roman"/>
                <w:szCs w:val="21"/>
              </w:rPr>
              <w:t>元</w:t>
            </w:r>
          </w:p>
        </w:tc>
        <w:tc>
          <w:tcPr>
            <w:tcW w:w="787" w:type="dxa"/>
            <w:vAlign w:val="center"/>
          </w:tcPr>
          <w:p>
            <w:pPr>
              <w:spacing w:line="360" w:lineRule="auto"/>
              <w:jc w:val="center"/>
              <w:rPr>
                <w:szCs w:val="21"/>
              </w:rPr>
            </w:pPr>
          </w:p>
        </w:tc>
      </w:tr>
    </w:tbl>
    <w:p>
      <w:pPr>
        <w:rPr>
          <w:rFonts w:hint="eastAsia" w:ascii="宋体" w:hAnsi="宋体"/>
          <w:b/>
          <w:bCs/>
          <w:snapToGrid w:val="0"/>
          <w:color w:val="000000"/>
          <w:kern w:val="0"/>
          <w:szCs w:val="21"/>
        </w:rPr>
      </w:pPr>
    </w:p>
    <w:p>
      <w:pPr>
        <w:ind w:firstLine="422" w:firstLineChars="200"/>
        <w:rPr>
          <w:rFonts w:hint="eastAsia" w:ascii="宋体" w:hAnsi="宋体" w:cs="宋体"/>
          <w:b/>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2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p>
      <w:pPr>
        <w:tabs>
          <w:tab w:val="left" w:pos="1657"/>
        </w:tabs>
        <w:ind w:firstLine="422" w:firstLineChars="200"/>
        <w:rPr>
          <w:rFonts w:hint="eastAsia"/>
          <w:lang w:eastAsia="zh-CN"/>
        </w:rPr>
      </w:pPr>
      <w:r>
        <w:rPr>
          <w:rFonts w:hint="eastAsia"/>
          <w:b/>
          <w:bCs/>
          <w:lang w:eastAsia="zh-CN"/>
        </w:rPr>
        <w:t>驻场要求：</w:t>
      </w:r>
      <w:r>
        <w:rPr>
          <w:rFonts w:hint="eastAsia"/>
          <w:lang w:eastAsia="zh-CN"/>
        </w:rPr>
        <w:t>施工期间每日驻场时间不少于 8 小时；与施工班组同步作息，关键工序（如混凝土浇捣、管线预埋）需全程在场。</w:t>
      </w:r>
    </w:p>
    <w:p>
      <w:pPr>
        <w:tabs>
          <w:tab w:val="left" w:pos="1657"/>
        </w:tabs>
        <w:ind w:firstLine="422" w:firstLineChars="200"/>
        <w:rPr>
          <w:rFonts w:hint="eastAsia"/>
          <w:lang w:eastAsia="zh-CN"/>
        </w:rPr>
      </w:pPr>
      <w:r>
        <w:rPr>
          <w:rFonts w:hint="eastAsia"/>
          <w:b/>
          <w:bCs/>
          <w:lang w:eastAsia="zh-CN"/>
        </w:rPr>
        <w:t>施工准备阶段：</w:t>
      </w:r>
      <w:r>
        <w:rPr>
          <w:rFonts w:hint="eastAsia"/>
          <w:lang w:eastAsia="zh-CN"/>
        </w:rPr>
        <w:t>审核施工组织设计、专项施工方案（含钢结构安装、基础开挖安全方案）；</w:t>
      </w:r>
    </w:p>
    <w:p>
      <w:pPr>
        <w:tabs>
          <w:tab w:val="left" w:pos="1657"/>
        </w:tabs>
        <w:ind w:firstLine="422" w:firstLineChars="200"/>
        <w:rPr>
          <w:rFonts w:hint="eastAsia"/>
          <w:lang w:eastAsia="zh-CN"/>
        </w:rPr>
      </w:pPr>
      <w:r>
        <w:rPr>
          <w:rFonts w:hint="eastAsia"/>
          <w:b/>
          <w:bCs/>
          <w:lang w:eastAsia="zh-CN"/>
        </w:rPr>
        <w:t>施工阶段：</w:t>
      </w:r>
      <w:r>
        <w:rPr>
          <w:rFonts w:hint="eastAsia"/>
          <w:lang w:eastAsia="zh-CN"/>
        </w:rPr>
        <w:t>全程旁站关键工序（混凝土浇捣、钢结构焊接、管线预埋），每周提交质量 / 进度检查报告，及时制止违规施工；​</w:t>
      </w:r>
    </w:p>
    <w:p>
      <w:pPr>
        <w:tabs>
          <w:tab w:val="left" w:pos="1657"/>
        </w:tabs>
        <w:ind w:firstLine="422" w:firstLineChars="200"/>
        <w:rPr>
          <w:rFonts w:hint="eastAsia"/>
          <w:lang w:eastAsia="zh-CN"/>
        </w:rPr>
      </w:pPr>
      <w:r>
        <w:rPr>
          <w:rFonts w:hint="eastAsia"/>
          <w:b/>
          <w:bCs/>
          <w:lang w:eastAsia="zh-CN"/>
        </w:rPr>
        <w:t>验收阶段：</w:t>
      </w:r>
      <w:r>
        <w:rPr>
          <w:rFonts w:hint="eastAsia"/>
          <w:lang w:eastAsia="zh-CN"/>
        </w:rPr>
        <w:t>组织分项工程验收，出具监理评估报告，协助竣工验收；​</w:t>
      </w:r>
    </w:p>
    <w:p>
      <w:pPr>
        <w:tabs>
          <w:tab w:val="left" w:pos="1657"/>
        </w:tabs>
        <w:ind w:firstLine="422" w:firstLineChars="200"/>
        <w:rPr>
          <w:rFonts w:hint="eastAsia"/>
          <w:lang w:eastAsia="zh-CN"/>
        </w:rPr>
      </w:pPr>
      <w:r>
        <w:rPr>
          <w:rFonts w:hint="eastAsia"/>
          <w:b/>
          <w:bCs/>
          <w:lang w:eastAsia="zh-CN"/>
        </w:rPr>
        <w:t>缺陷责任期：</w:t>
      </w:r>
      <w:r>
        <w:rPr>
          <w:rFonts w:hint="eastAsia"/>
          <w:lang w:eastAsia="zh-CN"/>
        </w:rPr>
        <w:t>定期巡查，督促施工单位整改质量缺陷；​</w:t>
      </w:r>
    </w:p>
    <w:p>
      <w:pPr>
        <w:tabs>
          <w:tab w:val="left" w:pos="1657"/>
        </w:tabs>
        <w:ind w:firstLine="422" w:firstLineChars="200"/>
        <w:rPr>
          <w:rFonts w:hint="eastAsia"/>
          <w:lang w:eastAsia="zh-CN"/>
        </w:rPr>
      </w:pPr>
      <w:r>
        <w:rPr>
          <w:rFonts w:hint="eastAsia"/>
          <w:b/>
          <w:bCs/>
          <w:lang w:eastAsia="zh-CN"/>
        </w:rPr>
        <w:t>监理设施：</w:t>
      </w:r>
      <w:r>
        <w:rPr>
          <w:rFonts w:hint="eastAsia"/>
          <w:lang w:eastAsia="zh-CN"/>
        </w:rPr>
        <w:t>自备检测工具（如全站仪、回弹仪、卷尺等），满足现场监理需求；​</w:t>
      </w:r>
    </w:p>
    <w:p>
      <w:pPr>
        <w:tabs>
          <w:tab w:val="left" w:pos="1657"/>
        </w:tabs>
        <w:ind w:firstLine="422" w:firstLineChars="200"/>
        <w:rPr>
          <w:rFonts w:hint="eastAsia"/>
          <w:lang w:eastAsia="zh-CN"/>
        </w:rPr>
      </w:pPr>
      <w:r>
        <w:rPr>
          <w:rFonts w:hint="eastAsia"/>
          <w:b/>
          <w:bCs/>
          <w:lang w:eastAsia="zh-CN"/>
        </w:rPr>
        <w:t>报告提交：</w:t>
      </w:r>
      <w:r>
        <w:rPr>
          <w:rFonts w:hint="eastAsia"/>
          <w:highlight w:val="none"/>
          <w:lang w:eastAsia="zh-CN"/>
        </w:rPr>
        <w:t>每周 二 前</w:t>
      </w:r>
      <w:r>
        <w:rPr>
          <w:rFonts w:hint="eastAsia"/>
          <w:lang w:eastAsia="zh-CN"/>
        </w:rPr>
        <w:t>提交上周监理周报，工程竣工后 10 日内提交完整监理档案；</w:t>
      </w:r>
      <w:r>
        <w:rPr>
          <w:rFonts w:hint="eastAsia"/>
          <w:lang w:val="en-US" w:eastAsia="zh-CN"/>
        </w:rPr>
        <w:t>计划完成量、实际完成量、进度偏差率（计算公式：(实际 - 计划)/ 计划 ×100%）、偏差原因及纠偏措施</w:t>
      </w:r>
      <w:r>
        <w:rPr>
          <w:rFonts w:hint="eastAsia"/>
          <w:lang w:eastAsia="zh-CN"/>
        </w:rPr>
        <w:t>。​​</w:t>
      </w:r>
    </w:p>
    <w:p>
      <w:pPr>
        <w:tabs>
          <w:tab w:val="left" w:pos="1657"/>
        </w:tabs>
        <w:ind w:firstLine="422" w:firstLineChars="200"/>
        <w:rPr>
          <w:rFonts w:hint="eastAsia"/>
          <w:lang w:eastAsia="zh-CN"/>
        </w:rPr>
      </w:pPr>
      <w:r>
        <w:rPr>
          <w:rFonts w:hint="eastAsia"/>
          <w:b/>
          <w:bCs/>
          <w:lang w:eastAsia="zh-CN"/>
        </w:rPr>
        <w:t>材料验收：</w:t>
      </w:r>
      <w:r>
        <w:rPr>
          <w:rFonts w:hint="eastAsia"/>
          <w:lang w:eastAsia="zh-CN"/>
        </w:rPr>
        <w:t>建立 “材料进场验收台账”，对钢结构构件（需查验出厂合格证、材质单、焊缝检测报告）、混凝土（需查验配合比通知单、坍落度检测记录）、照明管线（需查验材质证明、绝缘性能检测报告）进行抽样复核，不合格材料禁止进场。​</w:t>
      </w:r>
    </w:p>
    <w:p>
      <w:pPr>
        <w:tabs>
          <w:tab w:val="left" w:pos="1657"/>
        </w:tabs>
        <w:ind w:firstLine="422" w:firstLineChars="200"/>
        <w:rPr>
          <w:rFonts w:hint="eastAsia"/>
          <w:b/>
          <w:bCs/>
          <w:sz w:val="21"/>
          <w:szCs w:val="24"/>
          <w:lang w:eastAsia="zh-CN"/>
        </w:rPr>
      </w:pPr>
      <w:r>
        <w:rPr>
          <w:rFonts w:hint="eastAsia"/>
          <w:b/>
          <w:bCs/>
          <w:sz w:val="21"/>
          <w:szCs w:val="24"/>
          <w:lang w:eastAsia="zh-CN"/>
        </w:rPr>
        <w:t>明确旁站工序清单及要求：​</w:t>
      </w:r>
    </w:p>
    <w:p>
      <w:pPr>
        <w:tabs>
          <w:tab w:val="left" w:pos="1657"/>
        </w:tabs>
        <w:ind w:firstLine="422" w:firstLineChars="200"/>
        <w:rPr>
          <w:rFonts w:hint="eastAsia"/>
          <w:lang w:eastAsia="zh-CN"/>
        </w:rPr>
      </w:pPr>
      <w:r>
        <w:rPr>
          <w:rFonts w:hint="eastAsia"/>
          <w:b/>
          <w:bCs/>
          <w:lang w:val="en-US" w:eastAsia="zh-CN"/>
        </w:rPr>
        <w:t>1.混凝土浇捣：</w:t>
      </w:r>
      <w:r>
        <w:rPr>
          <w:rFonts w:hint="eastAsia"/>
          <w:lang w:val="en-US" w:eastAsia="zh-CN"/>
        </w:rPr>
        <w:t>旁站时需记录 “浇筑时间、混凝土强度等级、坍落度检测值（每 100m³ 至少检测 1 次）、振捣部位、养护开始时间”，若出现混凝土离析、漏振等问题，需立即要求停工整改；​</w:t>
      </w:r>
    </w:p>
    <w:p>
      <w:pPr>
        <w:tabs>
          <w:tab w:val="left" w:pos="1657"/>
        </w:tabs>
        <w:ind w:firstLine="422" w:firstLineChars="200"/>
        <w:rPr>
          <w:rFonts w:hint="eastAsia"/>
          <w:lang w:eastAsia="zh-CN"/>
        </w:rPr>
      </w:pPr>
      <w:r>
        <w:rPr>
          <w:rFonts w:hint="eastAsia"/>
          <w:b/>
          <w:bCs/>
          <w:lang w:val="en-US" w:eastAsia="zh-CN"/>
        </w:rPr>
        <w:t>2.钢结构焊接：</w:t>
      </w:r>
      <w:r>
        <w:rPr>
          <w:rFonts w:hint="eastAsia"/>
          <w:lang w:val="en-US" w:eastAsia="zh-CN"/>
        </w:rPr>
        <w:t>旁站时需查验焊工资格证（特殊工种证需在有效期内），记录 “焊接电流、电压、焊接层数”，每道焊缝完成后需协助进行外观检查（无气孔、夹渣、咬边等缺陷），关键焊缝（如雨棚主梁拼接缝）需见证第三方检测；​</w:t>
      </w:r>
    </w:p>
    <w:p>
      <w:pPr>
        <w:tabs>
          <w:tab w:val="left" w:pos="1657"/>
        </w:tabs>
        <w:ind w:firstLine="422" w:firstLineChars="200"/>
        <w:rPr>
          <w:rFonts w:hint="eastAsia"/>
          <w:lang w:eastAsia="zh-CN"/>
        </w:rPr>
      </w:pPr>
      <w:r>
        <w:rPr>
          <w:rFonts w:hint="eastAsia"/>
          <w:b/>
          <w:bCs/>
          <w:lang w:val="en-US" w:eastAsia="zh-CN"/>
        </w:rPr>
        <w:t>3.照明管线预埋：</w:t>
      </w:r>
      <w:r>
        <w:rPr>
          <w:rFonts w:hint="eastAsia"/>
          <w:lang w:val="en-US" w:eastAsia="zh-CN"/>
        </w:rPr>
        <w:t>旁站时需检查 “管线走向是否符合图纸、预埋深度（室外管线需≥0.7 米，若穿越道路需≥1.0 米）、管线接头密封情况”，预埋完成后需进行通球试验（确保管线畅通）；​</w:t>
      </w:r>
    </w:p>
    <w:p>
      <w:pPr>
        <w:tabs>
          <w:tab w:val="left" w:pos="1657"/>
        </w:tabs>
        <w:ind w:firstLine="422" w:firstLineChars="200"/>
        <w:rPr>
          <w:rFonts w:hint="eastAsia"/>
          <w:lang w:eastAsia="zh-CN"/>
        </w:rPr>
      </w:pPr>
      <w:r>
        <w:rPr>
          <w:rFonts w:hint="eastAsia"/>
          <w:b/>
          <w:bCs/>
          <w:lang w:val="en-US" w:eastAsia="zh-CN"/>
        </w:rPr>
        <w:t>4.</w:t>
      </w:r>
      <w:r>
        <w:rPr>
          <w:rFonts w:hint="eastAsia"/>
          <w:b/>
          <w:bCs/>
          <w:lang w:eastAsia="zh-CN"/>
        </w:rPr>
        <w:t>进度控制：</w:t>
      </w:r>
      <w:r>
        <w:rPr>
          <w:rFonts w:hint="eastAsia"/>
          <w:lang w:eastAsia="zh-CN"/>
        </w:rPr>
        <w:t>每周五提交《周进度检查报告》，对比 “计划工程量与实际完成量”，若进度偏差≥10%，需分析原因（如人员不足、材料延误），协助施工单位制定纠偏措施；</w:t>
      </w:r>
    </w:p>
    <w:p>
      <w:pPr>
        <w:tabs>
          <w:tab w:val="left" w:pos="1657"/>
        </w:tabs>
        <w:ind w:firstLine="422" w:firstLineChars="200"/>
        <w:rPr>
          <w:rFonts w:hint="eastAsia"/>
          <w:lang w:eastAsia="zh-CN"/>
        </w:rPr>
      </w:pPr>
      <w:r>
        <w:rPr>
          <w:rFonts w:hint="eastAsia"/>
          <w:b/>
          <w:bCs/>
          <w:lang w:val="en-US" w:eastAsia="zh-CN"/>
        </w:rPr>
        <w:t>5.</w:t>
      </w:r>
      <w:r>
        <w:rPr>
          <w:rFonts w:hint="eastAsia"/>
          <w:b/>
          <w:bCs/>
          <w:lang w:eastAsia="zh-CN"/>
        </w:rPr>
        <w:t>安全监理：</w:t>
      </w:r>
      <w:r>
        <w:rPr>
          <w:rFonts w:hint="eastAsia"/>
          <w:lang w:eastAsia="zh-CN"/>
        </w:rPr>
        <w:t>每日进行安全巡查（重点检查临边防护、施工用电接地、高空作业安全带佩戴），每周组织 1 次安全专项检查，发现安全隐患需下达《监理工程师通知单》，要求施工单位 24 小时内整改，逾期未改则上报采购人并暂停施工。​</w:t>
      </w:r>
    </w:p>
    <w:p>
      <w:pPr>
        <w:tabs>
          <w:tab w:val="left" w:pos="1657"/>
        </w:tabs>
        <w:ind w:firstLine="422" w:firstLineChars="200"/>
        <w:rPr>
          <w:rFonts w:hint="eastAsia"/>
          <w:lang w:eastAsia="zh-CN"/>
        </w:rPr>
      </w:pPr>
      <w:r>
        <w:rPr>
          <w:rFonts w:hint="eastAsia"/>
          <w:b/>
          <w:bCs/>
          <w:lang w:val="en-US" w:eastAsia="zh-CN"/>
        </w:rPr>
        <w:t>6.</w:t>
      </w:r>
      <w:r>
        <w:rPr>
          <w:rFonts w:hint="eastAsia"/>
          <w:b/>
          <w:bCs/>
          <w:lang w:eastAsia="zh-CN"/>
        </w:rPr>
        <w:t>分项验收：</w:t>
      </w:r>
      <w:r>
        <w:rPr>
          <w:rFonts w:hint="eastAsia"/>
          <w:lang w:eastAsia="zh-CN"/>
        </w:rPr>
        <w:t>分项工程完工后，施工单位自检合格并提交验收申请后 2 个工作日内组织验收；验收时需提供 “工序质量记录、检测报告、材料合格证”，验收合格后签署《分项工程验收记录》，不合格项需明确整改期限（最长不超过 7 天），整改后重新验收；​</w:t>
      </w:r>
    </w:p>
    <w:p>
      <w:pPr>
        <w:tabs>
          <w:tab w:val="left" w:pos="1657"/>
        </w:tabs>
        <w:ind w:firstLine="422" w:firstLineChars="200"/>
        <w:rPr>
          <w:rFonts w:hint="eastAsia"/>
          <w:lang w:eastAsia="zh-CN"/>
        </w:rPr>
      </w:pPr>
      <w:r>
        <w:rPr>
          <w:rFonts w:hint="eastAsia"/>
          <w:b/>
          <w:bCs/>
          <w:lang w:val="en-US" w:eastAsia="zh-CN"/>
        </w:rPr>
        <w:t>7.</w:t>
      </w:r>
      <w:r>
        <w:rPr>
          <w:rFonts w:hint="eastAsia"/>
          <w:b/>
          <w:bCs/>
          <w:lang w:eastAsia="zh-CN"/>
        </w:rPr>
        <w:t>竣工预验收：</w:t>
      </w:r>
      <w:r>
        <w:rPr>
          <w:rFonts w:hint="eastAsia"/>
          <w:lang w:eastAsia="zh-CN"/>
        </w:rPr>
        <w:t>工程完工后 5 个工作日内组织预验收，重点核查 “钢结构垂直度（偏差≤H/1000，且≤15mm）、混凝土基础平整度（偏差≤5mm/2m）、照明管线接地电阻（≤4Ω）”，预验收合格后出具《监理预验收报告》，并协助采购人组织正式竣工验收。​</w:t>
      </w:r>
    </w:p>
    <w:p>
      <w:pPr>
        <w:tabs>
          <w:tab w:val="left" w:pos="1657"/>
        </w:tabs>
        <w:ind w:firstLine="422" w:firstLineChars="200"/>
        <w:rPr>
          <w:rFonts w:hint="eastAsia"/>
          <w:lang w:eastAsia="zh-CN"/>
        </w:rPr>
      </w:pPr>
      <w:r>
        <w:rPr>
          <w:rFonts w:hint="eastAsia"/>
          <w:b/>
          <w:bCs/>
          <w:lang w:val="en-US" w:eastAsia="zh-CN"/>
        </w:rPr>
        <w:t>8.</w:t>
      </w:r>
      <w:r>
        <w:rPr>
          <w:rFonts w:hint="eastAsia"/>
          <w:b/>
          <w:bCs/>
          <w:lang w:eastAsia="zh-CN"/>
        </w:rPr>
        <w:t>巡查频率：</w:t>
      </w:r>
      <w:r>
        <w:rPr>
          <w:rFonts w:hint="eastAsia"/>
          <w:lang w:eastAsia="zh-CN"/>
        </w:rPr>
        <w:t xml:space="preserve">每天巡查 </w:t>
      </w:r>
      <w:r>
        <w:rPr>
          <w:rFonts w:hint="eastAsia"/>
          <w:lang w:val="en-US" w:eastAsia="zh-CN"/>
        </w:rPr>
        <w:t>1</w:t>
      </w:r>
      <w:r>
        <w:rPr>
          <w:rFonts w:hint="eastAsia"/>
          <w:lang w:eastAsia="zh-CN"/>
        </w:rPr>
        <w:t xml:space="preserve"> 次，巡查时需重点检查 “钢结构漆面是否脱落、混凝土基础是否出现裂缝（宽度≤0.2mm 为合格）、照明管线是否漏电”；​</w:t>
      </w:r>
    </w:p>
    <w:p>
      <w:pPr>
        <w:tabs>
          <w:tab w:val="left" w:pos="1657"/>
        </w:tabs>
        <w:ind w:firstLine="422" w:firstLineChars="200"/>
        <w:rPr>
          <w:rFonts w:hint="eastAsia"/>
          <w:lang w:eastAsia="zh-CN"/>
        </w:rPr>
      </w:pPr>
      <w:r>
        <w:rPr>
          <w:rFonts w:hint="eastAsia"/>
          <w:b/>
          <w:bCs/>
          <w:lang w:val="en-US" w:eastAsia="zh-CN"/>
        </w:rPr>
        <w:t>9.</w:t>
      </w:r>
      <w:r>
        <w:rPr>
          <w:rFonts w:hint="eastAsia"/>
          <w:b/>
          <w:bCs/>
          <w:lang w:eastAsia="zh-CN"/>
        </w:rPr>
        <w:t>缺陷处理：</w:t>
      </w:r>
      <w:r>
        <w:rPr>
          <w:rFonts w:hint="eastAsia"/>
          <w:lang w:eastAsia="zh-CN"/>
        </w:rPr>
        <w:t>发现缺陷后 24 小时内下达《缺陷整改通知书》，跟踪整改过程，整改完成后需组织验收，验收记录需存档备查。​</w:t>
      </w:r>
      <w:r>
        <w:rPr>
          <w:rFonts w:hint="eastAsia"/>
          <w:lang w:val="en-US" w:eastAsia="zh-CN"/>
        </w:rPr>
        <w:t>​</w:t>
      </w:r>
    </w:p>
    <w:p>
      <w:pPr>
        <w:tabs>
          <w:tab w:val="left" w:pos="1657"/>
        </w:tabs>
        <w:ind w:firstLine="422" w:firstLineChars="200"/>
        <w:rPr>
          <w:rFonts w:hint="eastAsia"/>
          <w:lang w:eastAsia="zh-CN"/>
        </w:rPr>
      </w:pPr>
      <w:r>
        <w:rPr>
          <w:rFonts w:hint="eastAsia"/>
          <w:b/>
          <w:bCs/>
          <w:lang w:val="en-US" w:eastAsia="zh-CN"/>
        </w:rPr>
        <w:t>10.</w:t>
      </w:r>
      <w:r>
        <w:rPr>
          <w:rFonts w:hint="eastAsia"/>
          <w:b/>
          <w:bCs/>
          <w:lang w:eastAsia="zh-CN"/>
        </w:rPr>
        <w:t>设施管理：</w:t>
      </w:r>
      <w:r>
        <w:rPr>
          <w:rFonts w:hint="eastAsia"/>
          <w:lang w:eastAsia="zh-CN"/>
        </w:rPr>
        <w:t>建立 “监理设施台账”，记录设施名称、规格、检定日期、使用人，损坏后需在 24 小时内更换备用设施，确保不影响监理工作。​</w:t>
      </w:r>
    </w:p>
    <w:p>
      <w:pPr>
        <w:tabs>
          <w:tab w:val="left" w:pos="1657"/>
        </w:tabs>
        <w:ind w:firstLine="422" w:firstLineChars="200"/>
        <w:rPr>
          <w:rFonts w:hint="eastAsia"/>
          <w:lang w:eastAsia="zh-CN"/>
        </w:rPr>
      </w:pPr>
      <w:r>
        <w:rPr>
          <w:rFonts w:hint="eastAsia"/>
          <w:b/>
          <w:bCs/>
          <w:lang w:val="en-US" w:eastAsia="zh-CN"/>
        </w:rPr>
        <w:t>11.质量控制：</w:t>
      </w:r>
      <w:r>
        <w:rPr>
          <w:rFonts w:hint="eastAsia"/>
          <w:lang w:val="en-US" w:eastAsia="zh-CN"/>
        </w:rPr>
        <w:t>本月验收分项工程数量（合格 / 不合格数量）、质量问题统计（如钢结构焊缝缺陷、混凝土裂缝）、整改完成率；​</w:t>
      </w:r>
    </w:p>
    <w:p>
      <w:pPr>
        <w:tabs>
          <w:tab w:val="left" w:pos="1657"/>
        </w:tabs>
        <w:ind w:firstLine="422" w:firstLineChars="200"/>
        <w:rPr>
          <w:rFonts w:hint="eastAsia"/>
          <w:lang w:eastAsia="zh-CN"/>
        </w:rPr>
      </w:pPr>
      <w:r>
        <w:rPr>
          <w:rFonts w:hint="eastAsia"/>
          <w:b/>
          <w:bCs/>
          <w:lang w:val="en-US" w:eastAsia="zh-CN"/>
        </w:rPr>
        <w:t>12.安全管理：</w:t>
      </w:r>
      <w:r>
        <w:rPr>
          <w:rFonts w:hint="eastAsia"/>
          <w:lang w:val="en-US" w:eastAsia="zh-CN"/>
        </w:rPr>
        <w:t>本月安全巡查次数、发现隐患数量（已整改 / 未整改数量）、安全培训见证记录；​</w:t>
      </w:r>
    </w:p>
    <w:p>
      <w:pPr>
        <w:tabs>
          <w:tab w:val="left" w:pos="1657"/>
        </w:tabs>
        <w:ind w:firstLine="422" w:firstLineChars="200"/>
        <w:rPr>
          <w:rFonts w:hint="eastAsia"/>
          <w:lang w:eastAsia="zh-CN"/>
        </w:rPr>
      </w:pPr>
      <w:r>
        <w:rPr>
          <w:rFonts w:hint="eastAsia"/>
          <w:b/>
          <w:bCs/>
          <w:lang w:val="en-US" w:eastAsia="zh-CN"/>
        </w:rPr>
        <w:t>13.</w:t>
      </w:r>
      <w:r>
        <w:rPr>
          <w:rFonts w:hint="eastAsia"/>
          <w:b/>
          <w:bCs/>
          <w:lang w:eastAsia="zh-CN"/>
        </w:rPr>
        <w:t>技术指导：</w:t>
      </w:r>
      <w:r>
        <w:rPr>
          <w:rFonts w:hint="eastAsia"/>
          <w:lang w:eastAsia="zh-CN"/>
        </w:rPr>
        <w:t>针对施工单位提出的技术疑问（如钢结构焊接参数调整、混凝土养护方法），需在 2 小时内给予书面或口头答复，复杂问题需组织专题会议讨论。</w:t>
      </w:r>
    </w:p>
    <w:p>
      <w:pPr>
        <w:pStyle w:val="19"/>
        <w:spacing w:before="0" w:beforeAutospacing="0" w:after="0" w:afterAutospacing="0"/>
        <w:ind w:left="1440"/>
        <w:rPr>
          <w:rFonts w:hint="eastAsia"/>
          <w:sz w:val="21"/>
          <w:szCs w:val="21"/>
        </w:rPr>
      </w:pPr>
    </w:p>
    <w:p>
      <w:pPr>
        <w:ind w:firstLine="562" w:firstLineChars="200"/>
        <w:rPr>
          <w:b/>
          <w:bCs/>
          <w:highlight w:val="none"/>
        </w:rPr>
      </w:pPr>
      <w:r>
        <w:rPr>
          <w:rFonts w:hint="eastAsia" w:ascii="宋体" w:hAnsi="宋体" w:cs="宋体"/>
          <w:b/>
          <w:kern w:val="0"/>
          <w:sz w:val="28"/>
          <w:szCs w:val="28"/>
        </w:rPr>
        <w:t>★（四）商务要求</w:t>
      </w:r>
    </w:p>
    <w:p>
      <w:pPr>
        <w:pStyle w:val="6"/>
        <w:keepNext w:val="0"/>
        <w:keepLines w:val="0"/>
        <w:widowControl/>
        <w:spacing w:line="11" w:lineRule="atLeast"/>
        <w:rPr>
          <w:rFonts w:hint="eastAsia" w:ascii="宋体" w:hAnsi="宋体" w:cs="宋体"/>
          <w:sz w:val="21"/>
          <w:szCs w:val="21"/>
        </w:rPr>
      </w:pPr>
      <w:r>
        <w:rPr>
          <w:rStyle w:val="26"/>
          <w:rFonts w:hint="eastAsia" w:ascii="宋体" w:hAnsi="宋体" w:cs="宋体"/>
          <w:b w:val="0"/>
          <w:sz w:val="21"/>
          <w:szCs w:val="21"/>
          <w:lang w:eastAsia="zh-CN"/>
        </w:rPr>
        <w:t>一</w:t>
      </w:r>
      <w:r>
        <w:rPr>
          <w:rStyle w:val="26"/>
          <w:rFonts w:hint="eastAsia" w:ascii="宋体" w:hAnsi="宋体" w:cs="宋体"/>
          <w:b w:val="0"/>
          <w:sz w:val="21"/>
          <w:szCs w:val="21"/>
        </w:rPr>
        <w:t>、履约时间和地点</w:t>
      </w:r>
    </w:p>
    <w:p>
      <w:pPr>
        <w:pStyle w:val="19"/>
        <w:spacing w:before="0" w:beforeAutospacing="0" w:after="30" w:afterAutospacing="0"/>
        <w:ind w:firstLine="422" w:firstLineChars="200"/>
        <w:rPr>
          <w:rFonts w:hint="eastAsia"/>
          <w:sz w:val="21"/>
          <w:szCs w:val="21"/>
        </w:rPr>
      </w:pPr>
      <w:r>
        <w:rPr>
          <w:rStyle w:val="26"/>
          <w:rFonts w:hint="eastAsia"/>
          <w:sz w:val="21"/>
          <w:szCs w:val="21"/>
        </w:rPr>
        <w:t>1.履约时间</w:t>
      </w:r>
      <w:r>
        <w:rPr>
          <w:rFonts w:hint="eastAsia"/>
          <w:sz w:val="21"/>
          <w:szCs w:val="21"/>
        </w:rPr>
        <w:t>：</w:t>
      </w:r>
    </w:p>
    <w:p>
      <w:pPr>
        <w:pStyle w:val="19"/>
        <w:spacing w:before="0" w:beforeAutospacing="0" w:after="0" w:afterAutospacing="0"/>
        <w:ind w:firstLine="840" w:firstLineChars="400"/>
        <w:rPr>
          <w:rFonts w:hint="default" w:ascii="Times New Roman" w:hAnsi="Times New Roman" w:cs="Times New Roman"/>
          <w:sz w:val="21"/>
          <w:szCs w:val="21"/>
        </w:rPr>
      </w:pPr>
      <w:r>
        <w:rPr>
          <w:rFonts w:hint="eastAsia"/>
          <w:sz w:val="21"/>
          <w:szCs w:val="21"/>
        </w:rPr>
        <w:t>监理服务期</w:t>
      </w:r>
      <w:r>
        <w:rPr>
          <w:rFonts w:hint="default" w:ascii="Times New Roman" w:hAnsi="Times New Roman" w:cs="Times New Roman"/>
          <w:sz w:val="21"/>
          <w:szCs w:val="21"/>
        </w:rPr>
        <w:t>限：自合同签订之日起至工程竣工验收合格并完成竣工资料移交为止（工期</w:t>
      </w:r>
      <w:r>
        <w:rPr>
          <w:rFonts w:hint="default" w:ascii="Times New Roman" w:hAnsi="Times New Roman" w:cs="Times New Roman"/>
          <w:sz w:val="18"/>
          <w:szCs w:val="18"/>
          <w:highlight w:val="none"/>
        </w:rPr>
        <w:t>暂估</w:t>
      </w:r>
      <w:r>
        <w:rPr>
          <w:rFonts w:hint="default" w:ascii="Times New Roman" w:hAnsi="Times New Roman" w:cs="Times New Roman"/>
          <w:sz w:val="18"/>
          <w:szCs w:val="18"/>
          <w:highlight w:val="none"/>
          <w:lang w:val="en-US" w:eastAsia="zh-CN"/>
        </w:rPr>
        <w:t>90个日历天</w:t>
      </w:r>
      <w:r>
        <w:rPr>
          <w:rFonts w:hint="default" w:ascii="Times New Roman" w:hAnsi="Times New Roman" w:cs="Times New Roman"/>
          <w:sz w:val="18"/>
          <w:szCs w:val="18"/>
          <w:highlight w:val="none"/>
        </w:rPr>
        <w:t>）。</w:t>
      </w:r>
    </w:p>
    <w:p>
      <w:pPr>
        <w:pStyle w:val="19"/>
        <w:spacing w:before="0" w:beforeAutospacing="0" w:after="0" w:afterAutospacing="0"/>
        <w:ind w:firstLine="840" w:firstLineChars="400"/>
        <w:rPr>
          <w:rFonts w:hint="default" w:ascii="Times New Roman" w:hAnsi="Times New Roman" w:cs="Times New Roman"/>
          <w:sz w:val="21"/>
          <w:szCs w:val="21"/>
        </w:rPr>
      </w:pPr>
      <w:r>
        <w:rPr>
          <w:rFonts w:hint="default" w:ascii="Times New Roman" w:hAnsi="Times New Roman" w:cs="Times New Roman"/>
          <w:sz w:val="21"/>
          <w:szCs w:val="21"/>
        </w:rPr>
        <w:t>延期处理：如因非</w:t>
      </w:r>
      <w:r>
        <w:rPr>
          <w:rFonts w:hint="default" w:ascii="Times New Roman" w:hAnsi="Times New Roman" w:cs="Times New Roman"/>
          <w:sz w:val="21"/>
          <w:szCs w:val="21"/>
          <w:lang w:eastAsia="zh-CN"/>
        </w:rPr>
        <w:t>受托人</w:t>
      </w:r>
      <w:r>
        <w:rPr>
          <w:rFonts w:hint="default" w:ascii="Times New Roman" w:hAnsi="Times New Roman" w:cs="Times New Roman"/>
          <w:sz w:val="21"/>
          <w:szCs w:val="21"/>
        </w:rPr>
        <w:t>原因导致工期延误，监理服务期限</w:t>
      </w:r>
      <w:r>
        <w:rPr>
          <w:rFonts w:hint="default" w:ascii="Times New Roman" w:hAnsi="Times New Roman" w:cs="Times New Roman"/>
          <w:b/>
          <w:bCs/>
          <w:sz w:val="21"/>
          <w:szCs w:val="21"/>
        </w:rPr>
        <w:t>无偿</w:t>
      </w:r>
      <w:r>
        <w:rPr>
          <w:rFonts w:hint="default" w:ascii="Times New Roman" w:hAnsi="Times New Roman" w:cs="Times New Roman"/>
          <w:sz w:val="21"/>
          <w:szCs w:val="21"/>
        </w:rPr>
        <w:t>相应顺延。</w:t>
      </w:r>
    </w:p>
    <w:p>
      <w:pPr>
        <w:pStyle w:val="19"/>
        <w:spacing w:before="0" w:beforeAutospacing="0" w:after="30" w:afterAutospacing="0"/>
        <w:ind w:firstLine="422" w:firstLineChars="200"/>
        <w:rPr>
          <w:rFonts w:hint="default" w:ascii="Times New Roman" w:hAnsi="Times New Roman" w:cs="Times New Roman"/>
          <w:sz w:val="21"/>
          <w:szCs w:val="21"/>
        </w:rPr>
      </w:pPr>
      <w:r>
        <w:rPr>
          <w:rStyle w:val="26"/>
          <w:rFonts w:hint="default" w:ascii="Times New Roman" w:hAnsi="Times New Roman" w:cs="Times New Roman"/>
          <w:sz w:val="21"/>
          <w:szCs w:val="21"/>
        </w:rPr>
        <w:t>2.履约地点</w:t>
      </w:r>
      <w:r>
        <w:rPr>
          <w:rFonts w:hint="default" w:ascii="Times New Roman" w:hAnsi="Times New Roman" w:cs="Times New Roman"/>
          <w:sz w:val="21"/>
          <w:szCs w:val="21"/>
        </w:rPr>
        <w:t>：</w:t>
      </w:r>
    </w:p>
    <w:p>
      <w:pPr>
        <w:pStyle w:val="19"/>
        <w:spacing w:before="0" w:beforeAutospacing="0" w:after="0" w:afterAutospacing="0"/>
        <w:ind w:firstLine="840" w:firstLineChars="400"/>
        <w:rPr>
          <w:rFonts w:hint="default" w:ascii="Times New Roman" w:hAnsi="Times New Roman" w:cs="Times New Roman"/>
          <w:sz w:val="21"/>
          <w:szCs w:val="21"/>
          <w:highlight w:val="none"/>
        </w:rPr>
      </w:pPr>
      <w:r>
        <w:rPr>
          <w:rFonts w:hint="default" w:ascii="Times New Roman" w:hAnsi="Times New Roman" w:cs="Times New Roman"/>
          <w:sz w:val="21"/>
          <w:szCs w:val="21"/>
        </w:rPr>
        <w:t>监理</w:t>
      </w:r>
      <w:r>
        <w:rPr>
          <w:rFonts w:hint="default" w:ascii="Times New Roman" w:hAnsi="Times New Roman" w:cs="Times New Roman"/>
          <w:sz w:val="21"/>
          <w:szCs w:val="21"/>
          <w:highlight w:val="none"/>
        </w:rPr>
        <w:t>服务地点为招标工程所在地，具体地址为：深圳市</w:t>
      </w:r>
      <w:r>
        <w:rPr>
          <w:rFonts w:hint="default" w:ascii="Times New Roman" w:hAnsi="Times New Roman" w:cs="Times New Roman"/>
          <w:sz w:val="21"/>
          <w:szCs w:val="21"/>
          <w:highlight w:val="none"/>
          <w:lang w:eastAsia="zh-CN"/>
        </w:rPr>
        <w:t>罗湖区</w:t>
      </w:r>
      <w:r>
        <w:rPr>
          <w:rFonts w:hint="eastAsia" w:ascii="Times New Roman" w:hAnsi="Times New Roman" w:cs="Times New Roman"/>
          <w:sz w:val="21"/>
          <w:szCs w:val="21"/>
          <w:highlight w:val="none"/>
          <w:lang w:eastAsia="zh-CN"/>
        </w:rPr>
        <w:t>解放路</w:t>
      </w:r>
      <w:r>
        <w:rPr>
          <w:rFonts w:hint="eastAsia" w:ascii="Times New Roman" w:hAnsi="Times New Roman" w:cs="Times New Roman"/>
          <w:sz w:val="21"/>
          <w:szCs w:val="21"/>
          <w:highlight w:val="none"/>
          <w:lang w:val="en-US" w:eastAsia="zh-CN"/>
        </w:rPr>
        <w:t>4018号</w:t>
      </w:r>
      <w:r>
        <w:rPr>
          <w:rFonts w:hint="default" w:ascii="Times New Roman" w:hAnsi="Times New Roman" w:cs="Times New Roman"/>
          <w:sz w:val="21"/>
          <w:szCs w:val="21"/>
          <w:highlight w:val="none"/>
        </w:rPr>
        <w:t>。</w:t>
      </w:r>
    </w:p>
    <w:p>
      <w:pPr>
        <w:pStyle w:val="6"/>
        <w:keepNext w:val="0"/>
        <w:keepLines w:val="0"/>
        <w:widowControl/>
        <w:spacing w:line="11" w:lineRule="atLeast"/>
        <w:rPr>
          <w:rFonts w:hint="default" w:ascii="Times New Roman" w:hAnsi="Times New Roman" w:cs="Times New Roman"/>
          <w:sz w:val="21"/>
          <w:szCs w:val="21"/>
          <w:highlight w:val="none"/>
        </w:rPr>
      </w:pPr>
      <w:r>
        <w:rPr>
          <w:rStyle w:val="26"/>
          <w:rFonts w:hint="eastAsia" w:ascii="Times New Roman" w:hAnsi="Times New Roman" w:cs="Times New Roman"/>
          <w:b w:val="0"/>
          <w:sz w:val="21"/>
          <w:szCs w:val="21"/>
          <w:highlight w:val="none"/>
          <w:lang w:eastAsia="zh-CN"/>
        </w:rPr>
        <w:t>二</w:t>
      </w:r>
      <w:r>
        <w:rPr>
          <w:rStyle w:val="26"/>
          <w:rFonts w:hint="default" w:ascii="Times New Roman" w:hAnsi="Times New Roman" w:cs="Times New Roman"/>
          <w:b w:val="0"/>
          <w:sz w:val="21"/>
          <w:szCs w:val="21"/>
          <w:highlight w:val="none"/>
        </w:rPr>
        <w:t>、人员要求</w:t>
      </w:r>
    </w:p>
    <w:p>
      <w:pPr>
        <w:tabs>
          <w:tab w:val="left" w:pos="1657"/>
        </w:tabs>
        <w:spacing w:before="0" w:beforeAutospacing="0" w:after="0" w:afterAutospacing="0"/>
        <w:ind w:firstLine="422" w:firstLineChars="200"/>
        <w:rPr>
          <w:rFonts w:hint="default" w:ascii="Times New Roman" w:hAnsi="Times New Roman" w:cs="Times New Roman"/>
          <w:sz w:val="21"/>
          <w:szCs w:val="21"/>
          <w:highlight w:val="none"/>
        </w:rPr>
      </w:pPr>
      <w:r>
        <w:rPr>
          <w:rFonts w:hint="eastAsia"/>
          <w:b/>
          <w:bCs/>
          <w:lang w:eastAsia="zh-CN"/>
        </w:rPr>
        <w:t>专业能力要求：</w:t>
      </w:r>
      <w:r>
        <w:rPr>
          <w:rFonts w:hint="eastAsia"/>
          <w:lang w:eastAsia="zh-CN"/>
        </w:rPr>
        <w:t>土建专业（覆盖基础开挖、混凝土浇捣）或钢结构专业（覆盖雨棚安装），持有《专业监理工程师注册证书》；需熟悉钢结构焊缝检测、混凝土强度评定流程，能独立审核专项施工方案中的技术参数。掌握基础检测工具使用方法（如卷尺、水平仪、接地电阻测试仪），能协助旁站记录、材料进场验收。</w:t>
      </w:r>
      <w:r>
        <w:rPr>
          <w:rFonts w:hint="eastAsia"/>
          <w:sz w:val="21"/>
          <w:szCs w:val="21"/>
          <w:highlight w:val="none"/>
          <w:lang w:eastAsia="zh-CN"/>
        </w:rPr>
        <w:t>受托人应</w:t>
      </w:r>
      <w:r>
        <w:rPr>
          <w:rFonts w:hint="eastAsia"/>
          <w:sz w:val="21"/>
          <w:szCs w:val="21"/>
          <w:highlight w:val="none"/>
        </w:rPr>
        <w:t>派</w:t>
      </w:r>
      <w:r>
        <w:rPr>
          <w:rFonts w:hint="default" w:ascii="Times New Roman" w:hAnsi="Times New Roman" w:cs="Times New Roman"/>
          <w:sz w:val="21"/>
          <w:szCs w:val="21"/>
          <w:highlight w:val="none"/>
        </w:rPr>
        <w:t>驻足够的监理人员驻场，驻场人员是投标文件中满足资格人员，且不少于</w:t>
      </w:r>
      <w:r>
        <w:rPr>
          <w:rFonts w:hint="eastAsia" w:ascii="Times New Roman" w:hAnsi="Times New Roman" w:cs="Times New Roman"/>
          <w:sz w:val="21"/>
          <w:szCs w:val="21"/>
          <w:highlight w:val="none"/>
          <w:lang w:val="en-US" w:eastAsia="zh-CN"/>
        </w:rPr>
        <w:t>4</w:t>
      </w:r>
      <w:r>
        <w:rPr>
          <w:rFonts w:hint="default" w:ascii="Times New Roman" w:hAnsi="Times New Roman" w:cs="Times New Roman"/>
          <w:sz w:val="21"/>
          <w:szCs w:val="21"/>
          <w:highlight w:val="none"/>
        </w:rPr>
        <w:t>名。</w:t>
      </w:r>
    </w:p>
    <w:p>
      <w:pPr>
        <w:pStyle w:val="19"/>
        <w:spacing w:before="0" w:beforeAutospacing="0" w:after="30" w:afterAutospacing="0"/>
        <w:ind w:firstLine="422" w:firstLineChars="200"/>
        <w:rPr>
          <w:rFonts w:hint="default" w:ascii="Times New Roman" w:hAnsi="Times New Roman" w:cs="Times New Roman"/>
          <w:sz w:val="21"/>
          <w:szCs w:val="21"/>
          <w:highlight w:val="none"/>
        </w:rPr>
      </w:pPr>
      <w:r>
        <w:rPr>
          <w:rStyle w:val="26"/>
          <w:rFonts w:hint="default" w:ascii="Times New Roman" w:hAnsi="Times New Roman" w:cs="Times New Roman"/>
          <w:sz w:val="21"/>
          <w:szCs w:val="21"/>
          <w:highlight w:val="none"/>
        </w:rPr>
        <w:t>1.总监理工程师</w:t>
      </w:r>
      <w:r>
        <w:rPr>
          <w:rFonts w:hint="default" w:ascii="Times New Roman" w:hAnsi="Times New Roman" w:cs="Times New Roman"/>
          <w:sz w:val="21"/>
          <w:szCs w:val="21"/>
          <w:highlight w:val="none"/>
        </w:rPr>
        <w:t>：</w:t>
      </w:r>
    </w:p>
    <w:p>
      <w:pPr>
        <w:pStyle w:val="19"/>
        <w:spacing w:before="0" w:beforeAutospacing="0" w:after="0" w:afterAutospacing="0"/>
        <w:ind w:firstLine="840" w:firstLineChars="4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具备注册监理工程师资格（</w:t>
      </w:r>
      <w:r>
        <w:rPr>
          <w:rFonts w:hint="default" w:ascii="Times New Roman" w:hAnsi="Times New Roman" w:cs="Times New Roman"/>
          <w:sz w:val="21"/>
          <w:szCs w:val="21"/>
          <w:highlight w:val="none"/>
          <w:lang w:eastAsia="zh-CN"/>
        </w:rPr>
        <w:t>房屋建筑工程</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1名</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总监理工程师需常驻现场，未经招标方同意不得更换。</w:t>
      </w:r>
    </w:p>
    <w:p>
      <w:pPr>
        <w:pStyle w:val="19"/>
        <w:spacing w:before="0" w:beforeAutospacing="0" w:after="30" w:afterAutospacing="0"/>
        <w:ind w:firstLine="422" w:firstLineChars="200"/>
        <w:rPr>
          <w:rFonts w:hint="default" w:ascii="Times New Roman" w:hAnsi="Times New Roman" w:cs="Times New Roman"/>
          <w:sz w:val="21"/>
          <w:szCs w:val="21"/>
          <w:highlight w:val="none"/>
        </w:rPr>
      </w:pPr>
      <w:r>
        <w:rPr>
          <w:rStyle w:val="26"/>
          <w:rFonts w:hint="default" w:ascii="Times New Roman" w:hAnsi="Times New Roman" w:cs="Times New Roman"/>
          <w:sz w:val="21"/>
          <w:szCs w:val="21"/>
          <w:highlight w:val="none"/>
        </w:rPr>
        <w:t>2.</w:t>
      </w:r>
      <w:r>
        <w:rPr>
          <w:rStyle w:val="26"/>
          <w:rFonts w:hint="default" w:ascii="Times New Roman" w:hAnsi="Times New Roman" w:cs="Times New Roman"/>
          <w:sz w:val="21"/>
          <w:szCs w:val="21"/>
          <w:highlight w:val="none"/>
          <w:lang w:eastAsia="zh-CN"/>
        </w:rPr>
        <w:t>注册</w:t>
      </w:r>
      <w:r>
        <w:rPr>
          <w:rStyle w:val="26"/>
          <w:rFonts w:hint="default" w:ascii="Times New Roman" w:hAnsi="Times New Roman" w:cs="Times New Roman"/>
          <w:sz w:val="21"/>
          <w:szCs w:val="21"/>
          <w:highlight w:val="none"/>
        </w:rPr>
        <w:t>监理工程师</w:t>
      </w:r>
      <w:r>
        <w:rPr>
          <w:rFonts w:hint="default" w:ascii="Times New Roman" w:hAnsi="Times New Roman" w:cs="Times New Roman"/>
          <w:sz w:val="21"/>
          <w:szCs w:val="21"/>
          <w:highlight w:val="none"/>
        </w:rPr>
        <w:t>：</w:t>
      </w:r>
    </w:p>
    <w:p>
      <w:pPr>
        <w:pStyle w:val="19"/>
        <w:spacing w:before="0" w:beforeAutospacing="0" w:after="0" w:afterAutospacing="0"/>
        <w:ind w:firstLine="840" w:firstLineChars="4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具备注册</w:t>
      </w:r>
      <w:r>
        <w:rPr>
          <w:rFonts w:hint="default" w:ascii="Times New Roman" w:hAnsi="Times New Roman" w:cs="Times New Roman"/>
          <w:sz w:val="21"/>
          <w:szCs w:val="21"/>
          <w:highlight w:val="none"/>
        </w:rPr>
        <w:t>监理工程师（</w:t>
      </w:r>
      <w:r>
        <w:rPr>
          <w:rFonts w:hint="default" w:ascii="Times New Roman" w:hAnsi="Times New Roman" w:cs="Times New Roman"/>
          <w:sz w:val="21"/>
          <w:szCs w:val="21"/>
          <w:highlight w:val="none"/>
          <w:lang w:eastAsia="zh-CN"/>
        </w:rPr>
        <w:t>房屋建筑工程</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1名</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注册</w:t>
      </w:r>
      <w:r>
        <w:rPr>
          <w:rFonts w:hint="default" w:ascii="Times New Roman" w:hAnsi="Times New Roman" w:cs="Times New Roman"/>
          <w:sz w:val="21"/>
          <w:szCs w:val="21"/>
          <w:highlight w:val="none"/>
        </w:rPr>
        <w:t>监理工程师需常驻现场，确保施工过程中的技术问题及时解决。</w:t>
      </w:r>
    </w:p>
    <w:p>
      <w:pPr>
        <w:pStyle w:val="19"/>
        <w:spacing w:before="0" w:beforeAutospacing="0" w:after="30" w:afterAutospacing="0"/>
        <w:ind w:firstLine="422" w:firstLineChars="200"/>
        <w:rPr>
          <w:rFonts w:hint="default" w:ascii="Times New Roman" w:hAnsi="Times New Roman" w:cs="Times New Roman"/>
          <w:sz w:val="21"/>
          <w:szCs w:val="21"/>
          <w:highlight w:val="none"/>
        </w:rPr>
      </w:pPr>
      <w:r>
        <w:rPr>
          <w:rStyle w:val="26"/>
          <w:rFonts w:hint="default" w:ascii="Times New Roman" w:hAnsi="Times New Roman" w:cs="Times New Roman"/>
          <w:sz w:val="21"/>
          <w:szCs w:val="21"/>
          <w:highlight w:val="none"/>
          <w:lang w:val="en-US" w:eastAsia="zh-CN"/>
        </w:rPr>
        <w:t>3</w:t>
      </w:r>
      <w:r>
        <w:rPr>
          <w:rStyle w:val="26"/>
          <w:rFonts w:hint="default" w:ascii="Times New Roman" w:hAnsi="Times New Roman" w:cs="Times New Roman"/>
          <w:sz w:val="21"/>
          <w:szCs w:val="21"/>
          <w:highlight w:val="none"/>
        </w:rPr>
        <w:t>.</w:t>
      </w:r>
      <w:r>
        <w:rPr>
          <w:rStyle w:val="26"/>
          <w:rFonts w:hint="default" w:ascii="Times New Roman" w:hAnsi="Times New Roman" w:cs="Times New Roman"/>
          <w:sz w:val="21"/>
          <w:szCs w:val="21"/>
          <w:highlight w:val="none"/>
          <w:lang w:eastAsia="zh-CN"/>
        </w:rPr>
        <w:t>专业</w:t>
      </w:r>
      <w:r>
        <w:rPr>
          <w:rStyle w:val="26"/>
          <w:rFonts w:hint="default" w:ascii="Times New Roman" w:hAnsi="Times New Roman" w:cs="Times New Roman"/>
          <w:sz w:val="21"/>
          <w:szCs w:val="21"/>
          <w:highlight w:val="none"/>
        </w:rPr>
        <w:t>监理工程师</w:t>
      </w:r>
      <w:r>
        <w:rPr>
          <w:rFonts w:hint="default" w:ascii="Times New Roman" w:hAnsi="Times New Roman" w:cs="Times New Roman"/>
          <w:sz w:val="21"/>
          <w:szCs w:val="21"/>
          <w:highlight w:val="none"/>
        </w:rPr>
        <w:t>：</w:t>
      </w:r>
    </w:p>
    <w:p>
      <w:pPr>
        <w:pStyle w:val="19"/>
        <w:spacing w:before="0" w:beforeAutospacing="0" w:after="0" w:afterAutospacing="0"/>
        <w:ind w:firstLine="840" w:firstLineChars="400"/>
        <w:rPr>
          <w:rFonts w:hint="default" w:ascii="Times New Roman" w:hAnsi="Times New Roman" w:cs="Times New Roman"/>
          <w:sz w:val="21"/>
          <w:szCs w:val="21"/>
          <w:highlight w:val="none"/>
        </w:rPr>
      </w:pPr>
      <w:r>
        <w:rPr>
          <w:rFonts w:hint="default" w:ascii="Times New Roman" w:hAnsi="Times New Roman" w:eastAsia="宋体" w:cs="Times New Roman"/>
          <w:color w:val="auto"/>
          <w:kern w:val="0"/>
          <w:sz w:val="21"/>
          <w:szCs w:val="21"/>
          <w:highlight w:val="none"/>
          <w:lang w:val="en-US" w:eastAsia="zh-CN" w:bidi="ar-SA"/>
        </w:rPr>
        <w:t>具备房屋建筑专业或建筑工程专业中级或以上职称</w:t>
      </w:r>
      <w:r>
        <w:rPr>
          <w:rFonts w:hint="eastAsia" w:ascii="Times New Roman" w:hAnsi="Times New Roman" w:cs="Times New Roman"/>
          <w:color w:val="auto"/>
          <w:kern w:val="0"/>
          <w:sz w:val="21"/>
          <w:szCs w:val="21"/>
          <w:highlight w:val="none"/>
          <w:lang w:val="en-US" w:eastAsia="zh-CN" w:bidi="ar-SA"/>
        </w:rPr>
        <w:t>1名</w:t>
      </w:r>
      <w:r>
        <w:rPr>
          <w:rFonts w:hint="eastAsia" w:ascii="Times New Roman" w:hAnsi="Times New Roman" w:eastAsia="宋体" w:cs="Times New Roman"/>
          <w:kern w:val="0"/>
          <w:sz w:val="21"/>
          <w:szCs w:val="21"/>
          <w:highlight w:val="none"/>
          <w:lang w:val="en-US" w:eastAsia="zh-CN" w:bidi="ar-SA"/>
        </w:rPr>
        <w:t>。</w:t>
      </w:r>
      <w:r>
        <w:rPr>
          <w:rFonts w:hint="default" w:ascii="Times New Roman" w:hAnsi="Times New Roman" w:cs="Times New Roman"/>
          <w:sz w:val="21"/>
          <w:szCs w:val="21"/>
          <w:highlight w:val="none"/>
          <w:lang w:eastAsia="zh-CN"/>
        </w:rPr>
        <w:t>专业</w:t>
      </w:r>
      <w:r>
        <w:rPr>
          <w:rFonts w:hint="default" w:ascii="Times New Roman" w:hAnsi="Times New Roman" w:cs="Times New Roman"/>
          <w:sz w:val="21"/>
          <w:szCs w:val="21"/>
          <w:highlight w:val="none"/>
        </w:rPr>
        <w:t>监理工程师需常驻现场，确保施工过程中的技术问题及时解决。</w:t>
      </w:r>
    </w:p>
    <w:p>
      <w:pPr>
        <w:pStyle w:val="19"/>
        <w:spacing w:before="0" w:beforeAutospacing="0" w:after="30" w:afterAutospacing="0"/>
        <w:ind w:firstLine="422" w:firstLineChars="200"/>
        <w:rPr>
          <w:rFonts w:hint="default" w:ascii="Times New Roman" w:hAnsi="Times New Roman" w:cs="Times New Roman"/>
          <w:sz w:val="21"/>
          <w:szCs w:val="21"/>
          <w:highlight w:val="none"/>
        </w:rPr>
      </w:pPr>
      <w:r>
        <w:rPr>
          <w:rStyle w:val="26"/>
          <w:rFonts w:hint="default" w:ascii="Times New Roman" w:hAnsi="Times New Roman" w:cs="Times New Roman"/>
          <w:sz w:val="21"/>
          <w:szCs w:val="21"/>
          <w:highlight w:val="none"/>
          <w:lang w:val="en-US" w:eastAsia="zh-CN"/>
        </w:rPr>
        <w:t>4</w:t>
      </w:r>
      <w:r>
        <w:rPr>
          <w:rStyle w:val="26"/>
          <w:rFonts w:hint="default" w:ascii="Times New Roman" w:hAnsi="Times New Roman" w:cs="Times New Roman"/>
          <w:sz w:val="21"/>
          <w:szCs w:val="21"/>
          <w:highlight w:val="none"/>
        </w:rPr>
        <w:t>.监理员</w:t>
      </w:r>
      <w:r>
        <w:rPr>
          <w:rFonts w:hint="default" w:ascii="Times New Roman" w:hAnsi="Times New Roman" w:cs="Times New Roman"/>
          <w:sz w:val="21"/>
          <w:szCs w:val="21"/>
          <w:highlight w:val="none"/>
        </w:rPr>
        <w:t>：</w:t>
      </w:r>
    </w:p>
    <w:p>
      <w:pPr>
        <w:pStyle w:val="19"/>
        <w:spacing w:before="0" w:beforeAutospacing="0" w:after="0" w:afterAutospacing="0"/>
        <w:ind w:firstLine="840" w:firstLineChars="4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监理员需具备相关专业培训证书</w:t>
      </w:r>
      <w:r>
        <w:rPr>
          <w:rFonts w:hint="eastAsia" w:ascii="Times New Roman" w:hAnsi="Times New Roman" w:cs="Times New Roman"/>
          <w:sz w:val="21"/>
          <w:szCs w:val="21"/>
          <w:highlight w:val="none"/>
          <w:lang w:val="en-US" w:eastAsia="zh-CN"/>
        </w:rPr>
        <w:t>1名。</w:t>
      </w:r>
    </w:p>
    <w:p>
      <w:pPr>
        <w:pStyle w:val="19"/>
        <w:spacing w:before="0" w:beforeAutospacing="0" w:after="0" w:afterAutospacing="0"/>
        <w:ind w:firstLine="840" w:firstLineChars="4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监理员需全程跟踪施工过程，记录监理日志，发现问题及时上报。</w:t>
      </w:r>
    </w:p>
    <w:p>
      <w:pPr>
        <w:pStyle w:val="19"/>
        <w:spacing w:before="0" w:beforeAutospacing="0" w:after="30" w:afterAutospacing="0"/>
        <w:ind w:firstLine="422" w:firstLineChars="200"/>
        <w:rPr>
          <w:rFonts w:hint="eastAsia"/>
          <w:sz w:val="21"/>
          <w:szCs w:val="21"/>
          <w:highlight w:val="none"/>
        </w:rPr>
      </w:pPr>
      <w:r>
        <w:rPr>
          <w:rStyle w:val="26"/>
          <w:rFonts w:hint="eastAsia"/>
          <w:sz w:val="21"/>
          <w:szCs w:val="21"/>
          <w:highlight w:val="none"/>
          <w:lang w:val="en-US" w:eastAsia="zh-CN"/>
        </w:rPr>
        <w:t>5</w:t>
      </w:r>
      <w:r>
        <w:rPr>
          <w:rStyle w:val="26"/>
          <w:rFonts w:hint="eastAsia"/>
          <w:sz w:val="21"/>
          <w:szCs w:val="21"/>
          <w:highlight w:val="none"/>
        </w:rPr>
        <w:t>.人员更换</w:t>
      </w:r>
      <w:r>
        <w:rPr>
          <w:rFonts w:hint="eastAsia"/>
          <w:sz w:val="21"/>
          <w:szCs w:val="21"/>
          <w:highlight w:val="none"/>
        </w:rPr>
        <w:t>：</w:t>
      </w:r>
    </w:p>
    <w:p>
      <w:pPr>
        <w:pStyle w:val="19"/>
        <w:spacing w:before="0" w:beforeAutospacing="0" w:after="0" w:afterAutospacing="0"/>
        <w:ind w:firstLine="843" w:firstLineChars="400"/>
        <w:rPr>
          <w:rFonts w:hint="eastAsia"/>
          <w:b/>
          <w:bCs/>
          <w:sz w:val="21"/>
          <w:szCs w:val="21"/>
          <w:highlight w:val="none"/>
        </w:rPr>
      </w:pPr>
      <w:r>
        <w:rPr>
          <w:rFonts w:hint="eastAsia"/>
          <w:b/>
          <w:bCs/>
          <w:sz w:val="21"/>
          <w:szCs w:val="21"/>
          <w:highlight w:val="none"/>
        </w:rPr>
        <w:t>未经招标方书面同意，</w:t>
      </w:r>
      <w:r>
        <w:rPr>
          <w:rFonts w:hint="eastAsia"/>
          <w:b/>
          <w:bCs/>
          <w:sz w:val="21"/>
          <w:szCs w:val="21"/>
          <w:highlight w:val="none"/>
          <w:lang w:eastAsia="zh-CN"/>
        </w:rPr>
        <w:t>受托人</w:t>
      </w:r>
      <w:r>
        <w:rPr>
          <w:rFonts w:hint="eastAsia"/>
          <w:b/>
          <w:bCs/>
          <w:sz w:val="21"/>
          <w:szCs w:val="21"/>
          <w:highlight w:val="none"/>
        </w:rPr>
        <w:t>不得擅自更换投标文件中监理人员。</w:t>
      </w:r>
    </w:p>
    <w:p>
      <w:pPr>
        <w:pStyle w:val="19"/>
        <w:spacing w:before="0" w:beforeAutospacing="0" w:after="0" w:afterAutospacing="0"/>
        <w:ind w:left="420" w:leftChars="200" w:firstLine="420" w:firstLineChars="200"/>
        <w:rPr>
          <w:rFonts w:hint="eastAsia"/>
          <w:sz w:val="21"/>
          <w:szCs w:val="21"/>
          <w:highlight w:val="none"/>
        </w:rPr>
      </w:pPr>
      <w:r>
        <w:rPr>
          <w:rFonts w:hint="eastAsia"/>
          <w:sz w:val="21"/>
          <w:szCs w:val="21"/>
          <w:highlight w:val="none"/>
        </w:rPr>
        <w:t>如</w:t>
      </w:r>
      <w:r>
        <w:rPr>
          <w:rFonts w:hint="eastAsia"/>
          <w:sz w:val="21"/>
          <w:szCs w:val="21"/>
          <w:highlight w:val="none"/>
          <w:lang w:eastAsia="zh-CN"/>
        </w:rPr>
        <w:t>确</w:t>
      </w:r>
      <w:r>
        <w:rPr>
          <w:rFonts w:hint="eastAsia"/>
          <w:sz w:val="21"/>
          <w:szCs w:val="21"/>
          <w:highlight w:val="none"/>
        </w:rPr>
        <w:t>需更换，需</w:t>
      </w:r>
      <w:r>
        <w:rPr>
          <w:rFonts w:hint="eastAsia"/>
          <w:sz w:val="21"/>
          <w:szCs w:val="21"/>
          <w:highlight w:val="none"/>
          <w:lang w:eastAsia="zh-CN"/>
        </w:rPr>
        <w:t>经采购人</w:t>
      </w:r>
      <w:r>
        <w:rPr>
          <w:rFonts w:hint="eastAsia"/>
          <w:sz w:val="21"/>
          <w:szCs w:val="21"/>
          <w:highlight w:val="none"/>
        </w:rPr>
        <w:t>审批</w:t>
      </w:r>
      <w:r>
        <w:rPr>
          <w:rFonts w:hint="eastAsia"/>
          <w:sz w:val="21"/>
          <w:szCs w:val="21"/>
          <w:highlight w:val="none"/>
          <w:lang w:eastAsia="zh-CN"/>
        </w:rPr>
        <w:t>同意，且</w:t>
      </w:r>
      <w:r>
        <w:rPr>
          <w:rFonts w:hint="eastAsia"/>
          <w:sz w:val="21"/>
          <w:szCs w:val="21"/>
          <w:highlight w:val="none"/>
        </w:rPr>
        <w:t>替补人员资质不得低于</w:t>
      </w:r>
      <w:r>
        <w:rPr>
          <w:rFonts w:hint="eastAsia"/>
          <w:sz w:val="21"/>
          <w:szCs w:val="21"/>
          <w:highlight w:val="none"/>
          <w:lang w:eastAsia="zh-CN"/>
        </w:rPr>
        <w:t>被替换</w:t>
      </w:r>
      <w:r>
        <w:rPr>
          <w:rFonts w:hint="eastAsia"/>
          <w:sz w:val="21"/>
          <w:szCs w:val="21"/>
          <w:highlight w:val="none"/>
        </w:rPr>
        <w:t>人员</w:t>
      </w:r>
      <w:r>
        <w:rPr>
          <w:rFonts w:hint="eastAsia"/>
          <w:sz w:val="21"/>
          <w:szCs w:val="21"/>
          <w:highlight w:val="none"/>
          <w:lang w:eastAsia="zh-CN"/>
        </w:rPr>
        <w:t>，</w:t>
      </w:r>
      <w:r>
        <w:rPr>
          <w:rFonts w:hint="eastAsia"/>
          <w:sz w:val="21"/>
          <w:szCs w:val="21"/>
          <w:highlight w:val="none"/>
        </w:rPr>
        <w:t>并根据更换人员级别按以下</w:t>
      </w:r>
      <w:r>
        <w:rPr>
          <w:rFonts w:hint="default" w:ascii="Times New Roman" w:hAnsi="Times New Roman" w:cs="Times New Roman"/>
          <w:sz w:val="21"/>
          <w:szCs w:val="21"/>
          <w:highlight w:val="none"/>
        </w:rPr>
        <w:t>金额处罚：总监</w:t>
      </w:r>
      <w:r>
        <w:rPr>
          <w:rFonts w:hint="default" w:ascii="Times New Roman" w:hAnsi="Times New Roman" w:cs="Times New Roman"/>
          <w:sz w:val="21"/>
          <w:szCs w:val="21"/>
          <w:highlight w:val="none"/>
          <w:lang w:val="en-US" w:eastAsia="zh-CN"/>
        </w:rPr>
        <w:t>10</w:t>
      </w:r>
      <w:r>
        <w:rPr>
          <w:rFonts w:hint="default" w:ascii="Times New Roman" w:hAnsi="Times New Roman" w:cs="Times New Roman"/>
          <w:sz w:val="21"/>
          <w:szCs w:val="21"/>
          <w:highlight w:val="none"/>
        </w:rPr>
        <w:t>000元、</w:t>
      </w:r>
      <w:r>
        <w:rPr>
          <w:rFonts w:hint="default" w:ascii="Times New Roman" w:hAnsi="Times New Roman" w:cs="Times New Roman"/>
          <w:sz w:val="21"/>
          <w:szCs w:val="21"/>
          <w:highlight w:val="none"/>
          <w:lang w:eastAsia="zh-CN"/>
        </w:rPr>
        <w:t>注册监理工程师</w:t>
      </w:r>
      <w:r>
        <w:rPr>
          <w:rFonts w:hint="default" w:ascii="Times New Roman" w:hAnsi="Times New Roman" w:cs="Times New Roman"/>
          <w:sz w:val="21"/>
          <w:szCs w:val="21"/>
          <w:highlight w:val="none"/>
          <w:lang w:val="en-US" w:eastAsia="zh-CN"/>
        </w:rPr>
        <w:t>8</w:t>
      </w:r>
      <w:r>
        <w:rPr>
          <w:rFonts w:hint="default" w:ascii="Times New Roman" w:hAnsi="Times New Roman" w:cs="Times New Roman"/>
          <w:sz w:val="21"/>
          <w:szCs w:val="21"/>
          <w:highlight w:val="none"/>
        </w:rPr>
        <w:t>000元</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专</w:t>
      </w:r>
      <w:r>
        <w:rPr>
          <w:rFonts w:hint="default" w:ascii="Times New Roman" w:hAnsi="Times New Roman" w:cs="Times New Roman"/>
          <w:sz w:val="21"/>
          <w:szCs w:val="21"/>
          <w:highlight w:val="none"/>
          <w:lang w:eastAsia="zh-CN"/>
        </w:rPr>
        <w:t>业</w:t>
      </w:r>
      <w:r>
        <w:rPr>
          <w:rFonts w:hint="default" w:ascii="Times New Roman" w:hAnsi="Times New Roman" w:cs="Times New Roman"/>
          <w:sz w:val="21"/>
          <w:szCs w:val="21"/>
          <w:highlight w:val="none"/>
        </w:rPr>
        <w:t>监</w:t>
      </w:r>
      <w:r>
        <w:rPr>
          <w:rFonts w:hint="default" w:ascii="Times New Roman" w:hAnsi="Times New Roman" w:cs="Times New Roman"/>
          <w:sz w:val="21"/>
          <w:szCs w:val="21"/>
          <w:highlight w:val="none"/>
          <w:lang w:eastAsia="zh-CN"/>
        </w:rPr>
        <w:t>理工程师</w:t>
      </w:r>
      <w:r>
        <w:rPr>
          <w:rFonts w:hint="default" w:ascii="Times New Roman" w:hAnsi="Times New Roman" w:cs="Times New Roman"/>
          <w:sz w:val="21"/>
          <w:szCs w:val="21"/>
          <w:highlight w:val="none"/>
          <w:lang w:val="en-US" w:eastAsia="zh-CN"/>
        </w:rPr>
        <w:t>5</w:t>
      </w:r>
      <w:r>
        <w:rPr>
          <w:rFonts w:hint="default" w:ascii="Times New Roman" w:hAnsi="Times New Roman" w:cs="Times New Roman"/>
          <w:sz w:val="21"/>
          <w:szCs w:val="21"/>
          <w:highlight w:val="none"/>
        </w:rPr>
        <w:t>000元、监理员2000元，</w:t>
      </w:r>
      <w:r>
        <w:rPr>
          <w:rFonts w:hint="eastAsia"/>
          <w:sz w:val="21"/>
          <w:szCs w:val="21"/>
          <w:highlight w:val="none"/>
        </w:rPr>
        <w:t>直接从结算款中扣除。</w:t>
      </w:r>
    </w:p>
    <w:p>
      <w:pPr>
        <w:pStyle w:val="6"/>
        <w:keepNext w:val="0"/>
        <w:keepLines w:val="0"/>
        <w:widowControl/>
        <w:spacing w:line="11" w:lineRule="atLeast"/>
        <w:ind w:firstLine="210" w:firstLineChars="100"/>
        <w:rPr>
          <w:rFonts w:hint="eastAsia" w:ascii="宋体" w:hAnsi="宋体" w:cs="宋体"/>
          <w:sz w:val="21"/>
          <w:szCs w:val="21"/>
          <w:highlight w:val="none"/>
        </w:rPr>
      </w:pPr>
      <w:r>
        <w:rPr>
          <w:rStyle w:val="26"/>
          <w:rFonts w:hint="eastAsia" w:ascii="宋体" w:hAnsi="宋体" w:cs="宋体"/>
          <w:b w:val="0"/>
          <w:sz w:val="21"/>
          <w:szCs w:val="21"/>
          <w:highlight w:val="none"/>
          <w:lang w:eastAsia="zh-CN"/>
        </w:rPr>
        <w:t>三</w:t>
      </w:r>
      <w:r>
        <w:rPr>
          <w:rStyle w:val="26"/>
          <w:rFonts w:hint="eastAsia" w:ascii="宋体" w:hAnsi="宋体" w:cs="宋体"/>
          <w:b w:val="0"/>
          <w:sz w:val="21"/>
          <w:szCs w:val="21"/>
          <w:highlight w:val="none"/>
        </w:rPr>
        <w:t>、配备工具</w:t>
      </w:r>
    </w:p>
    <w:p>
      <w:pPr>
        <w:pStyle w:val="19"/>
        <w:spacing w:before="0" w:beforeAutospacing="0" w:after="30" w:afterAutospacing="0"/>
        <w:ind w:firstLine="420" w:firstLineChars="200"/>
        <w:rPr>
          <w:rFonts w:hint="eastAsia"/>
          <w:sz w:val="21"/>
          <w:szCs w:val="21"/>
          <w:highlight w:val="none"/>
          <w:lang w:eastAsia="zh-CN"/>
        </w:rPr>
      </w:pPr>
      <w:r>
        <w:rPr>
          <w:rFonts w:hint="eastAsia"/>
          <w:sz w:val="21"/>
          <w:szCs w:val="21"/>
          <w:highlight w:val="none"/>
          <w:lang w:eastAsia="zh-CN"/>
        </w:rPr>
        <w:t>根据工作</w:t>
      </w:r>
      <w:r>
        <w:rPr>
          <w:rFonts w:hint="eastAsia"/>
          <w:sz w:val="21"/>
          <w:szCs w:val="21"/>
          <w:highlight w:val="none"/>
        </w:rPr>
        <w:t>需要，</w:t>
      </w:r>
      <w:r>
        <w:rPr>
          <w:rFonts w:hint="eastAsia"/>
          <w:sz w:val="21"/>
          <w:szCs w:val="21"/>
          <w:highlight w:val="none"/>
          <w:lang w:eastAsia="zh-CN"/>
        </w:rPr>
        <w:t>受托人不得拒绝</w:t>
      </w:r>
      <w:r>
        <w:rPr>
          <w:rFonts w:hint="eastAsia"/>
          <w:sz w:val="21"/>
          <w:szCs w:val="21"/>
          <w:highlight w:val="none"/>
        </w:rPr>
        <w:t>配备</w:t>
      </w:r>
      <w:r>
        <w:rPr>
          <w:rFonts w:hint="eastAsia"/>
          <w:sz w:val="21"/>
          <w:szCs w:val="21"/>
          <w:highlight w:val="none"/>
          <w:lang w:eastAsia="zh-CN"/>
        </w:rPr>
        <w:t>工程管理</w:t>
      </w:r>
      <w:r>
        <w:rPr>
          <w:rFonts w:hint="eastAsia"/>
          <w:sz w:val="21"/>
          <w:szCs w:val="21"/>
          <w:highlight w:val="none"/>
        </w:rPr>
        <w:t>必要的工具和设备</w:t>
      </w:r>
      <w:r>
        <w:rPr>
          <w:rFonts w:hint="eastAsia"/>
          <w:sz w:val="21"/>
          <w:szCs w:val="21"/>
          <w:highlight w:val="none"/>
          <w:lang w:eastAsia="zh-CN"/>
        </w:rPr>
        <w:t>。</w:t>
      </w:r>
    </w:p>
    <w:p>
      <w:pPr>
        <w:pStyle w:val="19"/>
        <w:spacing w:before="0" w:beforeAutospacing="0" w:after="30" w:afterAutospacing="0"/>
        <w:ind w:firstLine="422" w:firstLineChars="200"/>
        <w:rPr>
          <w:rFonts w:hint="eastAsia"/>
          <w:sz w:val="21"/>
          <w:szCs w:val="21"/>
          <w:highlight w:val="none"/>
        </w:rPr>
      </w:pPr>
      <w:r>
        <w:rPr>
          <w:rStyle w:val="26"/>
          <w:rFonts w:hint="eastAsia"/>
          <w:sz w:val="21"/>
          <w:szCs w:val="21"/>
          <w:highlight w:val="none"/>
        </w:rPr>
        <w:t>1.办公设备</w:t>
      </w:r>
      <w:r>
        <w:rPr>
          <w:rFonts w:hint="eastAsia"/>
          <w:sz w:val="21"/>
          <w:szCs w:val="21"/>
          <w:highlight w:val="none"/>
        </w:rPr>
        <w:t>：</w:t>
      </w:r>
    </w:p>
    <w:p>
      <w:pPr>
        <w:pStyle w:val="19"/>
        <w:spacing w:before="0" w:beforeAutospacing="0" w:after="0" w:afterAutospacing="0"/>
        <w:ind w:left="840" w:leftChars="400" w:firstLine="0" w:firstLineChars="0"/>
        <w:rPr>
          <w:rFonts w:hint="default" w:ascii="Times New Roman" w:hAnsi="Times New Roman" w:cs="Times New Roman"/>
          <w:sz w:val="21"/>
          <w:szCs w:val="21"/>
          <w:highlight w:val="none"/>
        </w:rPr>
      </w:pPr>
      <w:r>
        <w:rPr>
          <w:rFonts w:hint="eastAsia"/>
          <w:sz w:val="21"/>
          <w:szCs w:val="21"/>
          <w:highlight w:val="none"/>
          <w:lang w:eastAsia="zh-CN"/>
        </w:rPr>
        <w:t>受托人</w:t>
      </w:r>
      <w:r>
        <w:rPr>
          <w:rFonts w:hint="eastAsia"/>
          <w:sz w:val="21"/>
          <w:szCs w:val="21"/>
          <w:highlight w:val="none"/>
        </w:rPr>
        <w:t>需配</w:t>
      </w:r>
      <w:r>
        <w:rPr>
          <w:rFonts w:hint="default" w:ascii="Times New Roman" w:hAnsi="Times New Roman" w:cs="Times New Roman"/>
          <w:sz w:val="21"/>
          <w:szCs w:val="21"/>
          <w:highlight w:val="none"/>
        </w:rPr>
        <w:t>备足够的</w:t>
      </w:r>
      <w:r>
        <w:rPr>
          <w:rFonts w:hint="default" w:ascii="Times New Roman" w:hAnsi="Times New Roman" w:cs="Times New Roman"/>
          <w:sz w:val="21"/>
          <w:szCs w:val="21"/>
          <w:highlight w:val="none"/>
          <w:lang w:eastAsia="zh-CN"/>
        </w:rPr>
        <w:t>专用</w:t>
      </w:r>
      <w:r>
        <w:rPr>
          <w:rFonts w:hint="default" w:ascii="Times New Roman" w:hAnsi="Times New Roman" w:cs="Times New Roman"/>
          <w:sz w:val="21"/>
          <w:szCs w:val="21"/>
          <w:highlight w:val="none"/>
        </w:rPr>
        <w:t>办公设备</w:t>
      </w:r>
      <w:r>
        <w:rPr>
          <w:rFonts w:hint="default" w:ascii="Times New Roman" w:hAnsi="Times New Roman" w:cs="Times New Roman"/>
          <w:sz w:val="21"/>
          <w:szCs w:val="21"/>
          <w:highlight w:val="none"/>
          <w:lang w:eastAsia="zh-CN"/>
        </w:rPr>
        <w:t>处理项目资料</w:t>
      </w:r>
      <w:r>
        <w:rPr>
          <w:rFonts w:hint="default" w:ascii="Times New Roman" w:hAnsi="Times New Roman" w:cs="Times New Roman"/>
          <w:sz w:val="21"/>
          <w:szCs w:val="21"/>
          <w:highlight w:val="none"/>
        </w:rPr>
        <w:t>，包括但不限于电脑、打印机、复印机、</w:t>
      </w:r>
      <w:r>
        <w:rPr>
          <w:rFonts w:hint="default" w:ascii="Times New Roman" w:hAnsi="Times New Roman" w:cs="Times New Roman"/>
          <w:sz w:val="21"/>
          <w:szCs w:val="21"/>
          <w:highlight w:val="none"/>
          <w:lang w:eastAsia="zh-CN"/>
        </w:rPr>
        <w:t>摄像设备</w:t>
      </w:r>
      <w:r>
        <w:rPr>
          <w:rFonts w:hint="default" w:ascii="Times New Roman" w:hAnsi="Times New Roman" w:cs="Times New Roman"/>
          <w:sz w:val="21"/>
          <w:szCs w:val="21"/>
          <w:highlight w:val="none"/>
        </w:rPr>
        <w:t>等</w:t>
      </w:r>
      <w:r>
        <w:rPr>
          <w:rFonts w:hint="default" w:ascii="Times New Roman" w:hAnsi="Times New Roman" w:cs="Times New Roman"/>
          <w:sz w:val="21"/>
          <w:szCs w:val="21"/>
          <w:highlight w:val="none"/>
          <w:lang w:eastAsia="zh-CN"/>
        </w:rPr>
        <w:t>（未配备齐全按合同要求处罚）</w:t>
      </w:r>
      <w:r>
        <w:rPr>
          <w:rFonts w:hint="default" w:ascii="Times New Roman" w:hAnsi="Times New Roman" w:cs="Times New Roman"/>
          <w:sz w:val="21"/>
          <w:szCs w:val="21"/>
          <w:highlight w:val="none"/>
        </w:rPr>
        <w:t>。</w:t>
      </w:r>
    </w:p>
    <w:p>
      <w:pPr>
        <w:pStyle w:val="19"/>
        <w:spacing w:before="0" w:beforeAutospacing="0" w:after="30" w:afterAutospacing="0"/>
        <w:ind w:firstLine="422" w:firstLineChars="200"/>
        <w:rPr>
          <w:rFonts w:hint="default" w:ascii="Times New Roman" w:hAnsi="Times New Roman" w:cs="Times New Roman"/>
          <w:sz w:val="21"/>
          <w:szCs w:val="21"/>
          <w:highlight w:val="none"/>
        </w:rPr>
      </w:pPr>
      <w:r>
        <w:rPr>
          <w:rStyle w:val="26"/>
          <w:rFonts w:hint="default" w:ascii="Times New Roman" w:hAnsi="Times New Roman" w:cs="Times New Roman"/>
          <w:sz w:val="21"/>
          <w:szCs w:val="21"/>
          <w:highlight w:val="none"/>
        </w:rPr>
        <w:t>2.检测工具</w:t>
      </w:r>
      <w:r>
        <w:rPr>
          <w:rFonts w:hint="default" w:ascii="Times New Roman" w:hAnsi="Times New Roman" w:cs="Times New Roman"/>
          <w:sz w:val="21"/>
          <w:szCs w:val="21"/>
          <w:highlight w:val="none"/>
        </w:rPr>
        <w:t>：</w:t>
      </w:r>
    </w:p>
    <w:p>
      <w:pPr>
        <w:pStyle w:val="19"/>
        <w:spacing w:before="0" w:beforeAutospacing="0" w:after="0" w:afterAutospacing="0"/>
        <w:ind w:left="840" w:leftChars="400"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eastAsia="zh-CN"/>
        </w:rPr>
        <w:t>受托人</w:t>
      </w:r>
      <w:r>
        <w:rPr>
          <w:rFonts w:hint="default" w:ascii="Times New Roman" w:hAnsi="Times New Roman" w:cs="Times New Roman"/>
          <w:sz w:val="21"/>
          <w:szCs w:val="21"/>
          <w:highlight w:val="none"/>
        </w:rPr>
        <w:t>需配备必要的检测工具，如卷尺、游标卡尺、鼓锤、靠尺等，以确保工程质量检测的准确性</w:t>
      </w:r>
      <w:r>
        <w:rPr>
          <w:rFonts w:hint="default" w:ascii="Times New Roman" w:hAnsi="Times New Roman" w:cs="Times New Roman"/>
          <w:sz w:val="21"/>
          <w:szCs w:val="21"/>
          <w:highlight w:val="none"/>
          <w:lang w:eastAsia="zh-CN"/>
        </w:rPr>
        <w:t>（未配备齐全按合同要求处罚）</w:t>
      </w:r>
      <w:r>
        <w:rPr>
          <w:rFonts w:hint="default" w:ascii="Times New Roman" w:hAnsi="Times New Roman" w:cs="Times New Roman"/>
          <w:sz w:val="21"/>
          <w:szCs w:val="21"/>
          <w:highlight w:val="none"/>
        </w:rPr>
        <w:t>。</w:t>
      </w:r>
    </w:p>
    <w:p>
      <w:pPr>
        <w:pStyle w:val="6"/>
        <w:keepNext w:val="0"/>
        <w:keepLines w:val="0"/>
        <w:widowControl/>
        <w:spacing w:line="11" w:lineRule="atLeast"/>
        <w:ind w:firstLine="420" w:firstLineChars="200"/>
        <w:rPr>
          <w:rFonts w:hint="default" w:ascii="Times New Roman" w:hAnsi="Times New Roman" w:cs="Times New Roman"/>
          <w:sz w:val="21"/>
          <w:szCs w:val="21"/>
        </w:rPr>
      </w:pPr>
      <w:r>
        <w:rPr>
          <w:rStyle w:val="26"/>
          <w:rFonts w:hint="eastAsia" w:ascii="Times New Roman" w:hAnsi="Times New Roman" w:cs="Times New Roman"/>
          <w:b w:val="0"/>
          <w:sz w:val="21"/>
          <w:szCs w:val="21"/>
          <w:lang w:eastAsia="zh-CN"/>
        </w:rPr>
        <w:t>四</w:t>
      </w:r>
      <w:r>
        <w:rPr>
          <w:rStyle w:val="26"/>
          <w:rFonts w:hint="default" w:ascii="Times New Roman" w:hAnsi="Times New Roman" w:cs="Times New Roman"/>
          <w:b w:val="0"/>
          <w:sz w:val="21"/>
          <w:szCs w:val="21"/>
        </w:rPr>
        <w:t>、付款方式</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left"/>
        <w:textAlignment w:val="auto"/>
        <w:rPr>
          <w:rFonts w:hint="default" w:ascii="Times New Roman" w:hAnsi="Times New Roman" w:eastAsia="宋体" w:cs="Times New Roman"/>
          <w:b w:val="0"/>
          <w:bCs w:val="0"/>
          <w:kern w:val="0"/>
          <w:sz w:val="21"/>
          <w:szCs w:val="21"/>
          <w:highlight w:val="none"/>
          <w:lang w:val="en-US" w:eastAsia="zh-CN" w:bidi="ar-SA"/>
        </w:rPr>
      </w:pPr>
      <w:r>
        <w:rPr>
          <w:rFonts w:hint="default" w:ascii="Times New Roman" w:hAnsi="Times New Roman" w:eastAsia="宋体" w:cs="Times New Roman"/>
          <w:b w:val="0"/>
          <w:bCs w:val="0"/>
          <w:kern w:val="0"/>
          <w:sz w:val="21"/>
          <w:szCs w:val="21"/>
          <w:highlight w:val="none"/>
          <w:lang w:val="en-US" w:eastAsia="zh-CN" w:bidi="ar-SA"/>
        </w:rPr>
        <w:t>第一次：施工形象进度达到50%时，</w:t>
      </w:r>
      <w:r>
        <w:rPr>
          <w:rFonts w:hint="eastAsia" w:ascii="Times New Roman" w:hAnsi="Times New Roman" w:eastAsia="宋体" w:cs="Times New Roman"/>
          <w:b w:val="0"/>
          <w:bCs w:val="0"/>
          <w:kern w:val="0"/>
          <w:sz w:val="21"/>
          <w:szCs w:val="21"/>
          <w:highlight w:val="none"/>
          <w:lang w:val="en-US" w:eastAsia="zh-CN" w:bidi="ar-SA"/>
        </w:rPr>
        <w:t>且未发生安全文明事故，</w:t>
      </w:r>
      <w:r>
        <w:rPr>
          <w:rFonts w:hint="default" w:ascii="Times New Roman" w:hAnsi="Times New Roman" w:eastAsia="宋体" w:cs="Times New Roman"/>
          <w:b w:val="0"/>
          <w:bCs w:val="0"/>
          <w:kern w:val="0"/>
          <w:sz w:val="21"/>
          <w:szCs w:val="21"/>
          <w:highlight w:val="none"/>
          <w:lang w:val="en-US" w:eastAsia="zh-CN" w:bidi="ar-SA"/>
        </w:rPr>
        <w:t>受托人可以提出请款申请并提交完整请款资料后10个工作日内，委托人支付合同总金额的40%作为第一笔进度款。</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left"/>
        <w:textAlignment w:val="auto"/>
        <w:rPr>
          <w:rFonts w:hint="default" w:ascii="Times New Roman" w:hAnsi="Times New Roman" w:eastAsia="宋体" w:cs="Times New Roman"/>
          <w:b w:val="0"/>
          <w:bCs w:val="0"/>
          <w:kern w:val="0"/>
          <w:sz w:val="21"/>
          <w:szCs w:val="21"/>
          <w:highlight w:val="none"/>
          <w:lang w:val="en-US" w:eastAsia="zh-CN" w:bidi="ar-SA"/>
        </w:rPr>
      </w:pPr>
      <w:r>
        <w:rPr>
          <w:rFonts w:hint="default" w:ascii="Times New Roman" w:hAnsi="Times New Roman" w:eastAsia="宋体" w:cs="Times New Roman"/>
          <w:b w:val="0"/>
          <w:bCs w:val="0"/>
          <w:kern w:val="0"/>
          <w:sz w:val="21"/>
          <w:szCs w:val="21"/>
          <w:highlight w:val="none"/>
          <w:lang w:val="en-US" w:eastAsia="zh-CN" w:bidi="ar-SA"/>
        </w:rPr>
        <w:t>第二次：项目完成竣工验收，且未发生安全文明事故，项目</w:t>
      </w:r>
      <w:r>
        <w:rPr>
          <w:rFonts w:hint="eastAsia" w:ascii="Times New Roman" w:hAnsi="Times New Roman" w:cs="Times New Roman"/>
          <w:b w:val="0"/>
          <w:bCs w:val="0"/>
          <w:kern w:val="0"/>
          <w:sz w:val="21"/>
          <w:szCs w:val="21"/>
          <w:highlight w:val="none"/>
          <w:lang w:val="en-US" w:eastAsia="zh-CN" w:bidi="ar-SA"/>
        </w:rPr>
        <w:t>监理合同</w:t>
      </w:r>
      <w:r>
        <w:rPr>
          <w:rFonts w:hint="default" w:ascii="Times New Roman" w:hAnsi="Times New Roman" w:eastAsia="宋体" w:cs="Times New Roman"/>
          <w:b w:val="0"/>
          <w:bCs w:val="0"/>
          <w:kern w:val="0"/>
          <w:sz w:val="21"/>
          <w:szCs w:val="21"/>
          <w:highlight w:val="none"/>
          <w:lang w:val="en-US" w:eastAsia="zh-CN" w:bidi="ar-SA"/>
        </w:rPr>
        <w:t>取得第三方审核报告后，</w:t>
      </w:r>
      <w:r>
        <w:rPr>
          <w:rFonts w:hint="eastAsia" w:ascii="Times New Roman" w:hAnsi="Times New Roman" w:cs="Times New Roman"/>
          <w:b w:val="0"/>
          <w:bCs w:val="0"/>
          <w:kern w:val="0"/>
          <w:sz w:val="21"/>
          <w:szCs w:val="21"/>
          <w:highlight w:val="none"/>
          <w:lang w:val="en-US" w:eastAsia="zh-CN" w:bidi="ar-SA"/>
        </w:rPr>
        <w:t>按照第三方的审核价，</w:t>
      </w:r>
      <w:r>
        <w:rPr>
          <w:rFonts w:hint="default" w:ascii="Times New Roman" w:hAnsi="Times New Roman" w:eastAsia="宋体" w:cs="Times New Roman"/>
          <w:b w:val="0"/>
          <w:bCs w:val="0"/>
          <w:kern w:val="0"/>
          <w:sz w:val="21"/>
          <w:szCs w:val="21"/>
          <w:highlight w:val="none"/>
          <w:lang w:val="en-US" w:eastAsia="zh-CN" w:bidi="ar-SA"/>
        </w:rPr>
        <w:t>受托人提出申请并提交完整请款资料后15日内，委托人支付全部剩余尾款。</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left"/>
        <w:textAlignment w:val="auto"/>
        <w:rPr>
          <w:rFonts w:hint="default" w:ascii="Times New Roman" w:hAnsi="Times New Roman" w:eastAsia="宋体" w:cs="Times New Roman"/>
          <w:b w:val="0"/>
          <w:bCs w:val="0"/>
          <w:kern w:val="0"/>
          <w:sz w:val="21"/>
          <w:szCs w:val="21"/>
          <w:highlight w:val="none"/>
          <w:lang w:val="en-US" w:eastAsia="zh-CN" w:bidi="ar-SA"/>
        </w:rPr>
      </w:pPr>
      <w:r>
        <w:rPr>
          <w:rFonts w:hint="default" w:ascii="Times New Roman" w:hAnsi="Times New Roman" w:eastAsia="宋体" w:cs="Times New Roman"/>
          <w:b w:val="0"/>
          <w:bCs w:val="0"/>
          <w:kern w:val="0"/>
          <w:sz w:val="21"/>
          <w:szCs w:val="21"/>
          <w:highlight w:val="none"/>
          <w:lang w:val="en-US" w:eastAsia="zh-CN" w:bidi="ar-SA"/>
        </w:rPr>
        <w:t>付款方式：委托人将通过银行转账方式支付款项，受托人应在合同中明确收款账户信息，如有账户变更，需提前15个工作日书面向委托人提出变更申请。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jc w:val="left"/>
        <w:textAlignment w:val="auto"/>
        <w:rPr>
          <w:rFonts w:hint="eastAsia" w:ascii="宋体" w:hAnsi="宋体" w:eastAsia="宋体" w:cs="宋体"/>
          <w:b w:val="0"/>
          <w:bCs w:val="0"/>
          <w:kern w:val="0"/>
          <w:sz w:val="21"/>
          <w:szCs w:val="21"/>
          <w:highlight w:val="red"/>
          <w:lang w:val="en-US" w:eastAsia="zh-CN" w:bidi="ar-SA"/>
        </w:rPr>
      </w:pPr>
      <w:r>
        <w:rPr>
          <w:rFonts w:hint="default" w:ascii="Times New Roman" w:hAnsi="Times New Roman" w:eastAsia="宋体" w:cs="Times New Roman"/>
          <w:b w:val="0"/>
          <w:bCs w:val="0"/>
          <w:kern w:val="0"/>
          <w:sz w:val="21"/>
          <w:szCs w:val="21"/>
          <w:highlight w:val="none"/>
          <w:lang w:val="en-US" w:eastAsia="zh-CN" w:bidi="ar-SA"/>
        </w:rPr>
        <w:t>如因发改、财政未下达投资计划造成未能及时支付的，不视为委托人违约。</w:t>
      </w:r>
    </w:p>
    <w:p>
      <w:pPr>
        <w:pStyle w:val="6"/>
        <w:keepNext w:val="0"/>
        <w:keepLines w:val="0"/>
        <w:widowControl/>
        <w:spacing w:line="11" w:lineRule="atLeast"/>
        <w:rPr>
          <w:rFonts w:hint="eastAsia" w:ascii="宋体" w:hAnsi="宋体" w:cs="宋体"/>
          <w:sz w:val="21"/>
          <w:szCs w:val="21"/>
        </w:rPr>
      </w:pPr>
      <w:r>
        <w:rPr>
          <w:rStyle w:val="26"/>
          <w:rFonts w:hint="eastAsia" w:ascii="宋体" w:hAnsi="宋体" w:cs="宋体"/>
          <w:b w:val="0"/>
          <w:sz w:val="21"/>
          <w:szCs w:val="21"/>
        </w:rPr>
        <w:t>六、验收条件</w:t>
      </w:r>
    </w:p>
    <w:p>
      <w:pPr>
        <w:pStyle w:val="19"/>
        <w:spacing w:before="0" w:beforeAutospacing="0" w:after="30" w:afterAutospacing="0"/>
        <w:ind w:firstLine="422" w:firstLineChars="200"/>
        <w:rPr>
          <w:rFonts w:hint="eastAsia"/>
          <w:sz w:val="21"/>
          <w:szCs w:val="21"/>
        </w:rPr>
      </w:pPr>
      <w:r>
        <w:rPr>
          <w:rStyle w:val="26"/>
          <w:rFonts w:hint="eastAsia"/>
          <w:sz w:val="21"/>
          <w:szCs w:val="21"/>
        </w:rPr>
        <w:t>1.验收标准</w:t>
      </w:r>
      <w:r>
        <w:rPr>
          <w:rFonts w:hint="eastAsia"/>
          <w:sz w:val="21"/>
          <w:szCs w:val="21"/>
        </w:rPr>
        <w:t>：</w:t>
      </w:r>
    </w:p>
    <w:p>
      <w:pPr>
        <w:pStyle w:val="19"/>
        <w:spacing w:before="0" w:beforeAutospacing="0" w:after="0" w:afterAutospacing="0"/>
        <w:ind w:firstLine="792" w:firstLineChars="400"/>
        <w:rPr>
          <w:rFonts w:hint="eastAsia"/>
          <w:spacing w:val="-6"/>
          <w:sz w:val="21"/>
          <w:szCs w:val="21"/>
        </w:rPr>
      </w:pPr>
      <w:r>
        <w:rPr>
          <w:rFonts w:hint="eastAsia"/>
          <w:spacing w:val="-6"/>
          <w:sz w:val="21"/>
          <w:szCs w:val="21"/>
        </w:rPr>
        <w:t>监理工作需符合国家、行业及地方相关标准、规范，以及招标文件和合同约定。</w:t>
      </w:r>
    </w:p>
    <w:p>
      <w:pPr>
        <w:pStyle w:val="19"/>
        <w:spacing w:before="0" w:beforeAutospacing="0" w:after="0" w:afterAutospacing="0"/>
        <w:ind w:firstLine="792" w:firstLineChars="400"/>
        <w:rPr>
          <w:rFonts w:hint="eastAsia"/>
          <w:spacing w:val="-6"/>
          <w:sz w:val="21"/>
          <w:szCs w:val="21"/>
        </w:rPr>
      </w:pPr>
      <w:r>
        <w:rPr>
          <w:rFonts w:hint="eastAsia"/>
          <w:spacing w:val="-6"/>
          <w:sz w:val="21"/>
          <w:szCs w:val="21"/>
          <w:lang w:eastAsia="zh-CN"/>
        </w:rPr>
        <w:t>受托人</w:t>
      </w:r>
      <w:r>
        <w:rPr>
          <w:rFonts w:hint="eastAsia"/>
          <w:spacing w:val="-6"/>
          <w:sz w:val="21"/>
          <w:szCs w:val="21"/>
        </w:rPr>
        <w:t>需提交完整的监理资料，包括监理日志、月报、验收记录、竣工资料等。</w:t>
      </w:r>
    </w:p>
    <w:p>
      <w:pPr>
        <w:pStyle w:val="19"/>
        <w:spacing w:before="0" w:beforeAutospacing="0" w:after="30" w:afterAutospacing="0"/>
        <w:ind w:firstLine="422" w:firstLineChars="200"/>
        <w:rPr>
          <w:rFonts w:hint="eastAsia"/>
          <w:sz w:val="21"/>
          <w:szCs w:val="21"/>
        </w:rPr>
      </w:pPr>
      <w:r>
        <w:rPr>
          <w:rStyle w:val="26"/>
          <w:rFonts w:hint="eastAsia"/>
          <w:sz w:val="21"/>
          <w:szCs w:val="21"/>
        </w:rPr>
        <w:t>2.验收程序</w:t>
      </w:r>
      <w:r>
        <w:rPr>
          <w:rFonts w:hint="eastAsia"/>
          <w:sz w:val="21"/>
          <w:szCs w:val="21"/>
        </w:rPr>
        <w:t>：</w:t>
      </w:r>
    </w:p>
    <w:p>
      <w:pPr>
        <w:pStyle w:val="19"/>
        <w:spacing w:before="0" w:beforeAutospacing="0" w:after="0" w:afterAutospacing="0"/>
        <w:ind w:left="840" w:leftChars="400" w:firstLine="0" w:firstLineChars="0"/>
        <w:rPr>
          <w:rFonts w:hint="eastAsia"/>
          <w:sz w:val="21"/>
          <w:szCs w:val="21"/>
        </w:rPr>
      </w:pPr>
      <w:r>
        <w:rPr>
          <w:rFonts w:hint="eastAsia"/>
          <w:sz w:val="21"/>
          <w:szCs w:val="21"/>
        </w:rPr>
        <w:t>阶段性验收：在工程施工的关键节点（如隐蔽工程、分部分项工程）完成后，</w:t>
      </w:r>
      <w:r>
        <w:rPr>
          <w:rFonts w:hint="eastAsia"/>
          <w:sz w:val="21"/>
          <w:szCs w:val="21"/>
          <w:lang w:eastAsia="zh-CN"/>
        </w:rPr>
        <w:t>受托人</w:t>
      </w:r>
      <w:r>
        <w:rPr>
          <w:rFonts w:hint="eastAsia"/>
          <w:sz w:val="21"/>
          <w:szCs w:val="21"/>
        </w:rPr>
        <w:t>需组织验收并签署验收意见。</w:t>
      </w:r>
    </w:p>
    <w:p>
      <w:pPr>
        <w:pStyle w:val="19"/>
        <w:spacing w:before="0" w:beforeAutospacing="0" w:after="0" w:afterAutospacing="0"/>
        <w:ind w:left="840" w:leftChars="400" w:firstLine="0" w:firstLineChars="0"/>
        <w:rPr>
          <w:rFonts w:hint="eastAsia"/>
          <w:sz w:val="21"/>
          <w:szCs w:val="21"/>
        </w:rPr>
      </w:pPr>
      <w:r>
        <w:rPr>
          <w:rFonts w:hint="eastAsia"/>
          <w:sz w:val="21"/>
          <w:szCs w:val="21"/>
        </w:rPr>
        <w:t>竣工验收：工程完工后，</w:t>
      </w:r>
      <w:r>
        <w:rPr>
          <w:rFonts w:hint="eastAsia"/>
          <w:sz w:val="21"/>
          <w:szCs w:val="21"/>
          <w:lang w:eastAsia="zh-CN"/>
        </w:rPr>
        <w:t>受托人</w:t>
      </w:r>
      <w:r>
        <w:rPr>
          <w:rFonts w:hint="eastAsia"/>
          <w:sz w:val="21"/>
          <w:szCs w:val="21"/>
        </w:rPr>
        <w:t>需参与竣工验收，并对工程质量、资料完整性等提出评估意见。</w:t>
      </w:r>
    </w:p>
    <w:p>
      <w:pPr>
        <w:pStyle w:val="19"/>
        <w:spacing w:before="0" w:beforeAutospacing="0" w:after="30" w:afterAutospacing="0"/>
        <w:ind w:firstLine="422" w:firstLineChars="200"/>
        <w:rPr>
          <w:rFonts w:hint="eastAsia"/>
          <w:sz w:val="21"/>
          <w:szCs w:val="21"/>
        </w:rPr>
      </w:pPr>
      <w:r>
        <w:rPr>
          <w:rStyle w:val="26"/>
          <w:rFonts w:hint="eastAsia"/>
          <w:sz w:val="21"/>
          <w:szCs w:val="21"/>
        </w:rPr>
        <w:t>3.验收结果</w:t>
      </w:r>
      <w:r>
        <w:rPr>
          <w:rFonts w:hint="eastAsia"/>
          <w:sz w:val="21"/>
          <w:szCs w:val="21"/>
        </w:rPr>
        <w:t>：</w:t>
      </w:r>
    </w:p>
    <w:p>
      <w:pPr>
        <w:pStyle w:val="19"/>
        <w:spacing w:before="0" w:beforeAutospacing="0" w:after="0" w:afterAutospacing="0"/>
        <w:ind w:firstLine="840" w:firstLineChars="400"/>
        <w:rPr>
          <w:rFonts w:hint="eastAsia"/>
          <w:sz w:val="21"/>
          <w:szCs w:val="21"/>
        </w:rPr>
      </w:pPr>
      <w:r>
        <w:rPr>
          <w:rFonts w:hint="eastAsia"/>
          <w:sz w:val="21"/>
          <w:szCs w:val="21"/>
        </w:rPr>
        <w:t>验收合格后，参建各方签署竣工验收证书。</w:t>
      </w:r>
    </w:p>
    <w:p>
      <w:pPr>
        <w:pStyle w:val="19"/>
        <w:spacing w:before="0" w:beforeAutospacing="0" w:after="0" w:afterAutospacing="0"/>
        <w:ind w:firstLine="840" w:firstLineChars="400"/>
        <w:rPr>
          <w:rFonts w:hint="eastAsia"/>
          <w:sz w:val="21"/>
          <w:szCs w:val="21"/>
        </w:rPr>
      </w:pPr>
      <w:r>
        <w:rPr>
          <w:rFonts w:hint="eastAsia"/>
          <w:sz w:val="21"/>
          <w:szCs w:val="21"/>
        </w:rPr>
        <w:t>如验收不合格，</w:t>
      </w:r>
      <w:r>
        <w:rPr>
          <w:rFonts w:hint="eastAsia"/>
          <w:sz w:val="21"/>
          <w:szCs w:val="21"/>
          <w:lang w:eastAsia="zh-CN"/>
        </w:rPr>
        <w:t>受托人</w:t>
      </w:r>
      <w:r>
        <w:rPr>
          <w:rFonts w:hint="eastAsia"/>
          <w:sz w:val="21"/>
          <w:szCs w:val="21"/>
        </w:rPr>
        <w:t>需提出整改意见，并在整改完成后重新组织验收。</w:t>
      </w:r>
    </w:p>
    <w:p>
      <w:pPr>
        <w:pStyle w:val="6"/>
        <w:keepNext w:val="0"/>
        <w:keepLines w:val="0"/>
        <w:widowControl/>
        <w:spacing w:line="11" w:lineRule="atLeast"/>
        <w:rPr>
          <w:rFonts w:hint="eastAsia" w:ascii="宋体" w:hAnsi="宋体" w:cs="宋体"/>
          <w:sz w:val="21"/>
          <w:szCs w:val="21"/>
        </w:rPr>
      </w:pPr>
      <w:r>
        <w:rPr>
          <w:rStyle w:val="26"/>
          <w:rFonts w:hint="eastAsia" w:ascii="宋体" w:hAnsi="宋体" w:cs="宋体"/>
          <w:b w:val="0"/>
          <w:sz w:val="21"/>
          <w:szCs w:val="21"/>
        </w:rPr>
        <w:t>七、违约责任</w:t>
      </w:r>
    </w:p>
    <w:p>
      <w:pPr>
        <w:pStyle w:val="19"/>
        <w:spacing w:before="0" w:beforeAutospacing="0" w:after="30" w:afterAutospacing="0"/>
        <w:ind w:firstLine="422" w:firstLineChars="200"/>
        <w:rPr>
          <w:rFonts w:hint="eastAsia"/>
          <w:sz w:val="21"/>
          <w:szCs w:val="21"/>
        </w:rPr>
      </w:pPr>
      <w:r>
        <w:rPr>
          <w:rStyle w:val="26"/>
          <w:rFonts w:hint="eastAsia"/>
          <w:sz w:val="21"/>
          <w:szCs w:val="21"/>
        </w:rPr>
        <w:t>1.</w:t>
      </w:r>
      <w:r>
        <w:rPr>
          <w:rStyle w:val="26"/>
          <w:rFonts w:hint="eastAsia"/>
          <w:sz w:val="21"/>
          <w:szCs w:val="21"/>
          <w:lang w:eastAsia="zh-CN"/>
        </w:rPr>
        <w:t>受托人</w:t>
      </w:r>
      <w:r>
        <w:rPr>
          <w:rStyle w:val="26"/>
          <w:rFonts w:hint="eastAsia"/>
          <w:sz w:val="21"/>
          <w:szCs w:val="21"/>
        </w:rPr>
        <w:t>违约责任</w:t>
      </w:r>
      <w:r>
        <w:rPr>
          <w:rFonts w:hint="eastAsia"/>
          <w:sz w:val="21"/>
          <w:szCs w:val="21"/>
        </w:rPr>
        <w:t>：</w:t>
      </w:r>
    </w:p>
    <w:p>
      <w:pPr>
        <w:pStyle w:val="19"/>
        <w:spacing w:before="0" w:beforeAutospacing="0" w:after="0" w:afterAutospacing="0"/>
        <w:ind w:left="840" w:leftChars="400" w:firstLine="0" w:firstLineChars="0"/>
        <w:rPr>
          <w:rFonts w:hint="default" w:ascii="Times New Roman" w:hAnsi="Times New Roman" w:cs="Times New Roman"/>
          <w:sz w:val="21"/>
          <w:szCs w:val="21"/>
        </w:rPr>
      </w:pPr>
      <w:r>
        <w:rPr>
          <w:rFonts w:hint="eastAsia"/>
          <w:sz w:val="21"/>
          <w:szCs w:val="21"/>
        </w:rPr>
        <w:t>如</w:t>
      </w:r>
      <w:r>
        <w:rPr>
          <w:rFonts w:hint="eastAsia"/>
          <w:sz w:val="21"/>
          <w:szCs w:val="21"/>
          <w:lang w:eastAsia="zh-CN"/>
        </w:rPr>
        <w:t>受托人</w:t>
      </w:r>
      <w:r>
        <w:rPr>
          <w:rFonts w:hint="eastAsia"/>
          <w:sz w:val="21"/>
          <w:szCs w:val="21"/>
        </w:rPr>
        <w:t>未按</w:t>
      </w:r>
      <w:r>
        <w:rPr>
          <w:rFonts w:hint="default" w:ascii="Times New Roman" w:hAnsi="Times New Roman" w:cs="Times New Roman"/>
          <w:sz w:val="21"/>
          <w:szCs w:val="21"/>
        </w:rPr>
        <w:t>合同约定履行义务，或监理工作存在重大失误导致工程质量、安全、进度问题，需承担违约责任。</w:t>
      </w:r>
    </w:p>
    <w:p>
      <w:pPr>
        <w:pStyle w:val="19"/>
        <w:spacing w:before="0" w:beforeAutospacing="0" w:after="0" w:afterAutospacing="0"/>
        <w:ind w:left="840" w:leftChars="400" w:firstLine="0" w:firstLineChars="0"/>
        <w:rPr>
          <w:rFonts w:hint="default" w:ascii="Times New Roman" w:hAnsi="Times New Roman" w:cs="Times New Roman"/>
          <w:sz w:val="21"/>
          <w:szCs w:val="21"/>
        </w:rPr>
      </w:pPr>
      <w:r>
        <w:rPr>
          <w:rFonts w:hint="default" w:ascii="Times New Roman" w:hAnsi="Times New Roman" w:cs="Times New Roman"/>
          <w:sz w:val="21"/>
          <w:szCs w:val="21"/>
        </w:rPr>
        <w:t>违约赔偿：</w:t>
      </w:r>
      <w:r>
        <w:rPr>
          <w:rFonts w:hint="default" w:ascii="Times New Roman" w:hAnsi="Times New Roman" w:cs="Times New Roman"/>
          <w:sz w:val="21"/>
          <w:szCs w:val="21"/>
          <w:lang w:eastAsia="zh-CN"/>
        </w:rPr>
        <w:t>受托人</w:t>
      </w:r>
      <w:r>
        <w:rPr>
          <w:rFonts w:hint="default" w:ascii="Times New Roman" w:hAnsi="Times New Roman" w:cs="Times New Roman"/>
          <w:sz w:val="21"/>
          <w:szCs w:val="21"/>
        </w:rPr>
        <w:t>需按监理合同总价的_</w:t>
      </w:r>
      <w:r>
        <w:rPr>
          <w:rFonts w:hint="default" w:ascii="Times New Roman" w:hAnsi="Times New Roman" w:cs="Times New Roman"/>
          <w:sz w:val="21"/>
          <w:szCs w:val="21"/>
          <w:u w:val="single"/>
        </w:rPr>
        <w:t>30_</w:t>
      </w:r>
      <w:r>
        <w:rPr>
          <w:rFonts w:hint="default" w:ascii="Times New Roman" w:hAnsi="Times New Roman" w:cs="Times New Roman"/>
          <w:sz w:val="21"/>
          <w:szCs w:val="21"/>
        </w:rPr>
        <w:t>%支付违约金，并赔偿由此造成的直接经济损失。</w:t>
      </w:r>
    </w:p>
    <w:p>
      <w:pPr>
        <w:pStyle w:val="19"/>
        <w:spacing w:before="0" w:beforeAutospacing="0" w:after="0" w:afterAutospacing="0"/>
        <w:ind w:left="840" w:leftChars="400" w:firstLine="0" w:firstLineChars="0"/>
        <w:rPr>
          <w:rFonts w:hint="eastAsia"/>
          <w:sz w:val="21"/>
          <w:szCs w:val="21"/>
        </w:rPr>
      </w:pPr>
      <w:r>
        <w:rPr>
          <w:rFonts w:hint="eastAsia"/>
          <w:sz w:val="21"/>
          <w:szCs w:val="21"/>
        </w:rPr>
        <w:t>严重违约：如</w:t>
      </w:r>
      <w:r>
        <w:rPr>
          <w:rFonts w:hint="eastAsia"/>
          <w:sz w:val="21"/>
          <w:szCs w:val="21"/>
          <w:lang w:eastAsia="zh-CN"/>
        </w:rPr>
        <w:t>受托人</w:t>
      </w:r>
      <w:r>
        <w:rPr>
          <w:rFonts w:hint="eastAsia"/>
          <w:sz w:val="21"/>
          <w:szCs w:val="21"/>
        </w:rPr>
        <w:t>严重失职或未按约定派驻监理人员，招标方有权解除合同，并要求</w:t>
      </w:r>
      <w:r>
        <w:rPr>
          <w:rFonts w:hint="eastAsia"/>
          <w:sz w:val="21"/>
          <w:szCs w:val="21"/>
          <w:lang w:eastAsia="zh-CN"/>
        </w:rPr>
        <w:t>受托人</w:t>
      </w:r>
      <w:r>
        <w:rPr>
          <w:rFonts w:hint="eastAsia"/>
          <w:sz w:val="21"/>
          <w:szCs w:val="21"/>
        </w:rPr>
        <w:t>赔偿全部损失。</w:t>
      </w:r>
    </w:p>
    <w:p>
      <w:pPr>
        <w:pStyle w:val="6"/>
        <w:keepNext w:val="0"/>
        <w:keepLines w:val="0"/>
        <w:widowControl/>
        <w:spacing w:line="11" w:lineRule="atLeast"/>
        <w:rPr>
          <w:rFonts w:hint="eastAsia" w:ascii="宋体" w:hAnsi="宋体" w:cs="宋体"/>
          <w:sz w:val="21"/>
          <w:szCs w:val="21"/>
        </w:rPr>
      </w:pPr>
      <w:r>
        <w:rPr>
          <w:rStyle w:val="26"/>
          <w:rFonts w:hint="eastAsia" w:ascii="宋体" w:hAnsi="宋体" w:cs="宋体"/>
          <w:b w:val="0"/>
          <w:sz w:val="21"/>
          <w:szCs w:val="21"/>
        </w:rPr>
        <w:t>八、争议解决方法</w:t>
      </w:r>
    </w:p>
    <w:p>
      <w:pPr>
        <w:pStyle w:val="19"/>
        <w:spacing w:before="0" w:beforeAutospacing="0" w:after="30" w:afterAutospacing="0"/>
        <w:ind w:firstLine="422" w:firstLineChars="200"/>
        <w:rPr>
          <w:rFonts w:hint="eastAsia"/>
          <w:sz w:val="21"/>
          <w:szCs w:val="21"/>
        </w:rPr>
      </w:pPr>
      <w:r>
        <w:rPr>
          <w:rStyle w:val="26"/>
          <w:rFonts w:hint="eastAsia"/>
          <w:sz w:val="21"/>
          <w:szCs w:val="21"/>
        </w:rPr>
        <w:t>协商解决</w:t>
      </w:r>
      <w:r>
        <w:rPr>
          <w:rFonts w:hint="eastAsia"/>
          <w:sz w:val="21"/>
          <w:szCs w:val="21"/>
        </w:rPr>
        <w:t>：</w:t>
      </w:r>
    </w:p>
    <w:p>
      <w:pPr>
        <w:pStyle w:val="19"/>
        <w:spacing w:before="0" w:beforeAutospacing="0" w:after="0" w:afterAutospacing="0"/>
        <w:ind w:firstLine="840" w:firstLineChars="400"/>
        <w:rPr>
          <w:rFonts w:hint="eastAsia"/>
          <w:sz w:val="21"/>
          <w:szCs w:val="21"/>
        </w:rPr>
      </w:pPr>
      <w:r>
        <w:rPr>
          <w:rFonts w:hint="eastAsia"/>
          <w:sz w:val="21"/>
          <w:szCs w:val="21"/>
        </w:rPr>
        <w:t>双方应本着友好协商的原则解决合同履行过程中产生的争议。</w:t>
      </w:r>
    </w:p>
    <w:p>
      <w:pPr>
        <w:pStyle w:val="19"/>
        <w:spacing w:before="0" w:beforeAutospacing="0" w:after="30" w:afterAutospacing="0"/>
        <w:ind w:firstLine="422" w:firstLineChars="200"/>
        <w:rPr>
          <w:rFonts w:hint="eastAsia"/>
          <w:sz w:val="21"/>
          <w:szCs w:val="21"/>
        </w:rPr>
      </w:pPr>
      <w:r>
        <w:rPr>
          <w:rStyle w:val="26"/>
          <w:rFonts w:hint="eastAsia"/>
          <w:sz w:val="21"/>
          <w:szCs w:val="21"/>
        </w:rPr>
        <w:t>调解解决</w:t>
      </w:r>
      <w:r>
        <w:rPr>
          <w:rFonts w:hint="eastAsia"/>
          <w:sz w:val="21"/>
          <w:szCs w:val="21"/>
        </w:rPr>
        <w:t>：</w:t>
      </w:r>
    </w:p>
    <w:p>
      <w:pPr>
        <w:pStyle w:val="19"/>
        <w:spacing w:before="0" w:beforeAutospacing="0" w:after="0" w:afterAutospacing="0"/>
        <w:ind w:firstLine="840" w:firstLineChars="400"/>
        <w:rPr>
          <w:rFonts w:hint="eastAsia"/>
          <w:sz w:val="21"/>
          <w:szCs w:val="21"/>
        </w:rPr>
      </w:pPr>
      <w:r>
        <w:rPr>
          <w:rFonts w:hint="eastAsia"/>
          <w:sz w:val="21"/>
          <w:szCs w:val="21"/>
        </w:rPr>
        <w:t>如协商不成，双方可共同向工程所在地的建设行政主管部门或行业协会申请调解。</w:t>
      </w:r>
    </w:p>
    <w:p>
      <w:pPr>
        <w:pStyle w:val="19"/>
        <w:spacing w:before="0" w:beforeAutospacing="0" w:after="30" w:afterAutospacing="0"/>
        <w:ind w:firstLine="422" w:firstLineChars="200"/>
        <w:rPr>
          <w:rFonts w:hint="eastAsia"/>
          <w:sz w:val="21"/>
          <w:szCs w:val="21"/>
        </w:rPr>
      </w:pPr>
      <w:r>
        <w:rPr>
          <w:rStyle w:val="26"/>
          <w:rFonts w:hint="eastAsia"/>
          <w:sz w:val="21"/>
          <w:szCs w:val="21"/>
        </w:rPr>
        <w:t>仲裁或诉讼</w:t>
      </w:r>
      <w:r>
        <w:rPr>
          <w:rFonts w:hint="eastAsia"/>
          <w:sz w:val="21"/>
          <w:szCs w:val="21"/>
        </w:rPr>
        <w:t>：</w:t>
      </w:r>
    </w:p>
    <w:p>
      <w:pPr>
        <w:pStyle w:val="19"/>
        <w:spacing w:before="0" w:beforeAutospacing="0" w:after="0" w:afterAutospacing="0"/>
        <w:ind w:left="840" w:leftChars="400" w:firstLine="0" w:firstLineChars="0"/>
        <w:rPr>
          <w:rFonts w:hint="eastAsia"/>
          <w:sz w:val="21"/>
          <w:szCs w:val="21"/>
        </w:rPr>
      </w:pPr>
      <w:r>
        <w:rPr>
          <w:rFonts w:hint="eastAsia"/>
          <w:sz w:val="21"/>
          <w:szCs w:val="21"/>
        </w:rPr>
        <w:t>如调解仍未解决争议，双方同意提交工程所在地的仲裁委员会进行仲裁，或向工程所在地人民法院提起诉讼。</w:t>
      </w:r>
    </w:p>
    <w:p>
      <w:pPr>
        <w:pStyle w:val="19"/>
        <w:spacing w:before="0" w:beforeAutospacing="0" w:after="0" w:afterAutospacing="0"/>
        <w:ind w:firstLine="840" w:firstLineChars="400"/>
        <w:rPr>
          <w:rFonts w:hint="eastAsia"/>
          <w:sz w:val="21"/>
          <w:szCs w:val="21"/>
        </w:rPr>
      </w:pPr>
      <w:r>
        <w:rPr>
          <w:rFonts w:hint="eastAsia"/>
          <w:sz w:val="21"/>
          <w:szCs w:val="21"/>
        </w:rPr>
        <w:t>仲裁或诉讼期间，除争议部分外，合同其他条款仍应继续履行。</w:t>
      </w:r>
    </w:p>
    <w:p>
      <w:pPr>
        <w:pStyle w:val="6"/>
        <w:keepNext w:val="0"/>
        <w:keepLines w:val="0"/>
        <w:widowControl/>
        <w:spacing w:line="11" w:lineRule="atLeast"/>
        <w:rPr>
          <w:rFonts w:hint="eastAsia" w:ascii="宋体" w:hAnsi="宋体" w:cs="宋体"/>
          <w:sz w:val="21"/>
          <w:szCs w:val="21"/>
        </w:rPr>
      </w:pPr>
      <w:r>
        <w:rPr>
          <w:rStyle w:val="26"/>
          <w:rFonts w:hint="eastAsia" w:ascii="宋体" w:hAnsi="宋体" w:cs="宋体"/>
          <w:b w:val="0"/>
          <w:sz w:val="21"/>
          <w:szCs w:val="21"/>
        </w:rPr>
        <w:t>九、其他商务要求</w:t>
      </w:r>
    </w:p>
    <w:p>
      <w:pPr>
        <w:pStyle w:val="19"/>
        <w:spacing w:before="0" w:beforeAutospacing="0" w:after="30" w:afterAutospacing="0"/>
        <w:ind w:firstLine="422" w:firstLineChars="200"/>
        <w:rPr>
          <w:rFonts w:hint="eastAsia"/>
          <w:sz w:val="21"/>
          <w:szCs w:val="21"/>
        </w:rPr>
      </w:pPr>
      <w:r>
        <w:rPr>
          <w:rStyle w:val="26"/>
          <w:rFonts w:hint="eastAsia"/>
          <w:sz w:val="21"/>
          <w:szCs w:val="21"/>
        </w:rPr>
        <w:t>合同变更</w:t>
      </w:r>
      <w:r>
        <w:rPr>
          <w:rFonts w:hint="eastAsia"/>
          <w:sz w:val="21"/>
          <w:szCs w:val="21"/>
        </w:rPr>
        <w:t>：</w:t>
      </w:r>
    </w:p>
    <w:p>
      <w:pPr>
        <w:pStyle w:val="19"/>
        <w:spacing w:before="0" w:beforeAutospacing="0" w:after="0" w:afterAutospacing="0"/>
        <w:ind w:firstLine="840" w:firstLineChars="400"/>
        <w:rPr>
          <w:rFonts w:hint="eastAsia"/>
          <w:sz w:val="21"/>
          <w:szCs w:val="21"/>
        </w:rPr>
      </w:pPr>
      <w:r>
        <w:rPr>
          <w:rFonts w:hint="eastAsia"/>
          <w:sz w:val="21"/>
          <w:szCs w:val="21"/>
        </w:rPr>
        <w:t>任何合同条款的变更需经双方协商一致，并以书面形式确认。</w:t>
      </w:r>
    </w:p>
    <w:p>
      <w:pPr>
        <w:pStyle w:val="19"/>
        <w:spacing w:before="0" w:beforeAutospacing="0" w:after="30" w:afterAutospacing="0"/>
        <w:ind w:firstLine="422" w:firstLineChars="200"/>
        <w:rPr>
          <w:rFonts w:hint="eastAsia"/>
          <w:sz w:val="21"/>
          <w:szCs w:val="21"/>
        </w:rPr>
      </w:pPr>
      <w:r>
        <w:rPr>
          <w:rStyle w:val="26"/>
          <w:rFonts w:hint="eastAsia"/>
          <w:sz w:val="21"/>
          <w:szCs w:val="21"/>
        </w:rPr>
        <w:t>不可抗力</w:t>
      </w:r>
      <w:r>
        <w:rPr>
          <w:rFonts w:hint="eastAsia"/>
          <w:sz w:val="21"/>
          <w:szCs w:val="21"/>
        </w:rPr>
        <w:t>：</w:t>
      </w:r>
    </w:p>
    <w:p>
      <w:pPr>
        <w:pStyle w:val="19"/>
        <w:spacing w:before="0" w:beforeAutospacing="0" w:after="0" w:afterAutospacing="0"/>
        <w:ind w:left="840" w:leftChars="400" w:firstLine="0" w:firstLineChars="0"/>
        <w:rPr>
          <w:rFonts w:hint="eastAsia"/>
          <w:sz w:val="21"/>
          <w:szCs w:val="21"/>
        </w:rPr>
      </w:pPr>
      <w:r>
        <w:rPr>
          <w:rFonts w:hint="eastAsia"/>
          <w:sz w:val="21"/>
          <w:szCs w:val="21"/>
        </w:rPr>
        <w:t>如因不可抗力导致合同无法履行，双方应及时协商解决，并根据实际情况部分或全部免除责任。</w:t>
      </w:r>
    </w:p>
    <w:p>
      <w:pPr>
        <w:pStyle w:val="19"/>
        <w:spacing w:before="0" w:beforeAutospacing="0" w:after="30" w:afterAutospacing="0"/>
        <w:ind w:firstLine="422" w:firstLineChars="200"/>
        <w:rPr>
          <w:rFonts w:hint="eastAsia"/>
          <w:sz w:val="21"/>
          <w:szCs w:val="21"/>
        </w:rPr>
      </w:pPr>
      <w:r>
        <w:rPr>
          <w:rStyle w:val="26"/>
          <w:rFonts w:hint="eastAsia"/>
          <w:sz w:val="21"/>
          <w:szCs w:val="21"/>
        </w:rPr>
        <w:t>合同生效与终止</w:t>
      </w:r>
      <w:r>
        <w:rPr>
          <w:rFonts w:hint="eastAsia"/>
          <w:sz w:val="21"/>
          <w:szCs w:val="21"/>
        </w:rPr>
        <w:t>：</w:t>
      </w:r>
    </w:p>
    <w:p>
      <w:pPr>
        <w:pStyle w:val="19"/>
        <w:spacing w:before="0" w:beforeAutospacing="0" w:after="0" w:afterAutospacing="0"/>
        <w:ind w:firstLine="840" w:firstLineChars="400"/>
        <w:rPr>
          <w:rFonts w:hint="eastAsia"/>
          <w:sz w:val="21"/>
          <w:szCs w:val="21"/>
        </w:rPr>
      </w:pPr>
      <w:r>
        <w:rPr>
          <w:rFonts w:hint="eastAsia"/>
          <w:sz w:val="21"/>
          <w:szCs w:val="21"/>
        </w:rPr>
        <w:t>合同自双方签字盖章之日起生效，至监理服务期满且双方履行完合同义务后终止。</w:t>
      </w:r>
    </w:p>
    <w:p>
      <w:pPr>
        <w:pStyle w:val="19"/>
        <w:spacing w:before="0" w:beforeAutospacing="0" w:after="0" w:afterAutospacing="0"/>
        <w:ind w:firstLine="840" w:firstLineChars="400"/>
        <w:rPr>
          <w:rFonts w:hint="eastAsia"/>
          <w:sz w:val="21"/>
          <w:szCs w:val="21"/>
        </w:rPr>
      </w:pPr>
      <w:r>
        <w:rPr>
          <w:rFonts w:hint="eastAsia"/>
          <w:sz w:val="21"/>
          <w:szCs w:val="21"/>
        </w:rPr>
        <w:t>如一方严重违约，另一方有权提前终止合同，并要求违约方承担相应责任。</w:t>
      </w:r>
    </w:p>
    <w:p>
      <w:pPr>
        <w:pStyle w:val="19"/>
        <w:spacing w:before="0" w:beforeAutospacing="0" w:after="0" w:afterAutospacing="0"/>
        <w:ind w:left="1440"/>
        <w:rPr>
          <w:rFonts w:hint="eastAsia"/>
          <w:sz w:val="21"/>
          <w:szCs w:val="21"/>
        </w:rPr>
      </w:pPr>
    </w:p>
    <w:p>
      <w:pPr>
        <w:ind w:firstLine="562" w:firstLineChars="200"/>
        <w:rPr>
          <w:rFonts w:hint="eastAsia" w:ascii="宋体" w:hAnsi="宋体" w:cs="宋体"/>
          <w:b/>
          <w:kern w:val="0"/>
          <w:sz w:val="28"/>
          <w:szCs w:val="28"/>
        </w:rPr>
      </w:pPr>
      <w:r>
        <w:rPr>
          <w:rFonts w:hint="eastAsia" w:ascii="黑体" w:hAnsi="黑体" w:eastAsia="黑体" w:cs="黑体"/>
          <w:b/>
          <w:kern w:val="0"/>
          <w:sz w:val="28"/>
          <w:szCs w:val="28"/>
        </w:rPr>
        <w:t>★</w:t>
      </w:r>
      <w:r>
        <w:rPr>
          <w:rFonts w:hint="eastAsia" w:ascii="宋体" w:hAnsi="宋体" w:cs="宋体"/>
          <w:b/>
          <w:kern w:val="0"/>
          <w:sz w:val="28"/>
          <w:szCs w:val="28"/>
        </w:rPr>
        <w:t>（五）报价要求：</w:t>
      </w:r>
    </w:p>
    <w:p>
      <w:pPr>
        <w:ind w:firstLine="420" w:firstLineChars="200"/>
        <w:rPr>
          <w:rFonts w:hint="eastAsia" w:ascii="宋体" w:hAnsi="宋体" w:cs="Times New Roman"/>
          <w:bCs/>
          <w:snapToGrid w:val="0"/>
          <w:color w:val="auto"/>
          <w:kern w:val="0"/>
          <w:szCs w:val="21"/>
          <w:highlight w:val="none"/>
          <w:lang w:eastAsia="zh-CN"/>
        </w:rPr>
      </w:pPr>
      <w:r>
        <w:rPr>
          <w:rFonts w:hint="eastAsia" w:ascii="宋体" w:hAnsi="宋体" w:cs="Times New Roman"/>
          <w:bCs/>
          <w:snapToGrid w:val="0"/>
          <w:color w:val="auto"/>
          <w:kern w:val="0"/>
          <w:szCs w:val="21"/>
          <w:highlight w:val="none"/>
          <w:lang w:eastAsia="zh-CN"/>
        </w:rPr>
        <w:t>（</w:t>
      </w:r>
      <w:r>
        <w:rPr>
          <w:rFonts w:hint="eastAsia" w:ascii="宋体" w:hAnsi="宋体" w:cs="Times New Roman"/>
          <w:bCs/>
          <w:snapToGrid w:val="0"/>
          <w:color w:val="auto"/>
          <w:kern w:val="0"/>
          <w:szCs w:val="21"/>
          <w:highlight w:val="none"/>
          <w:lang w:val="en-US" w:eastAsia="zh-CN"/>
        </w:rPr>
        <w:t>1</w:t>
      </w:r>
      <w:r>
        <w:rPr>
          <w:rFonts w:hint="eastAsia" w:ascii="宋体" w:hAnsi="宋体" w:cs="Times New Roman"/>
          <w:bCs/>
          <w:snapToGrid w:val="0"/>
          <w:color w:val="auto"/>
          <w:kern w:val="0"/>
          <w:szCs w:val="21"/>
          <w:highlight w:val="none"/>
          <w:lang w:eastAsia="zh-CN"/>
        </w:rPr>
        <w:t>）</w:t>
      </w:r>
      <w:r>
        <w:rPr>
          <w:rFonts w:hint="eastAsia" w:ascii="宋体" w:hAnsi="宋体" w:cs="Times New Roman"/>
          <w:bCs/>
          <w:snapToGrid w:val="0"/>
          <w:color w:val="auto"/>
          <w:kern w:val="0"/>
          <w:szCs w:val="21"/>
          <w:highlight w:val="none"/>
        </w:rPr>
        <w:t>本项目</w:t>
      </w:r>
      <w:r>
        <w:rPr>
          <w:rFonts w:hint="eastAsia" w:ascii="宋体" w:hAnsi="宋体" w:cs="Times New Roman"/>
          <w:bCs/>
          <w:snapToGrid w:val="0"/>
          <w:color w:val="auto"/>
          <w:kern w:val="0"/>
          <w:szCs w:val="21"/>
          <w:highlight w:val="none"/>
          <w:lang w:eastAsia="zh-CN"/>
        </w:rPr>
        <w:t>采用下浮率报价。</w:t>
      </w:r>
    </w:p>
    <w:p>
      <w:pPr>
        <w:ind w:firstLine="420" w:firstLineChars="200"/>
        <w:rPr>
          <w:rFonts w:hint="eastAsia" w:ascii="宋体" w:hAnsi="宋体" w:eastAsia="宋体" w:cs="Times New Roman"/>
          <w:bCs/>
          <w:snapToGrid w:val="0"/>
          <w:color w:val="auto"/>
          <w:kern w:val="0"/>
          <w:szCs w:val="21"/>
          <w:highlight w:val="none"/>
          <w:lang w:eastAsia="zh-CN"/>
        </w:rPr>
      </w:pPr>
      <w:r>
        <w:rPr>
          <w:rFonts w:hint="eastAsia" w:ascii="仿宋_GB2312" w:hAnsi="仿宋_GB2312" w:eastAsia="仿宋_GB2312" w:cs="仿宋_GB2312"/>
          <w:bCs/>
          <w:snapToGrid w:val="0"/>
          <w:color w:val="auto"/>
          <w:kern w:val="0"/>
          <w:szCs w:val="21"/>
          <w:highlight w:val="none"/>
          <w:lang w:val="en-US" w:eastAsia="zh-CN"/>
        </w:rPr>
        <w:t>①</w:t>
      </w:r>
      <w:r>
        <w:rPr>
          <w:rFonts w:hint="eastAsia" w:ascii="宋体" w:hAnsi="宋体" w:cs="Times New Roman"/>
          <w:bCs/>
          <w:snapToGrid w:val="0"/>
          <w:color w:val="auto"/>
          <w:kern w:val="0"/>
          <w:szCs w:val="21"/>
          <w:highlight w:val="none"/>
        </w:rPr>
        <w:t>报价</w:t>
      </w:r>
      <w:r>
        <w:rPr>
          <w:rFonts w:hint="eastAsia" w:ascii="宋体" w:hAnsi="宋体" w:cs="Times New Roman"/>
          <w:bCs/>
          <w:snapToGrid w:val="0"/>
          <w:color w:val="auto"/>
          <w:kern w:val="0"/>
          <w:szCs w:val="21"/>
          <w:highlight w:val="none"/>
          <w:lang w:eastAsia="zh-CN"/>
        </w:rPr>
        <w:t>应</w:t>
      </w:r>
      <w:r>
        <w:rPr>
          <w:rFonts w:hint="eastAsia" w:ascii="宋体" w:hAnsi="宋体" w:cs="Times New Roman"/>
          <w:bCs/>
          <w:snapToGrid w:val="0"/>
          <w:color w:val="auto"/>
          <w:kern w:val="0"/>
          <w:szCs w:val="21"/>
          <w:highlight w:val="none"/>
        </w:rPr>
        <w:t>同时明确监理费下浮率（精确至小数点后两位，如XX.XX%）及对应</w:t>
      </w:r>
      <w:r>
        <w:rPr>
          <w:rFonts w:hint="eastAsia" w:ascii="宋体" w:hAnsi="宋体" w:cs="Times New Roman"/>
          <w:bCs/>
          <w:snapToGrid w:val="0"/>
          <w:color w:val="auto"/>
          <w:kern w:val="0"/>
          <w:szCs w:val="21"/>
          <w:highlight w:val="none"/>
          <w:lang w:eastAsia="zh-CN"/>
        </w:rPr>
        <w:t>投标</w:t>
      </w:r>
      <w:r>
        <w:rPr>
          <w:rFonts w:hint="eastAsia" w:ascii="宋体" w:hAnsi="宋体" w:cs="Times New Roman"/>
          <w:bCs/>
          <w:snapToGrid w:val="0"/>
          <w:color w:val="auto"/>
          <w:kern w:val="0"/>
          <w:szCs w:val="21"/>
          <w:highlight w:val="none"/>
        </w:rPr>
        <w:t>价（单</w:t>
      </w:r>
      <w:r>
        <w:rPr>
          <w:rFonts w:hint="eastAsia" w:ascii="宋体" w:hAnsi="宋体" w:eastAsia="宋体" w:cs="Times New Roman"/>
          <w:bCs/>
          <w:snapToGrid w:val="0"/>
          <w:color w:val="auto"/>
          <w:kern w:val="0"/>
          <w:szCs w:val="21"/>
          <w:highlight w:val="none"/>
        </w:rPr>
        <w:t>位：元），</w:t>
      </w:r>
      <w:r>
        <w:rPr>
          <w:rFonts w:hint="eastAsia" w:ascii="宋体" w:hAnsi="宋体" w:eastAsia="宋体" w:cs="Times New Roman"/>
          <w:bCs/>
          <w:snapToGrid w:val="0"/>
          <w:color w:val="auto"/>
          <w:kern w:val="0"/>
          <w:szCs w:val="21"/>
          <w:highlight w:val="none"/>
          <w:lang w:eastAsia="zh-CN"/>
        </w:rPr>
        <w:t>投标价在监理服务费预算金额</w:t>
      </w:r>
      <w:r>
        <w:rPr>
          <w:rFonts w:hint="eastAsia" w:ascii="宋体" w:hAnsi="宋体" w:eastAsia="宋体" w:cs="Times New Roman"/>
          <w:bCs/>
          <w:snapToGrid w:val="0"/>
          <w:color w:val="auto"/>
          <w:kern w:val="0"/>
          <w:szCs w:val="21"/>
          <w:highlight w:val="none"/>
          <w:lang w:val="en-US" w:eastAsia="zh-CN"/>
        </w:rPr>
        <w:t>6</w:t>
      </w:r>
      <w:r>
        <w:rPr>
          <w:rFonts w:hint="eastAsia" w:ascii="宋体" w:hAnsi="宋体" w:cs="Times New Roman"/>
          <w:bCs/>
          <w:snapToGrid w:val="0"/>
          <w:color w:val="auto"/>
          <w:kern w:val="0"/>
          <w:szCs w:val="21"/>
          <w:highlight w:val="none"/>
          <w:lang w:val="en-US" w:eastAsia="zh-CN"/>
        </w:rPr>
        <w:t>30</w:t>
      </w:r>
      <w:r>
        <w:rPr>
          <w:rFonts w:hint="eastAsia" w:ascii="宋体" w:hAnsi="宋体" w:eastAsia="宋体" w:cs="Times New Roman"/>
          <w:bCs/>
          <w:snapToGrid w:val="0"/>
          <w:color w:val="auto"/>
          <w:kern w:val="0"/>
          <w:szCs w:val="21"/>
          <w:highlight w:val="none"/>
          <w:lang w:val="en-US" w:eastAsia="zh-CN"/>
        </w:rPr>
        <w:t>00元</w:t>
      </w:r>
      <w:r>
        <w:rPr>
          <w:rFonts w:hint="eastAsia" w:ascii="宋体" w:hAnsi="宋体" w:eastAsia="宋体" w:cs="Times New Roman"/>
          <w:bCs/>
          <w:snapToGrid w:val="0"/>
          <w:color w:val="auto"/>
          <w:kern w:val="0"/>
          <w:szCs w:val="21"/>
          <w:highlight w:val="none"/>
          <w:lang w:eastAsia="zh-CN"/>
        </w:rPr>
        <w:t>的基础上下浮</w:t>
      </w:r>
      <w:r>
        <w:rPr>
          <w:rFonts w:hint="eastAsia" w:ascii="宋体" w:hAnsi="宋体" w:eastAsia="宋体" w:cs="Times New Roman"/>
          <w:bCs/>
          <w:snapToGrid w:val="0"/>
          <w:color w:val="auto"/>
          <w:kern w:val="0"/>
          <w:szCs w:val="21"/>
          <w:highlight w:val="none"/>
        </w:rPr>
        <w:t>。</w:t>
      </w:r>
    </w:p>
    <w:p>
      <w:pPr>
        <w:ind w:firstLine="420" w:firstLineChars="200"/>
        <w:rPr>
          <w:rFonts w:hint="eastAsia" w:ascii="宋体" w:hAnsi="宋体" w:cs="Times New Roman"/>
          <w:bCs/>
          <w:snapToGrid w:val="0"/>
          <w:color w:val="auto"/>
          <w:kern w:val="0"/>
          <w:szCs w:val="21"/>
          <w:highlight w:val="none"/>
        </w:rPr>
      </w:pPr>
      <w:r>
        <w:rPr>
          <w:rFonts w:hint="eastAsia" w:ascii="宋体" w:hAnsi="宋体" w:eastAsia="宋体" w:cs="Times New Roman"/>
          <w:bCs/>
          <w:snapToGrid w:val="0"/>
          <w:color w:val="auto"/>
          <w:kern w:val="0"/>
          <w:szCs w:val="21"/>
          <w:highlight w:val="none"/>
          <w:lang w:val="en-US" w:eastAsia="zh-CN"/>
        </w:rPr>
        <w:t>②</w:t>
      </w:r>
      <w:r>
        <w:rPr>
          <w:rFonts w:hint="eastAsia" w:ascii="宋体" w:hAnsi="宋体" w:eastAsia="宋体" w:cs="Times New Roman"/>
          <w:bCs/>
          <w:snapToGrid w:val="0"/>
          <w:color w:val="auto"/>
          <w:kern w:val="0"/>
          <w:szCs w:val="21"/>
          <w:highlight w:val="none"/>
          <w:lang w:eastAsia="zh-CN"/>
        </w:rPr>
        <w:t>最终合同价按本次招标的监理服务所对应的施工工程项目（“</w:t>
      </w:r>
      <w:r>
        <w:rPr>
          <w:rFonts w:hint="eastAsia" w:ascii="宋体" w:hAnsi="宋体" w:eastAsia="宋体" w:cs="Times New Roman"/>
          <w:bCs/>
          <w:snapToGrid w:val="0"/>
          <w:color w:val="auto"/>
          <w:kern w:val="0"/>
          <w:szCs w:val="21"/>
          <w:highlight w:val="none"/>
          <w:lang w:val="en-US" w:eastAsia="zh-CN"/>
        </w:rPr>
        <w:t>深圳市公安局市局大院露天停车雨棚建设工程项目”，工程预算控制价</w:t>
      </w:r>
      <w:r>
        <w:rPr>
          <w:rFonts w:hint="eastAsia" w:ascii="宋体" w:hAnsi="宋体" w:eastAsia="宋体" w:cs="Times New Roman"/>
          <w:bCs/>
          <w:snapToGrid w:val="0"/>
          <w:color w:val="0000FF"/>
          <w:kern w:val="0"/>
          <w:szCs w:val="21"/>
          <w:highlight w:val="yellow"/>
          <w:lang w:val="en-US" w:eastAsia="zh-CN"/>
        </w:rPr>
        <w:t>19</w:t>
      </w:r>
      <w:r>
        <w:rPr>
          <w:rFonts w:hint="eastAsia" w:ascii="宋体" w:hAnsi="宋体" w:cs="Times New Roman"/>
          <w:bCs/>
          <w:snapToGrid w:val="0"/>
          <w:color w:val="0000FF"/>
          <w:kern w:val="0"/>
          <w:szCs w:val="21"/>
          <w:highlight w:val="yellow"/>
          <w:lang w:val="en-US" w:eastAsia="zh-CN"/>
        </w:rPr>
        <w:t>0.617011</w:t>
      </w:r>
      <w:r>
        <w:rPr>
          <w:rFonts w:hint="eastAsia" w:ascii="宋体" w:hAnsi="宋体" w:eastAsia="宋体" w:cs="Times New Roman"/>
          <w:bCs/>
          <w:snapToGrid w:val="0"/>
          <w:color w:val="auto"/>
          <w:kern w:val="0"/>
          <w:szCs w:val="21"/>
          <w:highlight w:val="none"/>
          <w:lang w:val="en-US" w:eastAsia="zh-CN"/>
        </w:rPr>
        <w:t>万元，</w:t>
      </w:r>
      <w:r>
        <w:rPr>
          <w:rFonts w:hint="eastAsia" w:ascii="宋体" w:hAnsi="宋体" w:eastAsia="宋体" w:cs="Times New Roman"/>
          <w:bCs/>
          <w:snapToGrid w:val="0"/>
          <w:color w:val="auto"/>
          <w:kern w:val="0"/>
          <w:szCs w:val="21"/>
          <w:highlight w:val="none"/>
          <w:lang w:eastAsia="zh-CN"/>
        </w:rPr>
        <w:t>项目编号：</w:t>
      </w:r>
      <w:r>
        <w:rPr>
          <w:rFonts w:hint="eastAsia" w:ascii="宋体" w:hAnsi="宋体" w:eastAsia="宋体" w:cs="Times New Roman"/>
          <w:bCs/>
          <w:snapToGrid w:val="0"/>
          <w:color w:val="auto"/>
          <w:kern w:val="0"/>
          <w:szCs w:val="21"/>
          <w:highlight w:val="none"/>
          <w:lang w:val="en-US" w:eastAsia="zh-CN"/>
        </w:rPr>
        <w:t>SZDL2025001849</w:t>
      </w:r>
      <w:r>
        <w:rPr>
          <w:rFonts w:hint="eastAsia" w:ascii="宋体" w:hAnsi="宋体" w:eastAsia="宋体" w:cs="Times New Roman"/>
          <w:bCs/>
          <w:snapToGrid w:val="0"/>
          <w:color w:val="auto"/>
          <w:kern w:val="0"/>
          <w:szCs w:val="21"/>
          <w:highlight w:val="none"/>
          <w:lang w:eastAsia="zh-CN"/>
        </w:rPr>
        <w:t>）中标金额为基数，施工工程中标金额乘以</w:t>
      </w:r>
      <w:r>
        <w:rPr>
          <w:rFonts w:hint="eastAsia" w:ascii="宋体" w:hAnsi="宋体" w:eastAsia="宋体" w:cs="Times New Roman"/>
          <w:bCs/>
          <w:snapToGrid w:val="0"/>
          <w:color w:val="auto"/>
          <w:kern w:val="0"/>
          <w:szCs w:val="21"/>
          <w:highlight w:val="none"/>
          <w:lang w:val="en-US" w:eastAsia="zh-CN"/>
        </w:rPr>
        <w:t>《建设工程监理与相关服务收费</w:t>
      </w:r>
      <w:r>
        <w:rPr>
          <w:rFonts w:hint="eastAsia" w:ascii="宋体" w:hAnsi="宋体" w:cs="Times New Roman"/>
          <w:bCs/>
          <w:snapToGrid w:val="0"/>
          <w:color w:val="auto"/>
          <w:kern w:val="0"/>
          <w:szCs w:val="21"/>
          <w:highlight w:val="none"/>
          <w:lang w:val="en-US" w:eastAsia="zh-CN"/>
        </w:rPr>
        <w:t>管理规定》（发改价格〔2007〕670号）对应的系数，再乘以本项目投标供应商的下浮率确定。</w:t>
      </w:r>
    </w:p>
    <w:p>
      <w:pPr>
        <w:ind w:firstLine="420" w:firstLineChars="200"/>
        <w:rPr>
          <w:rFonts w:hint="eastAsia" w:ascii="宋体" w:hAnsi="宋体" w:cs="Times New Roman"/>
          <w:bCs/>
          <w:snapToGrid w:val="0"/>
          <w:color w:val="auto"/>
          <w:kern w:val="0"/>
          <w:szCs w:val="21"/>
          <w:highlight w:val="none"/>
          <w:lang w:val="en-US" w:eastAsia="zh-CN"/>
        </w:rPr>
      </w:pPr>
      <w:r>
        <w:rPr>
          <w:rFonts w:hint="eastAsia" w:ascii="宋体" w:hAnsi="宋体" w:cs="Times New Roman"/>
          <w:bCs/>
          <w:snapToGrid w:val="0"/>
          <w:color w:val="auto"/>
          <w:kern w:val="0"/>
          <w:szCs w:val="21"/>
          <w:highlight w:val="none"/>
          <w:lang w:eastAsia="zh-CN"/>
        </w:rPr>
        <w:t>即：</w:t>
      </w:r>
      <w:r>
        <w:rPr>
          <w:rFonts w:hint="eastAsia" w:ascii="宋体" w:hAnsi="宋体" w:cs="Times New Roman"/>
          <w:bCs/>
          <w:snapToGrid w:val="0"/>
          <w:color w:val="auto"/>
          <w:kern w:val="0"/>
          <w:szCs w:val="21"/>
          <w:highlight w:val="none"/>
          <w:lang w:val="en-US" w:eastAsia="zh-CN"/>
        </w:rPr>
        <w:t>按照《建设工程监理与相关服务收费管理规定》（发改价格〔2007〕670号）测算，500万元以下的工程按照工程费用的3.3%计取监理服务费。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Times New Roman"/>
          <w:bCs/>
          <w:snapToGrid w:val="0"/>
          <w:color w:val="auto"/>
          <w:kern w:val="0"/>
          <w:szCs w:val="21"/>
          <w:highlight w:val="none"/>
        </w:rPr>
      </w:pPr>
      <w:r>
        <w:rPr>
          <w:rFonts w:hint="eastAsia" w:ascii="宋体" w:hAnsi="宋体" w:cs="Times New Roman"/>
          <w:bCs/>
          <w:snapToGrid w:val="0"/>
          <w:color w:val="auto"/>
          <w:kern w:val="0"/>
          <w:szCs w:val="21"/>
          <w:highlight w:val="none"/>
        </w:rPr>
        <w:t>“</w:t>
      </w:r>
      <w:r>
        <w:rPr>
          <w:rFonts w:hint="eastAsia" w:ascii="宋体" w:hAnsi="宋体" w:cs="Times New Roman"/>
          <w:bCs/>
          <w:snapToGrid w:val="0"/>
          <w:color w:val="auto"/>
          <w:kern w:val="0"/>
          <w:szCs w:val="21"/>
          <w:highlight w:val="none"/>
          <w:lang w:val="en-US" w:eastAsia="zh-CN"/>
        </w:rPr>
        <w:t>监理服务合同价</w:t>
      </w:r>
      <w:r>
        <w:rPr>
          <w:rFonts w:hint="eastAsia" w:ascii="宋体" w:hAnsi="宋体" w:cs="Times New Roman"/>
          <w:bCs/>
          <w:snapToGrid w:val="0"/>
          <w:color w:val="auto"/>
          <w:kern w:val="0"/>
          <w:szCs w:val="21"/>
          <w:highlight w:val="none"/>
        </w:rPr>
        <w:t>=</w:t>
      </w:r>
      <w:r>
        <w:rPr>
          <w:rFonts w:hint="eastAsia" w:ascii="宋体" w:hAnsi="宋体" w:cs="Times New Roman"/>
          <w:bCs/>
          <w:snapToGrid w:val="0"/>
          <w:color w:val="auto"/>
          <w:kern w:val="0"/>
          <w:szCs w:val="21"/>
          <w:highlight w:val="none"/>
          <w:lang w:val="en-US" w:eastAsia="zh-CN"/>
        </w:rPr>
        <w:t>施工工程中标金额</w:t>
      </w:r>
      <w:r>
        <w:rPr>
          <w:rFonts w:hint="default" w:ascii="宋体" w:hAnsi="宋体" w:cs="Times New Roman"/>
          <w:bCs/>
          <w:snapToGrid w:val="0"/>
          <w:color w:val="auto"/>
          <w:kern w:val="0"/>
          <w:szCs w:val="21"/>
          <w:highlight w:val="none"/>
          <w:lang w:val="en-US" w:eastAsia="zh-CN"/>
        </w:rPr>
        <w:t>×</w:t>
      </w:r>
      <w:r>
        <w:rPr>
          <w:rFonts w:hint="eastAsia" w:ascii="宋体" w:hAnsi="宋体" w:cs="Times New Roman"/>
          <w:bCs/>
          <w:snapToGrid w:val="0"/>
          <w:color w:val="auto"/>
          <w:kern w:val="0"/>
          <w:szCs w:val="21"/>
          <w:highlight w:val="none"/>
          <w:lang w:val="en-US" w:eastAsia="zh-CN"/>
        </w:rPr>
        <w:t>3.3%</w:t>
      </w:r>
      <w:r>
        <w:rPr>
          <w:rFonts w:hint="default" w:ascii="宋体" w:hAnsi="宋体" w:cs="Times New Roman"/>
          <w:bCs/>
          <w:snapToGrid w:val="0"/>
          <w:color w:val="auto"/>
          <w:kern w:val="0"/>
          <w:szCs w:val="21"/>
          <w:highlight w:val="none"/>
          <w:lang w:val="en-US" w:eastAsia="zh-CN"/>
        </w:rPr>
        <w:t>×</w:t>
      </w:r>
      <w:r>
        <w:rPr>
          <w:rFonts w:hint="eastAsia" w:ascii="宋体" w:hAnsi="宋体" w:cs="Times New Roman"/>
          <w:bCs/>
          <w:snapToGrid w:val="0"/>
          <w:color w:val="auto"/>
          <w:kern w:val="0"/>
          <w:szCs w:val="21"/>
          <w:highlight w:val="none"/>
          <w:lang w:val="en-US" w:eastAsia="zh-CN"/>
        </w:rPr>
        <w:t>（1-监理服务投标供应商中标下浮率）</w:t>
      </w:r>
      <w:r>
        <w:rPr>
          <w:rFonts w:hint="eastAsia" w:ascii="宋体" w:hAnsi="宋体" w:cs="Times New Roman"/>
          <w:bCs/>
          <w:snapToGrid w:val="0"/>
          <w:color w:val="auto"/>
          <w:kern w:val="0"/>
          <w:szCs w:val="21"/>
          <w:highlight w:val="none"/>
        </w:rPr>
        <w:t>”</w:t>
      </w:r>
      <w:r>
        <w:rPr>
          <w:rFonts w:hint="eastAsia" w:ascii="宋体" w:hAnsi="宋体" w:cs="Times New Roman"/>
          <w:bCs/>
          <w:snapToGrid w:val="0"/>
          <w:color w:val="auto"/>
          <w:kern w:val="0"/>
          <w:szCs w:val="21"/>
          <w:highlight w:val="none"/>
          <w:lang w:eastAsia="zh-CN"/>
        </w:rPr>
        <w:t>，但最高监理服务合同价不超过</w:t>
      </w:r>
      <w:r>
        <w:rPr>
          <w:rFonts w:hint="eastAsia" w:ascii="宋体" w:hAnsi="宋体" w:eastAsia="宋体" w:cs="Times New Roman"/>
          <w:bCs/>
          <w:snapToGrid w:val="0"/>
          <w:color w:val="auto"/>
          <w:kern w:val="0"/>
          <w:szCs w:val="21"/>
          <w:highlight w:val="none"/>
          <w:lang w:val="en-US" w:eastAsia="zh-CN"/>
        </w:rPr>
        <w:t>6</w:t>
      </w:r>
      <w:r>
        <w:rPr>
          <w:rFonts w:hint="eastAsia" w:ascii="宋体" w:hAnsi="宋体" w:cs="Times New Roman"/>
          <w:bCs/>
          <w:snapToGrid w:val="0"/>
          <w:color w:val="auto"/>
          <w:kern w:val="0"/>
          <w:szCs w:val="21"/>
          <w:highlight w:val="none"/>
          <w:lang w:val="en-US" w:eastAsia="zh-CN"/>
        </w:rPr>
        <w:t>30</w:t>
      </w:r>
      <w:r>
        <w:rPr>
          <w:rFonts w:hint="eastAsia" w:ascii="宋体" w:hAnsi="宋体" w:eastAsia="宋体" w:cs="Times New Roman"/>
          <w:bCs/>
          <w:snapToGrid w:val="0"/>
          <w:color w:val="auto"/>
          <w:kern w:val="0"/>
          <w:szCs w:val="21"/>
          <w:highlight w:val="none"/>
          <w:lang w:val="en-US" w:eastAsia="zh-CN"/>
        </w:rPr>
        <w:t>00元</w:t>
      </w:r>
      <w:r>
        <w:rPr>
          <w:rFonts w:hint="eastAsia" w:ascii="宋体" w:hAnsi="宋体" w:cs="Times New Roman"/>
          <w:bCs/>
          <w:snapToGrid w:val="0"/>
          <w:color w:val="auto"/>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Times New Roman"/>
          <w:bCs/>
          <w:snapToGrid w:val="0"/>
          <w:kern w:val="0"/>
          <w:szCs w:val="21"/>
          <w:highlight w:val="none"/>
          <w:lang w:val="en-US" w:eastAsia="zh-CN"/>
        </w:rPr>
      </w:pPr>
      <w:r>
        <w:rPr>
          <w:rFonts w:hint="eastAsia" w:ascii="宋体" w:hAnsi="宋体" w:cs="Times New Roman"/>
          <w:bCs/>
          <w:snapToGrid w:val="0"/>
          <w:kern w:val="0"/>
          <w:szCs w:val="21"/>
          <w:highlight w:val="none"/>
          <w:lang w:val="en-US" w:eastAsia="zh-CN"/>
        </w:rPr>
        <w:t xml:space="preserve"> </w:t>
      </w:r>
      <w:r>
        <w:rPr>
          <w:rFonts w:hint="eastAsia" w:ascii="仿宋_GB2312" w:hAnsi="仿宋_GB2312" w:eastAsia="仿宋_GB2312" w:cs="仿宋_GB2312"/>
          <w:bCs/>
          <w:snapToGrid w:val="0"/>
          <w:kern w:val="0"/>
          <w:szCs w:val="21"/>
          <w:highlight w:val="none"/>
          <w:lang w:val="en-US" w:eastAsia="zh-CN"/>
        </w:rPr>
        <w:t>③</w:t>
      </w:r>
      <w:r>
        <w:rPr>
          <w:rFonts w:hint="eastAsia" w:ascii="宋体" w:hAnsi="宋体" w:cs="Times New Roman"/>
          <w:bCs/>
          <w:snapToGrid w:val="0"/>
          <w:kern w:val="0"/>
          <w:szCs w:val="21"/>
          <w:highlight w:val="none"/>
        </w:rPr>
        <w:t>报价下浮率为合同履行期内固定值，不作调整。</w:t>
      </w:r>
    </w:p>
    <w:p>
      <w:pPr>
        <w:numPr>
          <w:ilvl w:val="0"/>
          <w:numId w:val="0"/>
        </w:numPr>
        <w:ind w:firstLine="420" w:firstLineChars="200"/>
        <w:rPr>
          <w:rFonts w:hint="eastAsia" w:ascii="宋体" w:hAnsi="宋体" w:cs="Times New Roman"/>
          <w:b/>
          <w:bCs w:val="0"/>
          <w:snapToGrid w:val="0"/>
          <w:kern w:val="0"/>
          <w:szCs w:val="21"/>
          <w:lang w:eastAsia="zh-CN"/>
        </w:rPr>
      </w:pPr>
      <w:r>
        <w:rPr>
          <w:rFonts w:hint="eastAsia" w:ascii="宋体" w:hAnsi="宋体"/>
          <w:bCs/>
          <w:snapToGrid w:val="0"/>
          <w:kern w:val="0"/>
          <w:szCs w:val="21"/>
          <w:lang w:eastAsia="zh-CN"/>
        </w:rPr>
        <w:t>（</w:t>
      </w:r>
      <w:r>
        <w:rPr>
          <w:rFonts w:hint="eastAsia" w:ascii="宋体" w:hAnsi="宋体"/>
          <w:bCs/>
          <w:snapToGrid w:val="0"/>
          <w:kern w:val="0"/>
          <w:szCs w:val="21"/>
          <w:lang w:val="en-US" w:eastAsia="zh-CN"/>
        </w:rPr>
        <w:t>2</w:t>
      </w:r>
      <w:r>
        <w:rPr>
          <w:rFonts w:hint="eastAsia" w:ascii="宋体" w:hAnsi="宋体"/>
          <w:bCs/>
          <w:snapToGrid w:val="0"/>
          <w:kern w:val="0"/>
          <w:szCs w:val="21"/>
          <w:lang w:eastAsia="zh-CN"/>
        </w:rPr>
        <w:t>）</w:t>
      </w:r>
      <w:r>
        <w:rPr>
          <w:rFonts w:hint="eastAsia" w:ascii="宋体" w:hAnsi="宋体"/>
          <w:bCs/>
          <w:snapToGrid w:val="0"/>
          <w:kern w:val="0"/>
          <w:szCs w:val="21"/>
        </w:rPr>
        <w:t>服务费采用</w:t>
      </w:r>
      <w:r>
        <w:rPr>
          <w:rFonts w:hint="eastAsia" w:ascii="宋体" w:hAnsi="宋体"/>
          <w:b/>
          <w:snapToGrid w:val="0"/>
          <w:kern w:val="0"/>
          <w:szCs w:val="21"/>
        </w:rPr>
        <w:t>包干制</w:t>
      </w:r>
      <w:r>
        <w:rPr>
          <w:rFonts w:hint="eastAsia" w:ascii="宋体" w:hAnsi="宋体"/>
          <w:bCs/>
          <w:snapToGrid w:val="0"/>
          <w:kern w:val="0"/>
          <w:szCs w:val="21"/>
        </w:rPr>
        <w:t>，应包括服务成本、法定税费和企业的利润。由投标供应商根据采购文件所提供的资料自行测算投标报价；</w:t>
      </w:r>
    </w:p>
    <w:p>
      <w:pPr>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3</w:t>
      </w:r>
      <w:r>
        <w:rPr>
          <w:rFonts w:hint="eastAsia" w:ascii="宋体" w:hAnsi="宋体"/>
          <w:bCs/>
          <w:snapToGrid w:val="0"/>
          <w:kern w:val="0"/>
          <w:szCs w:val="21"/>
        </w:rPr>
        <w:t>）投标供应商应当根据本企业的成本自行决定报价，但不得以低于其企业成本的报价投标。</w:t>
      </w:r>
    </w:p>
    <w:p>
      <w:pPr>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4</w:t>
      </w:r>
      <w:r>
        <w:rPr>
          <w:rFonts w:hint="eastAsia" w:ascii="宋体" w:hAnsi="宋体"/>
          <w:bCs/>
          <w:snapToGrid w:val="0"/>
          <w:kern w:val="0"/>
          <w:szCs w:val="21"/>
        </w:rPr>
        <w:t>）投标供应商的报价不得超过项目的预算金额。</w:t>
      </w:r>
    </w:p>
    <w:p>
      <w:pPr>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5</w:t>
      </w:r>
      <w:r>
        <w:rPr>
          <w:rFonts w:hint="eastAsia" w:ascii="宋体" w:hAnsi="宋体"/>
          <w:bCs/>
          <w:snapToGrid w:val="0"/>
          <w:kern w:val="0"/>
          <w:szCs w:val="21"/>
        </w:rPr>
        <w:t>）投标供应商的报价，应当是本项目采购范围和采购文件及合同条款上所列的各项内容中所述的全部，不得以任何理由予以重复。</w:t>
      </w:r>
    </w:p>
    <w:p>
      <w:pPr>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6</w:t>
      </w:r>
      <w:r>
        <w:rPr>
          <w:rFonts w:hint="eastAsia" w:ascii="宋体" w:hAnsi="宋体"/>
          <w:bCs/>
          <w:snapToGrid w:val="0"/>
          <w:kern w:val="0"/>
          <w:szCs w:val="21"/>
        </w:rPr>
        <w:t>）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7</w:t>
      </w:r>
      <w:r>
        <w:rPr>
          <w:rFonts w:hint="eastAsia" w:ascii="宋体" w:hAnsi="宋体"/>
          <w:bCs/>
          <w:snapToGrid w:val="0"/>
          <w:kern w:val="0"/>
          <w:szCs w:val="21"/>
        </w:rPr>
        <w:t>）投标供应商应充分了解项目的位置、情况、道路及任何其它足以影响投标报价的情况，任何因忽视或误解项目情况而导致的索赔或服务期限延长申请将不获批准。</w:t>
      </w:r>
    </w:p>
    <w:p>
      <w:pPr>
        <w:ind w:firstLine="420" w:firstLineChars="200"/>
        <w:rPr>
          <w:rFonts w:hint="eastAsia"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8</w:t>
      </w:r>
      <w:r>
        <w:rPr>
          <w:rFonts w:hint="eastAsia" w:ascii="宋体" w:hAnsi="宋体"/>
          <w:bCs/>
          <w:snapToGrid w:val="0"/>
          <w:kern w:val="0"/>
          <w:szCs w:val="21"/>
        </w:rPr>
        <w:t>） 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第四章 询价应答文件格式</w:t>
      </w:r>
    </w:p>
    <w:p>
      <w:pPr>
        <w:jc w:val="center"/>
        <w:rPr>
          <w:rFonts w:hint="eastAsia" w:ascii="宋体" w:hAnsi="宋体" w:cs="Arial"/>
          <w:b/>
          <w:bCs/>
          <w:sz w:val="52"/>
          <w:szCs w:val="52"/>
        </w:rPr>
      </w:pPr>
    </w:p>
    <w:p>
      <w:pPr>
        <w:pStyle w:val="10"/>
        <w:ind w:firstLine="480"/>
      </w:pPr>
    </w:p>
    <w:p>
      <w:pPr>
        <w:jc w:val="center"/>
        <w:rPr>
          <w:rFonts w:hint="eastAsia" w:ascii="宋体" w:hAnsi="宋体" w:cs="Arial"/>
          <w:b/>
          <w:bCs/>
          <w:sz w:val="52"/>
          <w:szCs w:val="52"/>
        </w:rPr>
      </w:pPr>
    </w:p>
    <w:p>
      <w:pPr>
        <w:jc w:val="center"/>
        <w:rPr>
          <w:rFonts w:ascii="宋体" w:cs="Arial"/>
          <w:b/>
          <w:bCs/>
          <w:sz w:val="52"/>
          <w:szCs w:val="52"/>
        </w:rPr>
      </w:pPr>
      <w:r>
        <w:rPr>
          <w:rFonts w:hint="eastAsia" w:ascii="宋体" w:hAnsi="宋体" w:cs="Arial"/>
          <w:b/>
          <w:bCs/>
          <w:sz w:val="52"/>
          <w:szCs w:val="52"/>
        </w:rPr>
        <w:t>询价应答文件</w:t>
      </w: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rPr>
          <w:rFonts w:ascii="宋体" w:cs="Arial"/>
          <w:b/>
          <w:bCs/>
          <w:sz w:val="28"/>
          <w:szCs w:val="28"/>
        </w:rPr>
      </w:pPr>
      <w:r>
        <w:rPr>
          <w:rFonts w:hint="eastAsia" w:ascii="宋体" w:hAnsi="宋体" w:cs="Arial"/>
          <w:b/>
          <w:bCs/>
          <w:sz w:val="28"/>
          <w:szCs w:val="28"/>
        </w:rPr>
        <w:t>项目名称：</w:t>
      </w:r>
    </w:p>
    <w:p>
      <w:pPr>
        <w:rPr>
          <w:rFonts w:ascii="宋体" w:cs="Arial"/>
          <w:b/>
          <w:bCs/>
          <w:sz w:val="28"/>
          <w:szCs w:val="28"/>
        </w:rPr>
      </w:pPr>
      <w:r>
        <w:rPr>
          <w:rFonts w:hint="eastAsia" w:ascii="宋体" w:hAnsi="宋体" w:cs="Arial"/>
          <w:b/>
          <w:bCs/>
          <w:sz w:val="28"/>
          <w:szCs w:val="28"/>
        </w:rPr>
        <w:t>项目编号：</w:t>
      </w:r>
    </w:p>
    <w:p>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pPr>
        <w:rPr>
          <w:rFonts w:ascii="宋体" w:cs="Arial"/>
          <w:b/>
          <w:bCs/>
          <w:sz w:val="28"/>
          <w:szCs w:val="28"/>
        </w:rPr>
      </w:pPr>
      <w:r>
        <w:rPr>
          <w:rFonts w:hint="eastAsia" w:ascii="宋体" w:hAnsi="宋体" w:cs="Arial"/>
          <w:b/>
          <w:bCs/>
          <w:sz w:val="28"/>
          <w:szCs w:val="28"/>
        </w:rPr>
        <w:t>地址：</w:t>
      </w:r>
    </w:p>
    <w:p>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rPr>
          <w:rFonts w:hint="eastAsia" w:ascii="宋体" w:hAnsi="宋体" w:cs="Arial"/>
          <w:b/>
          <w:bCs/>
          <w:sz w:val="28"/>
          <w:szCs w:val="28"/>
          <w:u w:val="single"/>
        </w:rPr>
      </w:pPr>
      <w:r>
        <w:rPr>
          <w:rFonts w:hint="eastAsia" w:ascii="宋体" w:hAnsi="宋体" w:cs="Arial"/>
          <w:b/>
          <w:bCs/>
          <w:sz w:val="28"/>
          <w:szCs w:val="28"/>
        </w:rPr>
        <w:t>联系电话：</w:t>
      </w:r>
    </w:p>
    <w:p>
      <w:pPr>
        <w:rPr>
          <w:rFonts w:ascii="宋体" w:cs="Arial"/>
          <w:b/>
          <w:bCs/>
          <w:sz w:val="28"/>
          <w:szCs w:val="28"/>
        </w:rPr>
      </w:pPr>
      <w:r>
        <w:rPr>
          <w:rFonts w:ascii="宋体" w:cs="Arial"/>
          <w:b/>
          <w:bCs/>
          <w:sz w:val="28"/>
          <w:szCs w:val="28"/>
        </w:rPr>
        <w:br w:type="page"/>
      </w:r>
    </w:p>
    <w:p>
      <w:pPr>
        <w:pStyle w:val="6"/>
        <w:jc w:val="center"/>
      </w:pPr>
      <w:r>
        <w:rPr>
          <w:rFonts w:hint="eastAsia"/>
        </w:rPr>
        <w:t>目录</w:t>
      </w:r>
    </w:p>
    <w:p/>
    <w:p>
      <w:r>
        <w:rPr>
          <w:rFonts w:hint="eastAsia"/>
        </w:rPr>
        <w:t>一、询价承诺函</w:t>
      </w:r>
    </w:p>
    <w:p>
      <w:r>
        <w:rPr>
          <w:rFonts w:hint="eastAsia"/>
        </w:rPr>
        <w:t>二、营业执照及资格证明文件</w:t>
      </w:r>
    </w:p>
    <w:p>
      <w:r>
        <w:rPr>
          <w:rFonts w:hint="eastAsia"/>
        </w:rPr>
        <w:t>三、法定代表人（负责人或执行事务合伙人）证明书</w:t>
      </w:r>
    </w:p>
    <w:p>
      <w:r>
        <w:rPr>
          <w:rFonts w:hint="eastAsia"/>
        </w:rPr>
        <w:t>四、法定代表人（负责人或执行事务合伙人）授权书</w:t>
      </w:r>
    </w:p>
    <w:p>
      <w:r>
        <w:rPr>
          <w:rFonts w:hint="eastAsia"/>
        </w:rPr>
        <w:t>五、</w:t>
      </w:r>
      <w:bookmarkStart w:id="1" w:name="_Hlk72092634"/>
      <w:r>
        <w:rPr>
          <w:rFonts w:hint="eastAsia"/>
        </w:rPr>
        <w:t>实质性条款响应情况表</w:t>
      </w:r>
      <w:bookmarkEnd w:id="1"/>
    </w:p>
    <w:p>
      <w:r>
        <w:rPr>
          <w:rFonts w:hint="eastAsia"/>
        </w:rPr>
        <w:t>六、报价表</w:t>
      </w:r>
    </w:p>
    <w:p>
      <w:r>
        <w:rPr>
          <w:rFonts w:hint="eastAsia"/>
        </w:rPr>
        <w:t>七、供应商认为需要提供的其它文件（如有）</w:t>
      </w:r>
    </w:p>
    <w:p>
      <w:pPr>
        <w:pStyle w:val="15"/>
      </w:pPr>
    </w:p>
    <w:p>
      <w:pPr>
        <w:widowControl/>
        <w:spacing w:before="100" w:beforeAutospacing="1" w:after="100" w:afterAutospacing="1"/>
        <w:rPr>
          <w:rFonts w:hint="eastAsia" w:ascii="宋体" w:hAnsi="宋体" w:cs="宋体"/>
          <w:b/>
          <w:bCs/>
          <w:kern w:val="0"/>
          <w:sz w:val="24"/>
          <w:szCs w:val="36"/>
        </w:rPr>
      </w:pPr>
    </w:p>
    <w:p>
      <w:pPr>
        <w:widowControl/>
        <w:jc w:val="left"/>
        <w:rPr>
          <w:rFonts w:hint="eastAsia" w:ascii="宋体" w:hAnsi="宋体"/>
          <w:b/>
          <w:sz w:val="30"/>
          <w:szCs w:val="30"/>
        </w:rPr>
      </w:pPr>
      <w:r>
        <w:rPr>
          <w:rFonts w:ascii="宋体" w:hAnsi="宋体"/>
          <w:b/>
          <w:sz w:val="30"/>
          <w:szCs w:val="30"/>
        </w:rPr>
        <w:br w:type="page"/>
      </w:r>
    </w:p>
    <w:p>
      <w:pPr>
        <w:pStyle w:val="33"/>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rPr>
        <w:t>询价承诺函</w:t>
      </w:r>
      <w:bookmarkEnd w:id="2"/>
    </w:p>
    <w:p>
      <w:pPr>
        <w:rPr>
          <w:rFonts w:hint="eastAsia" w:ascii="宋体" w:hAnsi="宋体"/>
        </w:rPr>
      </w:pPr>
      <w:r>
        <w:rPr>
          <w:rFonts w:hint="eastAsia" w:ascii="宋体" w:hAnsi="宋体"/>
        </w:rPr>
        <w:t>致：采购人</w:t>
      </w:r>
    </w:p>
    <w:p>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的项目询价，并作出如下承诺：</w:t>
      </w:r>
    </w:p>
    <w:p>
      <w:pPr>
        <w:ind w:firstLine="420" w:firstLineChars="200"/>
        <w:rPr>
          <w:rFonts w:hint="eastAsia" w:ascii="宋体" w:hAnsi="宋体"/>
        </w:rPr>
      </w:pPr>
      <w:r>
        <w:rPr>
          <w:rFonts w:hint="eastAsia" w:ascii="宋体" w:hAnsi="宋体"/>
        </w:rPr>
        <w:t>1、我公司已经详细研究并完全接受本次网上询价项目的所有内容（包括询价公告、询价用户需求书及询价应答文件格式等），并承诺我公司本次投标能完全响应询价要求。</w:t>
      </w:r>
    </w:p>
    <w:p>
      <w:pPr>
        <w:ind w:firstLine="420" w:firstLineChars="200"/>
        <w:rPr>
          <w:rFonts w:hint="eastAsia" w:ascii="宋体" w:hAnsi="宋体"/>
        </w:rPr>
      </w:pPr>
      <w:r>
        <w:rPr>
          <w:rFonts w:hint="eastAsia" w:ascii="宋体" w:hAnsi="宋体"/>
        </w:rPr>
        <w:t>2、我公司具备询价公告中要求的供应商资格</w:t>
      </w:r>
      <w:r>
        <w:rPr>
          <w:rFonts w:hint="eastAsia" w:ascii="宋体" w:hAnsi="宋体" w:cs="宋体"/>
          <w:bCs/>
          <w:kern w:val="0"/>
          <w:szCs w:val="21"/>
        </w:rPr>
        <w:t>条件</w:t>
      </w:r>
      <w:r>
        <w:rPr>
          <w:rFonts w:hint="eastAsia" w:ascii="宋体" w:hAnsi="宋体"/>
        </w:rPr>
        <w:t>。</w:t>
      </w:r>
    </w:p>
    <w:p>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pPr>
        <w:ind w:firstLine="420" w:firstLineChars="200"/>
        <w:rPr>
          <w:rFonts w:hint="eastAsia" w:ascii="宋体" w:hAnsi="宋体"/>
        </w:rPr>
      </w:pPr>
      <w:r>
        <w:rPr>
          <w:rFonts w:hint="eastAsia" w:ascii="宋体" w:hAnsi="宋体"/>
        </w:rPr>
        <w:t>4、我公司具备《中华人民共和国政府采购法》第二十二条第一款的条件。</w:t>
      </w:r>
    </w:p>
    <w:p>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0" w:firstLineChars="200"/>
        <w:rPr>
          <w:rFonts w:hint="eastAsia" w:ascii="宋体" w:hAnsi="宋体"/>
        </w:rPr>
      </w:pPr>
      <w:r>
        <w:rPr>
          <w:rFonts w:hint="eastAsia" w:ascii="宋体" w:hAnsi="宋体"/>
        </w:rPr>
        <w:t>7、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pPr>
        <w:ind w:firstLine="420" w:firstLineChars="200"/>
        <w:rPr>
          <w:rFonts w:hint="eastAsia" w:ascii="宋体" w:hAnsi="宋体"/>
        </w:rPr>
      </w:pPr>
      <w:r>
        <w:rPr>
          <w:rFonts w:hint="eastAsia" w:ascii="宋体" w:hAnsi="宋体"/>
        </w:rPr>
        <w:t>特此承诺！</w:t>
      </w:r>
    </w:p>
    <w:p>
      <w:pPr>
        <w:ind w:firstLine="420" w:firstLineChars="200"/>
        <w:rPr>
          <w:rFonts w:hint="eastAsia" w:ascii="宋体" w:hAnsi="宋体"/>
        </w:rPr>
      </w:pPr>
    </w:p>
    <w:p>
      <w:pPr>
        <w:snapToGrid w:val="0"/>
        <w:ind w:firstLine="4935" w:firstLineChars="2350"/>
        <w:rPr>
          <w:szCs w:val="21"/>
        </w:rPr>
      </w:pPr>
      <w:r>
        <w:rPr>
          <w:rFonts w:hint="eastAsia"/>
          <w:szCs w:val="21"/>
        </w:rPr>
        <w:t xml:space="preserve">供应商名称： </w:t>
      </w:r>
    </w:p>
    <w:p>
      <w:pPr>
        <w:snapToGrid w:val="0"/>
        <w:ind w:firstLine="4935" w:firstLineChars="2350"/>
        <w:rPr>
          <w:rFonts w:hint="eastAsia" w:ascii="宋体" w:hAnsi="宋体" w:cs="Arial"/>
          <w:bCs/>
          <w:szCs w:val="21"/>
        </w:rPr>
      </w:pPr>
      <w:r>
        <w:rPr>
          <w:rFonts w:hint="eastAsia" w:ascii="宋体" w:hAnsi="宋体" w:cs="Arial"/>
          <w:bCs/>
          <w:szCs w:val="21"/>
        </w:rPr>
        <w:t>日  期：       年    月   日</w:t>
      </w:r>
    </w:p>
    <w:p>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pPr>
        <w:pStyle w:val="15"/>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pPr>
        <w:widowControl/>
        <w:jc w:val="left"/>
        <w:rPr>
          <w:rFonts w:hint="eastAsia" w:ascii="宋体" w:hAnsi="宋体"/>
        </w:rPr>
      </w:pPr>
      <w:r>
        <w:rPr>
          <w:rFonts w:hint="eastAsia" w:ascii="宋体" w:hAnsi="宋体"/>
        </w:rPr>
        <w:br w:type="page"/>
      </w:r>
    </w:p>
    <w:p>
      <w:pPr>
        <w:pStyle w:val="15"/>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pPr>
        <w:spacing w:after="0" w:line="75" w:lineRule="exact"/>
        <w:rPr>
          <w:rFonts w:hint="eastAsia" w:ascii="宋体" w:hAnsi="宋体" w:cs="宋体"/>
          <w:szCs w:val="21"/>
        </w:rPr>
      </w:pPr>
    </w:p>
    <w:tbl>
      <w:tblPr>
        <w:tblStyle w:val="51"/>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pPr>
        <w:widowControl/>
        <w:jc w:val="left"/>
        <w:rPr>
          <w:rFonts w:ascii="Cambria" w:hAnsi="Cambria"/>
          <w:b/>
          <w:bCs/>
          <w:sz w:val="32"/>
          <w:szCs w:val="32"/>
        </w:rPr>
      </w:pPr>
      <w:r>
        <w:br w:type="page"/>
      </w:r>
    </w:p>
    <w:p>
      <w:pPr>
        <w:pStyle w:val="15"/>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pPr>
        <w:pStyle w:val="2"/>
        <w:ind w:firstLine="408" w:firstLineChars="200"/>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pPr>
        <w:pStyle w:val="2"/>
        <w:ind w:firstLine="408" w:firstLineChars="200"/>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pPr>
        <w:pStyle w:val="2"/>
        <w:ind w:firstLine="408" w:firstLineChars="200"/>
        <w:rPr>
          <w:rFonts w:hint="eastAsia" w:ascii="宋体" w:hAnsi="宋体" w:cs="宋体"/>
          <w:spacing w:val="-3"/>
          <w:szCs w:val="21"/>
        </w:rPr>
      </w:pPr>
    </w:p>
    <w:p>
      <w:pPr>
        <w:ind w:firstLine="408" w:firstLineChars="200"/>
        <w:rPr>
          <w:rFonts w:hint="eastAsia" w:ascii="宋体" w:hAnsi="宋体" w:cs="宋体"/>
          <w:spacing w:val="-3"/>
          <w:szCs w:val="21"/>
        </w:rPr>
      </w:pPr>
      <w:r>
        <w:rPr>
          <w:rFonts w:hint="eastAsia" w:ascii="宋体" w:hAnsi="宋体" w:cs="宋体"/>
          <w:spacing w:val="-3"/>
          <w:szCs w:val="21"/>
        </w:rPr>
        <w:t>注：</w:t>
      </w:r>
    </w:p>
    <w:p>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w:t>
      </w:r>
      <w:r>
        <w:rPr>
          <w:rFonts w:hint="eastAsia" w:ascii="宋体" w:hAnsi="宋体" w:cs="宋体"/>
          <w:spacing w:val="-3"/>
          <w:szCs w:val="21"/>
          <w:lang w:eastAsia="zh-CN"/>
        </w:rPr>
        <w:t>受托人</w:t>
      </w:r>
      <w:r>
        <w:rPr>
          <w:rFonts w:hint="eastAsia" w:ascii="宋体" w:hAnsi="宋体" w:cs="宋体"/>
          <w:spacing w:val="-3"/>
          <w:szCs w:val="21"/>
        </w:rPr>
        <w:t>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hint="eastAsia" w:ascii="宋体" w:hAnsi="宋体"/>
          <w:b/>
          <w:bCs/>
        </w:rPr>
      </w:pPr>
      <w:r>
        <w:rPr>
          <w:rFonts w:hint="eastAsia" w:ascii="宋体" w:hAnsi="宋体"/>
          <w:b/>
          <w:bCs/>
        </w:rPr>
        <w:br w:type="page"/>
      </w:r>
    </w:p>
    <w:p>
      <w:pPr>
        <w:pStyle w:val="15"/>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pPr>
        <w:pStyle w:val="15"/>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pPr>
        <w:pStyle w:val="15"/>
        <w:ind w:firstLine="422" w:firstLineChars="200"/>
        <w:rPr>
          <w:rFonts w:hint="eastAsia" w:ascii="宋体" w:hAnsi="宋体" w:eastAsia="宋体" w:cs="Times New Roman"/>
          <w:b/>
          <w:bCs/>
          <w:color w:val="auto"/>
          <w:kern w:val="2"/>
          <w:sz w:val="21"/>
        </w:rPr>
      </w:pPr>
    </w:p>
    <w:p>
      <w:pPr>
        <w:pStyle w:val="15"/>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pPr>
        <w:jc w:val="left"/>
        <w:rPr>
          <w:rFonts w:hint="eastAsia" w:ascii="宋体" w:hAnsi="宋体" w:cs="宋体"/>
          <w:spacing w:val="-3"/>
          <w:szCs w:val="21"/>
        </w:rPr>
      </w:pPr>
      <w:r>
        <w:rPr>
          <w:rFonts w:hint="eastAsia" w:ascii="宋体" w:hAnsi="宋体" w:cs="宋体"/>
          <w:spacing w:val="-3"/>
          <w:szCs w:val="21"/>
        </w:rPr>
        <w:t>致：采购人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（此处填写项目编号）的项目询价，并作出如下承诺：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pPr>
        <w:adjustRightInd w:val="0"/>
        <w:snapToGrid w:val="0"/>
        <w:spacing w:line="44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自股权或管理关系证明材料查询之日起至本项目投标截止日止，股权关系不会发生变更。如发生变更，将在投标文件中另行申明并附证明材料，保证不出现违背《中华人民共和国政府采购法实施条例》第十八条规定的情形。否则，自愿承担因此产生的不利后果而无异议。</w:t>
      </w:r>
    </w:p>
    <w:p>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pPr>
        <w:jc w:val="left"/>
        <w:rPr>
          <w:rFonts w:hint="eastAsia" w:ascii="宋体" w:hAnsi="宋体" w:cs="宋体"/>
          <w:spacing w:val="-3"/>
          <w:szCs w:val="21"/>
        </w:rPr>
      </w:pPr>
    </w:p>
    <w:p>
      <w:pPr>
        <w:jc w:val="center"/>
        <w:rPr>
          <w:rFonts w:hint="eastAsia" w:ascii="宋体" w:hAnsi="宋体" w:cs="宋体"/>
          <w:spacing w:val="-3"/>
          <w:szCs w:val="21"/>
        </w:rPr>
      </w:pPr>
      <w:r>
        <w:rPr>
          <w:rFonts w:hint="eastAsia" w:ascii="宋体" w:hAnsi="宋体" w:cs="宋体"/>
          <w:spacing w:val="-3"/>
          <w:szCs w:val="21"/>
        </w:rPr>
        <w:t xml:space="preserve">                               供应商名称： </w:t>
      </w:r>
    </w:p>
    <w:p>
      <w:pPr>
        <w:jc w:val="right"/>
        <w:rPr>
          <w:rFonts w:hint="eastAsia" w:ascii="宋体" w:hAnsi="宋体" w:cs="宋体"/>
          <w:spacing w:val="-3"/>
          <w:szCs w:val="21"/>
        </w:rPr>
      </w:pPr>
      <w:r>
        <w:rPr>
          <w:rFonts w:hint="eastAsia" w:ascii="宋体" w:hAnsi="宋体" w:cs="宋体"/>
          <w:spacing w:val="-3"/>
          <w:szCs w:val="21"/>
        </w:rPr>
        <w:t>日  期：       年    月   日</w:t>
      </w:r>
    </w:p>
    <w:p>
      <w:pPr>
        <w:widowControl/>
        <w:jc w:val="left"/>
        <w:rPr>
          <w:sz w:val="24"/>
        </w:rPr>
      </w:pPr>
      <w:r>
        <w:br w:type="page"/>
      </w:r>
    </w:p>
    <w:p>
      <w:pPr>
        <w:pStyle w:val="15"/>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pPr>
        <w:spacing w:before="156" w:beforeLines="50" w:after="0" w:line="240" w:lineRule="auto"/>
        <w:ind w:firstLine="422" w:firstLineChars="200"/>
        <w:rPr>
          <w:b/>
          <w:bCs/>
          <w:color w:val="FF0000"/>
        </w:rPr>
      </w:pPr>
      <w:r>
        <w:rPr>
          <w:rFonts w:hint="eastAsia"/>
          <w:b/>
          <w:bCs/>
          <w:color w:val="FF0000"/>
        </w:rPr>
        <w:t>（特别提示：</w:t>
      </w:r>
      <w:r>
        <w:rPr>
          <w:rFonts w:hint="eastAsia"/>
          <w:b/>
          <w:bCs/>
          <w:color w:val="FF0000"/>
          <w:lang w:eastAsia="zh-CN"/>
        </w:rPr>
        <w:t>受托人</w:t>
      </w:r>
      <w:r>
        <w:rPr>
          <w:rFonts w:hint="eastAsia"/>
          <w:b/>
          <w:bCs/>
          <w:color w:val="FF0000"/>
        </w:rPr>
        <w:t>须按本招标文件第一册第一章招标公告 “申请人的资格要求”（即</w:t>
      </w:r>
      <w:r>
        <w:rPr>
          <w:rFonts w:hint="eastAsia"/>
          <w:b/>
          <w:bCs/>
          <w:color w:val="FF0000"/>
          <w:lang w:eastAsia="zh-CN"/>
        </w:rPr>
        <w:t>受托人</w:t>
      </w:r>
      <w:r>
        <w:rPr>
          <w:rFonts w:hint="eastAsia"/>
          <w:b/>
          <w:bCs/>
          <w:color w:val="FF0000"/>
        </w:rPr>
        <w:t>资格要求）提供相关的资格证明资料，未提供或提供不完整、不符合要求的，将作投标无效处理，其中要求提供《询价承诺函》且已在“一、询价承诺函”章节中提供了，此处可不重复提供。）</w:t>
      </w:r>
    </w:p>
    <w:p>
      <w:pPr>
        <w:rPr>
          <w:rFonts w:hint="eastAsia" w:ascii="宋体" w:hAnsi="宋体"/>
          <w:b/>
          <w:sz w:val="30"/>
          <w:szCs w:val="30"/>
        </w:rPr>
      </w:pPr>
      <w:r>
        <w:rPr>
          <w:rFonts w:hint="eastAsia" w:ascii="宋体" w:hAnsi="宋体"/>
          <w:b/>
          <w:sz w:val="30"/>
          <w:szCs w:val="30"/>
        </w:rPr>
        <w:br w:type="page"/>
      </w:r>
    </w:p>
    <w:p>
      <w:pPr>
        <w:pStyle w:val="33"/>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w:t>
      </w:r>
      <w:r>
        <w:rPr>
          <w:rFonts w:hint="eastAsia"/>
          <w:szCs w:val="21"/>
          <w:lang w:eastAsia="zh-CN"/>
        </w:rPr>
        <w:t>受托人</w:t>
      </w:r>
      <w:r>
        <w:rPr>
          <w:rFonts w:hint="eastAsia"/>
          <w:szCs w:val="21"/>
        </w:rPr>
        <w:t>（企业事业单位、国家机关、社会团体）的主要行政负责人。</w:t>
      </w:r>
    </w:p>
    <w:p>
      <w:pPr>
        <w:spacing w:line="360" w:lineRule="auto"/>
        <w:ind w:firstLine="420" w:firstLineChars="200"/>
        <w:rPr>
          <w:szCs w:val="21"/>
        </w:rPr>
      </w:pPr>
      <w:r>
        <w:rPr>
          <w:rFonts w:hint="eastAsia"/>
          <w:szCs w:val="21"/>
        </w:rPr>
        <w:t>2、内容必须填写真实、清楚，涂改无效，不得转让、买卖。</w:t>
      </w:r>
    </w:p>
    <w:p>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pPr>
        <w:rPr>
          <w:szCs w:val="21"/>
        </w:rPr>
      </w:pPr>
    </w:p>
    <w:p>
      <w:pPr>
        <w:widowControl/>
        <w:jc w:val="left"/>
        <w:rPr>
          <w:rFonts w:hint="eastAsia" w:ascii="宋体" w:hAnsi="宋体"/>
          <w:b/>
          <w:sz w:val="30"/>
          <w:szCs w:val="30"/>
        </w:rPr>
      </w:pPr>
      <w:r>
        <w:rPr>
          <w:rFonts w:ascii="宋体" w:hAnsi="宋体"/>
          <w:b/>
          <w:sz w:val="30"/>
          <w:szCs w:val="30"/>
        </w:rPr>
        <w:br w:type="page"/>
      </w:r>
    </w:p>
    <w:p>
      <w:pPr>
        <w:pStyle w:val="33"/>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pPr>
        <w:ind w:firstLine="420" w:firstLineChars="200"/>
        <w:rPr>
          <w:rFonts w:hint="eastAsia" w:ascii="宋体" w:hAnsi="宋体" w:cs="宋体"/>
          <w:szCs w:val="21"/>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w:t>
      </w:r>
      <w:r>
        <w:rPr>
          <w:rFonts w:hint="eastAsia"/>
          <w:szCs w:val="21"/>
          <w:lang w:eastAsia="zh-CN"/>
        </w:rPr>
        <w:t>受托人</w:t>
      </w:r>
      <w:r>
        <w:rPr>
          <w:rFonts w:hint="eastAsia"/>
          <w:szCs w:val="21"/>
        </w:rPr>
        <w:t>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pPr>
        <w:spacing w:line="360" w:lineRule="auto"/>
        <w:ind w:firstLine="420"/>
        <w:rPr>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pPr>
        <w:rPr>
          <w:rFonts w:hint="eastAsia" w:ascii="宋体" w:hAnsi="宋体"/>
        </w:rPr>
      </w:pPr>
    </w:p>
    <w:p>
      <w:pPr>
        <w:widowControl/>
        <w:jc w:val="left"/>
        <w:rPr>
          <w:rFonts w:hint="eastAsia" w:ascii="宋体" w:hAnsi="宋体"/>
          <w:b/>
          <w:sz w:val="30"/>
          <w:szCs w:val="30"/>
        </w:rPr>
      </w:pPr>
      <w:r>
        <w:rPr>
          <w:rFonts w:ascii="宋体" w:hAnsi="宋体"/>
          <w:b/>
          <w:sz w:val="30"/>
          <w:szCs w:val="30"/>
        </w:rPr>
        <w:br w:type="page"/>
      </w:r>
    </w:p>
    <w:p>
      <w:pPr>
        <w:pStyle w:val="6"/>
        <w:jc w:val="center"/>
        <w:rPr>
          <w:rFonts w:hint="eastAsia" w:ascii="宋体" w:hAnsi="宋体"/>
          <w:sz w:val="30"/>
          <w:szCs w:val="30"/>
        </w:rPr>
      </w:pPr>
      <w:r>
        <w:rPr>
          <w:rFonts w:hint="eastAsia" w:ascii="宋体" w:hAnsi="宋体"/>
          <w:sz w:val="30"/>
          <w:szCs w:val="30"/>
        </w:rPr>
        <w:t>五、实质性条款响应情况表</w:t>
      </w:r>
    </w:p>
    <w:tbl>
      <w:tblPr>
        <w:tblStyle w:val="2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after="0" w:line="240" w:lineRule="auto"/>
              <w:jc w:val="center"/>
              <w:rPr>
                <w:rFonts w:hint="eastAsia" w:ascii="宋体" w:hAnsi="宋体"/>
                <w:kern w:val="0"/>
                <w:szCs w:val="21"/>
              </w:rPr>
            </w:pPr>
            <w:bookmarkStart w:id="5" w:name="_Hlk72092651"/>
            <w:r>
              <w:rPr>
                <w:rFonts w:hint="eastAsia" w:ascii="宋体" w:hAnsi="宋体"/>
                <w:kern w:val="0"/>
                <w:szCs w:val="21"/>
              </w:rPr>
              <w:t>序号</w:t>
            </w:r>
          </w:p>
        </w:tc>
        <w:tc>
          <w:tcPr>
            <w:tcW w:w="4393"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pPr>
              <w:adjustRightInd w:val="0"/>
              <w:snapToGrid w:val="0"/>
              <w:spacing w:after="0" w:line="240" w:lineRule="auto"/>
              <w:jc w:val="center"/>
              <w:rPr>
                <w:rFonts w:hint="eastAsia" w:ascii="宋体" w:hAnsi="宋体"/>
                <w:kern w:val="0"/>
                <w:szCs w:val="21"/>
              </w:rPr>
            </w:pPr>
            <w:r>
              <w:rPr>
                <w:rFonts w:hint="eastAsia"/>
              </w:rPr>
              <w:t>说明</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pPr>
              <w:adjustRightInd w:val="0"/>
              <w:snapToGrid w:val="0"/>
              <w:spacing w:after="0" w:line="240" w:lineRule="auto"/>
              <w:rPr>
                <w:rFonts w:hint="eastAsia" w:ascii="宋体" w:hAnsi="宋体"/>
                <w:kern w:val="0"/>
                <w:szCs w:val="21"/>
              </w:rPr>
            </w:pPr>
          </w:p>
        </w:tc>
        <w:tc>
          <w:tcPr>
            <w:tcW w:w="1134" w:type="dxa"/>
            <w:vAlign w:val="center"/>
          </w:tcPr>
          <w:p>
            <w:pPr>
              <w:adjustRightInd w:val="0"/>
              <w:snapToGrid w:val="0"/>
              <w:spacing w:after="0" w:line="240" w:lineRule="auto"/>
              <w:rPr>
                <w:rFonts w:hint="eastAsia" w:ascii="宋体" w:hAnsi="宋体"/>
                <w:kern w:val="0"/>
                <w:szCs w:val="21"/>
              </w:rPr>
            </w:pPr>
          </w:p>
        </w:tc>
        <w:tc>
          <w:tcPr>
            <w:tcW w:w="851" w:type="dxa"/>
            <w:vAlign w:val="center"/>
          </w:tcPr>
          <w:p>
            <w:pPr>
              <w:adjustRightInd w:val="0"/>
              <w:snapToGrid w:val="0"/>
              <w:spacing w:after="0" w:line="240" w:lineRule="auto"/>
              <w:rPr>
                <w:rFonts w:hint="eastAsia" w:ascii="宋体" w:hAnsi="宋体"/>
                <w:kern w:val="0"/>
                <w:szCs w:val="21"/>
              </w:rPr>
            </w:pPr>
          </w:p>
        </w:tc>
      </w:tr>
    </w:tbl>
    <w:p>
      <w:pPr>
        <w:pStyle w:val="33"/>
        <w:ind w:firstLine="0" w:firstLineChars="0"/>
        <w:jc w:val="center"/>
        <w:outlineLvl w:val="1"/>
        <w:rPr>
          <w:rFonts w:hint="eastAsia" w:ascii="宋体" w:hAnsi="宋体"/>
          <w:b/>
          <w:sz w:val="30"/>
          <w:szCs w:val="30"/>
        </w:rPr>
      </w:pPr>
    </w:p>
    <w:p>
      <w:pPr>
        <w:pStyle w:val="10"/>
        <w:ind w:firstLine="480"/>
      </w:pPr>
      <w:r>
        <w:rPr>
          <w:rFonts w:hint="eastAsia"/>
        </w:rPr>
        <w:br w:type="page"/>
      </w:r>
    </w:p>
    <w:p>
      <w:pPr>
        <w:pStyle w:val="33"/>
        <w:ind w:firstLine="0" w:firstLineChars="0"/>
        <w:jc w:val="center"/>
        <w:outlineLvl w:val="1"/>
      </w:pPr>
      <w:r>
        <w:rPr>
          <w:rFonts w:hint="eastAsia" w:ascii="宋体" w:hAnsi="宋体"/>
          <w:b/>
          <w:sz w:val="30"/>
          <w:szCs w:val="30"/>
        </w:rPr>
        <w:t>六、报价表</w:t>
      </w:r>
    </w:p>
    <w:p>
      <w:pPr>
        <w:pStyle w:val="33"/>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6" w:name="OLE_LINK48"/>
      <w:bookmarkStart w:id="7" w:name="OLE_LINK46"/>
    </w:p>
    <w:p>
      <w:pPr>
        <w:spacing w:line="360" w:lineRule="auto"/>
        <w:rPr>
          <w:rFonts w:hint="eastAsia" w:ascii="宋体" w:hAnsi="宋体" w:cs="宋体"/>
          <w:szCs w:val="21"/>
        </w:rPr>
      </w:pPr>
      <w:r>
        <w:rPr>
          <w:rFonts w:hint="eastAsia" w:ascii="宋体" w:hAnsi="宋体" w:cs="宋体"/>
          <w:szCs w:val="21"/>
        </w:rPr>
        <w:t>项目编号：</w:t>
      </w:r>
    </w:p>
    <w:tbl>
      <w:tblPr>
        <w:tblStyle w:val="23"/>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1516"/>
        <w:gridCol w:w="1365"/>
        <w:gridCol w:w="31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291" w:type="pct"/>
            <w:vAlign w:val="center"/>
          </w:tcPr>
          <w:p>
            <w:pPr>
              <w:pStyle w:val="14"/>
              <w:jc w:val="center"/>
              <w:rPr>
                <w:rFonts w:hint="eastAsia" w:hAnsi="宋体" w:cs="宋体"/>
                <w:szCs w:val="21"/>
              </w:rPr>
            </w:pPr>
            <w:r>
              <w:rPr>
                <w:rFonts w:hint="eastAsia" w:hAnsi="宋体" w:cs="宋体"/>
                <w:szCs w:val="21"/>
              </w:rPr>
              <w:t>项目名称</w:t>
            </w:r>
          </w:p>
        </w:tc>
        <w:tc>
          <w:tcPr>
            <w:tcW w:w="929" w:type="pct"/>
            <w:vAlign w:val="center"/>
          </w:tcPr>
          <w:p>
            <w:pPr>
              <w:pStyle w:val="14"/>
              <w:jc w:val="center"/>
              <w:rPr>
                <w:rFonts w:hint="eastAsia" w:hAnsi="宋体" w:eastAsia="宋体" w:cs="宋体"/>
                <w:szCs w:val="21"/>
                <w:lang w:eastAsia="zh-CN"/>
              </w:rPr>
            </w:pPr>
            <w:r>
              <w:rPr>
                <w:rFonts w:hint="eastAsia" w:hAnsi="宋体" w:cs="宋体"/>
                <w:szCs w:val="21"/>
                <w:lang w:eastAsia="zh-CN"/>
              </w:rPr>
              <w:t>下浮率</w:t>
            </w:r>
          </w:p>
        </w:tc>
        <w:tc>
          <w:tcPr>
            <w:tcW w:w="836" w:type="pct"/>
            <w:vAlign w:val="center"/>
          </w:tcPr>
          <w:p>
            <w:pPr>
              <w:pStyle w:val="14"/>
              <w:jc w:val="center"/>
              <w:rPr>
                <w:rFonts w:hint="eastAsia" w:hAnsi="宋体" w:cs="宋体"/>
                <w:szCs w:val="21"/>
              </w:rPr>
            </w:pPr>
            <w:r>
              <w:rPr>
                <w:rFonts w:hint="eastAsia" w:hAnsi="宋体" w:cs="宋体"/>
                <w:szCs w:val="21"/>
              </w:rPr>
              <w:t>报价</w:t>
            </w:r>
          </w:p>
          <w:p>
            <w:pPr>
              <w:pStyle w:val="14"/>
              <w:jc w:val="center"/>
              <w:rPr>
                <w:rFonts w:hint="eastAsia" w:hAnsi="宋体" w:cs="宋体"/>
                <w:szCs w:val="21"/>
              </w:rPr>
            </w:pPr>
            <w:r>
              <w:rPr>
                <w:rFonts w:hint="eastAsia" w:hAnsi="宋体" w:cs="宋体"/>
                <w:szCs w:val="21"/>
              </w:rPr>
              <w:t>（人民币/元）</w:t>
            </w:r>
          </w:p>
        </w:tc>
        <w:tc>
          <w:tcPr>
            <w:tcW w:w="1943" w:type="pct"/>
            <w:vAlign w:val="center"/>
          </w:tcPr>
          <w:p>
            <w:pPr>
              <w:pStyle w:val="14"/>
              <w:jc w:val="center"/>
              <w:rPr>
                <w:rFonts w:hint="eastAsia" w:hAnsi="宋体" w:cs="宋体"/>
                <w:szCs w:val="21"/>
              </w:rPr>
            </w:pPr>
            <w:r>
              <w:rPr>
                <w:rFonts w:hint="eastAsia"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291" w:type="pct"/>
            <w:vAlign w:val="center"/>
          </w:tcPr>
          <w:p>
            <w:pPr>
              <w:pStyle w:val="14"/>
              <w:rPr>
                <w:rFonts w:hint="eastAsia" w:hAnsi="宋体" w:cs="宋体"/>
                <w:szCs w:val="21"/>
              </w:rPr>
            </w:pPr>
          </w:p>
        </w:tc>
        <w:tc>
          <w:tcPr>
            <w:tcW w:w="929" w:type="pct"/>
            <w:vAlign w:val="center"/>
          </w:tcPr>
          <w:p>
            <w:pPr>
              <w:pStyle w:val="14"/>
              <w:rPr>
                <w:rFonts w:hint="eastAsia" w:hAnsi="宋体" w:cs="宋体"/>
                <w:szCs w:val="21"/>
              </w:rPr>
            </w:pPr>
          </w:p>
          <w:p>
            <w:pPr>
              <w:pStyle w:val="14"/>
              <w:rPr>
                <w:rFonts w:hint="eastAsia" w:hAnsi="宋体" w:cs="宋体"/>
                <w:szCs w:val="21"/>
              </w:rPr>
            </w:pPr>
          </w:p>
        </w:tc>
        <w:tc>
          <w:tcPr>
            <w:tcW w:w="836" w:type="pct"/>
            <w:vAlign w:val="center"/>
          </w:tcPr>
          <w:p>
            <w:pPr>
              <w:pStyle w:val="14"/>
              <w:rPr>
                <w:rFonts w:hint="eastAsia" w:hAnsi="宋体" w:cs="宋体"/>
                <w:szCs w:val="21"/>
              </w:rPr>
            </w:pPr>
            <w:r>
              <w:rPr>
                <w:rFonts w:hint="eastAsia" w:hAnsi="宋体" w:cs="宋体"/>
                <w:szCs w:val="21"/>
              </w:rPr>
              <w:t>小写：</w:t>
            </w:r>
          </w:p>
          <w:p>
            <w:pPr>
              <w:pStyle w:val="14"/>
              <w:rPr>
                <w:rFonts w:hint="eastAsia" w:hAnsi="宋体" w:cs="宋体"/>
                <w:szCs w:val="21"/>
              </w:rPr>
            </w:pPr>
          </w:p>
          <w:p>
            <w:pPr>
              <w:pStyle w:val="14"/>
              <w:rPr>
                <w:rFonts w:hint="eastAsia" w:hAnsi="宋体" w:cs="宋体"/>
                <w:szCs w:val="21"/>
              </w:rPr>
            </w:pPr>
            <w:r>
              <w:rPr>
                <w:rFonts w:hint="eastAsia" w:hAnsi="宋体" w:cs="宋体"/>
                <w:szCs w:val="21"/>
              </w:rPr>
              <w:t>大写：</w:t>
            </w:r>
          </w:p>
          <w:p>
            <w:pPr>
              <w:pStyle w:val="14"/>
              <w:rPr>
                <w:rFonts w:hint="eastAsia" w:hAnsi="宋体" w:cs="宋体"/>
                <w:szCs w:val="21"/>
              </w:rPr>
            </w:pPr>
          </w:p>
        </w:tc>
        <w:tc>
          <w:tcPr>
            <w:tcW w:w="1943" w:type="pct"/>
            <w:vAlign w:val="center"/>
          </w:tcPr>
          <w:p>
            <w:pPr>
              <w:pStyle w:val="14"/>
              <w:rPr>
                <w:rFonts w:hint="eastAsia" w:hAnsi="宋体" w:cs="宋体"/>
                <w:szCs w:val="21"/>
              </w:rPr>
            </w:pPr>
            <w:r>
              <w:rPr>
                <w:rFonts w:hint="eastAsia" w:ascii="宋体" w:hAnsi="宋体" w:cs="Times New Roman"/>
                <w:bCs/>
                <w:snapToGrid w:val="0"/>
                <w:color w:val="auto"/>
                <w:kern w:val="0"/>
                <w:szCs w:val="21"/>
                <w:highlight w:val="none"/>
              </w:rPr>
              <w:t>“</w:t>
            </w:r>
            <w:r>
              <w:rPr>
                <w:rFonts w:hint="eastAsia" w:ascii="宋体" w:hAnsi="宋体" w:cs="Times New Roman"/>
                <w:bCs/>
                <w:snapToGrid w:val="0"/>
                <w:color w:val="auto"/>
                <w:kern w:val="0"/>
                <w:szCs w:val="21"/>
                <w:highlight w:val="none"/>
                <w:lang w:val="en-US" w:eastAsia="zh-CN"/>
              </w:rPr>
              <w:t>监理服务合同价</w:t>
            </w:r>
            <w:r>
              <w:rPr>
                <w:rFonts w:hint="eastAsia" w:ascii="宋体" w:hAnsi="宋体" w:cs="Times New Roman"/>
                <w:bCs/>
                <w:snapToGrid w:val="0"/>
                <w:color w:val="auto"/>
                <w:kern w:val="0"/>
                <w:szCs w:val="21"/>
                <w:highlight w:val="none"/>
              </w:rPr>
              <w:t>=</w:t>
            </w:r>
            <w:r>
              <w:rPr>
                <w:rFonts w:hint="eastAsia" w:ascii="宋体" w:hAnsi="宋体" w:eastAsia="宋体" w:cs="Times New Roman"/>
                <w:bCs/>
                <w:snapToGrid w:val="0"/>
                <w:color w:val="auto"/>
                <w:kern w:val="0"/>
                <w:szCs w:val="21"/>
                <w:highlight w:val="none"/>
                <w:lang w:val="en-US" w:eastAsia="zh-CN"/>
              </w:rPr>
              <w:t>深圳市公安局市局大院露天停车雨棚建设工程项目</w:t>
            </w:r>
            <w:r>
              <w:rPr>
                <w:rFonts w:hint="eastAsia" w:ascii="宋体" w:hAnsi="宋体" w:cs="Times New Roman"/>
                <w:bCs/>
                <w:snapToGrid w:val="0"/>
                <w:color w:val="auto"/>
                <w:kern w:val="0"/>
                <w:szCs w:val="21"/>
                <w:highlight w:val="none"/>
                <w:lang w:val="en-US" w:eastAsia="zh-CN"/>
              </w:rPr>
              <w:t>施工工程中标金额</w:t>
            </w:r>
            <w:r>
              <w:rPr>
                <w:rFonts w:hint="default" w:ascii="宋体" w:hAnsi="宋体" w:cs="Times New Roman"/>
                <w:bCs/>
                <w:snapToGrid w:val="0"/>
                <w:color w:val="auto"/>
                <w:kern w:val="0"/>
                <w:szCs w:val="21"/>
                <w:highlight w:val="none"/>
                <w:lang w:val="en-US" w:eastAsia="zh-CN"/>
              </w:rPr>
              <w:t>×</w:t>
            </w:r>
            <w:r>
              <w:rPr>
                <w:rFonts w:hint="eastAsia" w:ascii="宋体" w:hAnsi="宋体" w:cs="Times New Roman"/>
                <w:bCs/>
                <w:snapToGrid w:val="0"/>
                <w:color w:val="auto"/>
                <w:kern w:val="0"/>
                <w:szCs w:val="21"/>
                <w:highlight w:val="none"/>
                <w:lang w:val="en-US" w:eastAsia="zh-CN"/>
              </w:rPr>
              <w:t>3.3%</w:t>
            </w:r>
            <w:r>
              <w:rPr>
                <w:rFonts w:hint="default" w:ascii="宋体" w:hAnsi="宋体" w:cs="Times New Roman"/>
                <w:bCs/>
                <w:snapToGrid w:val="0"/>
                <w:color w:val="auto"/>
                <w:kern w:val="0"/>
                <w:szCs w:val="21"/>
                <w:highlight w:val="none"/>
                <w:lang w:val="en-US" w:eastAsia="zh-CN"/>
              </w:rPr>
              <w:t>×</w:t>
            </w:r>
            <w:r>
              <w:rPr>
                <w:rFonts w:hint="eastAsia" w:ascii="宋体" w:hAnsi="宋体" w:cs="Times New Roman"/>
                <w:bCs/>
                <w:snapToGrid w:val="0"/>
                <w:color w:val="auto"/>
                <w:kern w:val="0"/>
                <w:szCs w:val="21"/>
                <w:highlight w:val="none"/>
                <w:lang w:val="en-US" w:eastAsia="zh-CN"/>
              </w:rPr>
              <w:t>（1-监理服务投标供应商中标下浮率）</w:t>
            </w:r>
            <w:r>
              <w:rPr>
                <w:rFonts w:hint="eastAsia" w:ascii="宋体" w:hAnsi="宋体" w:cs="Times New Roman"/>
                <w:bCs/>
                <w:snapToGrid w:val="0"/>
                <w:color w:val="auto"/>
                <w:kern w:val="0"/>
                <w:szCs w:val="21"/>
                <w:highlight w:val="none"/>
              </w:rPr>
              <w:t>”</w:t>
            </w:r>
            <w:r>
              <w:rPr>
                <w:rFonts w:hint="eastAsia" w:ascii="宋体" w:hAnsi="宋体" w:cs="Times New Roman"/>
                <w:bCs/>
                <w:snapToGrid w:val="0"/>
                <w:color w:val="auto"/>
                <w:kern w:val="0"/>
                <w:szCs w:val="21"/>
                <w:highlight w:val="none"/>
                <w:lang w:eastAsia="zh-CN"/>
              </w:rPr>
              <w:t>，但最高监理服务合同价不超过</w:t>
            </w:r>
            <w:r>
              <w:rPr>
                <w:rFonts w:hint="eastAsia" w:ascii="宋体" w:hAnsi="宋体" w:eastAsia="宋体" w:cs="Times New Roman"/>
                <w:bCs/>
                <w:snapToGrid w:val="0"/>
                <w:color w:val="auto"/>
                <w:kern w:val="0"/>
                <w:szCs w:val="21"/>
                <w:highlight w:val="none"/>
                <w:lang w:val="en-US" w:eastAsia="zh-CN"/>
              </w:rPr>
              <w:t>6</w:t>
            </w:r>
            <w:r>
              <w:rPr>
                <w:rFonts w:hint="eastAsia" w:hAnsi="宋体" w:cs="Times New Roman"/>
                <w:bCs/>
                <w:snapToGrid w:val="0"/>
                <w:color w:val="auto"/>
                <w:kern w:val="0"/>
                <w:szCs w:val="21"/>
                <w:highlight w:val="none"/>
                <w:lang w:val="en-US" w:eastAsia="zh-CN"/>
              </w:rPr>
              <w:t>30</w:t>
            </w:r>
            <w:r>
              <w:rPr>
                <w:rFonts w:hint="eastAsia" w:ascii="宋体" w:hAnsi="宋体" w:eastAsia="宋体" w:cs="Times New Roman"/>
                <w:bCs/>
                <w:snapToGrid w:val="0"/>
                <w:color w:val="auto"/>
                <w:kern w:val="0"/>
                <w:szCs w:val="21"/>
                <w:highlight w:val="none"/>
                <w:lang w:val="en-US" w:eastAsia="zh-CN"/>
              </w:rPr>
              <w:t>00元</w:t>
            </w:r>
            <w:r>
              <w:rPr>
                <w:rFonts w:hint="default" w:ascii="Segoe UI" w:hAnsi="Segoe UI" w:eastAsia="Segoe UI" w:cs="Segoe UI"/>
                <w:i w:val="0"/>
                <w:iCs w:val="0"/>
                <w:caps w:val="0"/>
                <w:color w:val="333333"/>
                <w:spacing w:val="0"/>
                <w:sz w:val="21"/>
                <w:szCs w:val="21"/>
              </w:rPr>
              <w:t>。</w:t>
            </w:r>
            <w:r>
              <w:rPr>
                <w:rFonts w:hint="default" w:ascii="Segoe UI" w:hAnsi="Segoe UI" w:eastAsia="Segoe UI" w:cs="Segoe UI"/>
                <w:i w:val="0"/>
                <w:iCs w:val="0"/>
                <w:caps w:val="0"/>
                <w:color w:val="333333"/>
                <w:spacing w:val="0"/>
                <w:sz w:val="21"/>
                <w:szCs w:val="21"/>
              </w:rPr>
              <w:br w:type="textWrapping"/>
            </w:r>
          </w:p>
        </w:tc>
      </w:tr>
    </w:tbl>
    <w:p>
      <w:pPr>
        <w:rPr>
          <w:rFonts w:hint="eastAsia" w:ascii="宋体" w:hAnsi="宋体" w:cs="宋体"/>
          <w:szCs w:val="21"/>
        </w:rPr>
      </w:pP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pPr>
        <w:pStyle w:val="33"/>
        <w:ind w:firstLine="0" w:firstLineChars="0"/>
        <w:rPr>
          <w:rFonts w:hint="eastAsia" w:ascii="宋体" w:hAnsi="宋体"/>
          <w:b/>
          <w:sz w:val="30"/>
          <w:szCs w:val="30"/>
        </w:rPr>
      </w:pPr>
    </w:p>
    <w:p>
      <w:pPr>
        <w:widowControl/>
        <w:jc w:val="left"/>
        <w:rPr>
          <w:rFonts w:hint="eastAsia" w:ascii="宋体" w:hAnsi="宋体"/>
          <w:b/>
          <w:sz w:val="30"/>
          <w:szCs w:val="30"/>
        </w:rPr>
      </w:pPr>
      <w:r>
        <w:rPr>
          <w:rFonts w:ascii="宋体" w:hAnsi="宋体"/>
          <w:b/>
          <w:sz w:val="30"/>
          <w:szCs w:val="30"/>
        </w:rPr>
        <w:br w:type="page"/>
      </w:r>
    </w:p>
    <w:p>
      <w:pPr>
        <w:pStyle w:val="33"/>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pPr>
        <w:jc w:val="center"/>
        <w:outlineLvl w:val="0"/>
      </w:pPr>
      <w:r>
        <w:rPr>
          <w:rFonts w:hint="eastAsia"/>
          <w:b/>
          <w:sz w:val="24"/>
        </w:rPr>
        <w:t>（仅供参考，具体以项目需求及采购结果为准）</w:t>
      </w:r>
    </w:p>
    <w:p>
      <w:pPr>
        <w:spacing w:line="480" w:lineRule="exact"/>
        <w:ind w:right="720" w:firstLine="5310" w:firstLineChars="2950"/>
        <w:rPr>
          <w:rFonts w:hint="eastAsia"/>
          <w:sz w:val="18"/>
          <w:szCs w:val="18"/>
        </w:rPr>
      </w:pPr>
      <w:r>
        <w:rPr>
          <w:rFonts w:hint="eastAsia"/>
          <w:sz w:val="18"/>
          <w:szCs w:val="18"/>
        </w:rPr>
        <w:t>合同号：</w:t>
      </w:r>
    </w:p>
    <w:p>
      <w:pPr>
        <w:spacing w:line="480" w:lineRule="exact"/>
        <w:ind w:right="360"/>
        <w:jc w:val="right"/>
        <w:rPr>
          <w:rFonts w:hint="eastAsia"/>
          <w:sz w:val="18"/>
          <w:szCs w:val="18"/>
        </w:rPr>
      </w:pPr>
    </w:p>
    <w:p>
      <w:pPr>
        <w:pStyle w:val="2"/>
        <w:rPr>
          <w:rFonts w:hint="eastAsia"/>
          <w:sz w:val="18"/>
          <w:szCs w:val="18"/>
        </w:rPr>
      </w:pPr>
    </w:p>
    <w:p>
      <w:pPr>
        <w:pStyle w:val="3"/>
        <w:rPr>
          <w:rFonts w:hint="eastAsia"/>
        </w:rPr>
      </w:pPr>
    </w:p>
    <w:p>
      <w:pPr>
        <w:pStyle w:val="3"/>
        <w:rPr>
          <w:rFonts w:hint="eastAsia"/>
        </w:rPr>
      </w:pPr>
    </w:p>
    <w:p>
      <w:pPr>
        <w:spacing w:line="480" w:lineRule="exact"/>
        <w:jc w:val="center"/>
        <w:rPr>
          <w:rFonts w:hint="eastAsia"/>
          <w:sz w:val="44"/>
          <w:szCs w:val="44"/>
        </w:rPr>
      </w:pPr>
    </w:p>
    <w:p>
      <w:pPr>
        <w:jc w:val="center"/>
        <w:rPr>
          <w:rFonts w:hint="eastAsia"/>
          <w:b/>
          <w:sz w:val="52"/>
          <w:szCs w:val="52"/>
        </w:rPr>
      </w:pPr>
      <w:r>
        <w:rPr>
          <w:rFonts w:hint="eastAsia"/>
          <w:b/>
          <w:sz w:val="52"/>
          <w:szCs w:val="52"/>
        </w:rPr>
        <w:t>深圳市工程建设监理</w:t>
      </w:r>
      <w:r>
        <w:rPr>
          <w:rFonts w:hint="eastAsia"/>
          <w:b/>
          <w:sz w:val="52"/>
          <w:szCs w:val="52"/>
          <w:lang w:eastAsia="zh-CN"/>
        </w:rPr>
        <w:t>服务</w:t>
      </w:r>
      <w:r>
        <w:rPr>
          <w:rFonts w:hint="eastAsia"/>
          <w:b/>
          <w:sz w:val="52"/>
          <w:szCs w:val="52"/>
        </w:rPr>
        <w:t>合同</w:t>
      </w:r>
    </w:p>
    <w:p>
      <w:pPr>
        <w:spacing w:line="480" w:lineRule="exact"/>
        <w:jc w:val="center"/>
        <w:rPr>
          <w:rFonts w:hint="eastAsia"/>
          <w:sz w:val="44"/>
          <w:szCs w:val="44"/>
        </w:rPr>
      </w:pPr>
    </w:p>
    <w:p>
      <w:pPr>
        <w:spacing w:line="480" w:lineRule="exact"/>
        <w:jc w:val="center"/>
        <w:rPr>
          <w:rFonts w:hint="eastAsia"/>
          <w:sz w:val="44"/>
          <w:szCs w:val="44"/>
        </w:rPr>
      </w:pPr>
    </w:p>
    <w:p>
      <w:pPr>
        <w:spacing w:line="480" w:lineRule="exact"/>
        <w:jc w:val="center"/>
        <w:rPr>
          <w:rFonts w:hint="eastAsia"/>
          <w:sz w:val="44"/>
          <w:szCs w:val="44"/>
        </w:rPr>
      </w:pPr>
    </w:p>
    <w:p>
      <w:pPr>
        <w:spacing w:line="480" w:lineRule="exact"/>
        <w:rPr>
          <w:rFonts w:hint="eastAsia"/>
          <w:sz w:val="44"/>
          <w:szCs w:val="44"/>
        </w:rPr>
      </w:pPr>
    </w:p>
    <w:p>
      <w:pPr>
        <w:spacing w:line="480" w:lineRule="exact"/>
        <w:jc w:val="center"/>
        <w:rPr>
          <w:rFonts w:hint="eastAsia"/>
          <w:sz w:val="44"/>
          <w:szCs w:val="44"/>
        </w:rPr>
      </w:pPr>
    </w:p>
    <w:p>
      <w:pPr>
        <w:spacing w:line="480" w:lineRule="exact"/>
        <w:jc w:val="center"/>
        <w:rPr>
          <w:rFonts w:hint="eastAsia"/>
          <w:sz w:val="44"/>
          <w:szCs w:val="44"/>
        </w:rPr>
      </w:pPr>
    </w:p>
    <w:p>
      <w:pPr>
        <w:ind w:firstLine="301" w:firstLineChars="100"/>
        <w:jc w:val="left"/>
        <w:rPr>
          <w:rFonts w:hint="eastAsia" w:ascii="宋体" w:hAnsi="宋体" w:cs="宋体"/>
          <w:sz w:val="24"/>
          <w:u w:val="single"/>
        </w:rPr>
      </w:pPr>
      <w:r>
        <w:rPr>
          <w:rFonts w:hint="eastAsia"/>
          <w:b/>
          <w:sz w:val="30"/>
          <w:szCs w:val="30"/>
        </w:rPr>
        <w:t>项目名称：</w:t>
      </w:r>
      <w:r>
        <w:rPr>
          <w:rFonts w:hint="eastAsia" w:ascii="宋体" w:hAnsi="宋体" w:cs="宋体"/>
          <w:sz w:val="24"/>
          <w:u w:val="single"/>
        </w:rPr>
        <w:t>市局大院露天停车雨棚建设工程</w:t>
      </w:r>
    </w:p>
    <w:p>
      <w:pPr>
        <w:ind w:firstLine="301" w:firstLineChars="100"/>
        <w:rPr>
          <w:b/>
          <w:sz w:val="30"/>
          <w:szCs w:val="30"/>
        </w:rPr>
      </w:pPr>
      <w:r>
        <w:rPr>
          <w:rFonts w:hint="eastAsia"/>
          <w:b/>
          <w:sz w:val="30"/>
          <w:szCs w:val="30"/>
        </w:rPr>
        <w:t>工程地点：</w:t>
      </w:r>
      <w:r>
        <w:rPr>
          <w:rFonts w:hint="eastAsia" w:ascii="宋体" w:hAnsi="宋体" w:cs="宋体"/>
          <w:sz w:val="24"/>
          <w:u w:val="single"/>
        </w:rPr>
        <w:t>深圳市罗湖区解放路4018号</w:t>
      </w:r>
      <w:r>
        <w:rPr>
          <w:rFonts w:hint="eastAsia" w:ascii="宋体" w:hAnsi="宋体" w:cs="宋体"/>
          <w:spacing w:val="-1"/>
          <w:sz w:val="28"/>
          <w:szCs w:val="28"/>
          <w:u w:val="single"/>
        </w:rPr>
        <w:t xml:space="preserve">          </w:t>
      </w:r>
    </w:p>
    <w:p>
      <w:pPr>
        <w:ind w:firstLine="301" w:firstLineChars="100"/>
        <w:rPr>
          <w:rFonts w:hint="eastAsia"/>
          <w:b/>
          <w:sz w:val="30"/>
          <w:szCs w:val="30"/>
        </w:rPr>
      </w:pPr>
      <w:r>
        <w:rPr>
          <w:rFonts w:hint="eastAsia"/>
          <w:b/>
          <w:sz w:val="30"/>
          <w:szCs w:val="30"/>
        </w:rPr>
        <w:t xml:space="preserve">甲 </w:t>
      </w:r>
      <w:r>
        <w:rPr>
          <w:b/>
          <w:sz w:val="30"/>
          <w:szCs w:val="30"/>
        </w:rPr>
        <w:t xml:space="preserve"> </w:t>
      </w:r>
      <w:r>
        <w:rPr>
          <w:rFonts w:hint="eastAsia"/>
          <w:b/>
          <w:sz w:val="30"/>
          <w:szCs w:val="30"/>
        </w:rPr>
        <w:t xml:space="preserve">  方：</w:t>
      </w:r>
      <w:r>
        <w:rPr>
          <w:rFonts w:hint="eastAsia" w:ascii="宋体" w:hAnsi="宋体" w:cs="宋体"/>
          <w:sz w:val="24"/>
          <w:u w:val="single"/>
        </w:rPr>
        <w:t>深圳市公安局</w:t>
      </w:r>
      <w:r>
        <w:rPr>
          <w:rFonts w:hint="eastAsia" w:ascii="宋体" w:hAnsi="宋体" w:cs="宋体"/>
          <w:sz w:val="22"/>
          <w:szCs w:val="22"/>
          <w:u w:val="single"/>
        </w:rPr>
        <w:t xml:space="preserve"> </w:t>
      </w:r>
      <w:r>
        <w:rPr>
          <w:rFonts w:hint="eastAsia"/>
          <w:sz w:val="28"/>
          <w:szCs w:val="28"/>
          <w:u w:val="single"/>
        </w:rPr>
        <w:t xml:space="preserve">                </w:t>
      </w:r>
    </w:p>
    <w:p>
      <w:pPr>
        <w:ind w:firstLine="301" w:firstLineChars="100"/>
        <w:rPr>
          <w:rFonts w:hint="eastAsia"/>
          <w:sz w:val="30"/>
          <w:szCs w:val="30"/>
        </w:rPr>
      </w:pPr>
      <w:r>
        <w:rPr>
          <w:rFonts w:hint="eastAsia"/>
          <w:b/>
          <w:sz w:val="30"/>
          <w:szCs w:val="30"/>
        </w:rPr>
        <w:t>监理单位：</w:t>
      </w:r>
      <w:r>
        <w:rPr>
          <w:rFonts w:hint="eastAsia"/>
          <w:sz w:val="28"/>
          <w:szCs w:val="28"/>
          <w:u w:val="single"/>
        </w:rPr>
        <w:t xml:space="preserve">                         </w:t>
      </w:r>
    </w:p>
    <w:p>
      <w:pPr>
        <w:spacing w:line="480" w:lineRule="exact"/>
        <w:rPr>
          <w:rFonts w:hint="eastAsia"/>
        </w:rPr>
      </w:pPr>
    </w:p>
    <w:p>
      <w:pPr>
        <w:spacing w:line="480" w:lineRule="exact"/>
        <w:rPr>
          <w:rFonts w:hint="eastAsia"/>
          <w:b/>
        </w:rPr>
      </w:pPr>
    </w:p>
    <w:p>
      <w:pPr>
        <w:spacing w:line="480" w:lineRule="exact"/>
        <w:jc w:val="center"/>
        <w:rPr>
          <w:rFonts w:hint="eastAsia"/>
          <w:b/>
          <w:sz w:val="32"/>
          <w:szCs w:val="32"/>
        </w:rPr>
      </w:pPr>
      <w:r>
        <w:rPr>
          <w:rFonts w:hint="eastAsia"/>
          <w:b/>
          <w:sz w:val="32"/>
          <w:szCs w:val="32"/>
        </w:rPr>
        <w:t>深圳市建设局印制</w:t>
      </w:r>
    </w:p>
    <w:p>
      <w:pPr>
        <w:spacing w:line="480" w:lineRule="exact"/>
        <w:jc w:val="center"/>
        <w:rPr>
          <w:rFonts w:hint="eastAsia"/>
          <w:b/>
          <w:sz w:val="44"/>
          <w:szCs w:val="44"/>
        </w:rPr>
      </w:pPr>
      <w:r>
        <w:rPr>
          <w:rFonts w:hint="eastAsia"/>
          <w:b/>
          <w:sz w:val="32"/>
          <w:szCs w:val="32"/>
        </w:rPr>
        <w:t>深圳市工商行政管理局监制</w:t>
      </w:r>
    </w:p>
    <w:p>
      <w:pPr>
        <w:spacing w:line="480" w:lineRule="exact"/>
        <w:jc w:val="center"/>
        <w:rPr>
          <w:rFonts w:hint="eastAsia"/>
          <w:b/>
          <w:sz w:val="44"/>
          <w:szCs w:val="44"/>
        </w:rPr>
      </w:pPr>
      <w:r>
        <w:rPr>
          <w:rFonts w:hint="eastAsia"/>
          <w:b/>
          <w:sz w:val="44"/>
          <w:szCs w:val="44"/>
        </w:rPr>
        <w:t>合  同  书</w:t>
      </w:r>
    </w:p>
    <w:p>
      <w:pPr>
        <w:spacing w:line="480" w:lineRule="exact"/>
        <w:rPr>
          <w:rFonts w:hint="eastAsia"/>
          <w:sz w:val="30"/>
          <w:szCs w:val="30"/>
        </w:rPr>
      </w:pPr>
    </w:p>
    <w:p>
      <w:pPr>
        <w:spacing w:line="480" w:lineRule="exact"/>
        <w:rPr>
          <w:rFonts w:hint="eastAsia"/>
          <w:sz w:val="24"/>
        </w:rPr>
      </w:pPr>
      <w:r>
        <w:rPr>
          <w:rFonts w:hint="eastAsia"/>
          <w:b/>
          <w:bCs/>
          <w:sz w:val="24"/>
        </w:rPr>
        <w:t xml:space="preserve">甲 </w:t>
      </w:r>
      <w:r>
        <w:rPr>
          <w:b/>
          <w:bCs/>
          <w:sz w:val="24"/>
        </w:rPr>
        <w:t xml:space="preserve">  </w:t>
      </w:r>
      <w:r>
        <w:rPr>
          <w:rFonts w:hint="eastAsia"/>
          <w:b/>
          <w:bCs/>
          <w:sz w:val="24"/>
        </w:rPr>
        <w:t>方：</w:t>
      </w:r>
      <w:r>
        <w:rPr>
          <w:rFonts w:hint="eastAsia"/>
          <w:sz w:val="30"/>
          <w:szCs w:val="30"/>
          <w:u w:val="single"/>
        </w:rPr>
        <w:t xml:space="preserve">  </w:t>
      </w:r>
      <w:r>
        <w:rPr>
          <w:rFonts w:hint="eastAsia" w:ascii="宋体" w:hAnsi="宋体" w:cs="宋体"/>
          <w:sz w:val="30"/>
          <w:szCs w:val="30"/>
          <w:u w:val="single"/>
        </w:rPr>
        <w:t xml:space="preserve"> </w:t>
      </w:r>
      <w:r>
        <w:rPr>
          <w:rFonts w:hint="eastAsia"/>
          <w:sz w:val="24"/>
          <w:u w:val="single"/>
        </w:rPr>
        <w:t xml:space="preserve">深圳市公安局                         </w:t>
      </w:r>
      <w:r>
        <w:rPr>
          <w:rFonts w:hint="eastAsia"/>
          <w:sz w:val="24"/>
        </w:rPr>
        <w:t xml:space="preserve">       </w:t>
      </w:r>
    </w:p>
    <w:p>
      <w:pPr>
        <w:spacing w:line="480" w:lineRule="exact"/>
        <w:rPr>
          <w:rFonts w:hint="eastAsia"/>
          <w:sz w:val="24"/>
        </w:rPr>
      </w:pPr>
      <w:r>
        <w:rPr>
          <w:rFonts w:hint="eastAsia"/>
          <w:b/>
          <w:bCs/>
          <w:sz w:val="24"/>
        </w:rPr>
        <w:t>监理单位：</w:t>
      </w:r>
      <w:r>
        <w:rPr>
          <w:rFonts w:hint="eastAsia"/>
          <w:sz w:val="24"/>
          <w:u w:val="single"/>
        </w:rPr>
        <w:t xml:space="preserve">                                         </w:t>
      </w:r>
      <w:r>
        <w:rPr>
          <w:rFonts w:hint="eastAsia"/>
          <w:sz w:val="24"/>
        </w:rPr>
        <w:t xml:space="preserve">            </w:t>
      </w:r>
    </w:p>
    <w:p>
      <w:pPr>
        <w:spacing w:line="480" w:lineRule="exact"/>
        <w:ind w:firstLine="480" w:firstLineChars="200"/>
        <w:rPr>
          <w:rFonts w:hint="eastAsia"/>
          <w:sz w:val="24"/>
        </w:rPr>
      </w:pPr>
      <w:r>
        <w:rPr>
          <w:rFonts w:hint="eastAsia"/>
          <w:sz w:val="24"/>
        </w:rPr>
        <w:t>按照《中华人民共和国民法典》、《中华人民共和国建筑法》和《深圳经济特区建设监理条例》的有关规定，经过双方协商一致，签订本合同。甲方委托监理单位监理的工程（以下简称“本工程”）概况如下：</w:t>
      </w:r>
    </w:p>
    <w:p>
      <w:pPr>
        <w:spacing w:line="480" w:lineRule="exact"/>
        <w:ind w:firstLine="482" w:firstLineChars="200"/>
        <w:rPr>
          <w:rFonts w:hint="eastAsia"/>
          <w:sz w:val="24"/>
        </w:rPr>
      </w:pPr>
      <w:r>
        <w:rPr>
          <w:rFonts w:hint="eastAsia"/>
          <w:b/>
          <w:bCs/>
          <w:sz w:val="24"/>
        </w:rPr>
        <w:t>工程名称：</w:t>
      </w:r>
      <w:r>
        <w:rPr>
          <w:rFonts w:hint="eastAsia" w:ascii="宋体" w:hAnsi="宋体" w:cs="宋体"/>
          <w:sz w:val="24"/>
          <w:u w:val="single"/>
        </w:rPr>
        <w:t>市局大院露天停车雨棚建设工程</w:t>
      </w:r>
    </w:p>
    <w:p>
      <w:pPr>
        <w:spacing w:line="480" w:lineRule="exact"/>
        <w:ind w:firstLine="482" w:firstLineChars="200"/>
        <w:rPr>
          <w:rFonts w:hint="eastAsia"/>
          <w:color w:val="0000FF"/>
          <w:sz w:val="24"/>
        </w:rPr>
      </w:pPr>
      <w:r>
        <w:rPr>
          <w:rFonts w:hint="eastAsia"/>
          <w:b/>
          <w:bCs/>
          <w:sz w:val="24"/>
        </w:rPr>
        <w:t>工程地点：</w:t>
      </w:r>
      <w:r>
        <w:rPr>
          <w:rFonts w:hint="eastAsia" w:ascii="宋体" w:hAnsi="宋体" w:cs="宋体"/>
          <w:sz w:val="24"/>
          <w:u w:val="single"/>
        </w:rPr>
        <w:t>深圳市罗湖区解放路4018号</w:t>
      </w:r>
      <w:r>
        <w:rPr>
          <w:rFonts w:hint="eastAsia"/>
          <w:sz w:val="24"/>
          <w:u w:val="single"/>
        </w:rPr>
        <w:t xml:space="preserve">    </w:t>
      </w:r>
      <w:r>
        <w:rPr>
          <w:rFonts w:hint="eastAsia" w:ascii="宋体" w:hAnsi="宋体"/>
          <w:sz w:val="24"/>
          <w:u w:val="single"/>
        </w:rPr>
        <w:t xml:space="preserve">        </w:t>
      </w:r>
    </w:p>
    <w:p>
      <w:pPr>
        <w:numPr>
          <w:ilvl w:val="0"/>
          <w:numId w:val="1"/>
        </w:numPr>
        <w:spacing w:line="480" w:lineRule="exact"/>
        <w:rPr>
          <w:rFonts w:hint="eastAsia"/>
          <w:sz w:val="24"/>
        </w:rPr>
      </w:pPr>
      <w:r>
        <w:rPr>
          <w:rFonts w:hint="eastAsia"/>
          <w:sz w:val="24"/>
        </w:rPr>
        <w:t>本合同中的措词和用语与所属的监理合同条件及有关附件中的措词和用法同义。</w:t>
      </w:r>
    </w:p>
    <w:p>
      <w:pPr>
        <w:numPr>
          <w:ilvl w:val="0"/>
          <w:numId w:val="1"/>
        </w:numPr>
        <w:spacing w:line="480" w:lineRule="exact"/>
        <w:rPr>
          <w:rFonts w:hint="eastAsia"/>
          <w:sz w:val="24"/>
        </w:rPr>
      </w:pPr>
      <w:r>
        <w:rPr>
          <w:rFonts w:hint="eastAsia"/>
          <w:sz w:val="24"/>
        </w:rPr>
        <w:t>下列文件均为本合同的组成部份。除专用条款另有约定外，本合同文件的解释顺序如下：</w:t>
      </w:r>
    </w:p>
    <w:p>
      <w:pPr>
        <w:spacing w:line="480" w:lineRule="exact"/>
        <w:ind w:firstLine="979" w:firstLineChars="408"/>
        <w:rPr>
          <w:rFonts w:hint="eastAsia"/>
          <w:sz w:val="24"/>
        </w:rPr>
      </w:pPr>
      <w:r>
        <w:rPr>
          <w:rFonts w:hint="eastAsia"/>
          <w:sz w:val="24"/>
        </w:rPr>
        <w:t>2.1监理委托函或中标函、招标文件；</w:t>
      </w:r>
    </w:p>
    <w:p>
      <w:pPr>
        <w:spacing w:line="480" w:lineRule="exact"/>
        <w:ind w:firstLine="979" w:firstLineChars="408"/>
        <w:rPr>
          <w:rFonts w:hint="eastAsia"/>
          <w:sz w:val="24"/>
        </w:rPr>
      </w:pPr>
      <w:r>
        <w:rPr>
          <w:rFonts w:hint="eastAsia"/>
          <w:sz w:val="24"/>
        </w:rPr>
        <w:t>2.2深圳市工程建设监理合同书；</w:t>
      </w:r>
    </w:p>
    <w:p>
      <w:pPr>
        <w:spacing w:line="480" w:lineRule="exact"/>
        <w:ind w:left="-6" w:leftChars="-3" w:firstLine="979" w:firstLineChars="408"/>
        <w:rPr>
          <w:rFonts w:hint="eastAsia"/>
          <w:sz w:val="24"/>
        </w:rPr>
      </w:pPr>
      <w:r>
        <w:rPr>
          <w:rFonts w:hint="eastAsia"/>
          <w:sz w:val="24"/>
        </w:rPr>
        <w:t>2.3深圳市工程建设监理合同专用条款；</w:t>
      </w:r>
    </w:p>
    <w:p>
      <w:pPr>
        <w:spacing w:line="480" w:lineRule="exact"/>
        <w:ind w:left="-6" w:leftChars="-3" w:firstLine="979" w:firstLineChars="408"/>
        <w:rPr>
          <w:rFonts w:hint="eastAsia"/>
          <w:sz w:val="24"/>
        </w:rPr>
      </w:pPr>
      <w:r>
        <w:rPr>
          <w:rFonts w:hint="eastAsia"/>
          <w:sz w:val="24"/>
        </w:rPr>
        <w:t>2.4深圳市工程建设监理合同通用条款；</w:t>
      </w:r>
    </w:p>
    <w:p>
      <w:pPr>
        <w:spacing w:line="480" w:lineRule="exact"/>
        <w:ind w:left="-6" w:leftChars="-3" w:firstLine="979" w:firstLineChars="408"/>
        <w:rPr>
          <w:rFonts w:hint="eastAsia"/>
          <w:sz w:val="24"/>
        </w:rPr>
      </w:pPr>
      <w:r>
        <w:rPr>
          <w:rFonts w:hint="eastAsia"/>
          <w:sz w:val="24"/>
        </w:rPr>
        <w:t>2.5在实施过程中共同签署的补充与修正文件。</w:t>
      </w:r>
    </w:p>
    <w:p>
      <w:pPr>
        <w:spacing w:line="480" w:lineRule="exact"/>
        <w:ind w:left="-6" w:leftChars="-3" w:firstLine="979" w:firstLineChars="408"/>
        <w:rPr>
          <w:rFonts w:hint="eastAsia"/>
          <w:sz w:val="24"/>
        </w:rPr>
      </w:pPr>
      <w:r>
        <w:rPr>
          <w:rFonts w:hint="eastAsia"/>
          <w:sz w:val="24"/>
        </w:rPr>
        <w:t>双方签订的补充协议与其他文件发生矛盾或歧义时，实质性条款以招标文件为准，其余属于同一类内容的文件，应以最新签署的为准。</w:t>
      </w:r>
    </w:p>
    <w:p>
      <w:pPr>
        <w:numPr>
          <w:ilvl w:val="0"/>
          <w:numId w:val="1"/>
        </w:numPr>
        <w:spacing w:line="480" w:lineRule="exact"/>
        <w:rPr>
          <w:rFonts w:hint="eastAsia"/>
          <w:sz w:val="24"/>
        </w:rPr>
      </w:pPr>
      <w:r>
        <w:rPr>
          <w:rFonts w:hint="eastAsia"/>
          <w:sz w:val="24"/>
        </w:rPr>
        <w:t>监理范围：</w:t>
      </w:r>
    </w:p>
    <w:p>
      <w:pPr>
        <w:spacing w:line="480" w:lineRule="exact"/>
        <w:ind w:left="960"/>
        <w:rPr>
          <w:color w:val="000000"/>
          <w:sz w:val="24"/>
          <w:u w:val="single"/>
        </w:rPr>
      </w:pPr>
      <w:r>
        <w:rPr>
          <w:rFonts w:hint="eastAsia"/>
          <w:sz w:val="24"/>
        </w:rPr>
        <w:t>经双方协商，甲方委托监理单位对承包单位在施工质量、建设工期和建设资金使用等方面，代表建设单位实施监督。对本工程下列阶段实行监理：</w:t>
      </w:r>
      <w:r>
        <w:rPr>
          <w:rFonts w:hint="eastAsia"/>
          <w:color w:val="000000"/>
          <w:sz w:val="24"/>
          <w:u w:val="single"/>
        </w:rPr>
        <w:t>施工准备阶段、施工阶段、保修阶段 。</w:t>
      </w:r>
    </w:p>
    <w:p>
      <w:pPr>
        <w:spacing w:line="480" w:lineRule="exact"/>
        <w:rPr>
          <w:rFonts w:hint="eastAsia"/>
          <w:sz w:val="24"/>
        </w:rPr>
      </w:pPr>
      <w:r>
        <w:rPr>
          <w:rFonts w:hint="eastAsia"/>
          <w:color w:val="000000"/>
          <w:sz w:val="24"/>
          <w:u w:val="none"/>
        </w:rPr>
        <w:t>第四条</w:t>
      </w:r>
      <w:r>
        <w:rPr>
          <w:rFonts w:hint="eastAsia"/>
          <w:color w:val="000000"/>
          <w:sz w:val="24"/>
        </w:rPr>
        <w:t xml:space="preserve"> </w:t>
      </w:r>
      <w:r>
        <w:rPr>
          <w:color w:val="000000"/>
          <w:sz w:val="24"/>
        </w:rPr>
        <w:t xml:space="preserve"> </w:t>
      </w:r>
      <w:r>
        <w:rPr>
          <w:rFonts w:hint="eastAsia"/>
          <w:sz w:val="24"/>
        </w:rPr>
        <w:t>监理酬金的计取及支付方式：</w:t>
      </w:r>
    </w:p>
    <w:p>
      <w:pPr>
        <w:pStyle w:val="22"/>
        <w:spacing w:after="0" w:line="360" w:lineRule="auto"/>
        <w:ind w:left="0" w:leftChars="0" w:firstLine="480"/>
        <w:rPr>
          <w:rFonts w:hint="eastAsia"/>
          <w:sz w:val="24"/>
        </w:rPr>
      </w:pPr>
      <w:r>
        <w:rPr>
          <w:rFonts w:hint="eastAsia"/>
          <w:sz w:val="24"/>
        </w:rPr>
        <w:t>4.1 本项目服务费应包括服务成本、员工的工资、加班费、社保、公积金、商业保险及其它与用工相关的劳保、福利、法律法规明确应予支付给劳动者的费用、以及法定税费和企业的利润。合同暂定金额以招标预算价</w:t>
      </w:r>
      <w:r>
        <w:rPr>
          <w:rFonts w:hint="eastAsia"/>
          <w:sz w:val="24"/>
          <w:lang w:val="en-US" w:eastAsia="zh-CN"/>
        </w:rPr>
        <w:t>6.3</w:t>
      </w:r>
      <w:r>
        <w:rPr>
          <w:rFonts w:hint="eastAsia"/>
          <w:sz w:val="24"/>
        </w:rPr>
        <w:t>万元下浮XX%后，计得  XXX元  ，合同期限内不做调整；</w:t>
      </w:r>
    </w:p>
    <w:p>
      <w:pPr>
        <w:pStyle w:val="22"/>
        <w:spacing w:after="0" w:line="360" w:lineRule="auto"/>
        <w:ind w:left="0" w:leftChars="0" w:firstLine="480"/>
        <w:rPr>
          <w:rFonts w:hint="eastAsia"/>
          <w:sz w:val="24"/>
        </w:rPr>
      </w:pPr>
      <w:r>
        <w:rPr>
          <w:rFonts w:hint="eastAsia"/>
          <w:sz w:val="24"/>
        </w:rPr>
        <w:t>4.1.1 监理酬金按工程投资额的百分比计取。</w:t>
      </w:r>
    </w:p>
    <w:p>
      <w:pPr>
        <w:spacing w:line="480" w:lineRule="exact"/>
        <w:ind w:firstLine="480" w:firstLineChars="200"/>
        <w:rPr>
          <w:rFonts w:hint="eastAsia"/>
          <w:sz w:val="24"/>
        </w:rPr>
      </w:pPr>
      <w:r>
        <w:rPr>
          <w:rFonts w:hint="eastAsia"/>
          <w:sz w:val="24"/>
        </w:rPr>
        <w:t>4.2监理酬金的支付方式：</w:t>
      </w:r>
    </w:p>
    <w:p>
      <w:pPr>
        <w:spacing w:before="0" w:beforeAutospacing="0" w:after="0" w:afterAutospacing="0" w:line="480" w:lineRule="exact"/>
        <w:ind w:firstLine="480" w:firstLineChars="200"/>
        <w:rPr>
          <w:rFonts w:hint="eastAsia"/>
          <w:sz w:val="24"/>
        </w:rPr>
      </w:pPr>
      <w:r>
        <w:rPr>
          <w:rFonts w:hint="eastAsia"/>
          <w:sz w:val="24"/>
        </w:rPr>
        <w:t>4</w:t>
      </w:r>
      <w:r>
        <w:rPr>
          <w:rFonts w:hint="eastAsia"/>
          <w:sz w:val="24"/>
          <w:lang w:val="zh-CN"/>
        </w:rPr>
        <w:t>.2.</w:t>
      </w:r>
      <w:r>
        <w:rPr>
          <w:rFonts w:hint="eastAsia"/>
          <w:sz w:val="24"/>
        </w:rPr>
        <w:t>1</w:t>
      </w:r>
      <w:r>
        <w:rPr>
          <w:rFonts w:hint="eastAsia" w:ascii="Times New Roman" w:hAnsi="Times New Roman" w:cs="Times New Roman"/>
          <w:b w:val="0"/>
          <w:bCs w:val="0"/>
          <w:sz w:val="24"/>
          <w:szCs w:val="24"/>
        </w:rPr>
        <w:t>第一次：施工形象进度达到50%时，且未发生安全文明事故，</w:t>
      </w:r>
      <w:r>
        <w:rPr>
          <w:rFonts w:hint="eastAsia"/>
          <w:sz w:val="24"/>
        </w:rPr>
        <w:t>监理单位</w:t>
      </w:r>
      <w:r>
        <w:rPr>
          <w:rFonts w:hint="eastAsia" w:ascii="Times New Roman" w:hAnsi="Times New Roman" w:cs="Times New Roman"/>
          <w:b w:val="0"/>
          <w:bCs w:val="0"/>
          <w:sz w:val="24"/>
          <w:szCs w:val="24"/>
        </w:rPr>
        <w:t>可以提出请款申请并提交完整请款资料后10个工作日内，</w:t>
      </w:r>
      <w:r>
        <w:rPr>
          <w:rFonts w:hint="eastAsia"/>
          <w:sz w:val="24"/>
        </w:rPr>
        <w:t>甲方</w:t>
      </w:r>
      <w:r>
        <w:rPr>
          <w:rFonts w:hint="eastAsia" w:ascii="Times New Roman" w:hAnsi="Times New Roman" w:cs="Times New Roman"/>
          <w:b w:val="0"/>
          <w:bCs w:val="0"/>
          <w:sz w:val="24"/>
          <w:szCs w:val="24"/>
        </w:rPr>
        <w:t>支付合同总金额的40%作为第一笔进度款。</w:t>
      </w:r>
    </w:p>
    <w:p>
      <w:pPr>
        <w:spacing w:before="0" w:beforeAutospacing="0" w:after="0" w:afterAutospacing="0" w:line="480" w:lineRule="exact"/>
        <w:ind w:firstLine="480" w:firstLineChars="200"/>
        <w:rPr>
          <w:rFonts w:hint="eastAsia"/>
          <w:sz w:val="24"/>
        </w:rPr>
      </w:pPr>
      <w:r>
        <w:rPr>
          <w:rFonts w:hint="eastAsia"/>
          <w:sz w:val="24"/>
        </w:rPr>
        <w:t>4</w:t>
      </w:r>
      <w:r>
        <w:rPr>
          <w:rFonts w:hint="eastAsia"/>
          <w:sz w:val="24"/>
          <w:lang w:val="zh-CN"/>
        </w:rPr>
        <w:t>.2.</w:t>
      </w:r>
      <w:r>
        <w:rPr>
          <w:rFonts w:hint="eastAsia"/>
          <w:sz w:val="24"/>
        </w:rPr>
        <w:t>2</w:t>
      </w:r>
      <w:r>
        <w:rPr>
          <w:rFonts w:hint="eastAsia" w:ascii="Times New Roman" w:hAnsi="Times New Roman" w:cs="Times New Roman"/>
          <w:b w:val="0"/>
          <w:bCs w:val="0"/>
          <w:sz w:val="24"/>
          <w:szCs w:val="24"/>
        </w:rPr>
        <w:t>第二次：项目完成竣工验收，且未发生安全文明事故，</w:t>
      </w:r>
      <w:r>
        <w:rPr>
          <w:rFonts w:hint="eastAsia"/>
          <w:sz w:val="24"/>
        </w:rPr>
        <w:t>监理单位</w:t>
      </w:r>
      <w:r>
        <w:rPr>
          <w:rFonts w:hint="eastAsia" w:ascii="Times New Roman" w:hAnsi="Times New Roman" w:cs="Times New Roman"/>
          <w:b w:val="0"/>
          <w:bCs w:val="0"/>
          <w:sz w:val="24"/>
          <w:szCs w:val="24"/>
        </w:rPr>
        <w:t>可以提出申请并提交完整请款资料后10个工作日内，</w:t>
      </w:r>
      <w:r>
        <w:rPr>
          <w:rFonts w:hint="eastAsia"/>
          <w:sz w:val="24"/>
        </w:rPr>
        <w:t>甲方</w:t>
      </w:r>
      <w:r>
        <w:rPr>
          <w:rFonts w:hint="eastAsia" w:ascii="Times New Roman" w:hAnsi="Times New Roman" w:cs="Times New Roman"/>
          <w:b w:val="0"/>
          <w:bCs w:val="0"/>
          <w:sz w:val="24"/>
          <w:szCs w:val="24"/>
        </w:rPr>
        <w:t>支付全部剩余尾款。</w:t>
      </w:r>
    </w:p>
    <w:p>
      <w:pPr>
        <w:spacing w:before="0" w:beforeAutospacing="0" w:after="0" w:afterAutospacing="0" w:line="480" w:lineRule="exact"/>
        <w:ind w:firstLine="480" w:firstLineChars="200"/>
        <w:rPr>
          <w:rFonts w:hint="eastAsia" w:ascii="Times New Roman" w:hAnsi="Times New Roman" w:cs="Times New Roman"/>
          <w:b w:val="0"/>
          <w:bCs w:val="0"/>
          <w:sz w:val="24"/>
          <w:szCs w:val="24"/>
        </w:rPr>
      </w:pPr>
      <w:r>
        <w:rPr>
          <w:rFonts w:hint="eastAsia" w:ascii="Times New Roman" w:hAnsi="Times New Roman" w:cs="Times New Roman"/>
          <w:b w:val="0"/>
          <w:bCs w:val="0"/>
          <w:sz w:val="24"/>
          <w:szCs w:val="24"/>
        </w:rPr>
        <w:t>付款方式：</w:t>
      </w:r>
      <w:r>
        <w:rPr>
          <w:rFonts w:hint="eastAsia"/>
          <w:sz w:val="24"/>
        </w:rPr>
        <w:t>甲方</w:t>
      </w:r>
      <w:r>
        <w:rPr>
          <w:rFonts w:hint="eastAsia" w:ascii="Times New Roman" w:hAnsi="Times New Roman" w:cs="Times New Roman"/>
          <w:b w:val="0"/>
          <w:bCs w:val="0"/>
          <w:sz w:val="24"/>
          <w:szCs w:val="24"/>
        </w:rPr>
        <w:t>将通过银行转账方式支付款项，</w:t>
      </w:r>
      <w:r>
        <w:rPr>
          <w:rFonts w:hint="eastAsia"/>
          <w:sz w:val="24"/>
        </w:rPr>
        <w:t>监理单位</w:t>
      </w:r>
      <w:r>
        <w:rPr>
          <w:rFonts w:hint="eastAsia" w:ascii="Times New Roman" w:hAnsi="Times New Roman" w:cs="Times New Roman"/>
          <w:b w:val="0"/>
          <w:bCs w:val="0"/>
          <w:sz w:val="24"/>
          <w:szCs w:val="24"/>
        </w:rPr>
        <w:t>应在合同中明确收款账户信息，如有账户变更，需提前15个工作日书面向</w:t>
      </w:r>
      <w:r>
        <w:rPr>
          <w:rFonts w:hint="eastAsia"/>
          <w:sz w:val="24"/>
        </w:rPr>
        <w:t>甲方</w:t>
      </w:r>
      <w:r>
        <w:rPr>
          <w:rFonts w:hint="eastAsia" w:ascii="Times New Roman" w:hAnsi="Times New Roman" w:cs="Times New Roman"/>
          <w:b w:val="0"/>
          <w:bCs w:val="0"/>
          <w:sz w:val="24"/>
          <w:szCs w:val="24"/>
        </w:rPr>
        <w:t>提出变更申请。</w:t>
      </w:r>
    </w:p>
    <w:p>
      <w:pPr>
        <w:spacing w:line="480" w:lineRule="exact"/>
        <w:ind w:firstLine="480" w:firstLineChars="200"/>
        <w:rPr>
          <w:rFonts w:hint="eastAsia"/>
          <w:sz w:val="24"/>
          <w:lang w:val="zh-CN"/>
        </w:rPr>
      </w:pPr>
      <w:r>
        <w:rPr>
          <w:rFonts w:hint="eastAsia"/>
          <w:sz w:val="24"/>
        </w:rPr>
        <w:t>付款前，监理单位应开具符合国家规定的当次支付金额的全额发票给甲方，否则甲方有权拒绝付款。甲方按照相关程序提交财政支付申办手续即视为已履行支付义务，</w:t>
      </w:r>
      <w:r>
        <w:rPr>
          <w:rFonts w:hint="eastAsia"/>
          <w:kern w:val="2"/>
          <w:sz w:val="24"/>
          <w:szCs w:val="24"/>
        </w:rPr>
        <w:t>如因发改、财政未下达投资计划造成未能及时支付的，不视为</w:t>
      </w:r>
      <w:r>
        <w:rPr>
          <w:rFonts w:hint="eastAsia"/>
          <w:sz w:val="24"/>
        </w:rPr>
        <w:t>甲方</w:t>
      </w:r>
      <w:r>
        <w:rPr>
          <w:rFonts w:hint="eastAsia"/>
          <w:kern w:val="2"/>
          <w:sz w:val="24"/>
          <w:szCs w:val="24"/>
        </w:rPr>
        <w:t>违约。</w:t>
      </w: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rPr>
          <w:rFonts w:hint="eastAsia"/>
          <w:sz w:val="24"/>
        </w:rPr>
      </w:pPr>
    </w:p>
    <w:p>
      <w:pPr>
        <w:spacing w:line="480" w:lineRule="exact"/>
        <w:rPr>
          <w:rFonts w:hint="eastAsia"/>
          <w:sz w:val="24"/>
        </w:rPr>
      </w:pPr>
      <w:r>
        <w:rPr>
          <w:rFonts w:hint="eastAsia"/>
          <w:sz w:val="24"/>
        </w:rPr>
        <w:t xml:space="preserve">第五条 </w:t>
      </w:r>
      <w:r>
        <w:rPr>
          <w:sz w:val="24"/>
        </w:rPr>
        <w:t xml:space="preserve"> </w:t>
      </w:r>
      <w:r>
        <w:rPr>
          <w:rFonts w:hint="eastAsia"/>
          <w:sz w:val="24"/>
        </w:rPr>
        <w:t>监理期限：</w:t>
      </w:r>
    </w:p>
    <w:p>
      <w:pPr>
        <w:spacing w:line="480" w:lineRule="exact"/>
        <w:ind w:firstLine="960" w:firstLineChars="400"/>
        <w:rPr>
          <w:rFonts w:hint="eastAsia"/>
          <w:sz w:val="24"/>
        </w:rPr>
      </w:pPr>
      <w:r>
        <w:rPr>
          <w:rFonts w:hint="eastAsia"/>
          <w:sz w:val="24"/>
        </w:rPr>
        <w:t>5</w:t>
      </w:r>
      <w:r>
        <w:rPr>
          <w:rFonts w:hint="eastAsia"/>
          <w:sz w:val="24"/>
          <w:lang w:val="zh-CN"/>
        </w:rPr>
        <w:t>.1自合同签订之日起至本项目全部工程竣工验收完成。</w:t>
      </w:r>
    </w:p>
    <w:p>
      <w:pPr>
        <w:spacing w:line="480" w:lineRule="exact"/>
        <w:ind w:left="960"/>
        <w:rPr>
          <w:rFonts w:hint="eastAsia"/>
          <w:sz w:val="24"/>
        </w:rPr>
      </w:pPr>
      <w:r>
        <w:rPr>
          <w:rFonts w:hint="eastAsia"/>
          <w:sz w:val="24"/>
        </w:rPr>
        <w:t>5</w:t>
      </w:r>
      <w:r>
        <w:rPr>
          <w:sz w:val="24"/>
        </w:rPr>
        <w:t>.2</w:t>
      </w:r>
      <w:r>
        <w:rPr>
          <w:rFonts w:hint="eastAsia"/>
          <w:sz w:val="24"/>
        </w:rPr>
        <w:t>本合同自双方法定代表人或授权委托人签字并盖章之日起生效，合同一式六份，甲方执四份，监理单位执二份，具有同等法律效力。</w:t>
      </w:r>
    </w:p>
    <w:p>
      <w:pPr>
        <w:tabs>
          <w:tab w:val="left" w:pos="5400"/>
        </w:tabs>
        <w:spacing w:line="480" w:lineRule="exact"/>
        <w:rPr>
          <w:rFonts w:hint="eastAsia"/>
          <w:sz w:val="24"/>
        </w:rPr>
      </w:pPr>
    </w:p>
    <w:p>
      <w:pPr>
        <w:tabs>
          <w:tab w:val="left" w:pos="4920"/>
        </w:tabs>
        <w:spacing w:line="480" w:lineRule="exact"/>
        <w:ind w:left="2640" w:hanging="2640" w:hangingChars="1100"/>
        <w:rPr>
          <w:rFonts w:hint="eastAsia"/>
          <w:sz w:val="24"/>
        </w:rPr>
      </w:pPr>
    </w:p>
    <w:p>
      <w:pPr>
        <w:tabs>
          <w:tab w:val="left" w:pos="4920"/>
        </w:tabs>
        <w:spacing w:line="480" w:lineRule="exact"/>
        <w:ind w:left="2640" w:hanging="2640" w:hangingChars="1100"/>
        <w:rPr>
          <w:sz w:val="24"/>
          <w:u w:val="single"/>
        </w:rPr>
      </w:pPr>
      <w:r>
        <w:rPr>
          <w:rFonts w:hint="eastAsia"/>
          <w:sz w:val="24"/>
        </w:rPr>
        <w:t xml:space="preserve">甲方：深圳市公安局  </w:t>
      </w:r>
      <w:r>
        <w:rPr>
          <w:sz w:val="24"/>
        </w:rPr>
        <w:tab/>
      </w:r>
      <w:r>
        <w:rPr>
          <w:sz w:val="24"/>
        </w:rPr>
        <w:t xml:space="preserve">        </w:t>
      </w:r>
      <w:r>
        <w:rPr>
          <w:rFonts w:hint="eastAsia"/>
          <w:sz w:val="24"/>
        </w:rPr>
        <w:t>监理单位：</w:t>
      </w:r>
    </w:p>
    <w:p>
      <w:pPr>
        <w:tabs>
          <w:tab w:val="left" w:pos="5450"/>
        </w:tabs>
        <w:spacing w:line="480" w:lineRule="exact"/>
        <w:ind w:left="960"/>
        <w:rPr>
          <w:sz w:val="24"/>
        </w:rPr>
      </w:pPr>
    </w:p>
    <w:p>
      <w:pPr>
        <w:tabs>
          <w:tab w:val="left" w:pos="5450"/>
        </w:tabs>
        <w:spacing w:line="480" w:lineRule="exact"/>
        <w:rPr>
          <w:sz w:val="24"/>
        </w:rPr>
      </w:pPr>
      <w:r>
        <w:rPr>
          <w:rFonts w:hint="eastAsia"/>
          <w:sz w:val="24"/>
        </w:rPr>
        <w:t xml:space="preserve">法定代表人或授权委托人： </w:t>
      </w:r>
      <w:r>
        <w:rPr>
          <w:sz w:val="24"/>
        </w:rPr>
        <w:t xml:space="preserve">     </w:t>
      </w:r>
      <w:r>
        <w:rPr>
          <w:rFonts w:hint="eastAsia"/>
          <w:sz w:val="24"/>
        </w:rPr>
        <w:t>法定代表人或授权委托人：</w:t>
      </w:r>
    </w:p>
    <w:p>
      <w:pPr>
        <w:tabs>
          <w:tab w:val="left" w:pos="5450"/>
        </w:tabs>
        <w:spacing w:line="480" w:lineRule="exact"/>
        <w:ind w:left="960"/>
        <w:rPr>
          <w:sz w:val="24"/>
        </w:rPr>
      </w:pPr>
    </w:p>
    <w:p>
      <w:pPr>
        <w:tabs>
          <w:tab w:val="left" w:pos="5450"/>
        </w:tabs>
        <w:spacing w:line="480" w:lineRule="exact"/>
        <w:ind w:left="960"/>
        <w:rPr>
          <w:rFonts w:hint="eastAsia"/>
          <w:sz w:val="24"/>
        </w:rPr>
      </w:pPr>
    </w:p>
    <w:p>
      <w:pPr>
        <w:tabs>
          <w:tab w:val="left" w:pos="5450"/>
        </w:tabs>
        <w:spacing w:line="360" w:lineRule="auto"/>
        <w:rPr>
          <w:rFonts w:hint="eastAsia"/>
          <w:sz w:val="24"/>
        </w:rPr>
      </w:pPr>
      <w:r>
        <w:rPr>
          <w:rFonts w:hint="eastAsia"/>
          <w:sz w:val="24"/>
        </w:rPr>
        <w:t>地址：罗湖区解放路4</w:t>
      </w:r>
      <w:r>
        <w:rPr>
          <w:sz w:val="24"/>
        </w:rPr>
        <w:t>018</w:t>
      </w:r>
      <w:r>
        <w:rPr>
          <w:rFonts w:hint="eastAsia"/>
          <w:sz w:val="24"/>
        </w:rPr>
        <w:t xml:space="preserve">号     </w:t>
      </w:r>
      <w:r>
        <w:rPr>
          <w:sz w:val="24"/>
        </w:rPr>
        <w:t xml:space="preserve">   </w:t>
      </w:r>
      <w:r>
        <w:rPr>
          <w:rFonts w:hint="eastAsia"/>
          <w:sz w:val="24"/>
        </w:rPr>
        <w:t>地址：</w:t>
      </w:r>
    </w:p>
    <w:p>
      <w:pPr>
        <w:tabs>
          <w:tab w:val="left" w:pos="5450"/>
        </w:tabs>
        <w:spacing w:line="360" w:lineRule="auto"/>
        <w:ind w:left="960"/>
        <w:rPr>
          <w:rFonts w:hint="eastAsia"/>
          <w:sz w:val="24"/>
        </w:rPr>
      </w:pPr>
      <w:r>
        <w:rPr>
          <w:rFonts w:hint="eastAsia"/>
          <w:sz w:val="24"/>
        </w:rPr>
        <w:t xml:space="preserve">                                       </w:t>
      </w:r>
    </w:p>
    <w:p>
      <w:pPr>
        <w:jc w:val="center"/>
        <w:rPr>
          <w:rFonts w:hint="eastAsia"/>
          <w:sz w:val="24"/>
        </w:rPr>
      </w:pPr>
      <w:r>
        <w:rPr>
          <w:rFonts w:hint="eastAsia"/>
          <w:sz w:val="24"/>
        </w:rPr>
        <w:t xml:space="preserve">年  </w:t>
      </w:r>
      <w:r>
        <w:rPr>
          <w:sz w:val="24"/>
        </w:rPr>
        <w:t xml:space="preserve">  </w:t>
      </w:r>
      <w:r>
        <w:rPr>
          <w:rFonts w:hint="eastAsia"/>
          <w:sz w:val="24"/>
        </w:rPr>
        <w:t xml:space="preserve"> 月  </w:t>
      </w:r>
      <w:r>
        <w:rPr>
          <w:sz w:val="24"/>
        </w:rPr>
        <w:t xml:space="preserve">  </w:t>
      </w:r>
      <w:r>
        <w:rPr>
          <w:rFonts w:hint="eastAsia"/>
          <w:sz w:val="24"/>
        </w:rPr>
        <w:t xml:space="preserve"> 日</w:t>
      </w:r>
    </w:p>
    <w:p>
      <w:pPr>
        <w:spacing w:line="480" w:lineRule="exact"/>
        <w:rPr>
          <w:sz w:val="24"/>
        </w:rPr>
      </w:pPr>
    </w:p>
    <w:p>
      <w:pPr>
        <w:spacing w:line="480" w:lineRule="exact"/>
        <w:rPr>
          <w:sz w:val="24"/>
        </w:rPr>
      </w:pPr>
    </w:p>
    <w:p>
      <w:pPr>
        <w:spacing w:line="480" w:lineRule="exact"/>
        <w:rPr>
          <w:sz w:val="24"/>
        </w:rPr>
      </w:pPr>
    </w:p>
    <w:p>
      <w:pPr>
        <w:spacing w:line="480" w:lineRule="exact"/>
        <w:rPr>
          <w:sz w:val="24"/>
        </w:rPr>
      </w:pPr>
    </w:p>
    <w:p>
      <w:pPr>
        <w:pStyle w:val="2"/>
        <w:rPr>
          <w:sz w:val="24"/>
        </w:rPr>
      </w:pPr>
    </w:p>
    <w:p>
      <w:pPr>
        <w:pStyle w:val="3"/>
        <w:rPr>
          <w:sz w:val="24"/>
        </w:rPr>
      </w:pPr>
    </w:p>
    <w:p>
      <w:pPr>
        <w:pStyle w:val="3"/>
        <w:rPr>
          <w:sz w:val="24"/>
        </w:rPr>
      </w:pPr>
    </w:p>
    <w:p>
      <w:pPr>
        <w:spacing w:line="480" w:lineRule="exact"/>
        <w:rPr>
          <w:sz w:val="24"/>
        </w:rPr>
      </w:pPr>
    </w:p>
    <w:p>
      <w:pPr>
        <w:spacing w:line="480" w:lineRule="exact"/>
        <w:rPr>
          <w:rFonts w:hint="eastAsia"/>
          <w:sz w:val="24"/>
        </w:rPr>
      </w:pPr>
    </w:p>
    <w:p>
      <w:pPr>
        <w:spacing w:line="480" w:lineRule="exact"/>
        <w:jc w:val="center"/>
        <w:rPr>
          <w:rFonts w:hint="eastAsia"/>
          <w:b/>
          <w:sz w:val="32"/>
          <w:szCs w:val="32"/>
        </w:rPr>
      </w:pPr>
      <w:r>
        <w:rPr>
          <w:rFonts w:hint="eastAsia"/>
          <w:b/>
          <w:sz w:val="32"/>
          <w:szCs w:val="32"/>
        </w:rPr>
        <w:t>通  用  条  款</w:t>
      </w:r>
    </w:p>
    <w:p>
      <w:pPr>
        <w:spacing w:line="480" w:lineRule="exact"/>
        <w:rPr>
          <w:rFonts w:hint="eastAsia"/>
          <w:sz w:val="24"/>
        </w:rPr>
      </w:pPr>
      <w:r>
        <w:rPr>
          <w:rFonts w:hint="eastAsia"/>
          <w:sz w:val="24"/>
        </w:rPr>
        <w:t xml:space="preserve">                                                                      </w:t>
      </w:r>
    </w:p>
    <w:p>
      <w:pPr>
        <w:numPr>
          <w:ilvl w:val="0"/>
          <w:numId w:val="2"/>
        </w:numPr>
        <w:spacing w:line="480" w:lineRule="exact"/>
        <w:jc w:val="center"/>
        <w:rPr>
          <w:rFonts w:hint="eastAsia"/>
          <w:b/>
          <w:sz w:val="28"/>
          <w:szCs w:val="28"/>
        </w:rPr>
      </w:pPr>
      <w:r>
        <w:rPr>
          <w:rFonts w:hint="eastAsia"/>
          <w:b/>
          <w:sz w:val="28"/>
          <w:szCs w:val="28"/>
        </w:rPr>
        <w:t>词语定义、适用语言和法规</w:t>
      </w:r>
    </w:p>
    <w:p>
      <w:pPr>
        <w:spacing w:line="480" w:lineRule="exact"/>
        <w:rPr>
          <w:rFonts w:hint="eastAsia"/>
          <w:sz w:val="24"/>
        </w:rPr>
      </w:pPr>
    </w:p>
    <w:p>
      <w:pPr>
        <w:numPr>
          <w:ilvl w:val="0"/>
          <w:numId w:val="3"/>
        </w:numPr>
        <w:spacing w:line="480" w:lineRule="exact"/>
        <w:rPr>
          <w:rFonts w:hint="eastAsia"/>
          <w:sz w:val="24"/>
        </w:rPr>
      </w:pPr>
      <w:r>
        <w:rPr>
          <w:rFonts w:hint="eastAsia"/>
          <w:sz w:val="24"/>
        </w:rPr>
        <w:t>下列名词和用语，除上下文另有规定外，具有如下含义：</w:t>
      </w:r>
    </w:p>
    <w:p>
      <w:pPr>
        <w:numPr>
          <w:ilvl w:val="1"/>
          <w:numId w:val="3"/>
        </w:numPr>
        <w:spacing w:line="480" w:lineRule="exact"/>
        <w:rPr>
          <w:rFonts w:hint="eastAsia"/>
          <w:sz w:val="24"/>
        </w:rPr>
      </w:pPr>
      <w:r>
        <w:rPr>
          <w:rFonts w:hint="eastAsia"/>
          <w:sz w:val="24"/>
        </w:rPr>
        <w:t>“工程”是指甲方委托实施监理的工程。</w:t>
      </w:r>
    </w:p>
    <w:p>
      <w:pPr>
        <w:numPr>
          <w:ilvl w:val="1"/>
          <w:numId w:val="3"/>
        </w:numPr>
        <w:spacing w:line="480" w:lineRule="exact"/>
        <w:rPr>
          <w:rFonts w:hint="eastAsia"/>
          <w:sz w:val="24"/>
        </w:rPr>
      </w:pPr>
      <w:r>
        <w:rPr>
          <w:rFonts w:hint="eastAsia"/>
          <w:sz w:val="24"/>
        </w:rPr>
        <w:t>“甲方”是指承担直接投资责任的、委托监理业务的一方，以及其合法继承人。</w:t>
      </w:r>
    </w:p>
    <w:p>
      <w:pPr>
        <w:numPr>
          <w:ilvl w:val="1"/>
          <w:numId w:val="3"/>
        </w:numPr>
        <w:spacing w:line="480" w:lineRule="exact"/>
        <w:rPr>
          <w:rFonts w:hint="eastAsia"/>
          <w:sz w:val="24"/>
        </w:rPr>
      </w:pPr>
      <w:r>
        <w:rPr>
          <w:rFonts w:hint="eastAsia"/>
          <w:sz w:val="24"/>
        </w:rPr>
        <w:t>“工程投资额”在建设前期阶段是指工程估算；在设计阶段、施工准备阶段是指工程概算；在施工阶段、竣工决算前是指工程预算价，竣工决算后是指工程决算价，其监理费应按此进行调整。</w:t>
      </w:r>
    </w:p>
    <w:p>
      <w:pPr>
        <w:numPr>
          <w:ilvl w:val="1"/>
          <w:numId w:val="3"/>
        </w:numPr>
        <w:spacing w:line="480" w:lineRule="exact"/>
        <w:rPr>
          <w:rFonts w:hint="eastAsia"/>
          <w:sz w:val="24"/>
        </w:rPr>
      </w:pPr>
      <w:r>
        <w:rPr>
          <w:rFonts w:hint="eastAsia"/>
          <w:sz w:val="24"/>
        </w:rPr>
        <w:t>“监理酬金率”是指市物价局、建设局规定的监理收费标准。</w:t>
      </w:r>
    </w:p>
    <w:p>
      <w:pPr>
        <w:numPr>
          <w:ilvl w:val="1"/>
          <w:numId w:val="3"/>
        </w:numPr>
        <w:spacing w:line="480" w:lineRule="exact"/>
        <w:rPr>
          <w:rFonts w:hint="eastAsia"/>
          <w:sz w:val="24"/>
        </w:rPr>
      </w:pPr>
      <w:r>
        <w:rPr>
          <w:rFonts w:hint="eastAsia"/>
          <w:sz w:val="24"/>
        </w:rPr>
        <w:t>“监理单位”是指承担监理业务和监理责任的一方，以及其合法继承人。</w:t>
      </w:r>
    </w:p>
    <w:p>
      <w:pPr>
        <w:numPr>
          <w:ilvl w:val="1"/>
          <w:numId w:val="3"/>
        </w:numPr>
        <w:spacing w:line="480" w:lineRule="exact"/>
        <w:rPr>
          <w:rFonts w:hint="eastAsia"/>
          <w:sz w:val="24"/>
        </w:rPr>
      </w:pPr>
      <w:r>
        <w:rPr>
          <w:rFonts w:hint="eastAsia"/>
          <w:sz w:val="24"/>
        </w:rPr>
        <w:t>“监理机构”是指监理单位派驻本工程现场实施监理业务的组织。</w:t>
      </w:r>
    </w:p>
    <w:p>
      <w:pPr>
        <w:numPr>
          <w:ilvl w:val="1"/>
          <w:numId w:val="3"/>
        </w:numPr>
        <w:spacing w:line="480" w:lineRule="exact"/>
        <w:rPr>
          <w:rFonts w:hint="eastAsia"/>
          <w:sz w:val="24"/>
        </w:rPr>
      </w:pPr>
      <w:r>
        <w:rPr>
          <w:rFonts w:hint="eastAsia"/>
          <w:sz w:val="24"/>
        </w:rPr>
        <w:t>“第三方”是指除甲方、监理单位以外与工程建设有关的当事人。</w:t>
      </w:r>
    </w:p>
    <w:p>
      <w:pPr>
        <w:numPr>
          <w:ilvl w:val="1"/>
          <w:numId w:val="3"/>
        </w:numPr>
        <w:spacing w:line="480" w:lineRule="exact"/>
        <w:rPr>
          <w:rFonts w:hint="eastAsia"/>
          <w:sz w:val="24"/>
        </w:rPr>
      </w:pPr>
      <w:r>
        <w:rPr>
          <w:rFonts w:hint="eastAsia"/>
          <w:sz w:val="24"/>
        </w:rPr>
        <w:t>“工程建设监理”包括正常的监理工作、附加工作和额外工作。</w:t>
      </w:r>
    </w:p>
    <w:p>
      <w:pPr>
        <w:numPr>
          <w:ilvl w:val="1"/>
          <w:numId w:val="3"/>
        </w:numPr>
        <w:spacing w:line="480" w:lineRule="exact"/>
        <w:rPr>
          <w:rFonts w:hint="eastAsia"/>
          <w:sz w:val="24"/>
        </w:rPr>
      </w:pPr>
      <w:r>
        <w:rPr>
          <w:rFonts w:hint="eastAsia"/>
          <w:sz w:val="24"/>
        </w:rPr>
        <w:t>“日”是指任何一个午夜到下一个午夜间的时间段。</w:t>
      </w:r>
    </w:p>
    <w:p>
      <w:pPr>
        <w:numPr>
          <w:ilvl w:val="1"/>
          <w:numId w:val="3"/>
        </w:numPr>
        <w:spacing w:line="480" w:lineRule="exact"/>
        <w:rPr>
          <w:rFonts w:hint="eastAsia"/>
          <w:sz w:val="24"/>
        </w:rPr>
      </w:pPr>
      <w:r>
        <w:rPr>
          <w:rFonts w:hint="eastAsia"/>
          <w:sz w:val="24"/>
        </w:rPr>
        <w:t>“月”是指公历从一个月份中任何一天开始到下一个月相应日期      的前一天的时间段。</w:t>
      </w:r>
    </w:p>
    <w:p>
      <w:pPr>
        <w:numPr>
          <w:ilvl w:val="0"/>
          <w:numId w:val="3"/>
        </w:numPr>
        <w:spacing w:line="480" w:lineRule="exact"/>
        <w:rPr>
          <w:rFonts w:hint="eastAsia"/>
          <w:sz w:val="24"/>
        </w:rPr>
      </w:pPr>
      <w:r>
        <w:rPr>
          <w:rFonts w:hint="eastAsia"/>
          <w:sz w:val="24"/>
        </w:rPr>
        <w:t>监理依据：</w:t>
      </w:r>
    </w:p>
    <w:p>
      <w:pPr>
        <w:numPr>
          <w:ilvl w:val="0"/>
          <w:numId w:val="4"/>
        </w:numPr>
        <w:spacing w:line="480" w:lineRule="exact"/>
        <w:rPr>
          <w:rFonts w:hint="eastAsia"/>
          <w:sz w:val="24"/>
        </w:rPr>
      </w:pPr>
      <w:r>
        <w:rPr>
          <w:rFonts w:hint="eastAsia"/>
          <w:sz w:val="24"/>
        </w:rPr>
        <w:t>国家和地方现行的有关工程建设及建设监理的法律、法规、规范性文件、技术规范及标准；</w:t>
      </w:r>
    </w:p>
    <w:p>
      <w:pPr>
        <w:numPr>
          <w:ilvl w:val="0"/>
          <w:numId w:val="4"/>
        </w:numPr>
        <w:spacing w:line="480" w:lineRule="exact"/>
        <w:rPr>
          <w:rFonts w:hint="eastAsia"/>
          <w:sz w:val="24"/>
        </w:rPr>
      </w:pPr>
      <w:r>
        <w:rPr>
          <w:rFonts w:hint="eastAsia"/>
          <w:sz w:val="24"/>
        </w:rPr>
        <w:t>政府批准的建设计划、规划要点、设计要点及有关文件；</w:t>
      </w:r>
    </w:p>
    <w:p>
      <w:pPr>
        <w:numPr>
          <w:ilvl w:val="0"/>
          <w:numId w:val="4"/>
        </w:numPr>
        <w:spacing w:line="480" w:lineRule="exact"/>
        <w:rPr>
          <w:rFonts w:hint="eastAsia"/>
          <w:sz w:val="24"/>
        </w:rPr>
      </w:pPr>
      <w:r>
        <w:rPr>
          <w:rFonts w:hint="eastAsia"/>
          <w:sz w:val="24"/>
        </w:rPr>
        <w:t>监理合同及甲方认可的其它监理工作文件；</w:t>
      </w:r>
    </w:p>
    <w:p>
      <w:pPr>
        <w:numPr>
          <w:ilvl w:val="0"/>
          <w:numId w:val="4"/>
        </w:numPr>
        <w:spacing w:line="480" w:lineRule="exact"/>
        <w:rPr>
          <w:rFonts w:hint="eastAsia"/>
          <w:sz w:val="24"/>
        </w:rPr>
      </w:pPr>
      <w:r>
        <w:rPr>
          <w:rFonts w:hint="eastAsia"/>
          <w:sz w:val="24"/>
        </w:rPr>
        <w:t>正式的设计文件、图纸及说明；</w:t>
      </w:r>
    </w:p>
    <w:p>
      <w:pPr>
        <w:numPr>
          <w:ilvl w:val="0"/>
          <w:numId w:val="4"/>
        </w:numPr>
        <w:spacing w:line="480" w:lineRule="exact"/>
        <w:rPr>
          <w:rFonts w:hint="eastAsia"/>
          <w:sz w:val="24"/>
        </w:rPr>
      </w:pPr>
      <w:r>
        <w:rPr>
          <w:rFonts w:hint="eastAsia"/>
          <w:sz w:val="24"/>
        </w:rPr>
        <w:t>依法成立的与本工程有关的合同或协议。</w:t>
      </w:r>
    </w:p>
    <w:p>
      <w:pPr>
        <w:numPr>
          <w:ilvl w:val="0"/>
          <w:numId w:val="3"/>
        </w:numPr>
        <w:spacing w:line="480" w:lineRule="exact"/>
        <w:rPr>
          <w:rFonts w:hint="eastAsia"/>
          <w:sz w:val="24"/>
        </w:rPr>
      </w:pPr>
      <w:r>
        <w:rPr>
          <w:rFonts w:hint="eastAsia"/>
          <w:sz w:val="24"/>
        </w:rPr>
        <w:t>监理合同的书写、解释和说明，以汉语为主导语言。当不同语言文本发生不同解释时，以汉语合同文本为准。</w:t>
      </w:r>
    </w:p>
    <w:p>
      <w:pPr>
        <w:numPr>
          <w:ilvl w:val="0"/>
          <w:numId w:val="2"/>
        </w:numPr>
        <w:spacing w:line="480" w:lineRule="exact"/>
        <w:jc w:val="center"/>
        <w:rPr>
          <w:rFonts w:hint="eastAsia"/>
          <w:b/>
          <w:sz w:val="28"/>
          <w:szCs w:val="28"/>
        </w:rPr>
      </w:pPr>
      <w:r>
        <w:rPr>
          <w:rFonts w:hint="eastAsia"/>
          <w:b/>
          <w:sz w:val="28"/>
          <w:szCs w:val="28"/>
        </w:rPr>
        <w:t>监 理 任 务 和 内 容</w:t>
      </w:r>
    </w:p>
    <w:p>
      <w:pPr>
        <w:spacing w:line="480" w:lineRule="exact"/>
        <w:jc w:val="center"/>
        <w:rPr>
          <w:rFonts w:hint="eastAsia"/>
          <w:b/>
          <w:sz w:val="30"/>
          <w:szCs w:val="30"/>
        </w:rPr>
      </w:pPr>
    </w:p>
    <w:p>
      <w:pPr>
        <w:numPr>
          <w:ilvl w:val="0"/>
          <w:numId w:val="3"/>
        </w:numPr>
        <w:spacing w:line="480" w:lineRule="exact"/>
        <w:rPr>
          <w:rFonts w:hint="eastAsia"/>
          <w:sz w:val="24"/>
        </w:rPr>
      </w:pPr>
      <w:r>
        <w:rPr>
          <w:rFonts w:hint="eastAsia"/>
          <w:sz w:val="24"/>
        </w:rPr>
        <w:t>监理任务：对工程建设的目标进行有效地控制和管理，做好组织协调工作，全面维护业方委托的项目合法权益，为甲方提供技术、经济、法律等方面的咨询意见，帮助甲方尽可能实现预定的合理建设目标。</w:t>
      </w:r>
    </w:p>
    <w:p>
      <w:pPr>
        <w:numPr>
          <w:ilvl w:val="0"/>
          <w:numId w:val="3"/>
        </w:numPr>
        <w:spacing w:line="480" w:lineRule="exact"/>
        <w:rPr>
          <w:rFonts w:hint="eastAsia"/>
          <w:sz w:val="24"/>
        </w:rPr>
      </w:pPr>
      <w:r>
        <w:rPr>
          <w:rFonts w:hint="eastAsia"/>
          <w:sz w:val="24"/>
        </w:rPr>
        <w:t>建设前期阶段监理的内容：</w:t>
      </w:r>
    </w:p>
    <w:p>
      <w:pPr>
        <w:numPr>
          <w:ilvl w:val="0"/>
          <w:numId w:val="5"/>
        </w:numPr>
        <w:spacing w:line="480" w:lineRule="exact"/>
        <w:rPr>
          <w:rFonts w:hint="eastAsia"/>
          <w:sz w:val="24"/>
        </w:rPr>
      </w:pPr>
      <w:r>
        <w:rPr>
          <w:rFonts w:hint="eastAsia"/>
          <w:sz w:val="24"/>
        </w:rPr>
        <w:t>投资项目的决策咨询；</w:t>
      </w:r>
    </w:p>
    <w:p>
      <w:pPr>
        <w:numPr>
          <w:ilvl w:val="0"/>
          <w:numId w:val="5"/>
        </w:numPr>
        <w:spacing w:line="480" w:lineRule="exact"/>
        <w:rPr>
          <w:rFonts w:hint="eastAsia"/>
          <w:sz w:val="24"/>
        </w:rPr>
      </w:pPr>
      <w:r>
        <w:rPr>
          <w:rFonts w:hint="eastAsia"/>
          <w:sz w:val="24"/>
        </w:rPr>
        <w:t>协助甲方进行建设项目的可行性研究；</w:t>
      </w:r>
    </w:p>
    <w:p>
      <w:pPr>
        <w:numPr>
          <w:ilvl w:val="0"/>
          <w:numId w:val="5"/>
        </w:numPr>
        <w:spacing w:line="480" w:lineRule="exact"/>
        <w:rPr>
          <w:rFonts w:hint="eastAsia"/>
          <w:sz w:val="24"/>
        </w:rPr>
      </w:pPr>
      <w:r>
        <w:rPr>
          <w:rFonts w:hint="eastAsia"/>
          <w:sz w:val="24"/>
        </w:rPr>
        <w:t>协助甲方编制设计任务书。</w:t>
      </w:r>
    </w:p>
    <w:p>
      <w:pPr>
        <w:numPr>
          <w:ilvl w:val="0"/>
          <w:numId w:val="3"/>
        </w:numPr>
        <w:spacing w:line="480" w:lineRule="exact"/>
        <w:rPr>
          <w:rFonts w:hint="eastAsia"/>
          <w:sz w:val="24"/>
        </w:rPr>
      </w:pPr>
      <w:r>
        <w:rPr>
          <w:rFonts w:hint="eastAsia"/>
          <w:sz w:val="24"/>
        </w:rPr>
        <w:t>设计阶段监理的内容：</w:t>
      </w:r>
    </w:p>
    <w:p>
      <w:pPr>
        <w:numPr>
          <w:ilvl w:val="0"/>
          <w:numId w:val="6"/>
        </w:numPr>
        <w:spacing w:line="480" w:lineRule="exact"/>
        <w:rPr>
          <w:rFonts w:hint="eastAsia"/>
          <w:sz w:val="24"/>
        </w:rPr>
      </w:pPr>
      <w:r>
        <w:rPr>
          <w:rFonts w:hint="eastAsia"/>
          <w:sz w:val="24"/>
        </w:rPr>
        <w:t>协助甲方提出设计要求，参与评选设计方案；</w:t>
      </w:r>
    </w:p>
    <w:p>
      <w:pPr>
        <w:numPr>
          <w:ilvl w:val="0"/>
          <w:numId w:val="6"/>
        </w:numPr>
        <w:spacing w:line="480" w:lineRule="exact"/>
        <w:rPr>
          <w:rFonts w:hint="eastAsia"/>
          <w:sz w:val="24"/>
        </w:rPr>
      </w:pPr>
      <w:r>
        <w:rPr>
          <w:rFonts w:hint="eastAsia"/>
          <w:sz w:val="24"/>
        </w:rPr>
        <w:t>参与选择勘察、设计单位，协助甲方签订勘察设计合同并监督合同的实施；</w:t>
      </w:r>
    </w:p>
    <w:p>
      <w:pPr>
        <w:numPr>
          <w:ilvl w:val="0"/>
          <w:numId w:val="6"/>
        </w:numPr>
        <w:spacing w:line="480" w:lineRule="exact"/>
        <w:rPr>
          <w:rFonts w:hint="eastAsia"/>
          <w:sz w:val="24"/>
        </w:rPr>
      </w:pPr>
      <w:r>
        <w:rPr>
          <w:rFonts w:hint="eastAsia"/>
          <w:sz w:val="24"/>
        </w:rPr>
        <w:t>督促设计单位限额设计，优化设计；</w:t>
      </w:r>
    </w:p>
    <w:p>
      <w:pPr>
        <w:numPr>
          <w:ilvl w:val="0"/>
          <w:numId w:val="6"/>
        </w:numPr>
        <w:spacing w:line="480" w:lineRule="exact"/>
        <w:rPr>
          <w:rFonts w:hint="eastAsia"/>
          <w:sz w:val="24"/>
        </w:rPr>
      </w:pPr>
      <w:r>
        <w:rPr>
          <w:rFonts w:hint="eastAsia"/>
          <w:sz w:val="24"/>
        </w:rPr>
        <w:t>审查设计是否符合规划设计要点，满足甲方所提出的功能使用要求；</w:t>
      </w:r>
    </w:p>
    <w:p>
      <w:pPr>
        <w:numPr>
          <w:ilvl w:val="0"/>
          <w:numId w:val="6"/>
        </w:numPr>
        <w:spacing w:line="480" w:lineRule="exact"/>
        <w:rPr>
          <w:rFonts w:hint="eastAsia"/>
          <w:sz w:val="24"/>
        </w:rPr>
      </w:pPr>
      <w:r>
        <w:rPr>
          <w:rFonts w:hint="eastAsia"/>
          <w:sz w:val="24"/>
        </w:rPr>
        <w:t>审查设计方案的技术经济指标的合理性；</w:t>
      </w:r>
    </w:p>
    <w:p>
      <w:pPr>
        <w:numPr>
          <w:ilvl w:val="0"/>
          <w:numId w:val="6"/>
        </w:numPr>
        <w:spacing w:line="480" w:lineRule="exact"/>
        <w:rPr>
          <w:rFonts w:hint="eastAsia"/>
          <w:sz w:val="24"/>
        </w:rPr>
      </w:pPr>
      <w:r>
        <w:rPr>
          <w:rFonts w:hint="eastAsia"/>
          <w:sz w:val="24"/>
        </w:rPr>
        <w:t>审核设计是否满足国家规定的具体要求和设计规范；</w:t>
      </w:r>
    </w:p>
    <w:p>
      <w:pPr>
        <w:numPr>
          <w:ilvl w:val="0"/>
          <w:numId w:val="6"/>
        </w:numPr>
        <w:spacing w:line="480" w:lineRule="exact"/>
        <w:rPr>
          <w:rFonts w:hint="eastAsia"/>
          <w:sz w:val="24"/>
        </w:rPr>
      </w:pPr>
      <w:r>
        <w:rPr>
          <w:rFonts w:hint="eastAsia"/>
          <w:sz w:val="24"/>
        </w:rPr>
        <w:t>分析设计的施工可行性和经济性。</w:t>
      </w:r>
    </w:p>
    <w:p>
      <w:pPr>
        <w:numPr>
          <w:ilvl w:val="0"/>
          <w:numId w:val="3"/>
        </w:numPr>
        <w:spacing w:line="480" w:lineRule="exact"/>
        <w:rPr>
          <w:rFonts w:hint="eastAsia"/>
          <w:sz w:val="24"/>
        </w:rPr>
      </w:pPr>
      <w:r>
        <w:rPr>
          <w:rFonts w:hint="eastAsia"/>
          <w:sz w:val="24"/>
        </w:rPr>
        <w:t>施工准备阶段监理的内容</w:t>
      </w:r>
    </w:p>
    <w:p>
      <w:pPr>
        <w:numPr>
          <w:ilvl w:val="0"/>
          <w:numId w:val="7"/>
        </w:numPr>
        <w:spacing w:line="480" w:lineRule="exact"/>
        <w:rPr>
          <w:rFonts w:hint="eastAsia"/>
          <w:sz w:val="24"/>
        </w:rPr>
      </w:pPr>
      <w:r>
        <w:rPr>
          <w:rFonts w:hint="eastAsia"/>
          <w:sz w:val="24"/>
        </w:rPr>
        <w:t>受甲方委托组织招标，编制与发送招标文件（标底编制工作除外），组织评审投标书，提出定标意见；</w:t>
      </w:r>
    </w:p>
    <w:p>
      <w:pPr>
        <w:numPr>
          <w:ilvl w:val="0"/>
          <w:numId w:val="7"/>
        </w:numPr>
        <w:spacing w:line="480" w:lineRule="exact"/>
        <w:rPr>
          <w:rFonts w:hint="eastAsia"/>
          <w:sz w:val="24"/>
        </w:rPr>
      </w:pPr>
      <w:r>
        <w:rPr>
          <w:rFonts w:hint="eastAsia"/>
          <w:sz w:val="24"/>
        </w:rPr>
        <w:t>核查施工图预算；</w:t>
      </w:r>
    </w:p>
    <w:p>
      <w:pPr>
        <w:numPr>
          <w:ilvl w:val="0"/>
          <w:numId w:val="7"/>
        </w:numPr>
        <w:spacing w:line="480" w:lineRule="exact"/>
        <w:rPr>
          <w:rFonts w:hint="eastAsia"/>
          <w:sz w:val="24"/>
        </w:rPr>
      </w:pPr>
      <w:r>
        <w:rPr>
          <w:rFonts w:hint="eastAsia"/>
          <w:sz w:val="24"/>
        </w:rPr>
        <w:t>协助甲方签订与工程有关的合同。</w:t>
      </w:r>
    </w:p>
    <w:p>
      <w:pPr>
        <w:numPr>
          <w:ilvl w:val="0"/>
          <w:numId w:val="3"/>
        </w:numPr>
        <w:spacing w:line="480" w:lineRule="exact"/>
        <w:rPr>
          <w:rFonts w:hint="eastAsia"/>
          <w:sz w:val="24"/>
        </w:rPr>
      </w:pPr>
      <w:r>
        <w:rPr>
          <w:rFonts w:hint="eastAsia"/>
          <w:sz w:val="24"/>
        </w:rPr>
        <w:t>施工阶段监理的内容：</w:t>
      </w:r>
    </w:p>
    <w:p>
      <w:pPr>
        <w:numPr>
          <w:ilvl w:val="0"/>
          <w:numId w:val="8"/>
        </w:numPr>
        <w:spacing w:line="480" w:lineRule="exact"/>
        <w:rPr>
          <w:rFonts w:hint="eastAsia"/>
          <w:sz w:val="24"/>
        </w:rPr>
      </w:pPr>
      <w:r>
        <w:rPr>
          <w:rFonts w:hint="eastAsia"/>
          <w:sz w:val="24"/>
        </w:rPr>
        <w:t>协助甲方与承建商编写开工报告，协助甲方办理开工手续；</w:t>
      </w:r>
    </w:p>
    <w:p>
      <w:pPr>
        <w:numPr>
          <w:ilvl w:val="0"/>
          <w:numId w:val="8"/>
        </w:numPr>
        <w:spacing w:line="480" w:lineRule="exact"/>
        <w:rPr>
          <w:rFonts w:hint="eastAsia"/>
          <w:sz w:val="24"/>
        </w:rPr>
      </w:pPr>
      <w:r>
        <w:rPr>
          <w:rFonts w:hint="eastAsia"/>
          <w:sz w:val="24"/>
        </w:rPr>
        <w:t>确认承建商选择的分包商；</w:t>
      </w:r>
    </w:p>
    <w:p>
      <w:pPr>
        <w:numPr>
          <w:ilvl w:val="0"/>
          <w:numId w:val="8"/>
        </w:numPr>
        <w:spacing w:line="480" w:lineRule="exact"/>
        <w:rPr>
          <w:rFonts w:hint="eastAsia"/>
          <w:sz w:val="24"/>
        </w:rPr>
      </w:pPr>
      <w:r>
        <w:rPr>
          <w:rFonts w:hint="eastAsia"/>
          <w:sz w:val="24"/>
        </w:rPr>
        <w:t>组织施工图纸会审；</w:t>
      </w:r>
    </w:p>
    <w:p>
      <w:pPr>
        <w:numPr>
          <w:ilvl w:val="0"/>
          <w:numId w:val="8"/>
        </w:numPr>
        <w:spacing w:line="480" w:lineRule="exact"/>
        <w:rPr>
          <w:rFonts w:hint="eastAsia"/>
          <w:sz w:val="24"/>
        </w:rPr>
      </w:pPr>
      <w:r>
        <w:rPr>
          <w:rFonts w:hint="eastAsia"/>
          <w:sz w:val="24"/>
        </w:rPr>
        <w:t>审核承建商提出的施工组织设计，施工技术方案、施工进度计划、施工质量保证体系和施工安全保证体系；</w:t>
      </w:r>
    </w:p>
    <w:p>
      <w:pPr>
        <w:numPr>
          <w:ilvl w:val="0"/>
          <w:numId w:val="8"/>
        </w:numPr>
        <w:spacing w:line="480" w:lineRule="exact"/>
        <w:rPr>
          <w:rFonts w:hint="eastAsia"/>
          <w:sz w:val="24"/>
        </w:rPr>
      </w:pPr>
      <w:r>
        <w:rPr>
          <w:rFonts w:hint="eastAsia"/>
          <w:sz w:val="24"/>
        </w:rPr>
        <w:t>督促、检查承建商严格执行工程承包合同和国家工程技术规范、标准，协调甲方和承建商之间的关系；</w:t>
      </w:r>
    </w:p>
    <w:p>
      <w:pPr>
        <w:numPr>
          <w:ilvl w:val="0"/>
          <w:numId w:val="8"/>
        </w:numPr>
        <w:spacing w:line="480" w:lineRule="exact"/>
        <w:rPr>
          <w:rFonts w:hint="eastAsia"/>
          <w:sz w:val="24"/>
        </w:rPr>
      </w:pPr>
      <w:r>
        <w:rPr>
          <w:rFonts w:hint="eastAsia"/>
          <w:sz w:val="24"/>
        </w:rPr>
        <w:t>审核承建商或甲方提供的材料、构配件和设备的数量及质量；</w:t>
      </w:r>
    </w:p>
    <w:p>
      <w:pPr>
        <w:numPr>
          <w:ilvl w:val="0"/>
          <w:numId w:val="8"/>
        </w:numPr>
        <w:spacing w:line="480" w:lineRule="exact"/>
        <w:rPr>
          <w:rFonts w:hint="eastAsia"/>
          <w:sz w:val="24"/>
        </w:rPr>
      </w:pPr>
      <w:r>
        <w:rPr>
          <w:rFonts w:hint="eastAsia"/>
          <w:sz w:val="24"/>
        </w:rPr>
        <w:t>控制工程进度、质量和投资，督促、检查承建商落实施工安全保证措施；</w:t>
      </w:r>
    </w:p>
    <w:p>
      <w:pPr>
        <w:numPr>
          <w:ilvl w:val="0"/>
          <w:numId w:val="8"/>
        </w:numPr>
        <w:spacing w:line="480" w:lineRule="exact"/>
        <w:rPr>
          <w:rFonts w:hint="eastAsia"/>
          <w:sz w:val="24"/>
        </w:rPr>
      </w:pPr>
      <w:r>
        <w:rPr>
          <w:rFonts w:hint="eastAsia"/>
          <w:sz w:val="24"/>
        </w:rPr>
        <w:t>组织分项工程和隐蔽工程的检查、验收、签发工程付款凭证；</w:t>
      </w:r>
    </w:p>
    <w:p>
      <w:pPr>
        <w:numPr>
          <w:ilvl w:val="0"/>
          <w:numId w:val="8"/>
        </w:numPr>
        <w:spacing w:line="480" w:lineRule="exact"/>
        <w:rPr>
          <w:rFonts w:hint="eastAsia"/>
          <w:sz w:val="24"/>
        </w:rPr>
      </w:pPr>
      <w:r>
        <w:rPr>
          <w:rFonts w:hint="eastAsia"/>
          <w:sz w:val="24"/>
        </w:rPr>
        <w:t>负责施工现场签证；</w:t>
      </w:r>
    </w:p>
    <w:p>
      <w:pPr>
        <w:numPr>
          <w:ilvl w:val="0"/>
          <w:numId w:val="8"/>
        </w:numPr>
        <w:spacing w:line="480" w:lineRule="exact"/>
        <w:rPr>
          <w:rFonts w:hint="eastAsia"/>
          <w:sz w:val="24"/>
        </w:rPr>
      </w:pPr>
      <w:r>
        <w:rPr>
          <w:rFonts w:hint="eastAsia"/>
          <w:sz w:val="24"/>
        </w:rPr>
        <w:t>监管房地产预售款的专款专用，书面通知房地产预售款监管机构向房地产转让人划款；</w:t>
      </w:r>
    </w:p>
    <w:p>
      <w:pPr>
        <w:numPr>
          <w:ilvl w:val="0"/>
          <w:numId w:val="8"/>
        </w:numPr>
        <w:spacing w:line="480" w:lineRule="exact"/>
        <w:rPr>
          <w:rFonts w:hint="eastAsia"/>
          <w:sz w:val="24"/>
        </w:rPr>
      </w:pPr>
      <w:r>
        <w:rPr>
          <w:rFonts w:hint="eastAsia"/>
          <w:sz w:val="24"/>
        </w:rPr>
        <w:t>督促承建商整理合同文件和技术档案资料；</w:t>
      </w:r>
    </w:p>
    <w:p>
      <w:pPr>
        <w:numPr>
          <w:ilvl w:val="0"/>
          <w:numId w:val="8"/>
        </w:numPr>
        <w:spacing w:line="480" w:lineRule="exact"/>
        <w:rPr>
          <w:rFonts w:hint="eastAsia"/>
          <w:sz w:val="24"/>
        </w:rPr>
      </w:pPr>
      <w:r>
        <w:rPr>
          <w:rFonts w:hint="eastAsia"/>
          <w:sz w:val="24"/>
        </w:rPr>
        <w:t>组织甲方和工程承包人进行工程竣工初步验收；</w:t>
      </w:r>
    </w:p>
    <w:p>
      <w:pPr>
        <w:numPr>
          <w:ilvl w:val="0"/>
          <w:numId w:val="8"/>
        </w:numPr>
        <w:spacing w:line="480" w:lineRule="exact"/>
        <w:rPr>
          <w:rFonts w:hint="eastAsia"/>
          <w:sz w:val="24"/>
        </w:rPr>
      </w:pPr>
      <w:r>
        <w:rPr>
          <w:rFonts w:hint="eastAsia"/>
          <w:sz w:val="24"/>
        </w:rPr>
        <w:t>提出竣工验收申请报告；</w:t>
      </w:r>
    </w:p>
    <w:p>
      <w:pPr>
        <w:numPr>
          <w:ilvl w:val="0"/>
          <w:numId w:val="8"/>
        </w:numPr>
        <w:spacing w:line="480" w:lineRule="exact"/>
        <w:rPr>
          <w:rFonts w:hint="eastAsia"/>
          <w:sz w:val="24"/>
        </w:rPr>
      </w:pPr>
      <w:r>
        <w:rPr>
          <w:rFonts w:hint="eastAsia"/>
          <w:sz w:val="24"/>
        </w:rPr>
        <w:t>参加工程验收，审查工程结算。</w:t>
      </w:r>
    </w:p>
    <w:p>
      <w:pPr>
        <w:numPr>
          <w:ilvl w:val="0"/>
          <w:numId w:val="3"/>
        </w:numPr>
        <w:spacing w:line="480" w:lineRule="exact"/>
        <w:rPr>
          <w:rFonts w:hint="eastAsia"/>
          <w:sz w:val="24"/>
        </w:rPr>
      </w:pPr>
      <w:r>
        <w:rPr>
          <w:rFonts w:hint="eastAsia"/>
          <w:sz w:val="24"/>
        </w:rPr>
        <w:t>保修阶段监理的主要内容为负责组织检查工程状况，参与鉴定质量责任，督促承建商回访、监督保修直至达到规定的质量标准。</w:t>
      </w:r>
    </w:p>
    <w:p>
      <w:pPr>
        <w:spacing w:line="480" w:lineRule="exact"/>
        <w:jc w:val="center"/>
        <w:rPr>
          <w:rFonts w:hint="eastAsia"/>
          <w:sz w:val="24"/>
        </w:rPr>
      </w:pPr>
    </w:p>
    <w:p>
      <w:pPr>
        <w:numPr>
          <w:ilvl w:val="0"/>
          <w:numId w:val="2"/>
        </w:numPr>
        <w:spacing w:line="480" w:lineRule="exact"/>
        <w:jc w:val="center"/>
        <w:rPr>
          <w:rFonts w:hint="eastAsia"/>
          <w:b/>
          <w:sz w:val="28"/>
          <w:szCs w:val="28"/>
        </w:rPr>
      </w:pPr>
      <w:r>
        <w:rPr>
          <w:rFonts w:hint="eastAsia"/>
          <w:b/>
          <w:sz w:val="28"/>
          <w:szCs w:val="28"/>
        </w:rPr>
        <w:t>监 理 单 位 的 义 务</w:t>
      </w:r>
    </w:p>
    <w:p>
      <w:pPr>
        <w:spacing w:line="480" w:lineRule="exact"/>
        <w:jc w:val="center"/>
        <w:rPr>
          <w:rFonts w:hint="eastAsia"/>
          <w:b/>
          <w:sz w:val="30"/>
          <w:szCs w:val="30"/>
        </w:rPr>
      </w:pPr>
    </w:p>
    <w:p>
      <w:pPr>
        <w:numPr>
          <w:ilvl w:val="0"/>
          <w:numId w:val="3"/>
        </w:numPr>
        <w:spacing w:line="480" w:lineRule="exact"/>
        <w:rPr>
          <w:rFonts w:hint="eastAsia"/>
          <w:sz w:val="24"/>
        </w:rPr>
      </w:pPr>
      <w:r>
        <w:rPr>
          <w:rFonts w:hint="eastAsia"/>
          <w:sz w:val="24"/>
        </w:rPr>
        <w:t>向甲方报送委派的总监理工程师及监理机构成员名单、监理规划，完成监理合同专用条款中约定的监理工程范围内的监理业务。</w:t>
      </w:r>
    </w:p>
    <w:p>
      <w:pPr>
        <w:numPr>
          <w:ilvl w:val="0"/>
          <w:numId w:val="3"/>
        </w:numPr>
        <w:spacing w:line="480" w:lineRule="exact"/>
        <w:rPr>
          <w:rFonts w:hint="eastAsia"/>
          <w:sz w:val="24"/>
        </w:rPr>
      </w:pPr>
      <w:r>
        <w:rPr>
          <w:rFonts w:hint="eastAsia"/>
          <w:sz w:val="24"/>
        </w:rPr>
        <w:t>监理机构在履行本合同的义务期间，应运用合理的技能，为甲方提供与其监理机构水平相适应的咨询意见，认真、勤奋地工作。帮助甲方实现合同预定的目标，公正地维护各方的合法权益。</w:t>
      </w:r>
    </w:p>
    <w:p>
      <w:pPr>
        <w:numPr>
          <w:ilvl w:val="0"/>
          <w:numId w:val="3"/>
        </w:numPr>
        <w:spacing w:line="480" w:lineRule="exact"/>
        <w:rPr>
          <w:rFonts w:hint="eastAsia"/>
          <w:sz w:val="24"/>
        </w:rPr>
      </w:pPr>
      <w:r>
        <w:rPr>
          <w:rFonts w:hint="eastAsia"/>
          <w:sz w:val="24"/>
        </w:rPr>
        <w:t>监理机构使用甲方提供的设施和物品属于甲方的财产。在监理工作完成或终止时，应将其设施和剩余的物品库存清单提交给甲方，并按双方约定的时间和方式移交此类设施和物品。</w:t>
      </w:r>
    </w:p>
    <w:p>
      <w:pPr>
        <w:numPr>
          <w:ilvl w:val="0"/>
          <w:numId w:val="3"/>
        </w:numPr>
        <w:spacing w:line="480" w:lineRule="exact"/>
        <w:rPr>
          <w:rFonts w:hint="eastAsia"/>
          <w:sz w:val="24"/>
        </w:rPr>
      </w:pPr>
      <w:r>
        <w:rPr>
          <w:rFonts w:hint="eastAsia"/>
          <w:sz w:val="24"/>
        </w:rPr>
        <w:t>无论本合同是否生效或在合同终止、解除后，监理机构应承担以下保密义务：</w:t>
      </w:r>
    </w:p>
    <w:p>
      <w:pPr>
        <w:spacing w:line="480" w:lineRule="exact"/>
        <w:ind w:left="958" w:leftChars="456"/>
        <w:rPr>
          <w:rFonts w:hint="eastAsia"/>
          <w:sz w:val="24"/>
        </w:rPr>
      </w:pPr>
      <w:r>
        <w:rPr>
          <w:rFonts w:hint="eastAsia"/>
          <w:sz w:val="24"/>
        </w:rPr>
        <w:t>1、监理机构不得私自复印、留存、泄漏本合同履行有关的资料、信息。除非依照法律规定或者经甲方书面同意，监理机构不得向第三方提供或披露由甲方提供的资料和信息，也不得用于本合同履行以外的其他用途，并保证采取一切合理和必要的措施防止任何第三方接触到甲方的上述资料和信息；</w:t>
      </w:r>
    </w:p>
    <w:p>
      <w:pPr>
        <w:spacing w:line="480" w:lineRule="exact"/>
        <w:ind w:left="958" w:leftChars="456"/>
        <w:rPr>
          <w:rFonts w:hint="eastAsia"/>
          <w:sz w:val="24"/>
        </w:rPr>
      </w:pPr>
      <w:r>
        <w:rPr>
          <w:rFonts w:hint="eastAsia"/>
          <w:sz w:val="24"/>
        </w:rPr>
        <w:t>2、监理机构不得依据本合同所形成的法律关系，在对外公开业绩宣传、宣讲、展示活动中擅自使用甲方单位名称。如监理机构确需使用，应事先向甲方提交书面申请，明确使用场合、受众范围、用途情况等必要事项，以及拟公开的相关书面稿件、图片等；未经甲方书面批准，禁止在上述活动中使用甲方单位名称。</w:t>
      </w:r>
    </w:p>
    <w:p>
      <w:pPr>
        <w:numPr>
          <w:ilvl w:val="0"/>
          <w:numId w:val="3"/>
        </w:numPr>
        <w:spacing w:line="480" w:lineRule="exact"/>
        <w:rPr>
          <w:rFonts w:hint="eastAsia"/>
          <w:sz w:val="24"/>
        </w:rPr>
      </w:pPr>
      <w:r>
        <w:rPr>
          <w:rFonts w:hint="eastAsia"/>
          <w:sz w:val="24"/>
        </w:rPr>
        <w:t>本合同履行过程中，项目负责人（总监）及重要岗位监理服务人员应保持相对稳定，以保证工程监理与相关服务工作正常进行。</w:t>
      </w:r>
    </w:p>
    <w:p>
      <w:pPr>
        <w:numPr>
          <w:ilvl w:val="0"/>
          <w:numId w:val="3"/>
        </w:numPr>
        <w:tabs>
          <w:tab w:val="clear" w:pos="960"/>
        </w:tabs>
        <w:spacing w:line="480" w:lineRule="exact"/>
        <w:rPr>
          <w:rFonts w:hint="eastAsia"/>
          <w:sz w:val="24"/>
        </w:rPr>
      </w:pPr>
      <w:r>
        <w:rPr>
          <w:rFonts w:hint="eastAsia"/>
          <w:sz w:val="24"/>
        </w:rPr>
        <w:t>监理机构派驻本项目的所有管理人员及管理人员以外的团队人员，均需将其详细信息报经采购人审核同意。采购人有权以书面形式提出更换要求，中标人应无条件执行并在规定期限内（管理人员3天内，管理人员以外的团队人员1天内）完成更换。相关人员未经采购人最终书面批准，不得进入施工现场。由此产生的一切费用及工期影响均已包含在合同价款中，由监理机构承担。</w:t>
      </w:r>
    </w:p>
    <w:p>
      <w:pPr>
        <w:numPr>
          <w:ilvl w:val="0"/>
          <w:numId w:val="2"/>
        </w:numPr>
        <w:spacing w:line="480" w:lineRule="exact"/>
        <w:jc w:val="center"/>
        <w:rPr>
          <w:rFonts w:hint="eastAsia"/>
          <w:b/>
          <w:sz w:val="28"/>
          <w:szCs w:val="28"/>
        </w:rPr>
      </w:pPr>
      <w:r>
        <w:rPr>
          <w:rFonts w:hint="eastAsia"/>
          <w:b/>
          <w:sz w:val="28"/>
          <w:szCs w:val="28"/>
        </w:rPr>
        <w:t>甲 方 的 义 务</w:t>
      </w:r>
    </w:p>
    <w:p>
      <w:pPr>
        <w:spacing w:line="480" w:lineRule="exact"/>
        <w:jc w:val="center"/>
        <w:rPr>
          <w:rFonts w:hint="eastAsia"/>
          <w:b/>
          <w:sz w:val="30"/>
          <w:szCs w:val="30"/>
        </w:rPr>
      </w:pPr>
    </w:p>
    <w:p>
      <w:pPr>
        <w:numPr>
          <w:ilvl w:val="0"/>
          <w:numId w:val="3"/>
        </w:numPr>
        <w:spacing w:line="480" w:lineRule="exact"/>
        <w:rPr>
          <w:rFonts w:hint="eastAsia"/>
          <w:sz w:val="24"/>
        </w:rPr>
      </w:pPr>
      <w:r>
        <w:rPr>
          <w:rFonts w:hint="eastAsia"/>
          <w:sz w:val="24"/>
        </w:rPr>
        <w:t>甲方应当负责工程建设的所有外部关系的协调，为监理工作提供外部条件。</w:t>
      </w:r>
    </w:p>
    <w:p>
      <w:pPr>
        <w:numPr>
          <w:ilvl w:val="0"/>
          <w:numId w:val="3"/>
        </w:numPr>
        <w:spacing w:line="480" w:lineRule="exact"/>
        <w:rPr>
          <w:rFonts w:hint="eastAsia"/>
          <w:sz w:val="24"/>
        </w:rPr>
      </w:pPr>
      <w:r>
        <w:rPr>
          <w:rFonts w:hint="eastAsia"/>
          <w:sz w:val="24"/>
        </w:rPr>
        <w:t>甲方应当在双方约定的时间内，免费向监理机构提供与工程有关的、为监理机构所需要的工程资料。</w:t>
      </w:r>
    </w:p>
    <w:p>
      <w:pPr>
        <w:numPr>
          <w:ilvl w:val="0"/>
          <w:numId w:val="3"/>
        </w:numPr>
        <w:spacing w:line="480" w:lineRule="exact"/>
        <w:rPr>
          <w:rFonts w:hint="eastAsia"/>
          <w:sz w:val="24"/>
        </w:rPr>
      </w:pPr>
      <w:r>
        <w:rPr>
          <w:rFonts w:hint="eastAsia"/>
          <w:sz w:val="24"/>
        </w:rPr>
        <w:t>甲方应当在约定的时间内，就监理单位书面提交并要求作出决定的一切事宜作出书面决定。</w:t>
      </w:r>
    </w:p>
    <w:p>
      <w:pPr>
        <w:numPr>
          <w:ilvl w:val="0"/>
          <w:numId w:val="3"/>
        </w:numPr>
        <w:spacing w:line="480" w:lineRule="exact"/>
        <w:rPr>
          <w:rFonts w:hint="eastAsia"/>
          <w:sz w:val="24"/>
        </w:rPr>
      </w:pPr>
      <w:r>
        <w:rPr>
          <w:rFonts w:hint="eastAsia"/>
          <w:sz w:val="24"/>
        </w:rPr>
        <w:t>甲方应当授权一名熟悉本工程情况、能迅速作出决定的常驻代表，负责与监理单位联系。更换常驻代表，要提前通知监理单位。</w:t>
      </w:r>
    </w:p>
    <w:p>
      <w:pPr>
        <w:numPr>
          <w:ilvl w:val="0"/>
          <w:numId w:val="3"/>
        </w:numPr>
        <w:spacing w:line="480" w:lineRule="exact"/>
        <w:rPr>
          <w:rFonts w:hint="eastAsia"/>
          <w:sz w:val="24"/>
        </w:rPr>
      </w:pPr>
      <w:r>
        <w:rPr>
          <w:rFonts w:hint="eastAsia"/>
          <w:sz w:val="24"/>
        </w:rPr>
        <w:t>甲方应当将授予监理单位的监理权力，以及监理机构成员的职能分工，及时书面通知已选定的第三方，并在与第三方签订的合同中予以明确。</w:t>
      </w:r>
    </w:p>
    <w:p>
      <w:pPr>
        <w:numPr>
          <w:ilvl w:val="0"/>
          <w:numId w:val="3"/>
        </w:numPr>
        <w:spacing w:line="480" w:lineRule="exact"/>
        <w:rPr>
          <w:rFonts w:hint="eastAsia"/>
          <w:sz w:val="24"/>
        </w:rPr>
      </w:pPr>
      <w:r>
        <w:rPr>
          <w:rFonts w:hint="eastAsia"/>
          <w:sz w:val="24"/>
        </w:rPr>
        <w:t>甲方应为监理机构提供如下协助：</w:t>
      </w:r>
    </w:p>
    <w:p>
      <w:pPr>
        <w:numPr>
          <w:ilvl w:val="0"/>
          <w:numId w:val="9"/>
        </w:numPr>
        <w:spacing w:line="480" w:lineRule="exact"/>
        <w:rPr>
          <w:rFonts w:hint="eastAsia"/>
          <w:sz w:val="24"/>
        </w:rPr>
      </w:pPr>
      <w:r>
        <w:rPr>
          <w:rFonts w:hint="eastAsia"/>
          <w:sz w:val="24"/>
        </w:rPr>
        <w:t>获取本工程使用的原材料、构配件、机械设备等生产厂家的名录。</w:t>
      </w:r>
    </w:p>
    <w:p>
      <w:pPr>
        <w:numPr>
          <w:ilvl w:val="0"/>
          <w:numId w:val="9"/>
        </w:numPr>
        <w:spacing w:line="480" w:lineRule="exact"/>
        <w:rPr>
          <w:rFonts w:hint="eastAsia"/>
          <w:sz w:val="24"/>
        </w:rPr>
      </w:pPr>
      <w:r>
        <w:rPr>
          <w:rFonts w:hint="eastAsia"/>
          <w:sz w:val="24"/>
        </w:rPr>
        <w:t>提供与本工程有关的协作单位，配合单位的名录。</w:t>
      </w:r>
    </w:p>
    <w:p>
      <w:pPr>
        <w:numPr>
          <w:ilvl w:val="0"/>
          <w:numId w:val="3"/>
        </w:numPr>
        <w:spacing w:line="480" w:lineRule="exact"/>
        <w:rPr>
          <w:rFonts w:hint="eastAsia"/>
          <w:sz w:val="24"/>
        </w:rPr>
      </w:pPr>
      <w:r>
        <w:rPr>
          <w:rFonts w:hint="eastAsia"/>
          <w:sz w:val="24"/>
        </w:rPr>
        <w:t>如果双方约定，由甲方免费向监理机构提供职员和服务人员，则应在监理合同专用条宽增加与此相关的条款。</w:t>
      </w:r>
    </w:p>
    <w:p>
      <w:pPr>
        <w:spacing w:line="480" w:lineRule="exact"/>
        <w:jc w:val="center"/>
        <w:rPr>
          <w:rFonts w:hint="eastAsia"/>
          <w:sz w:val="24"/>
        </w:rPr>
      </w:pPr>
    </w:p>
    <w:p>
      <w:pPr>
        <w:numPr>
          <w:ilvl w:val="0"/>
          <w:numId w:val="2"/>
        </w:numPr>
        <w:spacing w:line="480" w:lineRule="exact"/>
        <w:jc w:val="center"/>
        <w:rPr>
          <w:rFonts w:hint="eastAsia"/>
          <w:b/>
          <w:sz w:val="28"/>
          <w:szCs w:val="28"/>
        </w:rPr>
      </w:pPr>
      <w:r>
        <w:rPr>
          <w:rFonts w:hint="eastAsia"/>
          <w:b/>
          <w:sz w:val="28"/>
          <w:szCs w:val="28"/>
        </w:rPr>
        <w:t>监 理 单 位 的 权 利</w:t>
      </w:r>
    </w:p>
    <w:p>
      <w:pPr>
        <w:spacing w:line="480" w:lineRule="exact"/>
        <w:rPr>
          <w:rFonts w:hint="eastAsia"/>
          <w:b/>
          <w:sz w:val="30"/>
          <w:szCs w:val="30"/>
        </w:rPr>
      </w:pPr>
    </w:p>
    <w:p>
      <w:pPr>
        <w:numPr>
          <w:ilvl w:val="0"/>
          <w:numId w:val="3"/>
        </w:numPr>
        <w:spacing w:line="480" w:lineRule="exact"/>
        <w:rPr>
          <w:rFonts w:hint="eastAsia"/>
          <w:sz w:val="24"/>
        </w:rPr>
      </w:pPr>
      <w:r>
        <w:rPr>
          <w:rFonts w:hint="eastAsia"/>
          <w:sz w:val="24"/>
        </w:rPr>
        <w:t>甲方在委托的工程范围内，授予监理单位以下监理权利；</w:t>
      </w:r>
    </w:p>
    <w:p>
      <w:pPr>
        <w:numPr>
          <w:ilvl w:val="0"/>
          <w:numId w:val="10"/>
        </w:numPr>
        <w:spacing w:line="480" w:lineRule="exact"/>
        <w:rPr>
          <w:rFonts w:hint="eastAsia"/>
          <w:sz w:val="24"/>
        </w:rPr>
      </w:pPr>
      <w:r>
        <w:rPr>
          <w:rFonts w:hint="eastAsia"/>
          <w:sz w:val="24"/>
        </w:rPr>
        <w:t>选择工程总设计单位和施工总承包单位的建议权；</w:t>
      </w:r>
    </w:p>
    <w:p>
      <w:pPr>
        <w:numPr>
          <w:ilvl w:val="0"/>
          <w:numId w:val="10"/>
        </w:numPr>
        <w:spacing w:line="480" w:lineRule="exact"/>
        <w:rPr>
          <w:rFonts w:hint="eastAsia"/>
          <w:sz w:val="24"/>
        </w:rPr>
      </w:pPr>
      <w:r>
        <w:rPr>
          <w:rFonts w:hint="eastAsia"/>
          <w:sz w:val="24"/>
        </w:rPr>
        <w:t>选择工程设计分包单位和施工分包单位的确认权与否定权；</w:t>
      </w:r>
    </w:p>
    <w:p>
      <w:pPr>
        <w:numPr>
          <w:ilvl w:val="0"/>
          <w:numId w:val="10"/>
        </w:numPr>
        <w:spacing w:line="480" w:lineRule="exact"/>
        <w:rPr>
          <w:rFonts w:hint="eastAsia"/>
          <w:sz w:val="24"/>
        </w:rPr>
      </w:pPr>
      <w:r>
        <w:rPr>
          <w:rFonts w:hint="eastAsia"/>
          <w:sz w:val="24"/>
        </w:rPr>
        <w:t>工程建设有关事项包括工程规模、设计标准、规划设计、生产工艺设计和使用功能要求，向甲方的建议权；</w:t>
      </w:r>
    </w:p>
    <w:p>
      <w:pPr>
        <w:numPr>
          <w:ilvl w:val="0"/>
          <w:numId w:val="10"/>
        </w:numPr>
        <w:spacing w:line="480" w:lineRule="exact"/>
        <w:rPr>
          <w:rFonts w:hint="eastAsia"/>
          <w:sz w:val="24"/>
        </w:rPr>
      </w:pPr>
      <w:r>
        <w:rPr>
          <w:rFonts w:hint="eastAsia"/>
          <w:sz w:val="24"/>
        </w:rPr>
        <w:t>工程结构设计和其它专业设计中的技术问题，按照安全和优化的原则，自主向设计单位提出建议，并向甲方提出书面报告；如果由于拟提出的建议会提高工程造价，或延长工期，应当事先取得甲方的同意；</w:t>
      </w:r>
    </w:p>
    <w:p>
      <w:pPr>
        <w:numPr>
          <w:ilvl w:val="0"/>
          <w:numId w:val="10"/>
        </w:numPr>
        <w:spacing w:line="480" w:lineRule="exact"/>
        <w:rPr>
          <w:rFonts w:hint="eastAsia"/>
          <w:sz w:val="24"/>
        </w:rPr>
      </w:pPr>
      <w:r>
        <w:rPr>
          <w:rFonts w:hint="eastAsia"/>
          <w:sz w:val="24"/>
        </w:rPr>
        <w:t>工程施工组织设计和技术方案，按照保质量、保工期和降低成本的原则，自主向承建商提出建议，并向甲方提出书面报告；如果由于拟提出的建议会提高工程造价，或延长工期，应当事先取得甲方的同意；</w:t>
      </w:r>
    </w:p>
    <w:p>
      <w:pPr>
        <w:numPr>
          <w:ilvl w:val="0"/>
          <w:numId w:val="10"/>
        </w:numPr>
        <w:spacing w:line="480" w:lineRule="exact"/>
        <w:rPr>
          <w:rFonts w:hint="eastAsia"/>
          <w:sz w:val="24"/>
        </w:rPr>
      </w:pPr>
      <w:r>
        <w:rPr>
          <w:rFonts w:hint="eastAsia"/>
          <w:sz w:val="24"/>
        </w:rPr>
        <w:t>工程建设有关的协作单位的组织协调的主持权，重要协调事项应当事先向甲方报告；</w:t>
      </w:r>
    </w:p>
    <w:p>
      <w:pPr>
        <w:numPr>
          <w:ilvl w:val="0"/>
          <w:numId w:val="10"/>
        </w:numPr>
        <w:spacing w:line="480" w:lineRule="exact"/>
        <w:rPr>
          <w:rFonts w:hint="eastAsia"/>
          <w:sz w:val="24"/>
        </w:rPr>
      </w:pPr>
      <w:r>
        <w:rPr>
          <w:rFonts w:hint="eastAsia"/>
          <w:sz w:val="24"/>
        </w:rPr>
        <w:t>报甲方同意后，发布开工令、停工令、复工令；</w:t>
      </w:r>
    </w:p>
    <w:p>
      <w:pPr>
        <w:numPr>
          <w:ilvl w:val="0"/>
          <w:numId w:val="10"/>
        </w:numPr>
        <w:spacing w:line="480" w:lineRule="exact"/>
        <w:rPr>
          <w:rFonts w:hint="eastAsia"/>
          <w:sz w:val="24"/>
        </w:rPr>
      </w:pPr>
      <w:r>
        <w:rPr>
          <w:rFonts w:hint="eastAsia"/>
          <w:sz w:val="24"/>
        </w:rPr>
        <w:t>工程上使用的材料和施工质量的检验权。对于不符合设计要求及国家质量标准的材料设备，有权通知承建商停止使用；对于不符合规范和质量标准的工序、分项工程和不安全的施工作业，有权通知承建商停工整改或返工。承建商取得监理机构复工令后才能复工。发布停、复工令时应向甲方报告。</w:t>
      </w:r>
    </w:p>
    <w:p>
      <w:pPr>
        <w:numPr>
          <w:ilvl w:val="0"/>
          <w:numId w:val="10"/>
        </w:numPr>
        <w:spacing w:line="480" w:lineRule="exact"/>
        <w:rPr>
          <w:rFonts w:hint="eastAsia"/>
          <w:sz w:val="24"/>
        </w:rPr>
      </w:pPr>
      <w:r>
        <w:rPr>
          <w:rFonts w:hint="eastAsia"/>
          <w:sz w:val="24"/>
        </w:rPr>
        <w:t>工程施工进度的检查、监督权，以及工程实际竣工日期提前或超过工程承包合同规定的竣工期限的签认权；</w:t>
      </w:r>
    </w:p>
    <w:p>
      <w:pPr>
        <w:numPr>
          <w:ilvl w:val="0"/>
          <w:numId w:val="10"/>
        </w:numPr>
        <w:spacing w:line="480" w:lineRule="exact"/>
        <w:rPr>
          <w:rFonts w:hint="eastAsia"/>
          <w:sz w:val="24"/>
        </w:rPr>
      </w:pPr>
      <w:r>
        <w:rPr>
          <w:rFonts w:hint="eastAsia"/>
          <w:sz w:val="24"/>
        </w:rPr>
        <w:t>在工程承包合同约定的工程价格范围内，工程款支付的审核和签认权，以及结算工程款的复核确认权与否定权。未经监理机构签字确认，甲方不得支付工程款。</w:t>
      </w:r>
    </w:p>
    <w:p>
      <w:pPr>
        <w:numPr>
          <w:ilvl w:val="0"/>
          <w:numId w:val="3"/>
        </w:numPr>
        <w:spacing w:line="480" w:lineRule="exact"/>
        <w:rPr>
          <w:rFonts w:hint="eastAsia"/>
          <w:sz w:val="24"/>
        </w:rPr>
      </w:pPr>
      <w:r>
        <w:rPr>
          <w:rFonts w:hint="eastAsia"/>
          <w:sz w:val="24"/>
        </w:rPr>
        <w:t>监理机构在甲方授权下，可对任何第三方合同规定的义务提出变更。如果由此严重影响了工程费用、质量、进度，则这种变更须经甲方事先批准。在紧急情况下未能事先报甲方批准时，监理机构所作的变更也应尽快通知甲方。在监理过程中如发现承建商工作不力，监理机构可提出调换有关人员直至更换承建商的建议。</w:t>
      </w:r>
    </w:p>
    <w:p>
      <w:pPr>
        <w:numPr>
          <w:ilvl w:val="0"/>
          <w:numId w:val="3"/>
        </w:numPr>
        <w:spacing w:line="480" w:lineRule="exact"/>
        <w:rPr>
          <w:rFonts w:hint="eastAsia"/>
          <w:sz w:val="24"/>
        </w:rPr>
      </w:pPr>
      <w:r>
        <w:rPr>
          <w:rFonts w:hint="eastAsia"/>
          <w:sz w:val="24"/>
        </w:rPr>
        <w:t>在委托的工程范围内，甲方或第三方对对方的任何意见和要求（包括索赔要求），均必须首先向监理机构提出，由监理机构研究处理意见，再同双方协商确定。当甲方和第三方发生争议时，监理机构应根据自己的职能，以独立的身份予以判断，公正地进行调解。当其双方的争议由政府建设行政主管部门或仲裁机关进行调解和仲裁时，应当提供作证的事实材料。</w:t>
      </w:r>
    </w:p>
    <w:p>
      <w:pPr>
        <w:spacing w:line="480" w:lineRule="exact"/>
        <w:jc w:val="center"/>
        <w:rPr>
          <w:rFonts w:hint="eastAsia"/>
          <w:sz w:val="24"/>
        </w:rPr>
      </w:pPr>
    </w:p>
    <w:p>
      <w:pPr>
        <w:numPr>
          <w:ilvl w:val="0"/>
          <w:numId w:val="2"/>
        </w:numPr>
        <w:spacing w:line="480" w:lineRule="exact"/>
        <w:jc w:val="center"/>
        <w:rPr>
          <w:rFonts w:hint="eastAsia"/>
          <w:b/>
          <w:sz w:val="28"/>
          <w:szCs w:val="28"/>
        </w:rPr>
      </w:pPr>
      <w:r>
        <w:rPr>
          <w:rFonts w:hint="eastAsia"/>
          <w:b/>
          <w:sz w:val="28"/>
          <w:szCs w:val="28"/>
        </w:rPr>
        <w:t>甲 方 的 权 利</w:t>
      </w:r>
    </w:p>
    <w:p>
      <w:pPr>
        <w:spacing w:line="480" w:lineRule="exact"/>
        <w:jc w:val="center"/>
        <w:rPr>
          <w:rFonts w:hint="eastAsia"/>
          <w:sz w:val="24"/>
        </w:rPr>
      </w:pPr>
    </w:p>
    <w:p>
      <w:pPr>
        <w:numPr>
          <w:ilvl w:val="0"/>
          <w:numId w:val="3"/>
        </w:numPr>
        <w:spacing w:line="480" w:lineRule="exact"/>
        <w:rPr>
          <w:rFonts w:hint="eastAsia"/>
          <w:sz w:val="24"/>
        </w:rPr>
      </w:pPr>
      <w:r>
        <w:rPr>
          <w:rFonts w:hint="eastAsia"/>
          <w:sz w:val="24"/>
        </w:rPr>
        <w:t>甲方有权选择工程总设计单位和总承包单位，以及与其订立合同的签定权。</w:t>
      </w:r>
    </w:p>
    <w:p>
      <w:pPr>
        <w:numPr>
          <w:ilvl w:val="0"/>
          <w:numId w:val="3"/>
        </w:numPr>
        <w:spacing w:line="480" w:lineRule="exact"/>
        <w:rPr>
          <w:rFonts w:hint="eastAsia"/>
          <w:sz w:val="24"/>
        </w:rPr>
      </w:pPr>
      <w:r>
        <w:rPr>
          <w:rFonts w:hint="eastAsia"/>
          <w:sz w:val="24"/>
        </w:rPr>
        <w:t>甲方有对工程规模、设计标准、规划设计、生产工艺设计和设计使用功能要求的认定权，以及对工程设计变更的审批权。</w:t>
      </w:r>
    </w:p>
    <w:p>
      <w:pPr>
        <w:numPr>
          <w:ilvl w:val="0"/>
          <w:numId w:val="3"/>
        </w:numPr>
        <w:spacing w:line="480" w:lineRule="exact"/>
        <w:rPr>
          <w:rFonts w:hint="eastAsia"/>
          <w:sz w:val="24"/>
        </w:rPr>
      </w:pPr>
      <w:r>
        <w:rPr>
          <w:rFonts w:hint="eastAsia"/>
          <w:sz w:val="24"/>
        </w:rPr>
        <w:t>监理单位调换项目总监理工程师须经甲方同意。</w:t>
      </w:r>
    </w:p>
    <w:p>
      <w:pPr>
        <w:numPr>
          <w:ilvl w:val="0"/>
          <w:numId w:val="3"/>
        </w:numPr>
        <w:spacing w:line="480" w:lineRule="exact"/>
        <w:rPr>
          <w:rFonts w:hint="eastAsia"/>
          <w:sz w:val="24"/>
        </w:rPr>
      </w:pPr>
      <w:r>
        <w:rPr>
          <w:rFonts w:hint="eastAsia"/>
          <w:sz w:val="24"/>
        </w:rPr>
        <w:t>甲方有权要求监理机构提交监理工作月度报告及监理业务范围内的专项报告。</w:t>
      </w:r>
    </w:p>
    <w:p>
      <w:pPr>
        <w:numPr>
          <w:ilvl w:val="0"/>
          <w:numId w:val="3"/>
        </w:numPr>
        <w:spacing w:line="480" w:lineRule="exact"/>
        <w:rPr>
          <w:rFonts w:hint="eastAsia"/>
          <w:sz w:val="24"/>
        </w:rPr>
      </w:pPr>
      <w:r>
        <w:rPr>
          <w:rFonts w:hint="eastAsia"/>
          <w:sz w:val="24"/>
        </w:rPr>
        <w:t>甲方有权要求监理单位更换不称职的监理人员，直到终止合同。</w:t>
      </w:r>
    </w:p>
    <w:p>
      <w:pPr>
        <w:numPr>
          <w:ilvl w:val="0"/>
          <w:numId w:val="3"/>
        </w:numPr>
        <w:spacing w:line="480" w:lineRule="exact"/>
        <w:rPr>
          <w:rFonts w:hint="eastAsia"/>
          <w:sz w:val="24"/>
        </w:rPr>
      </w:pPr>
    </w:p>
    <w:p>
      <w:pPr>
        <w:numPr>
          <w:ilvl w:val="0"/>
          <w:numId w:val="2"/>
        </w:numPr>
        <w:spacing w:line="480" w:lineRule="exact"/>
        <w:jc w:val="center"/>
        <w:rPr>
          <w:rFonts w:hint="eastAsia"/>
          <w:b/>
          <w:sz w:val="28"/>
          <w:szCs w:val="28"/>
        </w:rPr>
      </w:pPr>
      <w:r>
        <w:rPr>
          <w:rFonts w:hint="eastAsia"/>
          <w:b/>
          <w:sz w:val="28"/>
          <w:szCs w:val="28"/>
        </w:rPr>
        <w:t>监 理 单 位 的 责 任</w:t>
      </w:r>
    </w:p>
    <w:p>
      <w:pPr>
        <w:spacing w:line="480" w:lineRule="exact"/>
        <w:jc w:val="center"/>
        <w:rPr>
          <w:rFonts w:hint="eastAsia"/>
          <w:sz w:val="24"/>
        </w:rPr>
      </w:pPr>
    </w:p>
    <w:p>
      <w:pPr>
        <w:numPr>
          <w:ilvl w:val="0"/>
          <w:numId w:val="3"/>
        </w:numPr>
        <w:spacing w:line="480" w:lineRule="exact"/>
        <w:rPr>
          <w:rFonts w:hint="eastAsia"/>
          <w:sz w:val="24"/>
        </w:rPr>
      </w:pPr>
      <w:r>
        <w:rPr>
          <w:rFonts w:hint="eastAsia"/>
          <w:sz w:val="24"/>
        </w:rPr>
        <w:t>监理单位的责任期即监理合同有效期。在监理过程中，如果工程建设的进度推迟或延误而超过约定的日期，双方应进一步约定相应延长的合同期。</w:t>
      </w:r>
    </w:p>
    <w:p>
      <w:pPr>
        <w:numPr>
          <w:ilvl w:val="0"/>
          <w:numId w:val="3"/>
        </w:numPr>
        <w:spacing w:line="480" w:lineRule="exact"/>
        <w:rPr>
          <w:rFonts w:hint="eastAsia"/>
          <w:sz w:val="24"/>
        </w:rPr>
      </w:pPr>
      <w:r>
        <w:rPr>
          <w:rFonts w:hint="eastAsia"/>
          <w:sz w:val="24"/>
        </w:rPr>
        <w:t>监理单位在责任期内，应当履行监理合同中约定的义务，如因监理单位过失而产生质量事故，造成甲方经济损失，应当向甲方赔偿。</w:t>
      </w:r>
    </w:p>
    <w:p>
      <w:pPr>
        <w:numPr>
          <w:ilvl w:val="0"/>
          <w:numId w:val="3"/>
        </w:numPr>
        <w:spacing w:line="480" w:lineRule="exact"/>
        <w:ind w:left="0" w:firstLine="0"/>
        <w:rPr>
          <w:rFonts w:hint="eastAsia"/>
          <w:sz w:val="24"/>
        </w:rPr>
      </w:pPr>
      <w:r>
        <w:rPr>
          <w:rFonts w:hint="eastAsia"/>
          <w:sz w:val="24"/>
        </w:rPr>
        <w:t>如因监理单位的原因使工期延误，造成经济损失，应当向甲方赔偿；</w:t>
      </w:r>
    </w:p>
    <w:p>
      <w:pPr>
        <w:spacing w:line="480" w:lineRule="exact"/>
        <w:ind w:firstLine="960" w:firstLineChars="400"/>
        <w:rPr>
          <w:rFonts w:hint="eastAsia"/>
          <w:sz w:val="24"/>
        </w:rPr>
      </w:pPr>
      <w:r>
        <w:rPr>
          <w:rFonts w:hint="eastAsia"/>
          <w:sz w:val="24"/>
        </w:rPr>
        <w:t>如因甲方的原因造成工期延误，甲方应向监理单位补偿。</w:t>
      </w:r>
    </w:p>
    <w:p>
      <w:pPr>
        <w:numPr>
          <w:ilvl w:val="0"/>
          <w:numId w:val="3"/>
        </w:numPr>
        <w:spacing w:line="480" w:lineRule="exact"/>
        <w:rPr>
          <w:rFonts w:hint="eastAsia"/>
          <w:sz w:val="24"/>
        </w:rPr>
      </w:pPr>
      <w:r>
        <w:rPr>
          <w:rFonts w:hint="eastAsia"/>
          <w:sz w:val="24"/>
        </w:rPr>
        <w:t>监理单位对第三方违反合同规定的质量要求和完工（交图、交货）时限，不承担责任。</w:t>
      </w:r>
    </w:p>
    <w:p>
      <w:pPr>
        <w:numPr>
          <w:ilvl w:val="0"/>
          <w:numId w:val="3"/>
        </w:numPr>
        <w:spacing w:line="480" w:lineRule="exact"/>
        <w:ind w:left="0" w:firstLine="0"/>
        <w:rPr>
          <w:rFonts w:hint="eastAsia"/>
          <w:sz w:val="24"/>
        </w:rPr>
      </w:pPr>
      <w:r>
        <w:rPr>
          <w:rFonts w:hint="eastAsia"/>
          <w:sz w:val="24"/>
        </w:rPr>
        <w:t>因不可抗力导致监理合同不能全部或部分履行，监理单位不承担责任。</w:t>
      </w:r>
    </w:p>
    <w:p>
      <w:pPr>
        <w:numPr>
          <w:ilvl w:val="0"/>
          <w:numId w:val="3"/>
        </w:numPr>
        <w:spacing w:line="480" w:lineRule="exact"/>
        <w:rPr>
          <w:rFonts w:hint="eastAsia"/>
          <w:sz w:val="24"/>
        </w:rPr>
      </w:pPr>
      <w:r>
        <w:rPr>
          <w:rFonts w:hint="eastAsia"/>
          <w:sz w:val="24"/>
        </w:rPr>
        <w:t>监理单位向甲方提出赔款要求不能成立时，监理单位应当补偿由于该索赔所导致甲方的各种费用支出。</w:t>
      </w:r>
    </w:p>
    <w:p>
      <w:pPr>
        <w:spacing w:line="480" w:lineRule="exact"/>
        <w:rPr>
          <w:rFonts w:hint="eastAsia"/>
          <w:sz w:val="24"/>
        </w:rPr>
      </w:pPr>
    </w:p>
    <w:p>
      <w:pPr>
        <w:numPr>
          <w:ilvl w:val="0"/>
          <w:numId w:val="2"/>
        </w:numPr>
        <w:spacing w:line="480" w:lineRule="exact"/>
        <w:jc w:val="center"/>
        <w:rPr>
          <w:rFonts w:hint="eastAsia"/>
          <w:b/>
          <w:sz w:val="28"/>
          <w:szCs w:val="28"/>
        </w:rPr>
      </w:pPr>
      <w:r>
        <w:rPr>
          <w:rFonts w:hint="eastAsia"/>
          <w:b/>
          <w:sz w:val="28"/>
          <w:szCs w:val="28"/>
        </w:rPr>
        <w:t>甲 方 的 责 任</w:t>
      </w:r>
    </w:p>
    <w:p>
      <w:pPr>
        <w:spacing w:line="480" w:lineRule="exact"/>
        <w:jc w:val="center"/>
        <w:rPr>
          <w:rFonts w:hint="eastAsia"/>
          <w:b/>
          <w:sz w:val="30"/>
          <w:szCs w:val="30"/>
        </w:rPr>
      </w:pPr>
    </w:p>
    <w:p>
      <w:pPr>
        <w:numPr>
          <w:ilvl w:val="0"/>
          <w:numId w:val="3"/>
        </w:numPr>
        <w:spacing w:line="480" w:lineRule="exact"/>
        <w:rPr>
          <w:rFonts w:hint="eastAsia"/>
          <w:sz w:val="24"/>
        </w:rPr>
      </w:pPr>
      <w:r>
        <w:rPr>
          <w:rFonts w:hint="eastAsia"/>
          <w:sz w:val="24"/>
        </w:rPr>
        <w:t>甲方应当履行监理合同约定的义务，如有违反，则应当承担违约责任，向监理单位赔偿由此造成的经济损失。</w:t>
      </w:r>
    </w:p>
    <w:p>
      <w:pPr>
        <w:numPr>
          <w:ilvl w:val="0"/>
          <w:numId w:val="3"/>
        </w:numPr>
        <w:spacing w:line="480" w:lineRule="exact"/>
        <w:rPr>
          <w:rFonts w:hint="eastAsia"/>
          <w:sz w:val="24"/>
        </w:rPr>
      </w:pPr>
      <w:r>
        <w:rPr>
          <w:rFonts w:hint="eastAsia"/>
          <w:sz w:val="24"/>
        </w:rPr>
        <w:t>甲方如果向监理单位提出的赔偿要求不能成立，则应当补偿由该索赔所引起监理单位的各种费用支出。</w:t>
      </w:r>
    </w:p>
    <w:p>
      <w:pPr>
        <w:numPr>
          <w:ilvl w:val="0"/>
          <w:numId w:val="3"/>
        </w:numPr>
        <w:spacing w:line="480" w:lineRule="exact"/>
        <w:rPr>
          <w:rFonts w:hint="eastAsia"/>
          <w:sz w:val="24"/>
        </w:rPr>
      </w:pPr>
      <w:r>
        <w:rPr>
          <w:rFonts w:hint="eastAsia"/>
          <w:sz w:val="24"/>
        </w:rPr>
        <w:t>按时、保量地向监理单位支付监理酬金。</w:t>
      </w:r>
    </w:p>
    <w:p>
      <w:pPr>
        <w:spacing w:line="480" w:lineRule="exact"/>
        <w:rPr>
          <w:rFonts w:hint="eastAsia"/>
          <w:sz w:val="24"/>
        </w:rPr>
      </w:pPr>
    </w:p>
    <w:p>
      <w:pPr>
        <w:numPr>
          <w:ilvl w:val="0"/>
          <w:numId w:val="2"/>
        </w:numPr>
        <w:spacing w:line="480" w:lineRule="exact"/>
        <w:jc w:val="center"/>
        <w:rPr>
          <w:rFonts w:hint="eastAsia"/>
          <w:b/>
          <w:sz w:val="28"/>
          <w:szCs w:val="28"/>
        </w:rPr>
      </w:pPr>
      <w:r>
        <w:rPr>
          <w:rFonts w:hint="eastAsia"/>
          <w:b/>
          <w:sz w:val="28"/>
          <w:szCs w:val="28"/>
        </w:rPr>
        <w:t>合 同 生 效、变 更 与 终 止</w:t>
      </w:r>
    </w:p>
    <w:p>
      <w:pPr>
        <w:spacing w:line="480" w:lineRule="exact"/>
        <w:jc w:val="center"/>
        <w:rPr>
          <w:rFonts w:hint="eastAsia"/>
          <w:b/>
          <w:sz w:val="30"/>
          <w:szCs w:val="30"/>
        </w:rPr>
      </w:pPr>
    </w:p>
    <w:p>
      <w:pPr>
        <w:numPr>
          <w:ilvl w:val="0"/>
          <w:numId w:val="3"/>
        </w:numPr>
        <w:spacing w:line="480" w:lineRule="exact"/>
        <w:rPr>
          <w:rFonts w:hint="eastAsia"/>
          <w:sz w:val="24"/>
        </w:rPr>
      </w:pPr>
      <w:r>
        <w:rPr>
          <w:rFonts w:hint="eastAsia"/>
          <w:sz w:val="24"/>
        </w:rPr>
        <w:t>本合同自盖章签字之日起生效。</w:t>
      </w:r>
    </w:p>
    <w:p>
      <w:pPr>
        <w:numPr>
          <w:ilvl w:val="0"/>
          <w:numId w:val="3"/>
        </w:numPr>
        <w:spacing w:line="480" w:lineRule="exact"/>
        <w:rPr>
          <w:rFonts w:hint="eastAsia"/>
          <w:sz w:val="24"/>
        </w:rPr>
      </w:pPr>
      <w:r>
        <w:rPr>
          <w:rFonts w:hint="eastAsia"/>
          <w:sz w:val="24"/>
        </w:rPr>
        <w:t>由于甲方或第三方的原因使监理工作受到阻碍或延误，以致增加了工作量或持续时间，则监理单位应当将此情况与可能产生的影响及时通知甲方。</w:t>
      </w:r>
    </w:p>
    <w:p>
      <w:pPr>
        <w:numPr>
          <w:ilvl w:val="0"/>
          <w:numId w:val="3"/>
        </w:numPr>
        <w:spacing w:line="480" w:lineRule="exact"/>
        <w:rPr>
          <w:rFonts w:hint="eastAsia"/>
          <w:sz w:val="24"/>
        </w:rPr>
      </w:pPr>
      <w:r>
        <w:rPr>
          <w:rFonts w:hint="eastAsia"/>
          <w:sz w:val="24"/>
        </w:rPr>
        <w:t>在监理合同签订后，实际情况发生变化，使得监理单位不能全部或部分执行监理业务时，监理单位应当立即通知甲方。该监理业务的完成时间应予延长。当恢复执行监理业务时，应当增加不超过42天的时间用于恢复执行监理业务。</w:t>
      </w:r>
    </w:p>
    <w:p>
      <w:pPr>
        <w:numPr>
          <w:ilvl w:val="0"/>
          <w:numId w:val="3"/>
        </w:numPr>
        <w:spacing w:line="480" w:lineRule="exact"/>
        <w:rPr>
          <w:rFonts w:hint="eastAsia"/>
          <w:sz w:val="24"/>
        </w:rPr>
      </w:pPr>
      <w:r>
        <w:rPr>
          <w:rFonts w:hint="eastAsia"/>
          <w:sz w:val="24"/>
        </w:rPr>
        <w:t>甲方如果要求监理单位全部或部分暂停执行监理业务或终止监理合同，则应当在56天前通知监理单位，监理单位应当立即安排停止执行监理业务。</w:t>
      </w:r>
    </w:p>
    <w:p>
      <w:pPr>
        <w:spacing w:line="480" w:lineRule="exact"/>
        <w:ind w:left="960" w:hanging="960" w:hangingChars="400"/>
        <w:rPr>
          <w:rFonts w:hint="eastAsia"/>
          <w:sz w:val="24"/>
        </w:rPr>
      </w:pPr>
      <w:r>
        <w:rPr>
          <w:rFonts w:hint="eastAsia"/>
          <w:sz w:val="24"/>
        </w:rPr>
        <w:t xml:space="preserve">        当甲方认为监理单位无正当理由而又未完全履行监理义务时，可向监理单位发出指明其未履行义务的通知。若甲方发出通知后21天内没有收到满意答复，可在第一个通知发出后35天内发出终止监理合同的通知，监理合同即行终止。</w:t>
      </w:r>
    </w:p>
    <w:p>
      <w:pPr>
        <w:numPr>
          <w:ilvl w:val="0"/>
          <w:numId w:val="3"/>
        </w:numPr>
        <w:spacing w:line="480" w:lineRule="exact"/>
        <w:rPr>
          <w:rFonts w:hint="eastAsia"/>
          <w:sz w:val="24"/>
        </w:rPr>
      </w:pPr>
      <w:r>
        <w:rPr>
          <w:rFonts w:hint="eastAsia"/>
          <w:sz w:val="24"/>
        </w:rPr>
        <w:t>监理单位在应当获得监理酬金之日起30天内仍未收到支付单据，而甲方又未对监理单位提出任何书面意见时，或根据第39条或第40条已暂停执行监理业务时限超过半年时，监理单位可向甲方发出终止合同的通知。如果终止监理合同的通知发出后14日内未得到甲方答复，可进一步发出终止监理合同的通知，如果第二次通知发出后42天内仍未得到甲方的答复，可终止合同，或自行暂停或继续暂停执行全部或部分监理业务。</w:t>
      </w:r>
    </w:p>
    <w:p>
      <w:pPr>
        <w:numPr>
          <w:ilvl w:val="0"/>
          <w:numId w:val="3"/>
        </w:numPr>
        <w:spacing w:line="480" w:lineRule="exact"/>
        <w:rPr>
          <w:rFonts w:hint="eastAsia"/>
          <w:sz w:val="24"/>
        </w:rPr>
      </w:pPr>
      <w:r>
        <w:rPr>
          <w:rFonts w:hint="eastAsia"/>
          <w:sz w:val="24"/>
        </w:rPr>
        <w:t>合同签约双方应当履行本合同所约定的义务，如有违反则应当承担违约责任，违约方应给对方一定的赔偿。</w:t>
      </w:r>
    </w:p>
    <w:p>
      <w:pPr>
        <w:numPr>
          <w:ilvl w:val="0"/>
          <w:numId w:val="3"/>
        </w:numPr>
        <w:spacing w:line="480" w:lineRule="exact"/>
        <w:rPr>
          <w:rFonts w:hint="eastAsia"/>
          <w:sz w:val="24"/>
        </w:rPr>
      </w:pPr>
      <w:r>
        <w:rPr>
          <w:rFonts w:hint="eastAsia"/>
          <w:sz w:val="24"/>
        </w:rPr>
        <w:t>合同的协议终止并不影响各方应有的权利和应当承担的责任。</w:t>
      </w:r>
    </w:p>
    <w:p>
      <w:pPr>
        <w:spacing w:line="480" w:lineRule="exact"/>
        <w:rPr>
          <w:rFonts w:hint="eastAsia"/>
          <w:sz w:val="24"/>
        </w:rPr>
      </w:pPr>
    </w:p>
    <w:p>
      <w:pPr>
        <w:numPr>
          <w:ilvl w:val="0"/>
          <w:numId w:val="2"/>
        </w:numPr>
        <w:spacing w:line="480" w:lineRule="exact"/>
        <w:jc w:val="center"/>
        <w:rPr>
          <w:rFonts w:hint="eastAsia"/>
          <w:b/>
          <w:sz w:val="28"/>
          <w:szCs w:val="28"/>
        </w:rPr>
      </w:pPr>
      <w:r>
        <w:rPr>
          <w:rFonts w:hint="eastAsia"/>
          <w:b/>
          <w:sz w:val="28"/>
          <w:szCs w:val="28"/>
        </w:rPr>
        <w:t>监 理 酬 金</w:t>
      </w:r>
    </w:p>
    <w:p>
      <w:pPr>
        <w:spacing w:line="480" w:lineRule="exact"/>
        <w:rPr>
          <w:rFonts w:hint="eastAsia"/>
          <w:sz w:val="24"/>
        </w:rPr>
      </w:pPr>
    </w:p>
    <w:p>
      <w:pPr>
        <w:numPr>
          <w:ilvl w:val="0"/>
          <w:numId w:val="3"/>
        </w:numPr>
        <w:spacing w:line="480" w:lineRule="exact"/>
        <w:rPr>
          <w:rFonts w:hint="eastAsia"/>
          <w:sz w:val="24"/>
        </w:rPr>
      </w:pPr>
      <w:r>
        <w:rPr>
          <w:rFonts w:hint="eastAsia"/>
          <w:sz w:val="24"/>
        </w:rPr>
        <w:t>支付监理酬金所采取的货币币种、汇率由合同专用条款约定。</w:t>
      </w:r>
    </w:p>
    <w:p>
      <w:pPr>
        <w:spacing w:line="480" w:lineRule="exact"/>
        <w:rPr>
          <w:rFonts w:hint="eastAsia"/>
          <w:sz w:val="24"/>
        </w:rPr>
      </w:pPr>
    </w:p>
    <w:p>
      <w:pPr>
        <w:numPr>
          <w:ilvl w:val="0"/>
          <w:numId w:val="2"/>
        </w:numPr>
        <w:spacing w:line="480" w:lineRule="exact"/>
        <w:jc w:val="center"/>
        <w:rPr>
          <w:rFonts w:hint="eastAsia"/>
          <w:b/>
          <w:sz w:val="28"/>
          <w:szCs w:val="28"/>
        </w:rPr>
      </w:pPr>
      <w:r>
        <w:rPr>
          <w:rFonts w:hint="eastAsia"/>
          <w:b/>
          <w:sz w:val="28"/>
          <w:szCs w:val="28"/>
        </w:rPr>
        <w:t>奖 励 与 处 罚</w:t>
      </w:r>
    </w:p>
    <w:p>
      <w:pPr>
        <w:spacing w:line="480" w:lineRule="exact"/>
        <w:jc w:val="center"/>
        <w:rPr>
          <w:rFonts w:hint="eastAsia"/>
          <w:sz w:val="24"/>
        </w:rPr>
      </w:pPr>
    </w:p>
    <w:p>
      <w:pPr>
        <w:numPr>
          <w:ilvl w:val="0"/>
          <w:numId w:val="3"/>
        </w:numPr>
        <w:spacing w:line="480" w:lineRule="exact"/>
        <w:rPr>
          <w:rFonts w:hint="eastAsia"/>
          <w:sz w:val="24"/>
        </w:rPr>
      </w:pPr>
      <w:r>
        <w:rPr>
          <w:rFonts w:hint="eastAsia"/>
          <w:sz w:val="24"/>
        </w:rPr>
        <w:t>监理单位在有限监理期限内，如竣工验收质量不合格，则甲方处罚监理单位；奖励与处罚金额由专用条款约定。</w:t>
      </w:r>
    </w:p>
    <w:p>
      <w:pPr>
        <w:spacing w:line="480" w:lineRule="exact"/>
        <w:rPr>
          <w:rFonts w:hint="eastAsia"/>
          <w:sz w:val="24"/>
        </w:rPr>
      </w:pPr>
    </w:p>
    <w:p>
      <w:pPr>
        <w:numPr>
          <w:ilvl w:val="0"/>
          <w:numId w:val="2"/>
        </w:numPr>
        <w:spacing w:line="480" w:lineRule="exact"/>
        <w:jc w:val="center"/>
        <w:rPr>
          <w:rFonts w:hint="eastAsia"/>
          <w:b/>
          <w:sz w:val="28"/>
          <w:szCs w:val="28"/>
        </w:rPr>
      </w:pPr>
      <w:r>
        <w:rPr>
          <w:rFonts w:hint="eastAsia"/>
          <w:b/>
          <w:sz w:val="28"/>
          <w:szCs w:val="28"/>
        </w:rPr>
        <w:t>其    他</w:t>
      </w:r>
    </w:p>
    <w:p>
      <w:pPr>
        <w:spacing w:line="480" w:lineRule="exact"/>
        <w:jc w:val="center"/>
        <w:rPr>
          <w:rFonts w:hint="eastAsia"/>
          <w:sz w:val="24"/>
        </w:rPr>
      </w:pPr>
    </w:p>
    <w:p>
      <w:pPr>
        <w:numPr>
          <w:ilvl w:val="0"/>
          <w:numId w:val="3"/>
        </w:numPr>
        <w:spacing w:line="480" w:lineRule="exact"/>
        <w:rPr>
          <w:rFonts w:hint="eastAsia"/>
          <w:sz w:val="24"/>
        </w:rPr>
      </w:pPr>
      <w:r>
        <w:rPr>
          <w:rFonts w:hint="eastAsia"/>
          <w:sz w:val="24"/>
        </w:rPr>
        <w:t>委托的工程建设监理所必要的监理人员的出外考察，经甲方同意，其所需费用随时向甲方实报实销。</w:t>
      </w:r>
    </w:p>
    <w:p>
      <w:pPr>
        <w:numPr>
          <w:ilvl w:val="0"/>
          <w:numId w:val="3"/>
        </w:numPr>
        <w:spacing w:line="480" w:lineRule="exact"/>
        <w:rPr>
          <w:rFonts w:hint="eastAsia"/>
          <w:sz w:val="24"/>
        </w:rPr>
      </w:pPr>
      <w:r>
        <w:rPr>
          <w:rFonts w:hint="eastAsia"/>
          <w:sz w:val="24"/>
        </w:rPr>
        <w:t>监理单位如须另聘专家咨询或协助，在监理业务范围内其费用由监理单位承担，监理业务范围以外，其费用由甲方承担。</w:t>
      </w:r>
    </w:p>
    <w:p>
      <w:pPr>
        <w:numPr>
          <w:ilvl w:val="0"/>
          <w:numId w:val="3"/>
        </w:numPr>
        <w:spacing w:line="480" w:lineRule="exact"/>
        <w:rPr>
          <w:rFonts w:hint="eastAsia"/>
          <w:sz w:val="24"/>
        </w:rPr>
      </w:pPr>
      <w:r>
        <w:rPr>
          <w:rFonts w:hint="eastAsia"/>
          <w:sz w:val="24"/>
        </w:rPr>
        <w:t>未经双方的书面同意，无论甲方或监理单位，均不得转让本合同约定的权利和义务。</w:t>
      </w:r>
    </w:p>
    <w:p>
      <w:pPr>
        <w:numPr>
          <w:ilvl w:val="0"/>
          <w:numId w:val="3"/>
        </w:numPr>
        <w:spacing w:line="480" w:lineRule="exact"/>
        <w:rPr>
          <w:rFonts w:hint="eastAsia"/>
          <w:sz w:val="24"/>
        </w:rPr>
      </w:pPr>
      <w:r>
        <w:rPr>
          <w:rFonts w:hint="eastAsia"/>
          <w:sz w:val="24"/>
        </w:rPr>
        <w:t>除甲方书面同意外，监理单位及职员不应接受监理合同以外的与监理工程项目有关的报酬。</w:t>
      </w:r>
    </w:p>
    <w:p>
      <w:pPr>
        <w:spacing w:line="480" w:lineRule="exact"/>
        <w:ind w:left="960"/>
        <w:rPr>
          <w:rFonts w:hint="eastAsia"/>
          <w:sz w:val="24"/>
        </w:rPr>
      </w:pPr>
      <w:r>
        <w:rPr>
          <w:rFonts w:hint="eastAsia"/>
          <w:sz w:val="24"/>
        </w:rPr>
        <w:t>监理单位不得参与合同规定的与甲方的利益相冲突的任何活动。</w:t>
      </w:r>
    </w:p>
    <w:p>
      <w:pPr>
        <w:spacing w:line="480" w:lineRule="exact"/>
        <w:ind w:left="960"/>
        <w:rPr>
          <w:rFonts w:hint="eastAsia"/>
          <w:sz w:val="24"/>
        </w:rPr>
      </w:pPr>
    </w:p>
    <w:p>
      <w:pPr>
        <w:numPr>
          <w:ilvl w:val="0"/>
          <w:numId w:val="2"/>
        </w:numPr>
        <w:spacing w:line="480" w:lineRule="exact"/>
        <w:jc w:val="center"/>
        <w:rPr>
          <w:rFonts w:hint="eastAsia"/>
          <w:b/>
          <w:sz w:val="28"/>
          <w:szCs w:val="28"/>
        </w:rPr>
      </w:pPr>
      <w:r>
        <w:rPr>
          <w:rFonts w:hint="eastAsia"/>
          <w:b/>
          <w:sz w:val="28"/>
          <w:szCs w:val="28"/>
        </w:rPr>
        <w:t>争 议 的 解 决</w:t>
      </w:r>
    </w:p>
    <w:p>
      <w:pPr>
        <w:spacing w:line="480" w:lineRule="exact"/>
        <w:jc w:val="center"/>
        <w:rPr>
          <w:rFonts w:hint="eastAsia"/>
          <w:b/>
          <w:sz w:val="30"/>
          <w:szCs w:val="30"/>
        </w:rPr>
      </w:pPr>
    </w:p>
    <w:p>
      <w:pPr>
        <w:numPr>
          <w:ilvl w:val="0"/>
          <w:numId w:val="3"/>
        </w:numPr>
        <w:spacing w:line="480" w:lineRule="exact"/>
        <w:rPr>
          <w:rFonts w:hint="eastAsia"/>
          <w:sz w:val="24"/>
        </w:rPr>
      </w:pPr>
      <w:r>
        <w:rPr>
          <w:rFonts w:hint="eastAsia"/>
          <w:sz w:val="24"/>
        </w:rPr>
        <w:t>因本合同或与本合同有关的争议，甲方与监理单位之间应当协商解决，如未能达到一致，可提交主管部门协调，仍不能达成一致时，根据双方约定提交仲裁机关仲裁，或向人民法院起诉。</w:t>
      </w:r>
    </w:p>
    <w:p>
      <w:pPr>
        <w:spacing w:line="480" w:lineRule="exact"/>
        <w:rPr>
          <w:sz w:val="24"/>
        </w:rPr>
      </w:pPr>
    </w:p>
    <w:p>
      <w:pPr>
        <w:spacing w:line="480" w:lineRule="exact"/>
        <w:rPr>
          <w:sz w:val="24"/>
        </w:rPr>
      </w:pPr>
    </w:p>
    <w:p>
      <w:pPr>
        <w:spacing w:line="480" w:lineRule="exact"/>
        <w:rPr>
          <w:sz w:val="24"/>
        </w:rPr>
      </w:pPr>
    </w:p>
    <w:p>
      <w:pPr>
        <w:spacing w:line="480" w:lineRule="exact"/>
        <w:rPr>
          <w:sz w:val="24"/>
        </w:rPr>
      </w:pPr>
    </w:p>
    <w:p>
      <w:pPr>
        <w:spacing w:line="480" w:lineRule="exact"/>
        <w:rPr>
          <w:sz w:val="24"/>
        </w:rPr>
      </w:pPr>
    </w:p>
    <w:p>
      <w:pPr>
        <w:spacing w:line="480" w:lineRule="exact"/>
        <w:rPr>
          <w:sz w:val="24"/>
        </w:rPr>
      </w:pPr>
    </w:p>
    <w:p>
      <w:pPr>
        <w:spacing w:line="480" w:lineRule="exact"/>
        <w:rPr>
          <w:sz w:val="24"/>
        </w:rPr>
      </w:pPr>
    </w:p>
    <w:p>
      <w:pPr>
        <w:spacing w:line="480" w:lineRule="exact"/>
        <w:rPr>
          <w:sz w:val="24"/>
        </w:rPr>
      </w:pPr>
    </w:p>
    <w:p>
      <w:pPr>
        <w:spacing w:line="480" w:lineRule="exact"/>
        <w:rPr>
          <w:sz w:val="24"/>
        </w:rPr>
      </w:pPr>
    </w:p>
    <w:p>
      <w:pPr>
        <w:spacing w:line="480" w:lineRule="exact"/>
        <w:rPr>
          <w:sz w:val="24"/>
        </w:rPr>
      </w:pPr>
    </w:p>
    <w:p>
      <w:pPr>
        <w:spacing w:line="480" w:lineRule="exact"/>
        <w:rPr>
          <w:sz w:val="24"/>
        </w:rPr>
      </w:pPr>
    </w:p>
    <w:p>
      <w:pPr>
        <w:spacing w:line="480" w:lineRule="exact"/>
        <w:rPr>
          <w:rFonts w:hint="eastAsia"/>
          <w:sz w:val="24"/>
        </w:rPr>
      </w:pPr>
    </w:p>
    <w:p>
      <w:pPr>
        <w:spacing w:line="480" w:lineRule="exact"/>
        <w:jc w:val="center"/>
        <w:rPr>
          <w:rFonts w:hint="eastAsia"/>
          <w:b/>
          <w:sz w:val="32"/>
          <w:szCs w:val="32"/>
        </w:rPr>
      </w:pPr>
      <w:r>
        <w:rPr>
          <w:rFonts w:hint="eastAsia"/>
          <w:b/>
          <w:sz w:val="32"/>
          <w:szCs w:val="32"/>
        </w:rPr>
        <w:t>专  用  条  款</w:t>
      </w:r>
    </w:p>
    <w:p>
      <w:pPr>
        <w:spacing w:line="480" w:lineRule="exact"/>
        <w:rPr>
          <w:rFonts w:hint="eastAsia"/>
          <w:sz w:val="24"/>
        </w:rPr>
      </w:pPr>
      <w:r>
        <w:rPr>
          <w:rFonts w:hint="eastAsia"/>
          <w:sz w:val="24"/>
        </w:rPr>
        <w:t xml:space="preserve">                                                                      </w:t>
      </w:r>
    </w:p>
    <w:p>
      <w:pPr>
        <w:spacing w:line="360" w:lineRule="auto"/>
        <w:ind w:firstLine="482" w:firstLineChars="200"/>
        <w:jc w:val="left"/>
        <w:rPr>
          <w:rFonts w:hint="eastAsia"/>
          <w:b/>
          <w:bCs/>
          <w:sz w:val="24"/>
        </w:rPr>
      </w:pPr>
      <w:r>
        <w:rPr>
          <w:rFonts w:hint="eastAsia"/>
          <w:b/>
          <w:bCs/>
          <w:sz w:val="24"/>
        </w:rPr>
        <w:t>一、监理业务：</w:t>
      </w:r>
    </w:p>
    <w:p>
      <w:pPr>
        <w:pStyle w:val="43"/>
        <w:adjustRightInd w:val="0"/>
        <w:snapToGrid w:val="0"/>
        <w:spacing w:line="360" w:lineRule="auto"/>
        <w:ind w:firstLine="480" w:firstLineChars="200"/>
        <w:rPr>
          <w:rFonts w:hint="eastAsia"/>
          <w:sz w:val="24"/>
        </w:rPr>
      </w:pPr>
      <w:r>
        <w:rPr>
          <w:rFonts w:hint="eastAsia"/>
          <w:sz w:val="24"/>
        </w:rPr>
        <w:t>监理单位按照《建设工程监理规范》（GB50319-2000）要求完成工程监理及其相关服务工作，各阶段监理包括但不限于以下内容：</w:t>
      </w:r>
    </w:p>
    <w:p>
      <w:pPr>
        <w:pStyle w:val="43"/>
        <w:adjustRightInd w:val="0"/>
        <w:snapToGrid w:val="0"/>
        <w:spacing w:line="360" w:lineRule="auto"/>
        <w:ind w:firstLine="482" w:firstLineChars="200"/>
        <w:rPr>
          <w:rFonts w:hint="eastAsia"/>
          <w:sz w:val="24"/>
        </w:rPr>
      </w:pPr>
      <w:r>
        <w:rPr>
          <w:rFonts w:hint="eastAsia"/>
          <w:b/>
          <w:bCs/>
          <w:sz w:val="24"/>
        </w:rPr>
        <w:t>（一）</w:t>
      </w:r>
      <w:r>
        <w:rPr>
          <w:rFonts w:hint="eastAsia"/>
          <w:sz w:val="24"/>
        </w:rPr>
        <w:t>施工准备阶段监理工作。</w:t>
      </w:r>
    </w:p>
    <w:p>
      <w:pPr>
        <w:pStyle w:val="43"/>
        <w:adjustRightInd w:val="0"/>
        <w:snapToGrid w:val="0"/>
        <w:spacing w:line="360" w:lineRule="auto"/>
        <w:ind w:firstLine="480" w:firstLineChars="200"/>
        <w:rPr>
          <w:rFonts w:hint="eastAsia"/>
          <w:sz w:val="24"/>
        </w:rPr>
      </w:pPr>
      <w:r>
        <w:rPr>
          <w:rFonts w:hint="eastAsia"/>
          <w:sz w:val="24"/>
        </w:rPr>
        <w:t>（1）参与工程项目标段的划分，提出意见或建议；根据设计文件拟定设备材料的技术参数；</w:t>
      </w:r>
    </w:p>
    <w:p>
      <w:pPr>
        <w:pStyle w:val="43"/>
        <w:adjustRightInd w:val="0"/>
        <w:snapToGrid w:val="0"/>
        <w:spacing w:line="360" w:lineRule="auto"/>
        <w:ind w:firstLine="480" w:firstLineChars="200"/>
        <w:jc w:val="left"/>
        <w:rPr>
          <w:rFonts w:hint="eastAsia"/>
          <w:sz w:val="24"/>
        </w:rPr>
      </w:pPr>
      <w:r>
        <w:rPr>
          <w:rFonts w:hint="eastAsia"/>
          <w:sz w:val="24"/>
        </w:rPr>
        <w:t>（2）参与有关本工程项目前期报批手续；</w:t>
      </w:r>
    </w:p>
    <w:p>
      <w:pPr>
        <w:pStyle w:val="43"/>
        <w:adjustRightInd w:val="0"/>
        <w:snapToGrid w:val="0"/>
        <w:spacing w:line="360" w:lineRule="auto"/>
        <w:ind w:firstLine="480" w:firstLineChars="200"/>
        <w:jc w:val="left"/>
        <w:rPr>
          <w:rFonts w:hint="eastAsia"/>
          <w:sz w:val="24"/>
        </w:rPr>
      </w:pPr>
      <w:r>
        <w:rPr>
          <w:rFonts w:hint="eastAsia"/>
          <w:sz w:val="24"/>
        </w:rPr>
        <w:t>（3）参与有关本工程项目前期设计优化；</w:t>
      </w:r>
    </w:p>
    <w:p>
      <w:pPr>
        <w:pStyle w:val="43"/>
        <w:adjustRightInd w:val="0"/>
        <w:snapToGrid w:val="0"/>
        <w:spacing w:line="360" w:lineRule="auto"/>
        <w:ind w:firstLine="480" w:firstLineChars="200"/>
        <w:jc w:val="left"/>
        <w:rPr>
          <w:rFonts w:hint="eastAsia"/>
          <w:sz w:val="24"/>
        </w:rPr>
      </w:pPr>
      <w:r>
        <w:rPr>
          <w:rFonts w:hint="eastAsia"/>
          <w:sz w:val="24"/>
        </w:rPr>
        <w:t>（4）参与有关本工程项目投资成本管理；</w:t>
      </w:r>
    </w:p>
    <w:p>
      <w:pPr>
        <w:pStyle w:val="43"/>
        <w:adjustRightInd w:val="0"/>
        <w:snapToGrid w:val="0"/>
        <w:spacing w:line="360" w:lineRule="auto"/>
        <w:ind w:firstLine="480" w:firstLineChars="200"/>
        <w:jc w:val="left"/>
        <w:rPr>
          <w:rFonts w:hint="eastAsia"/>
          <w:sz w:val="24"/>
        </w:rPr>
      </w:pPr>
      <w:r>
        <w:rPr>
          <w:rFonts w:hint="eastAsia"/>
          <w:sz w:val="24"/>
        </w:rPr>
        <w:t>（5）参与有关本工程项目管理的策划；</w:t>
      </w:r>
    </w:p>
    <w:p>
      <w:pPr>
        <w:pStyle w:val="43"/>
        <w:adjustRightInd w:val="0"/>
        <w:snapToGrid w:val="0"/>
        <w:spacing w:line="360" w:lineRule="auto"/>
        <w:ind w:firstLine="480" w:firstLineChars="200"/>
        <w:rPr>
          <w:rFonts w:hint="eastAsia"/>
          <w:sz w:val="24"/>
        </w:rPr>
      </w:pPr>
      <w:r>
        <w:rPr>
          <w:rFonts w:hint="eastAsia"/>
          <w:sz w:val="24"/>
        </w:rPr>
        <w:t>（6）审查施工方技术标书中的施工组织设计及技术方案，并提出存在的问题；</w:t>
      </w:r>
    </w:p>
    <w:p>
      <w:pPr>
        <w:pStyle w:val="43"/>
        <w:adjustRightInd w:val="0"/>
        <w:snapToGrid w:val="0"/>
        <w:spacing w:line="360" w:lineRule="auto"/>
        <w:ind w:firstLine="480" w:firstLineChars="200"/>
        <w:rPr>
          <w:rFonts w:hint="eastAsia"/>
          <w:sz w:val="24"/>
        </w:rPr>
      </w:pPr>
      <w:r>
        <w:rPr>
          <w:rFonts w:hint="eastAsia"/>
          <w:sz w:val="24"/>
        </w:rPr>
        <w:t>（7）做好施工监理的各项准备工作，熟悉图纸、招标文件、投标文件，并提出存在的问题。</w:t>
      </w:r>
    </w:p>
    <w:p>
      <w:pPr>
        <w:pStyle w:val="43"/>
        <w:adjustRightInd w:val="0"/>
        <w:snapToGrid w:val="0"/>
        <w:spacing w:line="360" w:lineRule="auto"/>
        <w:ind w:firstLine="442" w:firstLineChars="200"/>
        <w:rPr>
          <w:rFonts w:hint="eastAsia"/>
          <w:sz w:val="24"/>
        </w:rPr>
      </w:pPr>
      <w:r>
        <w:rPr>
          <w:rFonts w:hint="eastAsia" w:ascii="宋体" w:hAnsi="宋体" w:cs="宋体"/>
          <w:b/>
          <w:bCs/>
          <w:sz w:val="22"/>
          <w:szCs w:val="22"/>
        </w:rPr>
        <w:t>（</w:t>
      </w:r>
      <w:r>
        <w:rPr>
          <w:rFonts w:hint="eastAsia"/>
          <w:b/>
          <w:bCs/>
          <w:sz w:val="24"/>
        </w:rPr>
        <w:t>二）</w:t>
      </w:r>
      <w:r>
        <w:rPr>
          <w:rFonts w:hint="eastAsia"/>
          <w:sz w:val="24"/>
        </w:rPr>
        <w:t>施工过程中的质量、进度控制和安全生产监督管理。</w:t>
      </w:r>
    </w:p>
    <w:p>
      <w:pPr>
        <w:pStyle w:val="43"/>
        <w:adjustRightInd w:val="0"/>
        <w:snapToGrid w:val="0"/>
        <w:spacing w:line="360" w:lineRule="auto"/>
        <w:ind w:firstLine="480" w:firstLineChars="200"/>
        <w:rPr>
          <w:rFonts w:hint="eastAsia"/>
          <w:sz w:val="24"/>
        </w:rPr>
      </w:pPr>
      <w:r>
        <w:rPr>
          <w:rFonts w:hint="eastAsia"/>
          <w:sz w:val="24"/>
        </w:rPr>
        <w:t>（1）签订合同后十天内编制监理规划，并在第一次工地会议7天前报甲方。根据有关规定和监理工作需要，编制监理实施细则；</w:t>
      </w:r>
    </w:p>
    <w:p>
      <w:pPr>
        <w:pStyle w:val="43"/>
        <w:adjustRightInd w:val="0"/>
        <w:snapToGrid w:val="0"/>
        <w:spacing w:line="360" w:lineRule="auto"/>
        <w:ind w:firstLine="480" w:firstLineChars="200"/>
        <w:rPr>
          <w:rFonts w:hint="eastAsia"/>
          <w:sz w:val="24"/>
        </w:rPr>
      </w:pPr>
      <w:r>
        <w:rPr>
          <w:rFonts w:hint="eastAsia"/>
          <w:sz w:val="24"/>
        </w:rPr>
        <w:t>（2）熟悉工程设计文件，并参加由甲方主持的图纸会审和设计交底会议；</w:t>
      </w:r>
    </w:p>
    <w:p>
      <w:pPr>
        <w:pStyle w:val="43"/>
        <w:adjustRightInd w:val="0"/>
        <w:snapToGrid w:val="0"/>
        <w:spacing w:line="360" w:lineRule="auto"/>
        <w:ind w:firstLine="480" w:firstLineChars="200"/>
        <w:rPr>
          <w:rFonts w:hint="eastAsia"/>
          <w:sz w:val="24"/>
        </w:rPr>
      </w:pPr>
      <w:r>
        <w:rPr>
          <w:rFonts w:hint="eastAsia"/>
          <w:sz w:val="24"/>
        </w:rPr>
        <w:t>（3）参加由甲方主持的第一次工地会议；主持监理例会并根据工程需要主持或参加专题会议；</w:t>
      </w:r>
    </w:p>
    <w:p>
      <w:pPr>
        <w:pStyle w:val="43"/>
        <w:adjustRightInd w:val="0"/>
        <w:snapToGrid w:val="0"/>
        <w:spacing w:line="360" w:lineRule="auto"/>
        <w:ind w:firstLine="480" w:firstLineChars="200"/>
        <w:rPr>
          <w:rFonts w:hint="eastAsia"/>
          <w:sz w:val="24"/>
        </w:rPr>
      </w:pPr>
      <w:r>
        <w:rPr>
          <w:rFonts w:hint="eastAsia"/>
          <w:sz w:val="24"/>
        </w:rPr>
        <w:t>（4）审查施工承包人提交的施工组织设计，重点审查其中的质量安全技术措施、专项施工方案与工程建设强制性标准的符合性；</w:t>
      </w:r>
    </w:p>
    <w:p>
      <w:pPr>
        <w:pStyle w:val="43"/>
        <w:adjustRightInd w:val="0"/>
        <w:snapToGrid w:val="0"/>
        <w:spacing w:line="360" w:lineRule="auto"/>
        <w:ind w:firstLine="480" w:firstLineChars="200"/>
        <w:rPr>
          <w:rFonts w:hint="eastAsia"/>
          <w:sz w:val="24"/>
        </w:rPr>
      </w:pPr>
      <w:r>
        <w:rPr>
          <w:rFonts w:hint="eastAsia"/>
          <w:sz w:val="24"/>
        </w:rPr>
        <w:t>（5）检查施工承包人工程质量、安全生产管理制度及组织机构和人员资格；</w:t>
      </w:r>
    </w:p>
    <w:p>
      <w:pPr>
        <w:pStyle w:val="43"/>
        <w:adjustRightInd w:val="0"/>
        <w:snapToGrid w:val="0"/>
        <w:spacing w:line="360" w:lineRule="auto"/>
        <w:ind w:firstLine="480" w:firstLineChars="200"/>
        <w:rPr>
          <w:rFonts w:hint="eastAsia"/>
          <w:sz w:val="24"/>
        </w:rPr>
      </w:pPr>
      <w:r>
        <w:rPr>
          <w:rFonts w:hint="eastAsia"/>
          <w:sz w:val="24"/>
        </w:rPr>
        <w:t>（6）检查施工承包人专职安全生产管理人员的配备情况；</w:t>
      </w:r>
    </w:p>
    <w:p>
      <w:pPr>
        <w:pStyle w:val="43"/>
        <w:adjustRightInd w:val="0"/>
        <w:snapToGrid w:val="0"/>
        <w:spacing w:line="360" w:lineRule="auto"/>
        <w:ind w:firstLine="480" w:firstLineChars="200"/>
        <w:rPr>
          <w:rFonts w:hint="eastAsia"/>
          <w:sz w:val="24"/>
        </w:rPr>
      </w:pPr>
      <w:r>
        <w:rPr>
          <w:rFonts w:hint="eastAsia"/>
          <w:sz w:val="24"/>
        </w:rPr>
        <w:t>（7）审查施工承包人提交的施工进度计划，核查承包人对施工进度计划的调整；</w:t>
      </w:r>
    </w:p>
    <w:p>
      <w:pPr>
        <w:pStyle w:val="43"/>
        <w:adjustRightInd w:val="0"/>
        <w:snapToGrid w:val="0"/>
        <w:spacing w:line="360" w:lineRule="auto"/>
        <w:ind w:firstLine="480" w:firstLineChars="200"/>
        <w:rPr>
          <w:rFonts w:hint="eastAsia"/>
          <w:sz w:val="24"/>
        </w:rPr>
      </w:pPr>
      <w:r>
        <w:rPr>
          <w:rFonts w:hint="eastAsia"/>
          <w:sz w:val="24"/>
        </w:rPr>
        <w:t>（8）检查施工承包人的试验室；</w:t>
      </w:r>
    </w:p>
    <w:p>
      <w:pPr>
        <w:pStyle w:val="43"/>
        <w:adjustRightInd w:val="0"/>
        <w:snapToGrid w:val="0"/>
        <w:spacing w:line="360" w:lineRule="auto"/>
        <w:ind w:firstLine="480" w:firstLineChars="200"/>
        <w:rPr>
          <w:rFonts w:hint="eastAsia"/>
          <w:sz w:val="24"/>
        </w:rPr>
      </w:pPr>
      <w:r>
        <w:rPr>
          <w:rFonts w:hint="eastAsia"/>
          <w:sz w:val="24"/>
        </w:rPr>
        <w:t>（9）审核施工分包人资质条件；</w:t>
      </w:r>
    </w:p>
    <w:p>
      <w:pPr>
        <w:pStyle w:val="43"/>
        <w:adjustRightInd w:val="0"/>
        <w:snapToGrid w:val="0"/>
        <w:spacing w:line="360" w:lineRule="auto"/>
        <w:ind w:firstLine="480" w:firstLineChars="200"/>
        <w:rPr>
          <w:rFonts w:hint="eastAsia"/>
          <w:sz w:val="24"/>
        </w:rPr>
      </w:pPr>
      <w:r>
        <w:rPr>
          <w:rFonts w:hint="eastAsia"/>
          <w:sz w:val="24"/>
        </w:rPr>
        <w:t>（10）查验施工承包人的施工测量放线成果；</w:t>
      </w:r>
    </w:p>
    <w:p>
      <w:pPr>
        <w:pStyle w:val="43"/>
        <w:adjustRightInd w:val="0"/>
        <w:snapToGrid w:val="0"/>
        <w:spacing w:line="360" w:lineRule="auto"/>
        <w:ind w:firstLine="480" w:firstLineChars="200"/>
        <w:rPr>
          <w:rFonts w:hint="eastAsia"/>
          <w:sz w:val="24"/>
        </w:rPr>
      </w:pPr>
      <w:r>
        <w:rPr>
          <w:rFonts w:hint="eastAsia"/>
          <w:sz w:val="24"/>
        </w:rPr>
        <w:t>（11）审查工程开工条件，对条件具备的签发开工令；</w:t>
      </w:r>
    </w:p>
    <w:p>
      <w:pPr>
        <w:pStyle w:val="43"/>
        <w:adjustRightInd w:val="0"/>
        <w:snapToGrid w:val="0"/>
        <w:spacing w:line="360" w:lineRule="auto"/>
        <w:ind w:firstLine="480" w:firstLineChars="200"/>
        <w:rPr>
          <w:rFonts w:hint="eastAsia"/>
          <w:sz w:val="24"/>
        </w:rPr>
      </w:pPr>
      <w:r>
        <w:rPr>
          <w:rFonts w:hint="eastAsia"/>
          <w:sz w:val="24"/>
        </w:rPr>
        <w:t>（12）审查施工承包人报送的工程材料、构配件、设备质量证明文件的有效性和符合性，并按规定对用于工程的材料采取平行检验或见证取样方式进行抽检；</w:t>
      </w:r>
    </w:p>
    <w:p>
      <w:pPr>
        <w:pStyle w:val="43"/>
        <w:adjustRightInd w:val="0"/>
        <w:snapToGrid w:val="0"/>
        <w:spacing w:line="360" w:lineRule="auto"/>
        <w:ind w:firstLine="480" w:firstLineChars="200"/>
        <w:rPr>
          <w:rFonts w:hint="eastAsia"/>
          <w:sz w:val="24"/>
        </w:rPr>
      </w:pPr>
      <w:r>
        <w:rPr>
          <w:rFonts w:hint="eastAsia"/>
          <w:sz w:val="24"/>
        </w:rPr>
        <w:t>（13）复核造价咨询公司编制的工程量清单；</w:t>
      </w:r>
    </w:p>
    <w:p>
      <w:pPr>
        <w:pStyle w:val="43"/>
        <w:adjustRightInd w:val="0"/>
        <w:snapToGrid w:val="0"/>
        <w:spacing w:line="360" w:lineRule="auto"/>
        <w:ind w:firstLine="480" w:firstLineChars="200"/>
        <w:rPr>
          <w:rFonts w:ascii="宋体" w:hAnsi="宋体" w:cs="宋体"/>
          <w:sz w:val="22"/>
          <w:szCs w:val="22"/>
        </w:rPr>
      </w:pPr>
      <w:r>
        <w:rPr>
          <w:rFonts w:hint="eastAsia"/>
          <w:sz w:val="24"/>
        </w:rPr>
        <w:t>（14）审核施工承包人提交的工程款支付申请，签发或出具工程款支付证书，并报甲方审核、批准；</w:t>
      </w:r>
    </w:p>
    <w:p>
      <w:pPr>
        <w:pStyle w:val="43"/>
        <w:adjustRightInd w:val="0"/>
        <w:snapToGrid w:val="0"/>
        <w:spacing w:line="360" w:lineRule="auto"/>
        <w:ind w:firstLine="440" w:firstLineChars="200"/>
        <w:rPr>
          <w:rFonts w:hint="eastAsia"/>
          <w:sz w:val="24"/>
        </w:rPr>
      </w:pPr>
      <w:r>
        <w:rPr>
          <w:rFonts w:hint="eastAsia" w:ascii="宋体" w:hAnsi="宋体" w:cs="宋体"/>
          <w:sz w:val="22"/>
          <w:szCs w:val="22"/>
        </w:rPr>
        <w:t>（</w:t>
      </w:r>
      <w:r>
        <w:rPr>
          <w:rFonts w:hint="eastAsia"/>
          <w:sz w:val="24"/>
        </w:rPr>
        <w:t>15）在巡视、旁站和检验过程中，发现工程质量、施工安全存在事故隐患的，要求施工承包人整改并报甲方；</w:t>
      </w:r>
    </w:p>
    <w:p>
      <w:pPr>
        <w:pStyle w:val="43"/>
        <w:adjustRightInd w:val="0"/>
        <w:snapToGrid w:val="0"/>
        <w:spacing w:line="360" w:lineRule="auto"/>
        <w:ind w:firstLine="480" w:firstLineChars="200"/>
        <w:rPr>
          <w:rFonts w:hint="eastAsia"/>
          <w:sz w:val="24"/>
        </w:rPr>
      </w:pPr>
      <w:r>
        <w:rPr>
          <w:rFonts w:hint="eastAsia"/>
          <w:sz w:val="24"/>
        </w:rPr>
        <w:t>（16）经甲方同意，签发工程暂停令和复工令；</w:t>
      </w:r>
    </w:p>
    <w:p>
      <w:pPr>
        <w:pStyle w:val="43"/>
        <w:adjustRightInd w:val="0"/>
        <w:snapToGrid w:val="0"/>
        <w:spacing w:line="360" w:lineRule="auto"/>
        <w:ind w:firstLine="480" w:firstLineChars="200"/>
        <w:rPr>
          <w:rFonts w:hint="eastAsia"/>
          <w:sz w:val="24"/>
        </w:rPr>
      </w:pPr>
      <w:r>
        <w:rPr>
          <w:rFonts w:hint="eastAsia"/>
          <w:sz w:val="24"/>
        </w:rPr>
        <w:t>（17）审查施工承包人提交的采用新材料、新工艺、新技术、新设备的论证材料及相关验收标准；</w:t>
      </w:r>
    </w:p>
    <w:p>
      <w:pPr>
        <w:pStyle w:val="43"/>
        <w:adjustRightInd w:val="0"/>
        <w:snapToGrid w:val="0"/>
        <w:spacing w:line="360" w:lineRule="auto"/>
        <w:ind w:firstLine="480" w:firstLineChars="200"/>
        <w:rPr>
          <w:rFonts w:hint="eastAsia"/>
          <w:sz w:val="24"/>
        </w:rPr>
      </w:pPr>
      <w:r>
        <w:rPr>
          <w:rFonts w:hint="eastAsia"/>
          <w:sz w:val="24"/>
        </w:rPr>
        <w:t>（18）组织检查及验收隐蔽工程、分部分项工程；</w:t>
      </w:r>
    </w:p>
    <w:p>
      <w:pPr>
        <w:pStyle w:val="43"/>
        <w:adjustRightInd w:val="0"/>
        <w:snapToGrid w:val="0"/>
        <w:spacing w:line="360" w:lineRule="auto"/>
        <w:ind w:firstLine="480" w:firstLineChars="200"/>
        <w:rPr>
          <w:rFonts w:hint="eastAsia"/>
          <w:sz w:val="24"/>
        </w:rPr>
      </w:pPr>
      <w:r>
        <w:rPr>
          <w:rFonts w:hint="eastAsia"/>
          <w:sz w:val="24"/>
        </w:rPr>
        <w:t>（19）审查施工承包人提交的工程变更申请，协调处理施工进度调整、费用索赔、合同争议等事项；</w:t>
      </w:r>
    </w:p>
    <w:p>
      <w:pPr>
        <w:pStyle w:val="43"/>
        <w:adjustRightInd w:val="0"/>
        <w:snapToGrid w:val="0"/>
        <w:spacing w:line="360" w:lineRule="auto"/>
        <w:ind w:firstLine="480" w:firstLineChars="200"/>
        <w:rPr>
          <w:rFonts w:hint="eastAsia"/>
          <w:sz w:val="24"/>
        </w:rPr>
      </w:pPr>
      <w:r>
        <w:rPr>
          <w:rFonts w:hint="eastAsia"/>
          <w:sz w:val="24"/>
        </w:rPr>
        <w:t>（20）审查施工承包人提交的竣工验收申请，编写工程质量评估报告；</w:t>
      </w:r>
    </w:p>
    <w:p>
      <w:pPr>
        <w:pStyle w:val="43"/>
        <w:adjustRightInd w:val="0"/>
        <w:snapToGrid w:val="0"/>
        <w:spacing w:line="360" w:lineRule="auto"/>
        <w:ind w:firstLine="480" w:firstLineChars="200"/>
        <w:rPr>
          <w:rFonts w:hint="eastAsia"/>
          <w:sz w:val="24"/>
        </w:rPr>
      </w:pPr>
      <w:r>
        <w:rPr>
          <w:rFonts w:hint="eastAsia"/>
          <w:sz w:val="24"/>
        </w:rPr>
        <w:t>（21）参加工程竣工验收，签署竣工验收意见；</w:t>
      </w:r>
    </w:p>
    <w:p>
      <w:pPr>
        <w:pStyle w:val="43"/>
        <w:adjustRightInd w:val="0"/>
        <w:snapToGrid w:val="0"/>
        <w:spacing w:line="360" w:lineRule="auto"/>
        <w:ind w:firstLine="480" w:firstLineChars="200"/>
        <w:rPr>
          <w:rFonts w:hint="eastAsia"/>
          <w:sz w:val="24"/>
        </w:rPr>
      </w:pPr>
      <w:r>
        <w:rPr>
          <w:rFonts w:hint="eastAsia"/>
          <w:sz w:val="24"/>
        </w:rPr>
        <w:t>（22）审查施工承包人提交的竣工结算申请中有关工程变更部分的工程数量，并报甲方；</w:t>
      </w:r>
    </w:p>
    <w:p>
      <w:pPr>
        <w:pStyle w:val="43"/>
        <w:adjustRightInd w:val="0"/>
        <w:snapToGrid w:val="0"/>
        <w:spacing w:line="360" w:lineRule="auto"/>
        <w:ind w:firstLine="480" w:firstLineChars="200"/>
        <w:rPr>
          <w:rFonts w:hint="eastAsia"/>
          <w:sz w:val="24"/>
        </w:rPr>
      </w:pPr>
      <w:r>
        <w:rPr>
          <w:rFonts w:hint="eastAsia"/>
          <w:sz w:val="24"/>
        </w:rPr>
        <w:t>（23）编制、整理工程监理归档文件并报甲方；</w:t>
      </w:r>
    </w:p>
    <w:p>
      <w:pPr>
        <w:pStyle w:val="43"/>
        <w:adjustRightInd w:val="0"/>
        <w:snapToGrid w:val="0"/>
        <w:spacing w:line="360" w:lineRule="auto"/>
        <w:ind w:firstLine="480" w:firstLineChars="200"/>
        <w:rPr>
          <w:rFonts w:hint="eastAsia"/>
          <w:sz w:val="24"/>
        </w:rPr>
      </w:pPr>
      <w:r>
        <w:rPr>
          <w:rFonts w:hint="eastAsia"/>
          <w:sz w:val="24"/>
        </w:rPr>
        <w:t>（24）审核施工方安全文明施工措施费使用计划并督促按计划实施。</w:t>
      </w:r>
    </w:p>
    <w:p>
      <w:pPr>
        <w:pStyle w:val="43"/>
        <w:adjustRightInd w:val="0"/>
        <w:snapToGrid w:val="0"/>
        <w:spacing w:line="360" w:lineRule="auto"/>
        <w:ind w:firstLine="482" w:firstLineChars="200"/>
        <w:rPr>
          <w:rFonts w:hint="eastAsia"/>
          <w:sz w:val="24"/>
        </w:rPr>
      </w:pPr>
      <w:r>
        <w:rPr>
          <w:rFonts w:hint="eastAsia"/>
          <w:b/>
          <w:bCs/>
          <w:sz w:val="24"/>
        </w:rPr>
        <w:t>（三）</w:t>
      </w:r>
      <w:r>
        <w:rPr>
          <w:rFonts w:hint="eastAsia"/>
          <w:sz w:val="24"/>
        </w:rPr>
        <w:t>费用控制。</w:t>
      </w:r>
    </w:p>
    <w:p>
      <w:pPr>
        <w:pStyle w:val="43"/>
        <w:adjustRightInd w:val="0"/>
        <w:snapToGrid w:val="0"/>
        <w:spacing w:line="360" w:lineRule="auto"/>
        <w:ind w:firstLine="480" w:firstLineChars="200"/>
        <w:rPr>
          <w:rFonts w:hint="eastAsia"/>
          <w:sz w:val="24"/>
        </w:rPr>
      </w:pPr>
      <w:r>
        <w:rPr>
          <w:rFonts w:hint="eastAsia"/>
          <w:sz w:val="24"/>
        </w:rPr>
        <w:t>（1）初审施工图预算；</w:t>
      </w:r>
    </w:p>
    <w:p>
      <w:pPr>
        <w:pStyle w:val="43"/>
        <w:adjustRightInd w:val="0"/>
        <w:snapToGrid w:val="0"/>
        <w:spacing w:line="360" w:lineRule="auto"/>
        <w:ind w:firstLine="480" w:firstLineChars="200"/>
        <w:rPr>
          <w:rFonts w:hint="eastAsia"/>
          <w:sz w:val="24"/>
        </w:rPr>
      </w:pPr>
      <w:r>
        <w:rPr>
          <w:rFonts w:hint="eastAsia"/>
          <w:sz w:val="24"/>
        </w:rPr>
        <w:t>（2）施工期间工程量的计量、工程款支付、审查工程变更、签证及其费用等；</w:t>
      </w:r>
    </w:p>
    <w:p>
      <w:pPr>
        <w:pStyle w:val="43"/>
        <w:adjustRightInd w:val="0"/>
        <w:snapToGrid w:val="0"/>
        <w:spacing w:line="360" w:lineRule="auto"/>
        <w:ind w:firstLine="480" w:firstLineChars="200"/>
        <w:rPr>
          <w:rFonts w:hint="eastAsia"/>
          <w:sz w:val="24"/>
        </w:rPr>
      </w:pPr>
      <w:r>
        <w:rPr>
          <w:rFonts w:hint="eastAsia"/>
          <w:sz w:val="24"/>
        </w:rPr>
        <w:t>（3）初审工程结算。</w:t>
      </w:r>
    </w:p>
    <w:p>
      <w:pPr>
        <w:pStyle w:val="43"/>
        <w:adjustRightInd w:val="0"/>
        <w:snapToGrid w:val="0"/>
        <w:spacing w:line="360" w:lineRule="auto"/>
        <w:ind w:firstLine="480" w:firstLineChars="200"/>
        <w:rPr>
          <w:rFonts w:hint="eastAsia"/>
          <w:sz w:val="24"/>
        </w:rPr>
      </w:pPr>
      <w:r>
        <w:rPr>
          <w:rFonts w:hint="eastAsia"/>
          <w:sz w:val="24"/>
        </w:rPr>
        <w:t>（四）合同、信息等方面的协调管理。</w:t>
      </w:r>
    </w:p>
    <w:p>
      <w:pPr>
        <w:pStyle w:val="43"/>
        <w:adjustRightInd w:val="0"/>
        <w:snapToGrid w:val="0"/>
        <w:spacing w:line="360" w:lineRule="auto"/>
        <w:ind w:firstLine="480" w:firstLineChars="200"/>
        <w:rPr>
          <w:rFonts w:hint="eastAsia"/>
          <w:sz w:val="24"/>
        </w:rPr>
      </w:pPr>
      <w:r>
        <w:rPr>
          <w:rFonts w:hint="eastAsia"/>
          <w:sz w:val="24"/>
        </w:rPr>
        <w:t>（1）做好合同管理的各项协调工作；</w:t>
      </w:r>
    </w:p>
    <w:p>
      <w:pPr>
        <w:pStyle w:val="43"/>
        <w:adjustRightInd w:val="0"/>
        <w:snapToGrid w:val="0"/>
        <w:spacing w:line="360" w:lineRule="auto"/>
        <w:ind w:firstLine="480" w:firstLineChars="200"/>
        <w:rPr>
          <w:rFonts w:hint="eastAsia"/>
          <w:sz w:val="24"/>
        </w:rPr>
      </w:pPr>
      <w:r>
        <w:rPr>
          <w:rFonts w:hint="eastAsia"/>
          <w:sz w:val="24"/>
        </w:rPr>
        <w:t>（2）协助甲方签订合同；</w:t>
      </w:r>
    </w:p>
    <w:p>
      <w:pPr>
        <w:pStyle w:val="43"/>
        <w:adjustRightInd w:val="0"/>
        <w:snapToGrid w:val="0"/>
        <w:spacing w:line="360" w:lineRule="auto"/>
        <w:ind w:firstLine="480" w:firstLineChars="200"/>
        <w:rPr>
          <w:rFonts w:hint="eastAsia"/>
          <w:sz w:val="24"/>
        </w:rPr>
      </w:pPr>
      <w:r>
        <w:rPr>
          <w:rFonts w:hint="eastAsia"/>
          <w:sz w:val="24"/>
        </w:rPr>
        <w:t>（3）协助甲方整理报建资料；</w:t>
      </w:r>
    </w:p>
    <w:p>
      <w:pPr>
        <w:pStyle w:val="43"/>
        <w:adjustRightInd w:val="0"/>
        <w:snapToGrid w:val="0"/>
        <w:spacing w:line="360" w:lineRule="auto"/>
        <w:ind w:firstLine="480" w:firstLineChars="200"/>
        <w:rPr>
          <w:rFonts w:hint="eastAsia"/>
          <w:sz w:val="24"/>
        </w:rPr>
      </w:pPr>
      <w:r>
        <w:rPr>
          <w:rFonts w:hint="eastAsia"/>
          <w:sz w:val="24"/>
        </w:rPr>
        <w:t>（4）督促承包人整理合同文件和技术档案资料；</w:t>
      </w:r>
    </w:p>
    <w:p>
      <w:pPr>
        <w:pStyle w:val="43"/>
        <w:adjustRightInd w:val="0"/>
        <w:snapToGrid w:val="0"/>
        <w:spacing w:line="360" w:lineRule="auto"/>
        <w:ind w:firstLine="480" w:firstLineChars="200"/>
        <w:rPr>
          <w:rFonts w:hint="eastAsia"/>
          <w:sz w:val="24"/>
        </w:rPr>
      </w:pPr>
      <w:r>
        <w:rPr>
          <w:rFonts w:hint="eastAsia"/>
          <w:sz w:val="24"/>
        </w:rPr>
        <w:t>（5）协助甲方收集、整理、归档工程资料。</w:t>
      </w:r>
    </w:p>
    <w:p>
      <w:pPr>
        <w:pStyle w:val="43"/>
        <w:adjustRightInd w:val="0"/>
        <w:snapToGrid w:val="0"/>
        <w:spacing w:line="360" w:lineRule="auto"/>
        <w:ind w:firstLine="480" w:firstLineChars="200"/>
        <w:rPr>
          <w:rFonts w:hint="eastAsia"/>
          <w:sz w:val="24"/>
        </w:rPr>
      </w:pPr>
      <w:r>
        <w:rPr>
          <w:rFonts w:hint="eastAsia"/>
          <w:sz w:val="24"/>
        </w:rPr>
        <w:t>（五）协助甲方办理其他与工程相关的事宜。</w:t>
      </w:r>
    </w:p>
    <w:p>
      <w:pPr>
        <w:pStyle w:val="43"/>
        <w:adjustRightInd w:val="0"/>
        <w:snapToGrid w:val="0"/>
        <w:spacing w:line="360" w:lineRule="auto"/>
        <w:ind w:firstLine="480" w:firstLineChars="200"/>
        <w:rPr>
          <w:rFonts w:hint="eastAsia"/>
          <w:sz w:val="24"/>
        </w:rPr>
      </w:pPr>
      <w:r>
        <w:rPr>
          <w:rFonts w:hint="eastAsia"/>
          <w:sz w:val="24"/>
        </w:rPr>
        <w:t>（六）保修阶段，检查和记录工程质量缺陷，对缺陷原因进行调查分析并确定责任归属，审核修复方案，监督修复过程并验收，审核修复费用。</w:t>
      </w:r>
    </w:p>
    <w:p>
      <w:pPr>
        <w:pStyle w:val="43"/>
        <w:adjustRightInd w:val="0"/>
        <w:snapToGrid w:val="0"/>
        <w:spacing w:line="360" w:lineRule="auto"/>
        <w:ind w:firstLine="480" w:firstLineChars="200"/>
        <w:rPr>
          <w:rFonts w:hint="eastAsia"/>
          <w:sz w:val="24"/>
        </w:rPr>
      </w:pPr>
      <w:r>
        <w:rPr>
          <w:rFonts w:hint="eastAsia"/>
          <w:sz w:val="24"/>
        </w:rPr>
        <w:t>（1）检查工程状况，参与鉴定质量责任；</w:t>
      </w:r>
    </w:p>
    <w:p>
      <w:pPr>
        <w:pStyle w:val="43"/>
        <w:adjustRightInd w:val="0"/>
        <w:snapToGrid w:val="0"/>
        <w:spacing w:line="360" w:lineRule="auto"/>
        <w:ind w:firstLine="480" w:firstLineChars="200"/>
        <w:rPr>
          <w:rFonts w:hint="eastAsia"/>
          <w:sz w:val="24"/>
        </w:rPr>
      </w:pPr>
      <w:r>
        <w:rPr>
          <w:rFonts w:hint="eastAsia"/>
          <w:sz w:val="24"/>
        </w:rPr>
        <w:t>（2）督促承包人及时完成未完工程尾项，维修工程出现的缺陷；</w:t>
      </w:r>
    </w:p>
    <w:p>
      <w:pPr>
        <w:pStyle w:val="43"/>
        <w:adjustRightInd w:val="0"/>
        <w:snapToGrid w:val="0"/>
        <w:spacing w:line="360" w:lineRule="auto"/>
        <w:ind w:firstLine="480" w:firstLineChars="200"/>
        <w:rPr>
          <w:rFonts w:hint="eastAsia"/>
          <w:sz w:val="24"/>
        </w:rPr>
      </w:pPr>
      <w:r>
        <w:rPr>
          <w:rFonts w:hint="eastAsia"/>
          <w:sz w:val="24"/>
        </w:rPr>
        <w:t>（3）督促承包人回访；</w:t>
      </w:r>
    </w:p>
    <w:p>
      <w:pPr>
        <w:pStyle w:val="43"/>
        <w:adjustRightInd w:val="0"/>
        <w:snapToGrid w:val="0"/>
        <w:spacing w:line="360" w:lineRule="auto"/>
        <w:ind w:firstLine="480" w:firstLineChars="200"/>
        <w:rPr>
          <w:rFonts w:hint="eastAsia"/>
          <w:sz w:val="24"/>
        </w:rPr>
      </w:pPr>
      <w:r>
        <w:rPr>
          <w:rFonts w:hint="eastAsia"/>
          <w:sz w:val="24"/>
        </w:rPr>
        <w:t>（4）协助甲方收集、整理、归档工程资料。</w:t>
      </w:r>
    </w:p>
    <w:p>
      <w:pPr>
        <w:pStyle w:val="43"/>
        <w:adjustRightInd w:val="0"/>
        <w:snapToGrid w:val="0"/>
        <w:spacing w:line="360" w:lineRule="exact"/>
        <w:ind w:firstLine="480" w:firstLineChars="200"/>
        <w:rPr>
          <w:rFonts w:hint="eastAsia"/>
          <w:sz w:val="24"/>
        </w:rPr>
      </w:pPr>
    </w:p>
    <w:p>
      <w:pPr>
        <w:pStyle w:val="43"/>
        <w:adjustRightInd w:val="0"/>
        <w:snapToGrid w:val="0"/>
        <w:spacing w:line="360" w:lineRule="auto"/>
        <w:ind w:firstLine="482" w:firstLineChars="200"/>
        <w:rPr>
          <w:rFonts w:hint="eastAsia"/>
          <w:b/>
          <w:bCs/>
          <w:sz w:val="24"/>
        </w:rPr>
      </w:pPr>
      <w:r>
        <w:rPr>
          <w:rFonts w:hint="eastAsia"/>
          <w:b/>
          <w:bCs/>
          <w:sz w:val="24"/>
        </w:rPr>
        <w:t>二、监理工作质量要求</w:t>
      </w:r>
    </w:p>
    <w:p>
      <w:pPr>
        <w:pStyle w:val="43"/>
        <w:adjustRightInd w:val="0"/>
        <w:snapToGrid w:val="0"/>
        <w:spacing w:line="360" w:lineRule="auto"/>
        <w:ind w:firstLine="480" w:firstLineChars="200"/>
        <w:rPr>
          <w:rFonts w:hint="eastAsia"/>
          <w:sz w:val="24"/>
        </w:rPr>
      </w:pPr>
      <w:r>
        <w:rPr>
          <w:rFonts w:hint="eastAsia"/>
          <w:sz w:val="24"/>
        </w:rPr>
        <w:t>（一）监理单位在履行其义务时，应本着严格监理、热情服务、秉公执行、一丝不苟的原则，按照甲方的要求，运用合同的技能谨慎而勤奋地工作。</w:t>
      </w:r>
    </w:p>
    <w:p>
      <w:pPr>
        <w:pStyle w:val="43"/>
        <w:adjustRightInd w:val="0"/>
        <w:snapToGrid w:val="0"/>
        <w:spacing w:line="360" w:lineRule="auto"/>
        <w:ind w:firstLine="480" w:firstLineChars="200"/>
        <w:rPr>
          <w:rFonts w:hint="eastAsia"/>
          <w:sz w:val="24"/>
        </w:rPr>
      </w:pPr>
      <w:r>
        <w:rPr>
          <w:rFonts w:hint="eastAsia"/>
          <w:sz w:val="24"/>
        </w:rPr>
        <w:t>（二）监理单位在履行其义务时，应遵守国家法律和行政法规，不得损害甲方利益和任何第三者的利益，不得泄漏涉及工程的任何机密。</w:t>
      </w:r>
    </w:p>
    <w:p>
      <w:pPr>
        <w:pStyle w:val="43"/>
        <w:adjustRightInd w:val="0"/>
        <w:snapToGrid w:val="0"/>
        <w:spacing w:line="360" w:lineRule="auto"/>
        <w:ind w:firstLine="440" w:firstLineChars="200"/>
        <w:rPr>
          <w:rFonts w:hint="eastAsia"/>
          <w:sz w:val="24"/>
        </w:rPr>
      </w:pPr>
      <w:r>
        <w:rPr>
          <w:rFonts w:hint="eastAsia" w:ascii="宋体" w:hAnsi="宋体" w:cs="宋体"/>
          <w:sz w:val="22"/>
          <w:szCs w:val="22"/>
        </w:rPr>
        <w:t>（</w:t>
      </w:r>
      <w:r>
        <w:rPr>
          <w:rFonts w:hint="eastAsia"/>
          <w:sz w:val="24"/>
        </w:rPr>
        <w:t>三）监理单位应当严格履行监理义务，对涉及施工安全的危险作业进行技术方案审查，并督促落实。发现工程建设中存在质量或者施工安全隐患以及违法行为的，应当采取措施制止；不能有效制止的，应当报告主管部门、工程质量监督或者施工安全监督机构处理。在紧急情况下，为了保护财产和人身安全，监理单位在向承包人发出指令后，应马上向甲方口头包括电话汇报并在发出指令后的24小时内以书面形式报甲方。</w:t>
      </w:r>
    </w:p>
    <w:p>
      <w:pPr>
        <w:pStyle w:val="43"/>
        <w:adjustRightInd w:val="0"/>
        <w:snapToGrid w:val="0"/>
        <w:spacing w:line="360" w:lineRule="auto"/>
        <w:ind w:firstLine="480" w:firstLineChars="200"/>
        <w:rPr>
          <w:rFonts w:hint="eastAsia"/>
          <w:sz w:val="24"/>
        </w:rPr>
      </w:pPr>
      <w:r>
        <w:rPr>
          <w:rFonts w:hint="eastAsia"/>
          <w:sz w:val="24"/>
        </w:rPr>
        <w:t>（四）在监理与相关服务范围内，甲方和承包人提出的意见和要求，监理单位应及时提出处置意见。当甲方与承包人之间发生合同争议时，监理单位应协助甲方、承包人协商解决。</w:t>
      </w:r>
    </w:p>
    <w:p>
      <w:pPr>
        <w:pStyle w:val="43"/>
        <w:adjustRightInd w:val="0"/>
        <w:snapToGrid w:val="0"/>
        <w:spacing w:line="360" w:lineRule="auto"/>
        <w:ind w:firstLine="480" w:firstLineChars="200"/>
        <w:rPr>
          <w:rFonts w:hint="eastAsia"/>
          <w:sz w:val="24"/>
        </w:rPr>
      </w:pPr>
      <w:r>
        <w:rPr>
          <w:rFonts w:hint="eastAsia"/>
          <w:sz w:val="24"/>
        </w:rPr>
        <w:t>（五）当甲方与承包人之间的合同争议提交仲裁机构仲裁或人民法院审理时，监理单位应提供必要的证明资料。</w:t>
      </w:r>
    </w:p>
    <w:p>
      <w:pPr>
        <w:pStyle w:val="43"/>
        <w:adjustRightInd w:val="0"/>
        <w:snapToGrid w:val="0"/>
        <w:spacing w:line="360" w:lineRule="auto"/>
        <w:ind w:firstLine="480" w:firstLineChars="200"/>
        <w:rPr>
          <w:rFonts w:hint="eastAsia"/>
          <w:sz w:val="24"/>
        </w:rPr>
      </w:pPr>
      <w:r>
        <w:rPr>
          <w:rFonts w:hint="eastAsia"/>
          <w:sz w:val="24"/>
        </w:rPr>
        <w:t>（六）监理单位应按约定的种类、时间和份数向甲方提交监理与相关服务的报告，包括监理规划、监理实施细则、监理月报及约定的专项报告等。如无特别约定，上述文件一式两份，监理规划（或修改）签订合同后十天内提交，监理实施细则在相应专项工程实施前7天内提交，监理月报在每月25日前（如为节假日则为之后的首个工作日）提交，专项报告在甲方要求的时间内完成并提交。</w:t>
      </w:r>
    </w:p>
    <w:p>
      <w:pPr>
        <w:pStyle w:val="42"/>
        <w:spacing w:line="360" w:lineRule="exact"/>
        <w:ind w:left="834" w:hanging="420" w:firstLineChars="0"/>
        <w:outlineLvl w:val="2"/>
        <w:rPr>
          <w:rFonts w:hint="eastAsia"/>
          <w:b/>
          <w:bCs/>
          <w:sz w:val="24"/>
        </w:rPr>
      </w:pPr>
    </w:p>
    <w:p>
      <w:pPr>
        <w:pStyle w:val="42"/>
        <w:numPr>
          <w:ilvl w:val="0"/>
          <w:numId w:val="11"/>
        </w:numPr>
        <w:spacing w:line="360" w:lineRule="exact"/>
        <w:ind w:left="834" w:hanging="420" w:firstLineChars="0"/>
        <w:outlineLvl w:val="2"/>
        <w:rPr>
          <w:rFonts w:hint="eastAsia" w:ascii="宋体" w:hAnsi="宋体" w:cs="宋体"/>
          <w:b/>
          <w:bCs/>
          <w:kern w:val="44"/>
          <w:sz w:val="24"/>
        </w:rPr>
      </w:pPr>
      <w:r>
        <w:rPr>
          <w:rFonts w:hint="eastAsia" w:ascii="宋体" w:hAnsi="宋体" w:cs="宋体"/>
          <w:b/>
          <w:bCs/>
          <w:kern w:val="44"/>
          <w:sz w:val="24"/>
        </w:rPr>
        <w:t>处罚条款</w:t>
      </w:r>
    </w:p>
    <w:p>
      <w:pPr>
        <w:spacing w:line="360" w:lineRule="auto"/>
        <w:rPr>
          <w:rFonts w:hint="eastAsia"/>
          <w:sz w:val="24"/>
        </w:rPr>
      </w:pPr>
      <w:r>
        <w:rPr>
          <w:rFonts w:hint="eastAsia"/>
          <w:sz w:val="24"/>
        </w:rPr>
        <w:t xml:space="preserve">  </w:t>
      </w:r>
      <w:r>
        <w:rPr>
          <w:sz w:val="24"/>
        </w:rPr>
        <w:t xml:space="preserve"> </w:t>
      </w:r>
      <w:r>
        <w:rPr>
          <w:rFonts w:hint="eastAsia"/>
          <w:sz w:val="24"/>
        </w:rPr>
        <w:t>如监理单位存在下列行为的，监理单位同意按以下办法承担责任，赔偿损失：</w:t>
      </w:r>
    </w:p>
    <w:p>
      <w:pPr>
        <w:pStyle w:val="43"/>
        <w:tabs>
          <w:tab w:val="left" w:pos="1620"/>
        </w:tabs>
        <w:spacing w:line="360" w:lineRule="auto"/>
        <w:ind w:firstLine="440" w:firstLineChars="200"/>
        <w:rPr>
          <w:rFonts w:hint="eastAsia"/>
          <w:sz w:val="24"/>
        </w:rPr>
      </w:pPr>
      <w:r>
        <w:rPr>
          <w:rFonts w:hint="eastAsia" w:ascii="宋体" w:hAnsi="宋体" w:cs="宋体"/>
          <w:kern w:val="44"/>
          <w:sz w:val="22"/>
          <w:szCs w:val="22"/>
        </w:rPr>
        <w:t>（</w:t>
      </w:r>
      <w:r>
        <w:rPr>
          <w:rFonts w:hint="eastAsia"/>
          <w:sz w:val="24"/>
        </w:rPr>
        <w:t>一）发现未按程序处理或未发现施工单位在工程质量、计量、签证等方面弄虚作假的情况，且给予办理了相关手续的，扣除合同金额的10%。</w:t>
      </w:r>
    </w:p>
    <w:p>
      <w:pPr>
        <w:pStyle w:val="43"/>
        <w:tabs>
          <w:tab w:val="left" w:pos="1620"/>
        </w:tabs>
        <w:spacing w:line="360" w:lineRule="auto"/>
        <w:ind w:firstLine="440" w:firstLineChars="200"/>
        <w:rPr>
          <w:rFonts w:hint="eastAsia"/>
          <w:sz w:val="24"/>
        </w:rPr>
      </w:pPr>
      <w:r>
        <w:rPr>
          <w:rFonts w:hint="eastAsia" w:ascii="宋体" w:hAnsi="宋体" w:cs="宋体"/>
          <w:kern w:val="44"/>
          <w:sz w:val="22"/>
          <w:szCs w:val="22"/>
        </w:rPr>
        <w:t>（</w:t>
      </w:r>
      <w:r>
        <w:rPr>
          <w:rFonts w:hint="eastAsia"/>
          <w:sz w:val="24"/>
        </w:rPr>
        <w:t>二）施工现场发生一般及以上事故，监理单位未尽职责的，每次扣除合同金额的3%。</w:t>
      </w:r>
    </w:p>
    <w:p>
      <w:pPr>
        <w:pStyle w:val="43"/>
        <w:tabs>
          <w:tab w:val="left" w:pos="1620"/>
        </w:tabs>
        <w:spacing w:line="360" w:lineRule="auto"/>
        <w:ind w:firstLine="480" w:firstLineChars="200"/>
        <w:rPr>
          <w:rFonts w:hint="eastAsia"/>
          <w:sz w:val="24"/>
        </w:rPr>
      </w:pPr>
      <w:r>
        <w:rPr>
          <w:rFonts w:hint="eastAsia"/>
          <w:sz w:val="24"/>
        </w:rPr>
        <w:t>（三）放行或未发现不合格材料、设备或不符合招标文件要求的材料、设备，每次扣监理费的2%。</w:t>
      </w:r>
    </w:p>
    <w:p>
      <w:pPr>
        <w:pStyle w:val="43"/>
        <w:tabs>
          <w:tab w:val="left" w:pos="1620"/>
        </w:tabs>
        <w:spacing w:line="360" w:lineRule="auto"/>
        <w:ind w:firstLine="480" w:firstLineChars="200"/>
        <w:rPr>
          <w:rFonts w:hint="eastAsia"/>
          <w:sz w:val="24"/>
        </w:rPr>
      </w:pPr>
      <w:r>
        <w:rPr>
          <w:rFonts w:hint="eastAsia"/>
          <w:sz w:val="24"/>
        </w:rPr>
        <w:t>（四）仪器和工具必须在监理过程中予以落实，甲方在现场检查过程中，若发现因仪器或工具不到位造成现场检查部位没按时检查到位或实测实量检测数量不够，对监理单位处违约金1000元/次。</w:t>
      </w:r>
    </w:p>
    <w:p>
      <w:pPr>
        <w:pStyle w:val="43"/>
        <w:tabs>
          <w:tab w:val="left" w:pos="1620"/>
        </w:tabs>
        <w:spacing w:line="360" w:lineRule="auto"/>
        <w:ind w:firstLine="480" w:firstLineChars="200"/>
        <w:rPr>
          <w:rFonts w:hint="eastAsia"/>
          <w:sz w:val="24"/>
        </w:rPr>
      </w:pPr>
      <w:r>
        <w:rPr>
          <w:rFonts w:hint="eastAsia"/>
          <w:sz w:val="24"/>
        </w:rPr>
        <w:t>（五）监理单位应对结算计量的准确性负责，工程量审核误差率不得大于5%（各清单子目单独对比，相对甲方审定结果），否则对监理单位处违约金，额度为误差部分工程价款的30%；</w:t>
      </w:r>
    </w:p>
    <w:p>
      <w:pPr>
        <w:pStyle w:val="43"/>
        <w:tabs>
          <w:tab w:val="left" w:pos="1620"/>
        </w:tabs>
        <w:spacing w:line="360" w:lineRule="auto"/>
        <w:ind w:firstLine="480" w:firstLineChars="200"/>
        <w:rPr>
          <w:rFonts w:hint="eastAsia"/>
          <w:sz w:val="24"/>
        </w:rPr>
      </w:pPr>
      <w:r>
        <w:rPr>
          <w:rFonts w:hint="eastAsia"/>
          <w:sz w:val="24"/>
        </w:rPr>
        <w:t>（六）如因项目监理机构的工作失误，造成工程实施过程中甲方向承包人开展的索赔或审核无证据支持或过期等，对监理单位处违约金2000元/次并由监理机构承担由此造成的损失。</w:t>
      </w:r>
    </w:p>
    <w:p>
      <w:pPr>
        <w:pStyle w:val="43"/>
        <w:tabs>
          <w:tab w:val="left" w:pos="1620"/>
        </w:tabs>
        <w:spacing w:line="360" w:lineRule="auto"/>
        <w:ind w:firstLine="480" w:firstLineChars="200"/>
        <w:rPr>
          <w:rFonts w:hint="eastAsia"/>
          <w:sz w:val="24"/>
        </w:rPr>
      </w:pPr>
      <w:r>
        <w:rPr>
          <w:rFonts w:hint="eastAsia"/>
          <w:sz w:val="24"/>
        </w:rPr>
        <w:t>（七）监理单位未尽职责被政府有关部门处罚的（如通报批评、警告、罚款或媒体披露等），对监理单位处违约金5000元/次。</w:t>
      </w:r>
    </w:p>
    <w:p>
      <w:pPr>
        <w:pStyle w:val="43"/>
        <w:tabs>
          <w:tab w:val="left" w:pos="1620"/>
        </w:tabs>
        <w:spacing w:line="360" w:lineRule="auto"/>
        <w:ind w:firstLine="480" w:firstLineChars="200"/>
        <w:rPr>
          <w:rFonts w:hint="eastAsia"/>
          <w:sz w:val="24"/>
        </w:rPr>
      </w:pPr>
      <w:r>
        <w:rPr>
          <w:rFonts w:hint="eastAsia"/>
          <w:sz w:val="24"/>
        </w:rPr>
        <w:t>（八）除不可抗力因素外，若施工过程中，由于监理单位对安全、质量控制不到位而发生的一般及以上质量事故或安全事故（属于监理责任的），对监理单位处违约金1~3万元。</w:t>
      </w:r>
    </w:p>
    <w:p>
      <w:pPr>
        <w:pStyle w:val="43"/>
        <w:tabs>
          <w:tab w:val="left" w:pos="1620"/>
        </w:tabs>
        <w:spacing w:line="360" w:lineRule="auto"/>
        <w:ind w:firstLine="480" w:firstLineChars="200"/>
        <w:rPr>
          <w:rFonts w:hint="eastAsia"/>
          <w:sz w:val="24"/>
        </w:rPr>
      </w:pPr>
      <w:r>
        <w:rPr>
          <w:rFonts w:hint="eastAsia"/>
          <w:sz w:val="24"/>
        </w:rPr>
        <w:t>（九）项目监理机构未尽职责做好投资控制工作，包括工程量审核、单价审定、工程计量、工程结算等，对监理单位处2万元/次以下违约金，如合同条件中有明确的处罚标准，则执行相应的处罚条款。</w:t>
      </w:r>
    </w:p>
    <w:p>
      <w:pPr>
        <w:pStyle w:val="43"/>
        <w:tabs>
          <w:tab w:val="left" w:pos="1620"/>
        </w:tabs>
        <w:spacing w:line="360" w:lineRule="auto"/>
        <w:ind w:firstLine="480" w:firstLineChars="200"/>
        <w:rPr>
          <w:rFonts w:hint="eastAsia"/>
          <w:sz w:val="24"/>
        </w:rPr>
      </w:pPr>
      <w:r>
        <w:rPr>
          <w:rFonts w:hint="eastAsia"/>
          <w:sz w:val="24"/>
        </w:rPr>
        <w:t>（十）关键工序监理单位必须派监理工程师巡视或旁站，需要监理工程师巡检而未巡检的，每发现一人次不随施工巡检处违约金2000元，需要旁站而不随施工旁站的，每发现一次处违约金2000元。</w:t>
      </w:r>
    </w:p>
    <w:p>
      <w:pPr>
        <w:pStyle w:val="43"/>
        <w:tabs>
          <w:tab w:val="left" w:pos="1620"/>
        </w:tabs>
        <w:spacing w:line="360" w:lineRule="auto"/>
        <w:ind w:firstLine="480" w:firstLineChars="200"/>
        <w:rPr>
          <w:rFonts w:hint="eastAsia"/>
          <w:sz w:val="24"/>
        </w:rPr>
      </w:pPr>
      <w:r>
        <w:rPr>
          <w:rFonts w:hint="eastAsia"/>
          <w:sz w:val="24"/>
        </w:rPr>
        <w:t>（十一）项目监理机构未尽职责放行或未发现不合格材料设备或不符合招标文件要求的材料设备，但在甲方组织的检查中发现了承包人使用了上述材料设备，对监理单位处额度为涉案材料设备价款10%的违约金，但不超过签约酬金总价的30%。</w:t>
      </w:r>
    </w:p>
    <w:p>
      <w:pPr>
        <w:pStyle w:val="43"/>
        <w:tabs>
          <w:tab w:val="left" w:pos="1620"/>
        </w:tabs>
        <w:spacing w:line="360" w:lineRule="auto"/>
        <w:ind w:firstLine="480" w:firstLineChars="200"/>
        <w:rPr>
          <w:rFonts w:hint="eastAsia"/>
          <w:sz w:val="24"/>
        </w:rPr>
      </w:pPr>
      <w:r>
        <w:rPr>
          <w:rFonts w:hint="eastAsia"/>
          <w:sz w:val="24"/>
        </w:rPr>
        <w:t>（十二）监理单位或其项目监理机构未按现行《建设工程监理规范》、或未按其编制的《监理规划》、《监理实施细则》开展监理及相关服务工作的，甲方将视其情节轻重情况对监理单位处1万元/次以下违约金，如合同条件中有明确的处罚标准，则执行相应的处罚条款。</w:t>
      </w:r>
    </w:p>
    <w:p>
      <w:pPr>
        <w:pStyle w:val="43"/>
        <w:spacing w:line="360" w:lineRule="auto"/>
        <w:ind w:firstLine="480" w:firstLineChars="200"/>
        <w:rPr>
          <w:rFonts w:hint="eastAsia"/>
          <w:sz w:val="24"/>
        </w:rPr>
      </w:pPr>
      <w:r>
        <w:rPr>
          <w:rFonts w:hint="eastAsia"/>
          <w:sz w:val="24"/>
        </w:rPr>
        <w:t>（十三）监理单位及其监理人员应当遵守本合同中关于保密义务的规定；否则，甲方有权解除合同，并要求监理单位支付合同总金额5%的违约金，造成不良影响或对甲方造成损失的，甲方有权要求监理单位消除影响，承担赔偿责任。</w:t>
      </w:r>
    </w:p>
    <w:p>
      <w:pPr>
        <w:pStyle w:val="43"/>
        <w:spacing w:line="360" w:lineRule="auto"/>
        <w:ind w:firstLine="480" w:firstLineChars="200"/>
        <w:rPr>
          <w:rFonts w:hint="eastAsia"/>
          <w:sz w:val="24"/>
        </w:rPr>
      </w:pPr>
      <w:r>
        <w:rPr>
          <w:rFonts w:hint="eastAsia"/>
          <w:sz w:val="24"/>
        </w:rPr>
        <w:t>（十四）监理单位或其项目监理机构出现下列未尽职责情况时，如合同中无明确的违约处罚、《监理违约行为检查记分表》也未载明时不能按（六）款原则确定违约金的，按下表额度对监理单位或其项目监理机构处违约金：</w:t>
      </w:r>
    </w:p>
    <w:p>
      <w:pPr>
        <w:pStyle w:val="43"/>
        <w:spacing w:line="360" w:lineRule="exact"/>
        <w:ind w:firstLine="442" w:firstLineChars="200"/>
        <w:rPr>
          <w:rFonts w:ascii="宋体" w:hAnsi="宋体" w:cs="宋体"/>
          <w:b/>
          <w:bCs/>
          <w:kern w:val="44"/>
          <w:sz w:val="22"/>
          <w:szCs w:val="22"/>
        </w:rPr>
      </w:pPr>
      <w:r>
        <w:rPr>
          <w:rFonts w:hint="eastAsia" w:ascii="宋体" w:hAnsi="宋体" w:cs="宋体"/>
          <w:b/>
          <w:bCs/>
          <w:kern w:val="44"/>
          <w:sz w:val="22"/>
          <w:szCs w:val="22"/>
        </w:rPr>
        <w:t>表1</w:t>
      </w:r>
    </w:p>
    <w:tbl>
      <w:tblPr>
        <w:tblStyle w:val="23"/>
        <w:tblW w:w="8449"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5430"/>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trPr>
        <w:tc>
          <w:tcPr>
            <w:tcW w:w="855" w:type="dxa"/>
            <w:noWrap w:val="0"/>
            <w:vAlign w:val="center"/>
          </w:tcPr>
          <w:p>
            <w:pPr>
              <w:pStyle w:val="43"/>
              <w:adjustRightInd w:val="0"/>
              <w:snapToGrid w:val="0"/>
              <w:spacing w:before="156" w:beforeLines="50" w:after="156" w:afterLines="50" w:line="360" w:lineRule="exact"/>
              <w:jc w:val="center"/>
              <w:rPr>
                <w:rFonts w:ascii="宋体" w:hAnsi="宋体" w:cs="宋体"/>
                <w:b/>
                <w:sz w:val="22"/>
                <w:szCs w:val="22"/>
              </w:rPr>
            </w:pPr>
            <w:r>
              <w:rPr>
                <w:rFonts w:hint="eastAsia" w:ascii="宋体" w:hAnsi="宋体" w:cs="宋体"/>
                <w:b/>
                <w:sz w:val="22"/>
                <w:szCs w:val="22"/>
              </w:rPr>
              <w:t>序号</w:t>
            </w:r>
          </w:p>
        </w:tc>
        <w:tc>
          <w:tcPr>
            <w:tcW w:w="5430" w:type="dxa"/>
            <w:noWrap w:val="0"/>
            <w:vAlign w:val="center"/>
          </w:tcPr>
          <w:p>
            <w:pPr>
              <w:pStyle w:val="43"/>
              <w:adjustRightInd w:val="0"/>
              <w:snapToGrid w:val="0"/>
              <w:spacing w:before="156" w:beforeLines="50" w:after="156" w:afterLines="50" w:line="360" w:lineRule="exact"/>
              <w:jc w:val="center"/>
              <w:rPr>
                <w:rFonts w:ascii="宋体" w:hAnsi="宋体" w:cs="宋体"/>
                <w:b/>
                <w:sz w:val="22"/>
                <w:szCs w:val="22"/>
              </w:rPr>
            </w:pPr>
            <w:r>
              <w:rPr>
                <w:rFonts w:hint="eastAsia" w:ascii="宋体" w:hAnsi="宋体" w:cs="宋体"/>
                <w:b/>
                <w:sz w:val="22"/>
                <w:szCs w:val="22"/>
              </w:rPr>
              <w:t>监理人或其项目监理机构未尽职责情况</w:t>
            </w:r>
          </w:p>
        </w:tc>
        <w:tc>
          <w:tcPr>
            <w:tcW w:w="2164" w:type="dxa"/>
            <w:noWrap w:val="0"/>
            <w:vAlign w:val="center"/>
          </w:tcPr>
          <w:p>
            <w:pPr>
              <w:pStyle w:val="43"/>
              <w:adjustRightInd w:val="0"/>
              <w:snapToGrid w:val="0"/>
              <w:spacing w:before="156" w:beforeLines="50" w:after="156" w:afterLines="50" w:line="360" w:lineRule="exact"/>
              <w:jc w:val="center"/>
              <w:rPr>
                <w:rFonts w:ascii="宋体" w:hAnsi="宋体" w:cs="宋体"/>
                <w:b/>
                <w:sz w:val="22"/>
                <w:szCs w:val="22"/>
              </w:rPr>
            </w:pPr>
            <w:r>
              <w:rPr>
                <w:rFonts w:hint="eastAsia" w:ascii="宋体" w:hAnsi="宋体" w:cs="宋体"/>
                <w:b/>
                <w:sz w:val="22"/>
                <w:szCs w:val="22"/>
              </w:rPr>
              <w:t>违约金额</w:t>
            </w:r>
            <w:r>
              <w:rPr>
                <w:rFonts w:hint="eastAsia" w:ascii="宋体" w:hAnsi="宋体" w:cs="宋体"/>
                <w:b/>
                <w:sz w:val="22"/>
                <w:szCs w:val="22"/>
              </w:rPr>
              <w:br w:type="textWrapping"/>
            </w:r>
            <w:r>
              <w:rPr>
                <w:rFonts w:hint="eastAsia" w:ascii="宋体" w:hAnsi="宋体" w:cs="宋体"/>
                <w:b/>
                <w:sz w:val="22"/>
                <w:szCs w:val="22"/>
              </w:rPr>
              <w:t>（元/条或人或处）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blHeader/>
        </w:trPr>
        <w:tc>
          <w:tcPr>
            <w:tcW w:w="855" w:type="dxa"/>
            <w:noWrap w:val="0"/>
            <w:vAlign w:val="center"/>
          </w:tcPr>
          <w:p>
            <w:pPr>
              <w:pStyle w:val="43"/>
              <w:adjustRightInd w:val="0"/>
              <w:snapToGrid w:val="0"/>
              <w:spacing w:before="156" w:beforeLines="50" w:after="156" w:afterLines="50" w:line="360" w:lineRule="exact"/>
              <w:jc w:val="center"/>
              <w:rPr>
                <w:rFonts w:hint="eastAsia" w:ascii="宋体" w:hAnsi="宋体" w:cs="宋体"/>
                <w:sz w:val="22"/>
                <w:szCs w:val="22"/>
              </w:rPr>
            </w:pPr>
            <w:r>
              <w:rPr>
                <w:rFonts w:hint="eastAsia" w:ascii="宋体" w:hAnsi="宋体" w:cs="宋体"/>
                <w:sz w:val="22"/>
                <w:szCs w:val="22"/>
              </w:rPr>
              <w:t>1</w:t>
            </w:r>
          </w:p>
        </w:tc>
        <w:tc>
          <w:tcPr>
            <w:tcW w:w="5430" w:type="dxa"/>
            <w:noWrap w:val="0"/>
            <w:vAlign w:val="center"/>
          </w:tcPr>
          <w:p>
            <w:pPr>
              <w:pStyle w:val="43"/>
              <w:adjustRightInd w:val="0"/>
              <w:snapToGrid w:val="0"/>
              <w:spacing w:before="156" w:beforeLines="50" w:after="156" w:afterLines="50" w:line="360" w:lineRule="exact"/>
              <w:rPr>
                <w:rFonts w:ascii="宋体" w:hAnsi="宋体" w:cs="宋体"/>
                <w:sz w:val="22"/>
                <w:szCs w:val="22"/>
              </w:rPr>
            </w:pPr>
            <w:r>
              <w:rPr>
                <w:rFonts w:hint="eastAsia" w:ascii="宋体" w:hAnsi="宋体" w:cs="宋体"/>
                <w:sz w:val="22"/>
                <w:szCs w:val="22"/>
              </w:rPr>
              <w:t>监理规划、监理实施细则、旁站方案、见证取样方案等文件是否按要求编制和审批</w:t>
            </w:r>
          </w:p>
        </w:tc>
        <w:tc>
          <w:tcPr>
            <w:tcW w:w="2164" w:type="dxa"/>
            <w:noWrap w:val="0"/>
            <w:vAlign w:val="center"/>
          </w:tcPr>
          <w:p>
            <w:pPr>
              <w:pStyle w:val="43"/>
              <w:adjustRightInd w:val="0"/>
              <w:snapToGrid w:val="0"/>
              <w:spacing w:before="156" w:beforeLines="50" w:after="156" w:afterLines="50" w:line="360" w:lineRule="exact"/>
              <w:jc w:val="center"/>
              <w:rPr>
                <w:rFonts w:ascii="宋体" w:hAnsi="宋体" w:cs="宋体"/>
                <w:sz w:val="22"/>
                <w:szCs w:val="22"/>
              </w:rPr>
            </w:pPr>
            <w:r>
              <w:rPr>
                <w:rFonts w:hint="eastAsia" w:ascii="宋体" w:hAnsi="宋体" w:cs="宋体"/>
                <w:sz w:val="22"/>
                <w:szCs w:val="22"/>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5" w:type="dxa"/>
            <w:noWrap w:val="0"/>
            <w:vAlign w:val="center"/>
          </w:tcPr>
          <w:p>
            <w:pPr>
              <w:pStyle w:val="43"/>
              <w:adjustRightInd w:val="0"/>
              <w:snapToGrid w:val="0"/>
              <w:spacing w:before="156" w:beforeLines="50" w:after="156" w:afterLines="50" w:line="360" w:lineRule="exact"/>
              <w:jc w:val="center"/>
              <w:rPr>
                <w:rFonts w:hint="eastAsia" w:ascii="宋体" w:hAnsi="宋体" w:cs="宋体"/>
                <w:sz w:val="22"/>
                <w:szCs w:val="22"/>
              </w:rPr>
            </w:pPr>
            <w:r>
              <w:rPr>
                <w:rFonts w:hint="eastAsia" w:ascii="宋体" w:hAnsi="宋体" w:cs="宋体"/>
                <w:sz w:val="22"/>
                <w:szCs w:val="22"/>
              </w:rPr>
              <w:t>2</w:t>
            </w:r>
          </w:p>
        </w:tc>
        <w:tc>
          <w:tcPr>
            <w:tcW w:w="5430" w:type="dxa"/>
            <w:noWrap w:val="0"/>
            <w:vAlign w:val="center"/>
          </w:tcPr>
          <w:p>
            <w:pPr>
              <w:pStyle w:val="43"/>
              <w:adjustRightInd w:val="0"/>
              <w:snapToGrid w:val="0"/>
              <w:spacing w:before="156" w:beforeLines="50" w:after="156" w:afterLines="50" w:line="360" w:lineRule="exact"/>
              <w:rPr>
                <w:rFonts w:ascii="宋体" w:hAnsi="宋体" w:cs="宋体"/>
                <w:sz w:val="22"/>
                <w:szCs w:val="22"/>
              </w:rPr>
            </w:pPr>
            <w:r>
              <w:rPr>
                <w:rFonts w:hint="eastAsia" w:ascii="宋体" w:hAnsi="宋体" w:cs="宋体"/>
                <w:sz w:val="22"/>
                <w:szCs w:val="22"/>
              </w:rPr>
              <w:t>是否及时审查施工单位项目部组织机构、施工组织设计、各类专项方案等，总监是否签署意见</w:t>
            </w:r>
          </w:p>
        </w:tc>
        <w:tc>
          <w:tcPr>
            <w:tcW w:w="2164" w:type="dxa"/>
            <w:noWrap w:val="0"/>
            <w:vAlign w:val="center"/>
          </w:tcPr>
          <w:p>
            <w:pPr>
              <w:pStyle w:val="43"/>
              <w:adjustRightInd w:val="0"/>
              <w:snapToGrid w:val="0"/>
              <w:spacing w:before="156" w:beforeLines="50" w:after="156" w:afterLines="50" w:line="360" w:lineRule="exact"/>
              <w:jc w:val="center"/>
              <w:rPr>
                <w:rFonts w:ascii="宋体" w:hAnsi="宋体" w:cs="宋体"/>
                <w:sz w:val="22"/>
                <w:szCs w:val="22"/>
              </w:rPr>
            </w:pPr>
            <w:r>
              <w:rPr>
                <w:rFonts w:hint="eastAsia" w:ascii="宋体" w:hAnsi="宋体" w:cs="宋体"/>
                <w:sz w:val="22"/>
                <w:szCs w:val="22"/>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5" w:type="dxa"/>
            <w:noWrap w:val="0"/>
            <w:vAlign w:val="center"/>
          </w:tcPr>
          <w:p>
            <w:pPr>
              <w:pStyle w:val="43"/>
              <w:adjustRightInd w:val="0"/>
              <w:snapToGrid w:val="0"/>
              <w:spacing w:before="156" w:beforeLines="50" w:after="156" w:afterLines="50" w:line="360" w:lineRule="exact"/>
              <w:jc w:val="center"/>
              <w:rPr>
                <w:rFonts w:hint="eastAsia" w:ascii="宋体" w:hAnsi="宋体" w:cs="宋体"/>
                <w:sz w:val="22"/>
                <w:szCs w:val="22"/>
              </w:rPr>
            </w:pPr>
            <w:r>
              <w:rPr>
                <w:rFonts w:hint="eastAsia" w:ascii="宋体" w:hAnsi="宋体" w:cs="宋体"/>
                <w:sz w:val="22"/>
                <w:szCs w:val="22"/>
              </w:rPr>
              <w:t>3</w:t>
            </w:r>
          </w:p>
        </w:tc>
        <w:tc>
          <w:tcPr>
            <w:tcW w:w="5430" w:type="dxa"/>
            <w:noWrap w:val="0"/>
            <w:vAlign w:val="center"/>
          </w:tcPr>
          <w:p>
            <w:pPr>
              <w:pStyle w:val="43"/>
              <w:adjustRightInd w:val="0"/>
              <w:snapToGrid w:val="0"/>
              <w:spacing w:before="156" w:beforeLines="50" w:after="156" w:afterLines="50" w:line="360" w:lineRule="exact"/>
              <w:rPr>
                <w:rFonts w:ascii="宋体" w:hAnsi="宋体" w:cs="宋体"/>
                <w:sz w:val="22"/>
                <w:szCs w:val="22"/>
              </w:rPr>
            </w:pPr>
            <w:r>
              <w:rPr>
                <w:rFonts w:hint="eastAsia" w:ascii="宋体" w:hAnsi="宋体" w:cs="宋体"/>
                <w:sz w:val="22"/>
                <w:szCs w:val="22"/>
              </w:rPr>
              <w:t>是否按要求进行测量复核，是否有复核记录</w:t>
            </w:r>
          </w:p>
        </w:tc>
        <w:tc>
          <w:tcPr>
            <w:tcW w:w="2164" w:type="dxa"/>
            <w:noWrap w:val="0"/>
            <w:vAlign w:val="center"/>
          </w:tcPr>
          <w:p>
            <w:pPr>
              <w:pStyle w:val="43"/>
              <w:adjustRightInd w:val="0"/>
              <w:snapToGrid w:val="0"/>
              <w:spacing w:before="156" w:beforeLines="50" w:after="156" w:afterLines="50" w:line="360" w:lineRule="exact"/>
              <w:jc w:val="center"/>
              <w:rPr>
                <w:rFonts w:ascii="宋体" w:hAnsi="宋体" w:cs="宋体"/>
                <w:sz w:val="22"/>
                <w:szCs w:val="22"/>
              </w:rPr>
            </w:pPr>
            <w:r>
              <w:rPr>
                <w:rFonts w:hint="eastAsia" w:ascii="宋体" w:hAnsi="宋体" w:cs="宋体"/>
                <w:sz w:val="22"/>
                <w:szCs w:val="22"/>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5" w:type="dxa"/>
            <w:noWrap w:val="0"/>
            <w:vAlign w:val="center"/>
          </w:tcPr>
          <w:p>
            <w:pPr>
              <w:pStyle w:val="43"/>
              <w:adjustRightInd w:val="0"/>
              <w:snapToGrid w:val="0"/>
              <w:spacing w:before="156" w:beforeLines="50" w:after="156" w:afterLines="50" w:line="360" w:lineRule="exact"/>
              <w:jc w:val="center"/>
              <w:rPr>
                <w:rFonts w:hint="eastAsia" w:ascii="宋体" w:hAnsi="宋体" w:cs="宋体"/>
                <w:sz w:val="22"/>
                <w:szCs w:val="22"/>
              </w:rPr>
            </w:pPr>
            <w:r>
              <w:rPr>
                <w:rFonts w:hint="eastAsia" w:ascii="宋体" w:hAnsi="宋体" w:cs="宋体"/>
                <w:sz w:val="22"/>
                <w:szCs w:val="22"/>
              </w:rPr>
              <w:t>4</w:t>
            </w:r>
          </w:p>
        </w:tc>
        <w:tc>
          <w:tcPr>
            <w:tcW w:w="5430" w:type="dxa"/>
            <w:noWrap w:val="0"/>
            <w:vAlign w:val="center"/>
          </w:tcPr>
          <w:p>
            <w:pPr>
              <w:pStyle w:val="43"/>
              <w:adjustRightInd w:val="0"/>
              <w:snapToGrid w:val="0"/>
              <w:spacing w:before="156" w:beforeLines="50" w:after="156" w:afterLines="50" w:line="360" w:lineRule="exact"/>
              <w:rPr>
                <w:rFonts w:ascii="宋体" w:hAnsi="宋体" w:cs="宋体"/>
                <w:sz w:val="22"/>
                <w:szCs w:val="22"/>
              </w:rPr>
            </w:pPr>
            <w:r>
              <w:rPr>
                <w:rFonts w:hint="eastAsia" w:ascii="宋体" w:hAnsi="宋体" w:cs="宋体"/>
                <w:sz w:val="22"/>
                <w:szCs w:val="22"/>
              </w:rPr>
              <w:t>是否按要求进行平行检验、见证取样工作</w:t>
            </w:r>
          </w:p>
        </w:tc>
        <w:tc>
          <w:tcPr>
            <w:tcW w:w="2164" w:type="dxa"/>
            <w:noWrap w:val="0"/>
            <w:vAlign w:val="center"/>
          </w:tcPr>
          <w:p>
            <w:pPr>
              <w:pStyle w:val="43"/>
              <w:adjustRightInd w:val="0"/>
              <w:snapToGrid w:val="0"/>
              <w:spacing w:before="156" w:beforeLines="50" w:after="156" w:afterLines="50" w:line="360" w:lineRule="exact"/>
              <w:jc w:val="center"/>
              <w:rPr>
                <w:rFonts w:ascii="宋体" w:hAnsi="宋体" w:cs="宋体"/>
                <w:sz w:val="22"/>
                <w:szCs w:val="22"/>
              </w:rPr>
            </w:pPr>
            <w:r>
              <w:rPr>
                <w:rFonts w:hint="eastAsia" w:ascii="宋体" w:hAnsi="宋体" w:cs="宋体"/>
                <w:sz w:val="22"/>
                <w:szCs w:val="22"/>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5" w:type="dxa"/>
            <w:noWrap w:val="0"/>
            <w:vAlign w:val="center"/>
          </w:tcPr>
          <w:p>
            <w:pPr>
              <w:pStyle w:val="43"/>
              <w:adjustRightInd w:val="0"/>
              <w:snapToGrid w:val="0"/>
              <w:spacing w:before="156" w:beforeLines="50" w:after="156" w:afterLines="50" w:line="360" w:lineRule="exact"/>
              <w:jc w:val="center"/>
              <w:rPr>
                <w:rFonts w:hint="eastAsia" w:ascii="宋体" w:hAnsi="宋体" w:cs="宋体"/>
                <w:sz w:val="22"/>
                <w:szCs w:val="22"/>
              </w:rPr>
            </w:pPr>
            <w:r>
              <w:rPr>
                <w:rFonts w:hint="eastAsia" w:ascii="宋体" w:hAnsi="宋体" w:cs="宋体"/>
                <w:sz w:val="22"/>
                <w:szCs w:val="22"/>
              </w:rPr>
              <w:t>5</w:t>
            </w:r>
          </w:p>
        </w:tc>
        <w:tc>
          <w:tcPr>
            <w:tcW w:w="5430" w:type="dxa"/>
            <w:noWrap w:val="0"/>
            <w:vAlign w:val="center"/>
          </w:tcPr>
          <w:p>
            <w:pPr>
              <w:pStyle w:val="43"/>
              <w:adjustRightInd w:val="0"/>
              <w:snapToGrid w:val="0"/>
              <w:spacing w:before="156" w:beforeLines="50" w:after="156" w:afterLines="50" w:line="360" w:lineRule="exact"/>
              <w:rPr>
                <w:rFonts w:ascii="宋体" w:hAnsi="宋体" w:cs="宋体"/>
                <w:sz w:val="22"/>
                <w:szCs w:val="22"/>
              </w:rPr>
            </w:pPr>
            <w:r>
              <w:rPr>
                <w:rFonts w:hint="eastAsia" w:ascii="宋体" w:hAnsi="宋体" w:cs="宋体"/>
                <w:sz w:val="22"/>
                <w:szCs w:val="22"/>
              </w:rPr>
              <w:t>是否存在对各类检查拒不配合现象</w:t>
            </w:r>
          </w:p>
        </w:tc>
        <w:tc>
          <w:tcPr>
            <w:tcW w:w="2164" w:type="dxa"/>
            <w:noWrap w:val="0"/>
            <w:vAlign w:val="center"/>
          </w:tcPr>
          <w:p>
            <w:pPr>
              <w:pStyle w:val="43"/>
              <w:adjustRightInd w:val="0"/>
              <w:snapToGrid w:val="0"/>
              <w:spacing w:before="156" w:beforeLines="50" w:after="156" w:afterLines="50" w:line="360" w:lineRule="exact"/>
              <w:jc w:val="center"/>
              <w:rPr>
                <w:rFonts w:ascii="宋体" w:hAnsi="宋体" w:cs="宋体"/>
                <w:sz w:val="22"/>
                <w:szCs w:val="22"/>
              </w:rPr>
            </w:pPr>
            <w:r>
              <w:rPr>
                <w:rFonts w:hint="eastAsia" w:ascii="宋体" w:hAnsi="宋体" w:cs="宋体"/>
                <w:sz w:val="22"/>
                <w:szCs w:val="22"/>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5" w:type="dxa"/>
            <w:noWrap w:val="0"/>
            <w:vAlign w:val="center"/>
          </w:tcPr>
          <w:p>
            <w:pPr>
              <w:pStyle w:val="43"/>
              <w:adjustRightInd w:val="0"/>
              <w:snapToGrid w:val="0"/>
              <w:spacing w:before="156" w:beforeLines="50" w:after="156" w:afterLines="50" w:line="360" w:lineRule="exact"/>
              <w:jc w:val="center"/>
              <w:rPr>
                <w:rFonts w:hint="eastAsia" w:ascii="宋体" w:hAnsi="宋体" w:cs="宋体"/>
                <w:sz w:val="22"/>
                <w:szCs w:val="22"/>
              </w:rPr>
            </w:pPr>
            <w:r>
              <w:rPr>
                <w:rFonts w:hint="eastAsia" w:ascii="宋体" w:hAnsi="宋体" w:cs="宋体"/>
                <w:sz w:val="22"/>
                <w:szCs w:val="22"/>
              </w:rPr>
              <w:t>6</w:t>
            </w:r>
          </w:p>
        </w:tc>
        <w:tc>
          <w:tcPr>
            <w:tcW w:w="5430" w:type="dxa"/>
            <w:noWrap w:val="0"/>
            <w:vAlign w:val="center"/>
          </w:tcPr>
          <w:p>
            <w:pPr>
              <w:pStyle w:val="43"/>
              <w:adjustRightInd w:val="0"/>
              <w:snapToGrid w:val="0"/>
              <w:spacing w:before="156" w:beforeLines="50" w:after="156" w:afterLines="50" w:line="360" w:lineRule="exact"/>
              <w:rPr>
                <w:rFonts w:ascii="宋体" w:hAnsi="宋体" w:cs="宋体"/>
                <w:sz w:val="22"/>
                <w:szCs w:val="22"/>
              </w:rPr>
            </w:pPr>
            <w:r>
              <w:rPr>
                <w:rFonts w:hint="eastAsia" w:ascii="宋体" w:hAnsi="宋体" w:cs="宋体"/>
                <w:sz w:val="22"/>
                <w:szCs w:val="22"/>
              </w:rPr>
              <w:t>对检查提出的问题是否及时督促施工单位整改</w:t>
            </w:r>
          </w:p>
        </w:tc>
        <w:tc>
          <w:tcPr>
            <w:tcW w:w="2164" w:type="dxa"/>
            <w:noWrap w:val="0"/>
            <w:vAlign w:val="center"/>
          </w:tcPr>
          <w:p>
            <w:pPr>
              <w:pStyle w:val="43"/>
              <w:adjustRightInd w:val="0"/>
              <w:snapToGrid w:val="0"/>
              <w:spacing w:before="156" w:beforeLines="50" w:after="156" w:afterLines="50" w:line="360" w:lineRule="exact"/>
              <w:jc w:val="center"/>
              <w:rPr>
                <w:rFonts w:ascii="宋体" w:hAnsi="宋体" w:cs="宋体"/>
                <w:sz w:val="22"/>
                <w:szCs w:val="22"/>
              </w:rPr>
            </w:pPr>
            <w:r>
              <w:rPr>
                <w:rFonts w:hint="eastAsia" w:ascii="宋体" w:hAnsi="宋体" w:cs="宋体"/>
                <w:sz w:val="22"/>
                <w:szCs w:val="22"/>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5" w:type="dxa"/>
            <w:noWrap w:val="0"/>
            <w:vAlign w:val="center"/>
          </w:tcPr>
          <w:p>
            <w:pPr>
              <w:pStyle w:val="43"/>
              <w:adjustRightInd w:val="0"/>
              <w:snapToGrid w:val="0"/>
              <w:spacing w:before="156" w:beforeLines="50" w:after="156" w:afterLines="50" w:line="360" w:lineRule="exact"/>
              <w:jc w:val="center"/>
              <w:rPr>
                <w:rFonts w:hint="eastAsia" w:ascii="宋体" w:hAnsi="宋体" w:cs="宋体"/>
                <w:sz w:val="22"/>
                <w:szCs w:val="22"/>
              </w:rPr>
            </w:pPr>
            <w:r>
              <w:rPr>
                <w:rFonts w:hint="eastAsia" w:ascii="宋体" w:hAnsi="宋体" w:cs="宋体"/>
                <w:sz w:val="22"/>
                <w:szCs w:val="22"/>
              </w:rPr>
              <w:t>7</w:t>
            </w:r>
          </w:p>
        </w:tc>
        <w:tc>
          <w:tcPr>
            <w:tcW w:w="5430" w:type="dxa"/>
            <w:noWrap w:val="0"/>
            <w:vAlign w:val="center"/>
          </w:tcPr>
          <w:p>
            <w:pPr>
              <w:pStyle w:val="43"/>
              <w:adjustRightInd w:val="0"/>
              <w:snapToGrid w:val="0"/>
              <w:spacing w:before="156" w:beforeLines="50" w:after="156" w:afterLines="50" w:line="360" w:lineRule="exact"/>
              <w:rPr>
                <w:rFonts w:ascii="宋体" w:hAnsi="宋体" w:cs="宋体"/>
                <w:sz w:val="22"/>
                <w:szCs w:val="22"/>
              </w:rPr>
            </w:pPr>
            <w:r>
              <w:rPr>
                <w:rFonts w:hint="eastAsia" w:ascii="宋体" w:hAnsi="宋体" w:cs="宋体"/>
                <w:sz w:val="22"/>
                <w:szCs w:val="22"/>
              </w:rPr>
              <w:t>质量安全管理资料是否与工程实体同步</w:t>
            </w:r>
          </w:p>
        </w:tc>
        <w:tc>
          <w:tcPr>
            <w:tcW w:w="2164" w:type="dxa"/>
            <w:noWrap w:val="0"/>
            <w:vAlign w:val="center"/>
          </w:tcPr>
          <w:p>
            <w:pPr>
              <w:pStyle w:val="43"/>
              <w:adjustRightInd w:val="0"/>
              <w:snapToGrid w:val="0"/>
              <w:spacing w:before="156" w:beforeLines="50" w:after="156" w:afterLines="50" w:line="360" w:lineRule="exact"/>
              <w:jc w:val="center"/>
              <w:rPr>
                <w:rFonts w:ascii="宋体" w:hAnsi="宋体" w:cs="宋体"/>
                <w:sz w:val="22"/>
                <w:szCs w:val="22"/>
              </w:rPr>
            </w:pPr>
            <w:r>
              <w:rPr>
                <w:rFonts w:hint="eastAsia" w:ascii="宋体" w:hAnsi="宋体" w:cs="宋体"/>
                <w:sz w:val="22"/>
                <w:szCs w:val="22"/>
              </w:rPr>
              <w:t>1000</w:t>
            </w:r>
          </w:p>
        </w:tc>
      </w:tr>
    </w:tbl>
    <w:p>
      <w:pPr>
        <w:pStyle w:val="43"/>
        <w:spacing w:line="360" w:lineRule="exact"/>
        <w:ind w:firstLine="442" w:firstLineChars="200"/>
        <w:rPr>
          <w:rFonts w:ascii="宋体" w:hAnsi="宋体" w:cs="宋体"/>
          <w:kern w:val="44"/>
          <w:sz w:val="22"/>
          <w:szCs w:val="22"/>
        </w:rPr>
      </w:pPr>
      <w:r>
        <w:rPr>
          <w:rFonts w:hint="eastAsia" w:ascii="宋体" w:hAnsi="宋体" w:cs="宋体"/>
          <w:b/>
          <w:bCs/>
          <w:kern w:val="44"/>
          <w:sz w:val="22"/>
          <w:szCs w:val="22"/>
        </w:rPr>
        <w:t>表2</w:t>
      </w:r>
    </w:p>
    <w:tbl>
      <w:tblPr>
        <w:tblStyle w:val="23"/>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388"/>
        <w:gridCol w:w="3402"/>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tcBorders>
              <w:top w:val="single" w:color="auto" w:sz="4" w:space="0"/>
              <w:left w:val="single" w:color="auto" w:sz="4" w:space="0"/>
              <w:bottom w:val="single" w:color="auto" w:sz="4" w:space="0"/>
              <w:right w:val="single" w:color="auto" w:sz="4" w:space="0"/>
            </w:tcBorders>
            <w:noWrap w:val="0"/>
            <w:vAlign w:val="center"/>
          </w:tcPr>
          <w:p>
            <w:pPr>
              <w:pStyle w:val="43"/>
              <w:spacing w:line="360" w:lineRule="exact"/>
              <w:jc w:val="center"/>
              <w:rPr>
                <w:rFonts w:ascii="宋体" w:hAnsi="宋体" w:cs="宋体"/>
                <w:b/>
                <w:sz w:val="22"/>
                <w:szCs w:val="22"/>
              </w:rPr>
            </w:pPr>
            <w:r>
              <w:rPr>
                <w:rFonts w:hint="eastAsia" w:ascii="宋体" w:hAnsi="宋体" w:cs="宋体"/>
                <w:b/>
                <w:sz w:val="22"/>
                <w:szCs w:val="22"/>
              </w:rPr>
              <w:t>序号</w:t>
            </w:r>
          </w:p>
        </w:tc>
        <w:tc>
          <w:tcPr>
            <w:tcW w:w="824" w:type="pct"/>
            <w:tcBorders>
              <w:top w:val="single" w:color="auto" w:sz="4" w:space="0"/>
              <w:left w:val="single" w:color="auto" w:sz="4" w:space="0"/>
              <w:bottom w:val="single" w:color="auto" w:sz="4" w:space="0"/>
              <w:right w:val="single" w:color="auto" w:sz="4" w:space="0"/>
            </w:tcBorders>
            <w:noWrap w:val="0"/>
            <w:vAlign w:val="center"/>
          </w:tcPr>
          <w:p>
            <w:pPr>
              <w:pStyle w:val="43"/>
              <w:spacing w:before="156" w:line="360" w:lineRule="exact"/>
              <w:jc w:val="center"/>
              <w:rPr>
                <w:rFonts w:ascii="宋体" w:hAnsi="宋体" w:cs="宋体"/>
                <w:b/>
                <w:sz w:val="22"/>
                <w:szCs w:val="22"/>
              </w:rPr>
            </w:pPr>
            <w:r>
              <w:rPr>
                <w:rFonts w:hint="eastAsia" w:ascii="宋体" w:hAnsi="宋体" w:cs="宋体"/>
                <w:b/>
                <w:sz w:val="22"/>
                <w:szCs w:val="22"/>
              </w:rPr>
              <w:t>项目</w:t>
            </w:r>
          </w:p>
        </w:tc>
        <w:tc>
          <w:tcPr>
            <w:tcW w:w="2020" w:type="pct"/>
            <w:tcBorders>
              <w:top w:val="single" w:color="auto" w:sz="4" w:space="0"/>
              <w:left w:val="single" w:color="auto" w:sz="4" w:space="0"/>
              <w:bottom w:val="single" w:color="auto" w:sz="4" w:space="0"/>
              <w:right w:val="single" w:color="auto" w:sz="4" w:space="0"/>
            </w:tcBorders>
            <w:noWrap w:val="0"/>
            <w:vAlign w:val="center"/>
          </w:tcPr>
          <w:p>
            <w:pPr>
              <w:pStyle w:val="43"/>
              <w:spacing w:before="156" w:line="360" w:lineRule="exact"/>
              <w:ind w:left="0" w:leftChars="-60" w:hanging="126" w:hangingChars="57"/>
              <w:jc w:val="center"/>
              <w:rPr>
                <w:rFonts w:ascii="宋体" w:hAnsi="宋体" w:cs="宋体"/>
                <w:b/>
                <w:sz w:val="22"/>
                <w:szCs w:val="22"/>
              </w:rPr>
            </w:pPr>
            <w:r>
              <w:rPr>
                <w:rFonts w:hint="eastAsia" w:ascii="宋体" w:hAnsi="宋体" w:cs="宋体"/>
                <w:b/>
                <w:sz w:val="22"/>
                <w:szCs w:val="22"/>
              </w:rPr>
              <w:t>内容</w:t>
            </w:r>
          </w:p>
        </w:tc>
        <w:tc>
          <w:tcPr>
            <w:tcW w:w="1724" w:type="pct"/>
            <w:tcBorders>
              <w:top w:val="single" w:color="auto" w:sz="4" w:space="0"/>
              <w:left w:val="single" w:color="auto" w:sz="4" w:space="0"/>
              <w:bottom w:val="single" w:color="auto" w:sz="4" w:space="0"/>
              <w:right w:val="single" w:color="auto" w:sz="4" w:space="0"/>
            </w:tcBorders>
            <w:noWrap w:val="0"/>
            <w:vAlign w:val="center"/>
          </w:tcPr>
          <w:p>
            <w:pPr>
              <w:pStyle w:val="43"/>
              <w:spacing w:before="156" w:line="360" w:lineRule="exact"/>
              <w:ind w:left="0" w:leftChars="-60" w:hanging="126" w:hangingChars="57"/>
              <w:jc w:val="center"/>
              <w:rPr>
                <w:rFonts w:ascii="宋体" w:hAnsi="宋体" w:cs="宋体"/>
                <w:b/>
                <w:sz w:val="22"/>
                <w:szCs w:val="22"/>
              </w:rPr>
            </w:pPr>
            <w:r>
              <w:rPr>
                <w:rFonts w:hint="eastAsia" w:ascii="宋体" w:hAnsi="宋体" w:cs="宋体"/>
                <w:b/>
                <w:sz w:val="22"/>
                <w:szCs w:val="22"/>
              </w:rPr>
              <w:t>违约处理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1" w:type="pct"/>
            <w:tcBorders>
              <w:top w:val="single" w:color="auto" w:sz="4" w:space="0"/>
              <w:left w:val="single" w:color="auto" w:sz="4" w:space="0"/>
              <w:right w:val="single" w:color="auto" w:sz="4" w:space="0"/>
            </w:tcBorders>
            <w:noWrap w:val="0"/>
            <w:vAlign w:val="center"/>
          </w:tcPr>
          <w:p>
            <w:pPr>
              <w:pStyle w:val="43"/>
              <w:spacing w:line="360" w:lineRule="exact"/>
              <w:jc w:val="center"/>
              <w:rPr>
                <w:rFonts w:ascii="宋体" w:hAnsi="宋体" w:cs="宋体"/>
                <w:sz w:val="22"/>
                <w:szCs w:val="22"/>
              </w:rPr>
            </w:pPr>
            <w:r>
              <w:rPr>
                <w:rFonts w:hint="eastAsia" w:ascii="宋体" w:hAnsi="宋体" w:cs="宋体"/>
                <w:sz w:val="22"/>
                <w:szCs w:val="22"/>
              </w:rPr>
              <w:t>1</w:t>
            </w:r>
          </w:p>
        </w:tc>
        <w:tc>
          <w:tcPr>
            <w:tcW w:w="824" w:type="pct"/>
            <w:vMerge w:val="restart"/>
            <w:tcBorders>
              <w:top w:val="single" w:color="auto" w:sz="4" w:space="0"/>
              <w:left w:val="single" w:color="auto" w:sz="4" w:space="0"/>
              <w:right w:val="single" w:color="auto" w:sz="4" w:space="0"/>
            </w:tcBorders>
            <w:noWrap w:val="0"/>
            <w:vAlign w:val="center"/>
          </w:tcPr>
          <w:p>
            <w:pPr>
              <w:pStyle w:val="43"/>
              <w:spacing w:before="120" w:line="360" w:lineRule="exact"/>
              <w:ind w:firstLine="28"/>
              <w:jc w:val="center"/>
              <w:rPr>
                <w:rFonts w:ascii="宋体" w:hAnsi="宋体" w:cs="宋体"/>
                <w:sz w:val="22"/>
                <w:szCs w:val="22"/>
              </w:rPr>
            </w:pPr>
            <w:r>
              <w:rPr>
                <w:rFonts w:hint="eastAsia" w:ascii="宋体" w:hAnsi="宋体" w:cs="宋体"/>
                <w:sz w:val="22"/>
                <w:szCs w:val="22"/>
              </w:rPr>
              <w:t>工程质量</w:t>
            </w:r>
          </w:p>
        </w:tc>
        <w:tc>
          <w:tcPr>
            <w:tcW w:w="2020" w:type="pct"/>
            <w:tcBorders>
              <w:top w:val="single" w:color="auto" w:sz="4" w:space="0"/>
              <w:left w:val="single" w:color="auto" w:sz="4" w:space="0"/>
              <w:right w:val="single" w:color="auto" w:sz="4" w:space="0"/>
            </w:tcBorders>
            <w:noWrap w:val="0"/>
            <w:vAlign w:val="center"/>
          </w:tcPr>
          <w:p>
            <w:pPr>
              <w:pStyle w:val="43"/>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若因监理单位未能及时发现施工单位没有按图施工而造成发包方损失</w:t>
            </w:r>
          </w:p>
        </w:tc>
        <w:tc>
          <w:tcPr>
            <w:tcW w:w="1724" w:type="pct"/>
            <w:tcBorders>
              <w:top w:val="single" w:color="auto" w:sz="4" w:space="0"/>
              <w:left w:val="single" w:color="auto" w:sz="4" w:space="0"/>
              <w:right w:val="single" w:color="auto" w:sz="4" w:space="0"/>
            </w:tcBorders>
            <w:noWrap w:val="0"/>
            <w:vAlign w:val="center"/>
          </w:tcPr>
          <w:p>
            <w:pPr>
              <w:pStyle w:val="43"/>
              <w:spacing w:before="120" w:line="360" w:lineRule="exact"/>
              <w:rPr>
                <w:rFonts w:ascii="宋体" w:hAnsi="宋体" w:cs="宋体"/>
                <w:kern w:val="0"/>
                <w:sz w:val="22"/>
                <w:szCs w:val="22"/>
              </w:rPr>
            </w:pPr>
            <w:r>
              <w:rPr>
                <w:rFonts w:hint="eastAsia" w:ascii="宋体" w:hAnsi="宋体" w:cs="宋体"/>
                <w:kern w:val="0"/>
                <w:sz w:val="22"/>
                <w:szCs w:val="22"/>
              </w:rPr>
              <w:t>按工程直接损失额×1.5％扣除监理费用，但累计不超过监理合同总额20%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 w:type="pct"/>
            <w:tcBorders>
              <w:top w:val="single" w:color="auto" w:sz="4" w:space="0"/>
              <w:left w:val="single" w:color="auto" w:sz="4" w:space="0"/>
              <w:right w:val="single" w:color="auto" w:sz="4" w:space="0"/>
            </w:tcBorders>
            <w:noWrap w:val="0"/>
            <w:vAlign w:val="center"/>
          </w:tcPr>
          <w:p>
            <w:pPr>
              <w:pStyle w:val="43"/>
              <w:spacing w:line="360" w:lineRule="exact"/>
              <w:jc w:val="center"/>
              <w:rPr>
                <w:rFonts w:ascii="宋体" w:hAnsi="宋体" w:cs="宋体"/>
                <w:sz w:val="22"/>
                <w:szCs w:val="22"/>
              </w:rPr>
            </w:pPr>
            <w:r>
              <w:rPr>
                <w:rFonts w:hint="eastAsia" w:ascii="宋体" w:hAnsi="宋体" w:cs="宋体"/>
                <w:sz w:val="22"/>
                <w:szCs w:val="22"/>
              </w:rPr>
              <w:t>2</w:t>
            </w:r>
          </w:p>
        </w:tc>
        <w:tc>
          <w:tcPr>
            <w:tcW w:w="824" w:type="pct"/>
            <w:vMerge w:val="continue"/>
            <w:tcBorders>
              <w:left w:val="single" w:color="auto" w:sz="4" w:space="0"/>
              <w:right w:val="single" w:color="auto" w:sz="4" w:space="0"/>
            </w:tcBorders>
            <w:noWrap w:val="0"/>
            <w:vAlign w:val="center"/>
          </w:tcPr>
          <w:p>
            <w:pPr>
              <w:pStyle w:val="43"/>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top"/>
          </w:tcPr>
          <w:p>
            <w:pPr>
              <w:pStyle w:val="43"/>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材料（设备）进场未验收就使用（安装）、或使用不合格材料</w:t>
            </w:r>
          </w:p>
        </w:tc>
        <w:tc>
          <w:tcPr>
            <w:tcW w:w="1724" w:type="pct"/>
            <w:tcBorders>
              <w:top w:val="single" w:color="auto" w:sz="4" w:space="0"/>
              <w:left w:val="single" w:color="auto" w:sz="4" w:space="0"/>
              <w:right w:val="single" w:color="auto" w:sz="4" w:space="0"/>
            </w:tcBorders>
            <w:noWrap w:val="0"/>
            <w:vAlign w:val="top"/>
          </w:tcPr>
          <w:p>
            <w:pPr>
              <w:pStyle w:val="43"/>
              <w:spacing w:before="120" w:line="360" w:lineRule="exact"/>
              <w:rPr>
                <w:rFonts w:ascii="宋体" w:hAnsi="宋体" w:cs="宋体"/>
                <w:kern w:val="0"/>
                <w:sz w:val="22"/>
                <w:szCs w:val="22"/>
              </w:rPr>
            </w:pPr>
            <w:r>
              <w:rPr>
                <w:rFonts w:hint="eastAsia" w:ascii="宋体" w:hAnsi="宋体" w:cs="宋体"/>
                <w:kern w:val="0"/>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 w:type="pct"/>
            <w:tcBorders>
              <w:top w:val="single" w:color="auto" w:sz="4" w:space="0"/>
              <w:left w:val="single" w:color="auto" w:sz="4" w:space="0"/>
              <w:right w:val="single" w:color="auto" w:sz="4" w:space="0"/>
            </w:tcBorders>
            <w:noWrap w:val="0"/>
            <w:vAlign w:val="center"/>
          </w:tcPr>
          <w:p>
            <w:pPr>
              <w:pStyle w:val="43"/>
              <w:spacing w:line="360" w:lineRule="exact"/>
              <w:jc w:val="center"/>
              <w:rPr>
                <w:rFonts w:ascii="宋体" w:hAnsi="宋体" w:cs="宋体"/>
                <w:sz w:val="22"/>
                <w:szCs w:val="22"/>
              </w:rPr>
            </w:pPr>
            <w:r>
              <w:rPr>
                <w:rFonts w:hint="eastAsia" w:ascii="宋体" w:hAnsi="宋体" w:cs="宋体"/>
                <w:sz w:val="22"/>
                <w:szCs w:val="22"/>
              </w:rPr>
              <w:t>3</w:t>
            </w:r>
          </w:p>
        </w:tc>
        <w:tc>
          <w:tcPr>
            <w:tcW w:w="824" w:type="pct"/>
            <w:vMerge w:val="continue"/>
            <w:tcBorders>
              <w:left w:val="single" w:color="auto" w:sz="4" w:space="0"/>
              <w:right w:val="single" w:color="auto" w:sz="4" w:space="0"/>
            </w:tcBorders>
            <w:noWrap w:val="0"/>
            <w:vAlign w:val="center"/>
          </w:tcPr>
          <w:p>
            <w:pPr>
              <w:pStyle w:val="43"/>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top"/>
          </w:tcPr>
          <w:p>
            <w:pPr>
              <w:pStyle w:val="43"/>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工序已验收但仍存在问题</w:t>
            </w:r>
          </w:p>
        </w:tc>
        <w:tc>
          <w:tcPr>
            <w:tcW w:w="1724" w:type="pct"/>
            <w:tcBorders>
              <w:top w:val="single" w:color="auto" w:sz="4" w:space="0"/>
              <w:left w:val="single" w:color="auto" w:sz="4" w:space="0"/>
              <w:right w:val="single" w:color="auto" w:sz="4" w:space="0"/>
            </w:tcBorders>
            <w:noWrap w:val="0"/>
            <w:vAlign w:val="top"/>
          </w:tcPr>
          <w:p>
            <w:pPr>
              <w:pStyle w:val="43"/>
              <w:spacing w:before="120" w:line="360" w:lineRule="exact"/>
              <w:rPr>
                <w:rFonts w:ascii="宋体" w:hAnsi="宋体" w:cs="宋体"/>
                <w:kern w:val="0"/>
                <w:sz w:val="22"/>
                <w:szCs w:val="22"/>
              </w:rPr>
            </w:pPr>
            <w:r>
              <w:rPr>
                <w:rFonts w:hint="eastAsia" w:ascii="宋体" w:hAnsi="宋体" w:cs="宋体"/>
                <w:kern w:val="0"/>
                <w:sz w:val="22"/>
                <w:szCs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 w:type="pct"/>
            <w:tcBorders>
              <w:top w:val="single" w:color="auto" w:sz="4" w:space="0"/>
              <w:left w:val="single" w:color="auto" w:sz="4" w:space="0"/>
              <w:right w:val="single" w:color="auto" w:sz="4" w:space="0"/>
            </w:tcBorders>
            <w:noWrap w:val="0"/>
            <w:vAlign w:val="center"/>
          </w:tcPr>
          <w:p>
            <w:pPr>
              <w:pStyle w:val="43"/>
              <w:spacing w:line="360" w:lineRule="exact"/>
              <w:jc w:val="center"/>
              <w:rPr>
                <w:rFonts w:ascii="宋体" w:hAnsi="宋体" w:cs="宋体"/>
                <w:sz w:val="22"/>
                <w:szCs w:val="22"/>
              </w:rPr>
            </w:pPr>
            <w:r>
              <w:rPr>
                <w:rFonts w:hint="eastAsia" w:ascii="宋体" w:hAnsi="宋体" w:cs="宋体"/>
                <w:sz w:val="22"/>
                <w:szCs w:val="22"/>
              </w:rPr>
              <w:t>4</w:t>
            </w:r>
          </w:p>
        </w:tc>
        <w:tc>
          <w:tcPr>
            <w:tcW w:w="824" w:type="pct"/>
            <w:vMerge w:val="continue"/>
            <w:tcBorders>
              <w:left w:val="single" w:color="auto" w:sz="4" w:space="0"/>
              <w:right w:val="single" w:color="auto" w:sz="4" w:space="0"/>
            </w:tcBorders>
            <w:noWrap w:val="0"/>
            <w:vAlign w:val="center"/>
          </w:tcPr>
          <w:p>
            <w:pPr>
              <w:pStyle w:val="43"/>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top"/>
          </w:tcPr>
          <w:p>
            <w:pPr>
              <w:pStyle w:val="43"/>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关键工序、旁站点等未验收、无旁站</w:t>
            </w:r>
          </w:p>
        </w:tc>
        <w:tc>
          <w:tcPr>
            <w:tcW w:w="1724" w:type="pct"/>
            <w:tcBorders>
              <w:top w:val="single" w:color="auto" w:sz="4" w:space="0"/>
              <w:left w:val="single" w:color="auto" w:sz="4" w:space="0"/>
              <w:right w:val="single" w:color="auto" w:sz="4" w:space="0"/>
            </w:tcBorders>
            <w:noWrap w:val="0"/>
            <w:vAlign w:val="top"/>
          </w:tcPr>
          <w:p>
            <w:pPr>
              <w:pStyle w:val="43"/>
              <w:spacing w:before="120" w:line="360" w:lineRule="exact"/>
              <w:rPr>
                <w:rFonts w:ascii="宋体" w:hAnsi="宋体" w:cs="宋体"/>
                <w:kern w:val="0"/>
                <w:sz w:val="22"/>
                <w:szCs w:val="22"/>
              </w:rPr>
            </w:pPr>
            <w:r>
              <w:rPr>
                <w:rFonts w:hint="eastAsia" w:ascii="宋体" w:hAnsi="宋体" w:cs="宋体"/>
                <w:kern w:val="0"/>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 w:type="pct"/>
            <w:tcBorders>
              <w:top w:val="single" w:color="auto" w:sz="4" w:space="0"/>
              <w:left w:val="single" w:color="auto" w:sz="4" w:space="0"/>
              <w:right w:val="single" w:color="auto" w:sz="4" w:space="0"/>
            </w:tcBorders>
            <w:noWrap w:val="0"/>
            <w:vAlign w:val="center"/>
          </w:tcPr>
          <w:p>
            <w:pPr>
              <w:pStyle w:val="43"/>
              <w:spacing w:line="360" w:lineRule="exact"/>
              <w:jc w:val="center"/>
              <w:rPr>
                <w:rFonts w:ascii="宋体" w:hAnsi="宋体" w:cs="宋体"/>
                <w:sz w:val="22"/>
                <w:szCs w:val="22"/>
              </w:rPr>
            </w:pPr>
            <w:r>
              <w:rPr>
                <w:rFonts w:hint="eastAsia" w:ascii="宋体" w:hAnsi="宋体" w:cs="宋体"/>
                <w:sz w:val="22"/>
                <w:szCs w:val="22"/>
              </w:rPr>
              <w:t>5</w:t>
            </w:r>
          </w:p>
        </w:tc>
        <w:tc>
          <w:tcPr>
            <w:tcW w:w="824" w:type="pct"/>
            <w:vMerge w:val="continue"/>
            <w:tcBorders>
              <w:left w:val="single" w:color="auto" w:sz="4" w:space="0"/>
              <w:right w:val="single" w:color="auto" w:sz="4" w:space="0"/>
            </w:tcBorders>
            <w:noWrap w:val="0"/>
            <w:vAlign w:val="center"/>
          </w:tcPr>
          <w:p>
            <w:pPr>
              <w:pStyle w:val="43"/>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top"/>
          </w:tcPr>
          <w:p>
            <w:pPr>
              <w:pStyle w:val="43"/>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实测实量未按合同及规范要求进行或开展不及时或数据不真实</w:t>
            </w:r>
          </w:p>
        </w:tc>
        <w:tc>
          <w:tcPr>
            <w:tcW w:w="1724" w:type="pct"/>
            <w:tcBorders>
              <w:top w:val="single" w:color="auto" w:sz="4" w:space="0"/>
              <w:left w:val="single" w:color="auto" w:sz="4" w:space="0"/>
              <w:right w:val="single" w:color="auto" w:sz="4" w:space="0"/>
            </w:tcBorders>
            <w:noWrap w:val="0"/>
            <w:vAlign w:val="top"/>
          </w:tcPr>
          <w:p>
            <w:pPr>
              <w:pStyle w:val="43"/>
              <w:spacing w:before="120" w:line="360" w:lineRule="exact"/>
              <w:rPr>
                <w:rFonts w:ascii="宋体" w:hAnsi="宋体" w:cs="宋体"/>
                <w:kern w:val="0"/>
                <w:sz w:val="22"/>
                <w:szCs w:val="22"/>
              </w:rPr>
            </w:pPr>
            <w:r>
              <w:rPr>
                <w:rFonts w:hint="eastAsia" w:ascii="宋体" w:hAnsi="宋体" w:cs="宋体"/>
                <w:kern w:val="0"/>
                <w:sz w:val="22"/>
                <w:szCs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 w:type="pct"/>
            <w:tcBorders>
              <w:top w:val="single" w:color="auto" w:sz="4" w:space="0"/>
              <w:left w:val="single" w:color="auto" w:sz="4" w:space="0"/>
              <w:right w:val="single" w:color="auto" w:sz="4" w:space="0"/>
            </w:tcBorders>
            <w:noWrap w:val="0"/>
            <w:vAlign w:val="center"/>
          </w:tcPr>
          <w:p>
            <w:pPr>
              <w:pStyle w:val="43"/>
              <w:spacing w:line="360" w:lineRule="exact"/>
              <w:jc w:val="center"/>
              <w:rPr>
                <w:rFonts w:ascii="宋体" w:hAnsi="宋体" w:cs="宋体"/>
                <w:sz w:val="22"/>
                <w:szCs w:val="22"/>
              </w:rPr>
            </w:pPr>
            <w:r>
              <w:rPr>
                <w:rFonts w:hint="eastAsia" w:ascii="宋体" w:hAnsi="宋体" w:cs="宋体"/>
                <w:sz w:val="22"/>
                <w:szCs w:val="22"/>
              </w:rPr>
              <w:t>6</w:t>
            </w:r>
          </w:p>
        </w:tc>
        <w:tc>
          <w:tcPr>
            <w:tcW w:w="824" w:type="pct"/>
            <w:vMerge w:val="continue"/>
            <w:tcBorders>
              <w:left w:val="single" w:color="auto" w:sz="4" w:space="0"/>
              <w:right w:val="single" w:color="auto" w:sz="4" w:space="0"/>
            </w:tcBorders>
            <w:noWrap w:val="0"/>
            <w:vAlign w:val="center"/>
          </w:tcPr>
          <w:p>
            <w:pPr>
              <w:pStyle w:val="43"/>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top"/>
          </w:tcPr>
          <w:p>
            <w:pPr>
              <w:pStyle w:val="43"/>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对质量问题、缺陷等整改，督促跟踪不到位</w:t>
            </w:r>
          </w:p>
        </w:tc>
        <w:tc>
          <w:tcPr>
            <w:tcW w:w="1724" w:type="pct"/>
            <w:tcBorders>
              <w:top w:val="single" w:color="auto" w:sz="4" w:space="0"/>
              <w:left w:val="single" w:color="auto" w:sz="4" w:space="0"/>
              <w:right w:val="single" w:color="auto" w:sz="4" w:space="0"/>
            </w:tcBorders>
            <w:noWrap w:val="0"/>
            <w:vAlign w:val="top"/>
          </w:tcPr>
          <w:p>
            <w:pPr>
              <w:pStyle w:val="43"/>
              <w:spacing w:before="120" w:line="360" w:lineRule="exact"/>
              <w:rPr>
                <w:rFonts w:ascii="宋体" w:hAnsi="宋体" w:cs="宋体"/>
                <w:kern w:val="0"/>
                <w:sz w:val="22"/>
                <w:szCs w:val="22"/>
              </w:rPr>
            </w:pPr>
            <w:r>
              <w:rPr>
                <w:rFonts w:hint="eastAsia" w:ascii="宋体" w:hAnsi="宋体" w:cs="宋体"/>
                <w:kern w:val="0"/>
                <w:sz w:val="22"/>
                <w:szCs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 w:type="pct"/>
            <w:tcBorders>
              <w:top w:val="single" w:color="auto" w:sz="4" w:space="0"/>
              <w:left w:val="single" w:color="auto" w:sz="4" w:space="0"/>
              <w:right w:val="single" w:color="auto" w:sz="4" w:space="0"/>
            </w:tcBorders>
            <w:noWrap w:val="0"/>
            <w:vAlign w:val="center"/>
          </w:tcPr>
          <w:p>
            <w:pPr>
              <w:pStyle w:val="43"/>
              <w:spacing w:line="360" w:lineRule="exact"/>
              <w:jc w:val="center"/>
              <w:rPr>
                <w:rFonts w:ascii="宋体" w:hAnsi="宋体" w:cs="宋体"/>
                <w:sz w:val="22"/>
                <w:szCs w:val="22"/>
              </w:rPr>
            </w:pPr>
            <w:r>
              <w:rPr>
                <w:rFonts w:hint="eastAsia" w:ascii="宋体" w:hAnsi="宋体" w:cs="宋体"/>
                <w:sz w:val="22"/>
                <w:szCs w:val="22"/>
              </w:rPr>
              <w:t>7</w:t>
            </w:r>
          </w:p>
        </w:tc>
        <w:tc>
          <w:tcPr>
            <w:tcW w:w="824" w:type="pct"/>
            <w:vMerge w:val="continue"/>
            <w:tcBorders>
              <w:left w:val="single" w:color="auto" w:sz="4" w:space="0"/>
              <w:right w:val="single" w:color="auto" w:sz="4" w:space="0"/>
            </w:tcBorders>
            <w:noWrap w:val="0"/>
            <w:vAlign w:val="center"/>
          </w:tcPr>
          <w:p>
            <w:pPr>
              <w:pStyle w:val="43"/>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top"/>
          </w:tcPr>
          <w:p>
            <w:pPr>
              <w:pStyle w:val="43"/>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除不可抗力因素外，若工程施工过程中发生任何质量事故</w:t>
            </w:r>
          </w:p>
        </w:tc>
        <w:tc>
          <w:tcPr>
            <w:tcW w:w="1724" w:type="pct"/>
            <w:tcBorders>
              <w:top w:val="single" w:color="auto" w:sz="4" w:space="0"/>
              <w:left w:val="single" w:color="auto" w:sz="4" w:space="0"/>
              <w:right w:val="single" w:color="auto" w:sz="4" w:space="0"/>
            </w:tcBorders>
            <w:noWrap w:val="0"/>
            <w:vAlign w:val="top"/>
          </w:tcPr>
          <w:p>
            <w:pPr>
              <w:pStyle w:val="43"/>
              <w:spacing w:before="120" w:line="360" w:lineRule="exact"/>
              <w:rPr>
                <w:rFonts w:ascii="宋体" w:hAnsi="宋体" w:cs="宋体"/>
                <w:kern w:val="0"/>
                <w:sz w:val="22"/>
                <w:szCs w:val="22"/>
              </w:rPr>
            </w:pPr>
            <w:r>
              <w:rPr>
                <w:rFonts w:hint="eastAsia" w:ascii="宋体" w:hAnsi="宋体" w:cs="宋体"/>
                <w:kern w:val="0"/>
                <w:sz w:val="22"/>
                <w:szCs w:val="22"/>
              </w:rPr>
              <w:t>每次将扣除监理合同总额的0.5％-5％，累计不超过监理合同总额的20％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 w:type="pct"/>
            <w:tcBorders>
              <w:top w:val="single" w:color="auto" w:sz="4" w:space="0"/>
              <w:left w:val="single" w:color="auto" w:sz="4" w:space="0"/>
              <w:right w:val="single" w:color="auto" w:sz="4" w:space="0"/>
            </w:tcBorders>
            <w:noWrap w:val="0"/>
            <w:vAlign w:val="center"/>
          </w:tcPr>
          <w:p>
            <w:pPr>
              <w:pStyle w:val="43"/>
              <w:spacing w:line="360" w:lineRule="exact"/>
              <w:jc w:val="center"/>
              <w:rPr>
                <w:rFonts w:ascii="宋体" w:hAnsi="宋体" w:cs="宋体"/>
                <w:sz w:val="22"/>
                <w:szCs w:val="22"/>
              </w:rPr>
            </w:pPr>
            <w:r>
              <w:rPr>
                <w:rFonts w:hint="eastAsia" w:ascii="宋体" w:hAnsi="宋体" w:cs="宋体"/>
                <w:sz w:val="22"/>
                <w:szCs w:val="22"/>
              </w:rPr>
              <w:t>8</w:t>
            </w:r>
          </w:p>
        </w:tc>
        <w:tc>
          <w:tcPr>
            <w:tcW w:w="824" w:type="pct"/>
            <w:vMerge w:val="continue"/>
            <w:tcBorders>
              <w:left w:val="single" w:color="auto" w:sz="4" w:space="0"/>
              <w:right w:val="single" w:color="auto" w:sz="4" w:space="0"/>
            </w:tcBorders>
            <w:noWrap w:val="0"/>
            <w:vAlign w:val="center"/>
          </w:tcPr>
          <w:p>
            <w:pPr>
              <w:pStyle w:val="43"/>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center"/>
          </w:tcPr>
          <w:p>
            <w:pPr>
              <w:pStyle w:val="43"/>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除不可抗力因素外，若工程施工过程中发生任何安全事故</w:t>
            </w:r>
          </w:p>
        </w:tc>
        <w:tc>
          <w:tcPr>
            <w:tcW w:w="1724" w:type="pct"/>
            <w:tcBorders>
              <w:top w:val="single" w:color="auto" w:sz="4" w:space="0"/>
              <w:left w:val="single" w:color="auto" w:sz="4" w:space="0"/>
              <w:right w:val="single" w:color="auto" w:sz="4" w:space="0"/>
            </w:tcBorders>
            <w:noWrap w:val="0"/>
            <w:vAlign w:val="center"/>
          </w:tcPr>
          <w:p>
            <w:pPr>
              <w:pStyle w:val="43"/>
              <w:tabs>
                <w:tab w:val="left" w:pos="567"/>
                <w:tab w:val="left" w:pos="851"/>
              </w:tabs>
              <w:spacing w:before="120" w:line="360" w:lineRule="exact"/>
              <w:rPr>
                <w:rFonts w:ascii="宋体" w:hAnsi="宋体" w:cs="宋体"/>
                <w:kern w:val="0"/>
                <w:sz w:val="22"/>
                <w:szCs w:val="22"/>
              </w:rPr>
            </w:pPr>
            <w:r>
              <w:rPr>
                <w:rFonts w:hint="eastAsia" w:ascii="宋体" w:hAnsi="宋体" w:cs="宋体"/>
                <w:kern w:val="0"/>
                <w:sz w:val="22"/>
                <w:szCs w:val="22"/>
              </w:rPr>
              <w:t>每次将扣除监理合同总额的0.5％-5％，累计不超过监理合同总额的20％。若出现人员死亡事故，根据事故责任认定，每人每次罚款1~2万元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1" w:type="pct"/>
            <w:tcBorders>
              <w:top w:val="single" w:color="auto" w:sz="4" w:space="0"/>
              <w:left w:val="single" w:color="auto" w:sz="4" w:space="0"/>
              <w:right w:val="single" w:color="auto" w:sz="4" w:space="0"/>
            </w:tcBorders>
            <w:noWrap w:val="0"/>
            <w:vAlign w:val="center"/>
          </w:tcPr>
          <w:p>
            <w:pPr>
              <w:pStyle w:val="43"/>
              <w:spacing w:line="360" w:lineRule="exact"/>
              <w:jc w:val="center"/>
              <w:rPr>
                <w:rFonts w:ascii="宋体" w:hAnsi="宋体" w:cs="宋体"/>
                <w:sz w:val="22"/>
                <w:szCs w:val="22"/>
              </w:rPr>
            </w:pPr>
            <w:r>
              <w:rPr>
                <w:rFonts w:hint="eastAsia" w:ascii="宋体" w:hAnsi="宋体" w:cs="宋体"/>
                <w:sz w:val="22"/>
                <w:szCs w:val="22"/>
              </w:rPr>
              <w:t>9</w:t>
            </w:r>
          </w:p>
        </w:tc>
        <w:tc>
          <w:tcPr>
            <w:tcW w:w="824" w:type="pct"/>
            <w:vMerge w:val="continue"/>
            <w:tcBorders>
              <w:left w:val="single" w:color="auto" w:sz="4" w:space="0"/>
              <w:right w:val="single" w:color="auto" w:sz="4" w:space="0"/>
            </w:tcBorders>
            <w:noWrap w:val="0"/>
            <w:vAlign w:val="center"/>
          </w:tcPr>
          <w:p>
            <w:pPr>
              <w:pStyle w:val="43"/>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center"/>
          </w:tcPr>
          <w:p>
            <w:pPr>
              <w:pStyle w:val="43"/>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施工期间由于施工单位违反安全操作规范，而监理单位未能及时提出防范措施，被政府有关部门处罚（如通报批评、警告、罚款或媒体披露等）</w:t>
            </w:r>
          </w:p>
        </w:tc>
        <w:tc>
          <w:tcPr>
            <w:tcW w:w="1724" w:type="pct"/>
            <w:tcBorders>
              <w:top w:val="single" w:color="auto" w:sz="4" w:space="0"/>
              <w:left w:val="single" w:color="auto" w:sz="4" w:space="0"/>
              <w:right w:val="single" w:color="auto" w:sz="4" w:space="0"/>
            </w:tcBorders>
            <w:noWrap w:val="0"/>
            <w:vAlign w:val="center"/>
          </w:tcPr>
          <w:p>
            <w:pPr>
              <w:pStyle w:val="43"/>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1000~5000元/次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31" w:type="pct"/>
            <w:tcBorders>
              <w:left w:val="single" w:color="auto" w:sz="4" w:space="0"/>
              <w:right w:val="single" w:color="auto" w:sz="4" w:space="0"/>
            </w:tcBorders>
            <w:noWrap w:val="0"/>
            <w:vAlign w:val="center"/>
          </w:tcPr>
          <w:p>
            <w:pPr>
              <w:pStyle w:val="43"/>
              <w:spacing w:line="360" w:lineRule="exact"/>
              <w:jc w:val="center"/>
              <w:rPr>
                <w:rFonts w:ascii="宋体" w:hAnsi="宋体" w:cs="宋体"/>
                <w:sz w:val="22"/>
                <w:szCs w:val="22"/>
              </w:rPr>
            </w:pPr>
            <w:r>
              <w:rPr>
                <w:rFonts w:hint="eastAsia" w:ascii="宋体" w:hAnsi="宋体" w:cs="宋体"/>
                <w:sz w:val="22"/>
                <w:szCs w:val="22"/>
              </w:rPr>
              <w:t>10</w:t>
            </w:r>
          </w:p>
        </w:tc>
        <w:tc>
          <w:tcPr>
            <w:tcW w:w="824" w:type="pct"/>
            <w:vMerge w:val="continue"/>
            <w:tcBorders>
              <w:left w:val="single" w:color="auto" w:sz="4" w:space="0"/>
              <w:right w:val="single" w:color="auto" w:sz="4" w:space="0"/>
            </w:tcBorders>
            <w:noWrap w:val="0"/>
            <w:vAlign w:val="center"/>
          </w:tcPr>
          <w:p>
            <w:pPr>
              <w:pStyle w:val="43"/>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center"/>
          </w:tcPr>
          <w:p>
            <w:pPr>
              <w:pStyle w:val="43"/>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现场监理人员应按合同要求配置到位，若监理单位未经发包方批准，对监理人员安排擅自调整，或监理人员擅自离岗</w:t>
            </w:r>
          </w:p>
        </w:tc>
        <w:tc>
          <w:tcPr>
            <w:tcW w:w="1724" w:type="pct"/>
            <w:tcBorders>
              <w:left w:val="single" w:color="auto" w:sz="4" w:space="0"/>
              <w:right w:val="single" w:color="auto" w:sz="4" w:space="0"/>
            </w:tcBorders>
            <w:noWrap w:val="0"/>
            <w:vAlign w:val="center"/>
          </w:tcPr>
          <w:p>
            <w:pPr>
              <w:pStyle w:val="43"/>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总监1000元/天·人，其他人员500元/天·人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431" w:type="pct"/>
            <w:tcBorders>
              <w:top w:val="single" w:color="auto" w:sz="4" w:space="0"/>
              <w:left w:val="single" w:color="auto" w:sz="4" w:space="0"/>
              <w:right w:val="single" w:color="auto" w:sz="4" w:space="0"/>
            </w:tcBorders>
            <w:noWrap w:val="0"/>
            <w:vAlign w:val="center"/>
          </w:tcPr>
          <w:p>
            <w:pPr>
              <w:pStyle w:val="43"/>
              <w:spacing w:line="360" w:lineRule="exact"/>
              <w:jc w:val="center"/>
              <w:rPr>
                <w:rFonts w:ascii="宋体" w:hAnsi="宋体" w:cs="宋体"/>
                <w:sz w:val="22"/>
                <w:szCs w:val="22"/>
              </w:rPr>
            </w:pPr>
            <w:r>
              <w:rPr>
                <w:rFonts w:hint="eastAsia" w:ascii="宋体" w:hAnsi="宋体" w:cs="宋体"/>
                <w:sz w:val="22"/>
                <w:szCs w:val="22"/>
              </w:rPr>
              <w:t>11</w:t>
            </w:r>
          </w:p>
        </w:tc>
        <w:tc>
          <w:tcPr>
            <w:tcW w:w="824" w:type="pct"/>
            <w:vMerge w:val="restart"/>
            <w:tcBorders>
              <w:top w:val="single" w:color="auto" w:sz="4" w:space="0"/>
              <w:left w:val="single" w:color="auto" w:sz="4" w:space="0"/>
              <w:right w:val="single" w:color="auto" w:sz="4" w:space="0"/>
            </w:tcBorders>
            <w:noWrap w:val="0"/>
            <w:vAlign w:val="center"/>
          </w:tcPr>
          <w:p>
            <w:pPr>
              <w:pStyle w:val="43"/>
              <w:spacing w:before="120" w:line="360" w:lineRule="exact"/>
              <w:ind w:firstLine="28"/>
              <w:jc w:val="left"/>
              <w:rPr>
                <w:rFonts w:ascii="宋体" w:hAnsi="宋体" w:cs="宋体"/>
                <w:sz w:val="22"/>
                <w:szCs w:val="22"/>
              </w:rPr>
            </w:pPr>
            <w:r>
              <w:rPr>
                <w:rFonts w:hint="eastAsia" w:ascii="宋体" w:hAnsi="宋体" w:cs="宋体"/>
                <w:sz w:val="22"/>
                <w:szCs w:val="22"/>
              </w:rPr>
              <w:t>人员及其他</w:t>
            </w:r>
          </w:p>
        </w:tc>
        <w:tc>
          <w:tcPr>
            <w:tcW w:w="2020" w:type="pct"/>
            <w:tcBorders>
              <w:top w:val="single" w:color="auto" w:sz="4" w:space="0"/>
              <w:left w:val="single" w:color="auto" w:sz="4" w:space="0"/>
              <w:bottom w:val="single" w:color="auto" w:sz="4" w:space="0"/>
              <w:right w:val="single" w:color="auto" w:sz="4" w:space="0"/>
            </w:tcBorders>
            <w:noWrap w:val="0"/>
            <w:vAlign w:val="center"/>
          </w:tcPr>
          <w:p>
            <w:pPr>
              <w:pStyle w:val="43"/>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未经发包方书面同意，监理单位不得随意更换监理人员</w:t>
            </w:r>
          </w:p>
        </w:tc>
        <w:tc>
          <w:tcPr>
            <w:tcW w:w="1724" w:type="pct"/>
            <w:tcBorders>
              <w:top w:val="single" w:color="auto" w:sz="4" w:space="0"/>
              <w:left w:val="single" w:color="auto" w:sz="4" w:space="0"/>
              <w:right w:val="single" w:color="auto" w:sz="4" w:space="0"/>
            </w:tcBorders>
            <w:noWrap w:val="0"/>
            <w:vAlign w:val="center"/>
          </w:tcPr>
          <w:p>
            <w:pPr>
              <w:pStyle w:val="43"/>
              <w:spacing w:before="120" w:line="360" w:lineRule="exact"/>
              <w:rPr>
                <w:rFonts w:hint="eastAsia" w:ascii="宋体" w:hAnsi="宋体" w:cs="宋体"/>
                <w:kern w:val="0"/>
                <w:sz w:val="22"/>
                <w:szCs w:val="22"/>
              </w:rPr>
            </w:pPr>
            <w:r>
              <w:rPr>
                <w:rFonts w:hint="eastAsia"/>
                <w:szCs w:val="21"/>
              </w:rPr>
              <w:t>如确需更换，需经采购人审批同意，且替补人员资质不得低于被替换人员，并根据更换人员级别按以下</w:t>
            </w:r>
            <w:r>
              <w:rPr>
                <w:szCs w:val="21"/>
              </w:rPr>
              <w:t>金额处罚：总监10000元、注册监理工程师8000元，专业监理工程师5000元、监理员2000元</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431" w:type="pct"/>
            <w:tcBorders>
              <w:left w:val="single" w:color="auto" w:sz="4" w:space="0"/>
              <w:right w:val="single" w:color="auto" w:sz="4" w:space="0"/>
            </w:tcBorders>
            <w:noWrap w:val="0"/>
            <w:vAlign w:val="center"/>
          </w:tcPr>
          <w:p>
            <w:pPr>
              <w:pStyle w:val="43"/>
              <w:spacing w:line="360" w:lineRule="exact"/>
              <w:jc w:val="center"/>
              <w:rPr>
                <w:rFonts w:ascii="宋体" w:hAnsi="宋体" w:cs="宋体"/>
                <w:sz w:val="22"/>
                <w:szCs w:val="22"/>
              </w:rPr>
            </w:pPr>
            <w:r>
              <w:rPr>
                <w:rFonts w:hint="eastAsia" w:ascii="宋体" w:hAnsi="宋体" w:cs="宋体"/>
                <w:sz w:val="22"/>
                <w:szCs w:val="22"/>
              </w:rPr>
              <w:t>12</w:t>
            </w:r>
          </w:p>
        </w:tc>
        <w:tc>
          <w:tcPr>
            <w:tcW w:w="824" w:type="pct"/>
            <w:vMerge w:val="continue"/>
            <w:tcBorders>
              <w:left w:val="single" w:color="auto" w:sz="4" w:space="0"/>
              <w:right w:val="single" w:color="auto" w:sz="4" w:space="0"/>
            </w:tcBorders>
            <w:noWrap w:val="0"/>
            <w:vAlign w:val="center"/>
          </w:tcPr>
          <w:p>
            <w:pPr>
              <w:pStyle w:val="43"/>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center"/>
          </w:tcPr>
          <w:p>
            <w:pPr>
              <w:pStyle w:val="43"/>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如监理人员出现“吃、拿、卡、拖”等渎职行为</w:t>
            </w:r>
          </w:p>
        </w:tc>
        <w:tc>
          <w:tcPr>
            <w:tcW w:w="1724" w:type="pct"/>
            <w:tcBorders>
              <w:left w:val="single" w:color="auto" w:sz="4" w:space="0"/>
              <w:right w:val="single" w:color="auto" w:sz="4" w:space="0"/>
            </w:tcBorders>
            <w:noWrap w:val="0"/>
            <w:vAlign w:val="center"/>
          </w:tcPr>
          <w:p>
            <w:pPr>
              <w:pStyle w:val="43"/>
              <w:spacing w:line="360" w:lineRule="exact"/>
              <w:rPr>
                <w:rFonts w:ascii="宋体" w:hAnsi="宋体" w:cs="宋体"/>
                <w:kern w:val="0"/>
                <w:sz w:val="22"/>
                <w:szCs w:val="22"/>
              </w:rPr>
            </w:pPr>
            <w:r>
              <w:rPr>
                <w:rFonts w:hint="eastAsia" w:ascii="宋体" w:hAnsi="宋体" w:cs="宋体"/>
                <w:kern w:val="0"/>
                <w:sz w:val="22"/>
                <w:szCs w:val="22"/>
              </w:rPr>
              <w:t>12.1出现一次，发包方扣除违约金5000元，要求监理单位立即更换相关监理人员</w:t>
            </w:r>
          </w:p>
          <w:p>
            <w:pPr>
              <w:pStyle w:val="43"/>
              <w:spacing w:line="360" w:lineRule="exact"/>
              <w:rPr>
                <w:rFonts w:ascii="宋体" w:hAnsi="宋体" w:cs="宋体"/>
                <w:kern w:val="0"/>
                <w:sz w:val="22"/>
                <w:szCs w:val="22"/>
              </w:rPr>
            </w:pPr>
            <w:r>
              <w:rPr>
                <w:rFonts w:hint="eastAsia" w:ascii="宋体" w:hAnsi="宋体" w:cs="宋体"/>
                <w:kern w:val="0"/>
                <w:sz w:val="22"/>
                <w:szCs w:val="22"/>
              </w:rPr>
              <w:t>12.2出现第二次，罚款1万元，要求监理单位更换相关监理人员并追究总监理工程师的相应责任</w:t>
            </w:r>
          </w:p>
          <w:p>
            <w:pPr>
              <w:pStyle w:val="43"/>
              <w:spacing w:line="360" w:lineRule="exact"/>
              <w:rPr>
                <w:rFonts w:ascii="宋体" w:hAnsi="宋体" w:cs="宋体"/>
                <w:kern w:val="0"/>
                <w:sz w:val="22"/>
                <w:szCs w:val="22"/>
              </w:rPr>
            </w:pPr>
            <w:r>
              <w:rPr>
                <w:rFonts w:hint="eastAsia" w:ascii="宋体" w:hAnsi="宋体" w:cs="宋体"/>
                <w:kern w:val="0"/>
                <w:sz w:val="22"/>
                <w:szCs w:val="22"/>
              </w:rPr>
              <w:t>12.3出现三次以上，视为监理单位重大违约，发包方有权解除监理合同，并按合同约定追究监理单位违约责任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431" w:type="pct"/>
            <w:tcBorders>
              <w:left w:val="single" w:color="auto" w:sz="4" w:space="0"/>
              <w:right w:val="single" w:color="auto" w:sz="4" w:space="0"/>
            </w:tcBorders>
            <w:noWrap w:val="0"/>
            <w:vAlign w:val="center"/>
          </w:tcPr>
          <w:p>
            <w:pPr>
              <w:pStyle w:val="43"/>
              <w:spacing w:line="360" w:lineRule="exact"/>
              <w:jc w:val="center"/>
              <w:rPr>
                <w:rFonts w:ascii="宋体" w:hAnsi="宋体" w:cs="宋体"/>
                <w:sz w:val="22"/>
                <w:szCs w:val="22"/>
              </w:rPr>
            </w:pPr>
            <w:r>
              <w:rPr>
                <w:rFonts w:hint="eastAsia" w:ascii="宋体" w:hAnsi="宋体" w:cs="宋体"/>
                <w:sz w:val="22"/>
                <w:szCs w:val="22"/>
              </w:rPr>
              <w:t>13</w:t>
            </w:r>
          </w:p>
        </w:tc>
        <w:tc>
          <w:tcPr>
            <w:tcW w:w="824" w:type="pct"/>
            <w:vMerge w:val="continue"/>
            <w:tcBorders>
              <w:left w:val="single" w:color="auto" w:sz="4" w:space="0"/>
              <w:right w:val="single" w:color="auto" w:sz="4" w:space="0"/>
            </w:tcBorders>
            <w:noWrap w:val="0"/>
            <w:vAlign w:val="center"/>
          </w:tcPr>
          <w:p>
            <w:pPr>
              <w:pStyle w:val="43"/>
              <w:spacing w:before="120" w:line="360" w:lineRule="exact"/>
              <w:jc w:val="center"/>
              <w:rPr>
                <w:rFonts w:ascii="宋体" w:hAnsi="宋体" w:cs="宋体"/>
                <w:sz w:val="22"/>
                <w:szCs w:val="22"/>
              </w:rPr>
            </w:pPr>
          </w:p>
        </w:tc>
        <w:tc>
          <w:tcPr>
            <w:tcW w:w="2020" w:type="pct"/>
            <w:tcBorders>
              <w:top w:val="single" w:color="auto" w:sz="4" w:space="0"/>
              <w:left w:val="single" w:color="auto" w:sz="4" w:space="0"/>
              <w:bottom w:val="single" w:color="auto" w:sz="4" w:space="0"/>
              <w:right w:val="single" w:color="auto" w:sz="4" w:space="0"/>
            </w:tcBorders>
            <w:noWrap w:val="0"/>
            <w:vAlign w:val="center"/>
          </w:tcPr>
          <w:p>
            <w:pPr>
              <w:pStyle w:val="43"/>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监理单位因自身原因未能按时提供文件成果</w:t>
            </w:r>
          </w:p>
        </w:tc>
        <w:tc>
          <w:tcPr>
            <w:tcW w:w="1724" w:type="pct"/>
            <w:tcBorders>
              <w:left w:val="single" w:color="auto" w:sz="4" w:space="0"/>
              <w:right w:val="single" w:color="auto" w:sz="4" w:space="0"/>
            </w:tcBorders>
            <w:noWrap w:val="0"/>
            <w:vAlign w:val="center"/>
          </w:tcPr>
          <w:p>
            <w:pPr>
              <w:pStyle w:val="43"/>
              <w:autoSpaceDE w:val="0"/>
              <w:autoSpaceDN w:val="0"/>
              <w:adjustRightInd w:val="0"/>
              <w:spacing w:before="120" w:line="360" w:lineRule="exact"/>
              <w:jc w:val="left"/>
              <w:rPr>
                <w:rFonts w:ascii="宋体" w:hAnsi="宋体" w:cs="宋体"/>
                <w:kern w:val="0"/>
                <w:sz w:val="22"/>
                <w:szCs w:val="22"/>
              </w:rPr>
            </w:pPr>
            <w:r>
              <w:rPr>
                <w:rFonts w:hint="eastAsia" w:ascii="宋体" w:hAnsi="宋体" w:cs="宋体"/>
                <w:kern w:val="0"/>
                <w:sz w:val="22"/>
                <w:szCs w:val="22"/>
              </w:rPr>
              <w:t>每逾期一天，1000元/天</w:t>
            </w:r>
          </w:p>
        </w:tc>
      </w:tr>
    </w:tbl>
    <w:p>
      <w:pPr>
        <w:pStyle w:val="42"/>
        <w:numPr>
          <w:ilvl w:val="0"/>
          <w:numId w:val="0"/>
        </w:numPr>
        <w:tabs>
          <w:tab w:val="left" w:pos="1065"/>
        </w:tabs>
        <w:spacing w:line="360" w:lineRule="exact"/>
        <w:ind w:left="420" w:leftChars="200"/>
        <w:outlineLvl w:val="2"/>
        <w:rPr>
          <w:rFonts w:hint="eastAsia"/>
          <w:b/>
          <w:bCs/>
          <w:sz w:val="24"/>
        </w:rPr>
      </w:pPr>
    </w:p>
    <w:p>
      <w:pPr>
        <w:pStyle w:val="42"/>
        <w:numPr>
          <w:ilvl w:val="0"/>
          <w:numId w:val="0"/>
        </w:numPr>
        <w:tabs>
          <w:tab w:val="left" w:pos="1065"/>
        </w:tabs>
        <w:spacing w:line="360" w:lineRule="exact"/>
        <w:ind w:firstLine="482" w:firstLineChars="200"/>
        <w:outlineLvl w:val="2"/>
        <w:rPr>
          <w:b/>
          <w:bCs/>
          <w:sz w:val="24"/>
        </w:rPr>
      </w:pPr>
      <w:r>
        <w:rPr>
          <w:rFonts w:hint="eastAsia"/>
          <w:b/>
          <w:bCs/>
          <w:sz w:val="24"/>
        </w:rPr>
        <w:t>四、付款方式</w:t>
      </w:r>
    </w:p>
    <w:p>
      <w:pPr>
        <w:pStyle w:val="5"/>
        <w:spacing w:before="0" w:beforeAutospacing="0" w:after="0" w:afterAutospacing="0" w:line="360" w:lineRule="exact"/>
        <w:ind w:firstLine="440" w:firstLineChars="200"/>
        <w:rPr>
          <w:rFonts w:hint="eastAsia" w:ascii="宋体" w:hAnsi="宋体" w:cs="宋体"/>
          <w:b w:val="0"/>
          <w:bCs w:val="0"/>
          <w:sz w:val="22"/>
          <w:szCs w:val="22"/>
        </w:rPr>
      </w:pPr>
      <w:r>
        <w:rPr>
          <w:rFonts w:hint="eastAsia" w:ascii="宋体" w:hAnsi="宋体" w:cs="宋体"/>
          <w:b w:val="0"/>
          <w:bCs w:val="0"/>
          <w:sz w:val="22"/>
          <w:szCs w:val="22"/>
        </w:rPr>
        <w:t>（1）第一次：施工形象进度达到50%时，且未发生安全文明事故，</w:t>
      </w:r>
      <w:r>
        <w:rPr>
          <w:rFonts w:hint="eastAsia"/>
          <w:b w:val="0"/>
          <w:bCs w:val="0"/>
          <w:sz w:val="22"/>
          <w:szCs w:val="22"/>
        </w:rPr>
        <w:t>监理单位</w:t>
      </w:r>
      <w:r>
        <w:rPr>
          <w:rFonts w:hint="eastAsia" w:ascii="宋体" w:hAnsi="宋体" w:cs="宋体"/>
          <w:b w:val="0"/>
          <w:bCs w:val="0"/>
          <w:sz w:val="22"/>
          <w:szCs w:val="22"/>
        </w:rPr>
        <w:t>可以提出请款申请并提交完整请款资料后10个工作日内，</w:t>
      </w:r>
      <w:r>
        <w:rPr>
          <w:rFonts w:hint="eastAsia"/>
          <w:b w:val="0"/>
          <w:bCs w:val="0"/>
          <w:sz w:val="22"/>
          <w:szCs w:val="22"/>
        </w:rPr>
        <w:t>甲方</w:t>
      </w:r>
      <w:r>
        <w:rPr>
          <w:rFonts w:hint="eastAsia" w:ascii="宋体" w:hAnsi="宋体" w:cs="宋体"/>
          <w:b w:val="0"/>
          <w:bCs w:val="0"/>
          <w:sz w:val="22"/>
          <w:szCs w:val="22"/>
        </w:rPr>
        <w:t>支付合同总金额的40%作为第一笔进度款。</w:t>
      </w:r>
    </w:p>
    <w:p>
      <w:pPr>
        <w:pStyle w:val="5"/>
        <w:spacing w:before="0" w:beforeAutospacing="0" w:after="0" w:afterAutospacing="0" w:line="360" w:lineRule="exact"/>
        <w:ind w:firstLine="440" w:firstLineChars="200"/>
        <w:rPr>
          <w:rFonts w:hint="eastAsia" w:ascii="宋体" w:hAnsi="宋体" w:cs="宋体"/>
          <w:b w:val="0"/>
          <w:bCs w:val="0"/>
          <w:sz w:val="22"/>
          <w:szCs w:val="22"/>
        </w:rPr>
      </w:pPr>
      <w:r>
        <w:rPr>
          <w:rFonts w:hint="eastAsia" w:ascii="宋体" w:hAnsi="宋体" w:cs="宋体"/>
          <w:b w:val="0"/>
          <w:bCs w:val="0"/>
          <w:sz w:val="22"/>
          <w:szCs w:val="22"/>
        </w:rPr>
        <w:t>（2）第二次：项目完成竣工验收，且未发生安全文明事故，项目监理合同取得第三方审核报告后，按照第三方的审核价，</w:t>
      </w:r>
      <w:r>
        <w:rPr>
          <w:rFonts w:hint="eastAsia"/>
          <w:b w:val="0"/>
          <w:bCs w:val="0"/>
          <w:sz w:val="22"/>
          <w:szCs w:val="22"/>
        </w:rPr>
        <w:t>监理单位</w:t>
      </w:r>
      <w:r>
        <w:rPr>
          <w:rFonts w:hint="eastAsia" w:ascii="宋体" w:hAnsi="宋体" w:cs="宋体"/>
          <w:b w:val="0"/>
          <w:bCs w:val="0"/>
          <w:sz w:val="22"/>
          <w:szCs w:val="22"/>
        </w:rPr>
        <w:t>提出申请并提交完整请款资料后15日内，</w:t>
      </w:r>
      <w:r>
        <w:rPr>
          <w:rFonts w:hint="eastAsia"/>
          <w:b w:val="0"/>
          <w:bCs w:val="0"/>
          <w:sz w:val="22"/>
          <w:szCs w:val="22"/>
        </w:rPr>
        <w:t>甲方</w:t>
      </w:r>
      <w:r>
        <w:rPr>
          <w:rFonts w:hint="eastAsia" w:ascii="宋体" w:hAnsi="宋体" w:cs="宋体"/>
          <w:b w:val="0"/>
          <w:bCs w:val="0"/>
          <w:sz w:val="22"/>
          <w:szCs w:val="22"/>
        </w:rPr>
        <w:t>支付全部剩余尾款。</w:t>
      </w:r>
    </w:p>
    <w:p>
      <w:pPr>
        <w:pStyle w:val="5"/>
        <w:spacing w:before="0" w:beforeAutospacing="0" w:after="0" w:afterAutospacing="0" w:line="360" w:lineRule="exact"/>
        <w:ind w:firstLine="440" w:firstLineChars="200"/>
        <w:rPr>
          <w:rFonts w:hint="eastAsia" w:ascii="宋体" w:hAnsi="宋体" w:cs="宋体"/>
          <w:b w:val="0"/>
          <w:bCs w:val="0"/>
          <w:sz w:val="22"/>
          <w:szCs w:val="22"/>
        </w:rPr>
      </w:pPr>
      <w:r>
        <w:rPr>
          <w:rFonts w:hint="eastAsia" w:ascii="宋体" w:hAnsi="宋体" w:cs="宋体"/>
          <w:b w:val="0"/>
          <w:bCs w:val="0"/>
          <w:sz w:val="22"/>
          <w:szCs w:val="22"/>
        </w:rPr>
        <w:t>付款方式：</w:t>
      </w:r>
      <w:r>
        <w:rPr>
          <w:rFonts w:hint="eastAsia"/>
          <w:b w:val="0"/>
          <w:bCs w:val="0"/>
          <w:sz w:val="22"/>
          <w:szCs w:val="22"/>
        </w:rPr>
        <w:t>甲方</w:t>
      </w:r>
      <w:r>
        <w:rPr>
          <w:rFonts w:hint="eastAsia" w:ascii="宋体" w:hAnsi="宋体" w:cs="宋体"/>
          <w:b w:val="0"/>
          <w:bCs w:val="0"/>
          <w:sz w:val="22"/>
          <w:szCs w:val="22"/>
        </w:rPr>
        <w:t>将通过银行转账方式支付款项，</w:t>
      </w:r>
      <w:r>
        <w:rPr>
          <w:rFonts w:hint="eastAsia"/>
          <w:b w:val="0"/>
          <w:bCs w:val="0"/>
          <w:sz w:val="22"/>
          <w:szCs w:val="22"/>
        </w:rPr>
        <w:t>监理单位</w:t>
      </w:r>
      <w:r>
        <w:rPr>
          <w:rFonts w:hint="eastAsia" w:ascii="宋体" w:hAnsi="宋体" w:cs="宋体"/>
          <w:b w:val="0"/>
          <w:bCs w:val="0"/>
          <w:sz w:val="22"/>
          <w:szCs w:val="22"/>
        </w:rPr>
        <w:t>应在合同中明确收款账户信息，如有账户变更，需提前15个工作日书面向</w:t>
      </w:r>
      <w:r>
        <w:rPr>
          <w:rFonts w:hint="eastAsia"/>
          <w:b w:val="0"/>
          <w:bCs w:val="0"/>
          <w:sz w:val="22"/>
          <w:szCs w:val="22"/>
        </w:rPr>
        <w:t>甲方</w:t>
      </w:r>
      <w:r>
        <w:rPr>
          <w:rFonts w:hint="eastAsia" w:ascii="宋体" w:hAnsi="宋体" w:cs="宋体"/>
          <w:b w:val="0"/>
          <w:bCs w:val="0"/>
          <w:sz w:val="22"/>
          <w:szCs w:val="22"/>
        </w:rPr>
        <w:t>提出变更申请。</w:t>
      </w:r>
    </w:p>
    <w:p>
      <w:pPr>
        <w:tabs>
          <w:tab w:val="left" w:pos="1065"/>
        </w:tabs>
        <w:spacing w:line="480" w:lineRule="exact"/>
        <w:ind w:left="0" w:firstLine="480" w:firstLineChars="200"/>
        <w:rPr>
          <w:rFonts w:hint="eastAsia"/>
          <w:sz w:val="24"/>
        </w:rPr>
      </w:pPr>
      <w:r>
        <w:rPr>
          <w:rFonts w:hint="eastAsia"/>
          <w:sz w:val="24"/>
        </w:rPr>
        <w:t>付款前，监理单位应开具符合国家规定的当次支付金额的全额发票给甲方，否则甲方有权拒绝付款。甲方按照相关程序提交财政支付申办手续即视为已履行支付义务</w:t>
      </w:r>
      <w:r>
        <w:rPr>
          <w:rFonts w:hint="eastAsia" w:ascii="宋体" w:hAnsi="宋体" w:cs="宋体"/>
          <w:kern w:val="0"/>
          <w:sz w:val="22"/>
          <w:szCs w:val="22"/>
        </w:rPr>
        <w:t xml:space="preserve">如因发改、财政未下达投资计划造成未能及时支付的，不视为甲方违约。    </w:t>
      </w:r>
      <w:r>
        <w:rPr>
          <w:rFonts w:hint="eastAsia"/>
          <w:sz w:val="24"/>
        </w:rPr>
        <w:t xml:space="preserve">  </w:t>
      </w:r>
    </w:p>
    <w:p>
      <w:pPr>
        <w:spacing w:line="480" w:lineRule="exact"/>
        <w:ind w:firstLine="0" w:firstLineChars="0"/>
        <w:rPr>
          <w:sz w:val="24"/>
        </w:rPr>
      </w:pPr>
      <w:r>
        <w:rPr>
          <w:rFonts w:hint="eastAsia"/>
          <w:sz w:val="24"/>
        </w:rPr>
        <w:t>五、因本合同或与本合同有关的争议，双方应通过协商解决；协商解决不成，向甲方所在地人民法院起诉。</w:t>
      </w:r>
    </w:p>
    <w:p>
      <w:pPr>
        <w:spacing w:line="560" w:lineRule="exact"/>
        <w:jc w:val="center"/>
        <w:outlineLvl w:val="0"/>
        <w:rPr>
          <w:rFonts w:hint="eastAsia" w:ascii="宋体" w:hAnsi="宋体" w:cs="宋体"/>
          <w:b/>
          <w:bCs/>
          <w:sz w:val="44"/>
          <w:szCs w:val="44"/>
        </w:rPr>
      </w:pPr>
    </w:p>
    <w:p>
      <w:pPr>
        <w:spacing w:line="560" w:lineRule="exact"/>
        <w:jc w:val="center"/>
        <w:outlineLvl w:val="0"/>
        <w:rPr>
          <w:rFonts w:hint="eastAsia" w:ascii="宋体" w:hAnsi="宋体" w:cs="宋体"/>
          <w:b/>
          <w:bCs/>
          <w:sz w:val="44"/>
          <w:szCs w:val="44"/>
        </w:rPr>
      </w:pPr>
      <w:r>
        <w:rPr>
          <w:rFonts w:hint="eastAsia" w:ascii="宋体" w:hAnsi="宋体" w:cs="宋体"/>
          <w:b/>
          <w:bCs/>
          <w:sz w:val="44"/>
          <w:szCs w:val="44"/>
        </w:rPr>
        <w:t>保密承诺书</w:t>
      </w:r>
    </w:p>
    <w:p>
      <w:pPr>
        <w:tabs>
          <w:tab w:val="left" w:pos="1065"/>
        </w:tabs>
        <w:spacing w:after="120" w:line="360" w:lineRule="auto"/>
        <w:ind w:firstLine="720" w:firstLineChars="300"/>
        <w:rPr>
          <w:rFonts w:hint="eastAsia"/>
          <w:sz w:val="24"/>
        </w:rPr>
      </w:pPr>
      <w:r>
        <w:rPr>
          <w:rFonts w:hint="eastAsia"/>
          <w:sz w:val="24"/>
        </w:rPr>
        <w:t>我司作为市局大院露天停车雨棚建设工程监理机构，因该项目涉及公安工作敏感信息，根据国家有关法律法规及公安部门的要求，为了加强对项目信息管理与保护，我司郑重永诺：</w:t>
      </w:r>
    </w:p>
    <w:p>
      <w:pPr>
        <w:tabs>
          <w:tab w:val="left" w:pos="1065"/>
        </w:tabs>
        <w:spacing w:after="120" w:line="360" w:lineRule="auto"/>
        <w:ind w:firstLine="480" w:firstLineChars="200"/>
        <w:rPr>
          <w:rFonts w:hint="eastAsia"/>
          <w:sz w:val="24"/>
        </w:rPr>
      </w:pPr>
      <w:r>
        <w:rPr>
          <w:rFonts w:hint="eastAsia"/>
          <w:sz w:val="24"/>
        </w:rPr>
        <w:t>1.市局大院露天停车雨棚建设工程涉案大量公安工作信息，参与、获取或者处理此类信息的人员，应当按照规定的权限和要求，确保信息的安全。</w:t>
      </w:r>
    </w:p>
    <w:p>
      <w:pPr>
        <w:tabs>
          <w:tab w:val="left" w:pos="1065"/>
        </w:tabs>
        <w:spacing w:after="120" w:line="360" w:lineRule="auto"/>
        <w:ind w:firstLine="480" w:firstLineChars="200"/>
        <w:rPr>
          <w:rFonts w:hint="eastAsia"/>
          <w:sz w:val="24"/>
        </w:rPr>
      </w:pPr>
      <w:r>
        <w:rPr>
          <w:rFonts w:hint="eastAsia"/>
          <w:sz w:val="24"/>
        </w:rPr>
        <w:t>2.我司作为市局大院露天停车雨棚建设工程信息的接收者，有责任、义务对所接触的信息进行保密，不得擅自传播、泄露或者更改该信息。任何交流、报送或者利用项目信息的行为，都应遵循国家法律法规及相关规章制度。</w:t>
      </w:r>
    </w:p>
    <w:p>
      <w:pPr>
        <w:tabs>
          <w:tab w:val="left" w:pos="1065"/>
        </w:tabs>
        <w:spacing w:after="120" w:line="360" w:lineRule="auto"/>
        <w:ind w:firstLine="480" w:firstLineChars="200"/>
        <w:rPr>
          <w:rFonts w:hint="eastAsia"/>
          <w:sz w:val="24"/>
        </w:rPr>
      </w:pPr>
      <w:r>
        <w:rPr>
          <w:rFonts w:hint="eastAsia"/>
          <w:sz w:val="24"/>
        </w:rPr>
        <w:t>3.不得将项目资料放置于公共场所，如办公室、会议室等，不对外发表涉及项目信息的文章、信息，不接触未经甲方允许的数据、资料等，不擅自进入未经甲方允许的办公场所及场地；</w:t>
      </w:r>
    </w:p>
    <w:p>
      <w:pPr>
        <w:tabs>
          <w:tab w:val="left" w:pos="1065"/>
        </w:tabs>
        <w:spacing w:after="120" w:line="360" w:lineRule="auto"/>
        <w:ind w:firstLine="480" w:firstLineChars="200"/>
        <w:rPr>
          <w:rFonts w:hint="eastAsia"/>
          <w:sz w:val="24"/>
        </w:rPr>
      </w:pPr>
      <w:r>
        <w:rPr>
          <w:rFonts w:hint="eastAsia"/>
          <w:sz w:val="24"/>
        </w:rPr>
        <w:t>4.对确需接触的文件资料尽到保密义务，项目完工时，电子资料自行删除、销毁，纸质资料全部交回甲方处理，自觉接受甲方的保密教育、日常淡话和监督检查。</w:t>
      </w:r>
    </w:p>
    <w:p>
      <w:pPr>
        <w:tabs>
          <w:tab w:val="left" w:pos="1065"/>
        </w:tabs>
        <w:spacing w:after="120" w:line="360" w:lineRule="auto"/>
        <w:ind w:firstLine="480" w:firstLineChars="200"/>
        <w:rPr>
          <w:sz w:val="24"/>
        </w:rPr>
      </w:pPr>
      <w:r>
        <w:rPr>
          <w:rFonts w:hint="eastAsia"/>
          <w:sz w:val="24"/>
        </w:rPr>
        <w:t>5.</w:t>
      </w:r>
      <w:r>
        <w:rPr>
          <w:rFonts w:hint="eastAsia" w:ascii="宋体" w:hAnsi="宋体"/>
          <w:sz w:val="24"/>
          <w:szCs w:val="24"/>
        </w:rPr>
        <w:t>不得依据本合同所形成的法律关系，在对外公开业绩宣传、宣讲、展示活动中擅自使用甲方单位名称。如确需使用，应事先向甲方提交书面申请，明确使用场合、受众范围、用途情况等必要事项，以及拟公开的相关书面稿件、图片等；未经甲方书面批准，禁止在上述活动中使用甲方单位名称。</w:t>
      </w:r>
    </w:p>
    <w:p>
      <w:pPr>
        <w:tabs>
          <w:tab w:val="left" w:pos="1065"/>
        </w:tabs>
        <w:spacing w:after="120" w:line="360" w:lineRule="auto"/>
        <w:ind w:firstLine="480" w:firstLineChars="200"/>
        <w:rPr>
          <w:rFonts w:hint="eastAsia"/>
          <w:sz w:val="24"/>
        </w:rPr>
      </w:pPr>
      <w:r>
        <w:rPr>
          <w:rFonts w:hint="eastAsia"/>
          <w:sz w:val="24"/>
        </w:rPr>
        <w:t>如发现违反上述行为，我司及相关责任人将接受《中华人民共和国刑法》和《保密法》等法律法规追究其法律责任，无论泄露情节轻重，均将受到相应的处罚。</w:t>
      </w:r>
    </w:p>
    <w:p>
      <w:pPr>
        <w:tabs>
          <w:tab w:val="left" w:pos="1065"/>
        </w:tabs>
        <w:spacing w:after="120" w:line="360" w:lineRule="auto"/>
        <w:ind w:left="0" w:leftChars="0" w:firstLine="4560" w:firstLineChars="1900"/>
        <w:rPr>
          <w:rFonts w:hint="eastAsia"/>
          <w:sz w:val="24"/>
        </w:rPr>
      </w:pPr>
      <w:r>
        <w:rPr>
          <w:rFonts w:hint="eastAsia"/>
          <w:sz w:val="24"/>
        </w:rPr>
        <w:t>承诺单位：     （公章）</w:t>
      </w:r>
    </w:p>
    <w:p>
      <w:pPr>
        <w:tabs>
          <w:tab w:val="left" w:pos="1065"/>
        </w:tabs>
        <w:spacing w:after="120" w:line="360" w:lineRule="auto"/>
        <w:ind w:firstLine="4560" w:firstLineChars="1900"/>
        <w:rPr>
          <w:rFonts w:hint="eastAsia"/>
          <w:sz w:val="24"/>
        </w:rPr>
      </w:pPr>
      <w:r>
        <w:rPr>
          <w:rFonts w:hint="eastAsia"/>
          <w:sz w:val="24"/>
        </w:rPr>
        <w:t>联系人：</w:t>
      </w:r>
    </w:p>
    <w:p>
      <w:pPr>
        <w:tabs>
          <w:tab w:val="left" w:pos="1065"/>
        </w:tabs>
        <w:spacing w:after="120" w:line="360" w:lineRule="auto"/>
        <w:ind w:left="0" w:leftChars="0" w:firstLine="4560" w:firstLineChars="1900"/>
        <w:rPr>
          <w:rFonts w:hint="eastAsia"/>
          <w:sz w:val="24"/>
        </w:rPr>
      </w:pPr>
      <w:r>
        <w:rPr>
          <w:rFonts w:hint="eastAsia"/>
          <w:sz w:val="24"/>
        </w:rPr>
        <w:t>联系方式：</w:t>
      </w:r>
    </w:p>
    <w:p>
      <w:pPr>
        <w:tabs>
          <w:tab w:val="left" w:pos="1065"/>
        </w:tabs>
        <w:spacing w:line="480" w:lineRule="exact"/>
        <w:ind w:firstLine="4560" w:firstLineChars="1900"/>
        <w:rPr>
          <w:rFonts w:hint="eastAsia" w:ascii="宋体" w:hAnsi="宋体" w:cs="宋体"/>
          <w:b/>
          <w:bCs/>
          <w:kern w:val="0"/>
          <w:sz w:val="36"/>
          <w:szCs w:val="36"/>
        </w:rPr>
      </w:pPr>
      <w:r>
        <w:rPr>
          <w:rFonts w:hint="eastAsia"/>
          <w:sz w:val="24"/>
        </w:rPr>
        <w:t xml:space="preserve">日期：   年      月    日                    </w:t>
      </w:r>
      <w:r>
        <w:rPr>
          <w:rFonts w:hint="eastAsia" w:ascii="宋体" w:hAnsi="宋体" w:cs="宋体"/>
          <w:color w:val="000000"/>
          <w:kern w:val="0"/>
          <w:szCs w:val="21"/>
        </w:rPr>
        <w:t xml:space="preserve">   </w:t>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供应商询价操作流程</w:t>
      </w:r>
    </w:p>
    <w:p>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pPr>
        <w:rPr>
          <w:szCs w:val="21"/>
        </w:rPr>
      </w:pPr>
    </w:p>
    <w:p>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2.1</w:t>
      </w:r>
      <w:r>
        <w:rPr>
          <w:rFonts w:hint="eastAsia" w:ascii="宋体" w:hAnsi="宋体"/>
          <w:szCs w:val="21"/>
        </w:rPr>
        <w:t>【询价公告】</w:t>
      </w:r>
    </w:p>
    <w:p>
      <w:pPr>
        <w:rPr>
          <w:szCs w:val="21"/>
        </w:rPr>
      </w:pPr>
      <w:r>
        <w:rPr>
          <w:szCs w:val="21"/>
        </w:rPr>
        <w:tab/>
      </w:r>
      <w:r>
        <w:rPr>
          <w:szCs w:val="21"/>
        </w:rPr>
        <w:tab/>
      </w:r>
      <w:r>
        <w:rPr>
          <w:rFonts w:hint="eastAsia"/>
          <w:szCs w:val="21"/>
        </w:rPr>
        <w:t>点击查看下载邀请公告</w:t>
      </w:r>
    </w:p>
    <w:p>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pPr>
        <w:rPr>
          <w:szCs w:val="21"/>
        </w:rPr>
      </w:pPr>
      <w:r>
        <w:rPr>
          <w:rFonts w:hint="eastAsia"/>
          <w:szCs w:val="21"/>
        </w:rPr>
        <w:t>点击应答报价，填写报价，将应答文件作为附件上传，点击提交</w:t>
      </w:r>
    </w:p>
    <w:p>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pPr>
        <w:rPr>
          <w:rFonts w:hint="eastAsia" w:ascii="等线" w:hAnsi="等线" w:eastAsia="等线"/>
          <w:szCs w:val="21"/>
        </w:rPr>
      </w:pPr>
    </w:p>
    <w:p>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等线">
    <w:altName w:val="微软雅黑"/>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409E07"/>
    <w:multiLevelType w:val="singleLevel"/>
    <w:tmpl w:val="EA409E07"/>
    <w:lvl w:ilvl="0" w:tentative="0">
      <w:start w:val="1"/>
      <w:numFmt w:val="decimal"/>
      <w:lvlText w:val="%1."/>
      <w:lvlJc w:val="left"/>
      <w:pPr>
        <w:ind w:left="425" w:hanging="425"/>
      </w:pPr>
      <w:rPr>
        <w:rFonts w:hint="default"/>
      </w:rPr>
    </w:lvl>
  </w:abstractNum>
  <w:abstractNum w:abstractNumId="1">
    <w:nsid w:val="0F660001"/>
    <w:multiLevelType w:val="multilevel"/>
    <w:tmpl w:val="0F660001"/>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0B1CF20"/>
    <w:multiLevelType w:val="singleLevel"/>
    <w:tmpl w:val="20B1CF20"/>
    <w:lvl w:ilvl="0" w:tentative="0">
      <w:start w:val="3"/>
      <w:numFmt w:val="chineseCounting"/>
      <w:suff w:val="nothing"/>
      <w:lvlText w:val="%1、"/>
      <w:lvlJc w:val="left"/>
      <w:rPr>
        <w:rFonts w:hint="eastAsia"/>
      </w:rPr>
    </w:lvl>
  </w:abstractNum>
  <w:abstractNum w:abstractNumId="3">
    <w:nsid w:val="21EF7A5F"/>
    <w:multiLevelType w:val="multilevel"/>
    <w:tmpl w:val="21EF7A5F"/>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1C90B68"/>
    <w:multiLevelType w:val="multilevel"/>
    <w:tmpl w:val="41C90B68"/>
    <w:lvl w:ilvl="0" w:tentative="0">
      <w:start w:val="1"/>
      <w:numFmt w:val="japaneseCounting"/>
      <w:lvlText w:val="第%1条"/>
      <w:lvlJc w:val="left"/>
      <w:pPr>
        <w:tabs>
          <w:tab w:val="left" w:pos="960"/>
        </w:tabs>
        <w:ind w:left="960" w:hanging="960"/>
      </w:pPr>
      <w:rPr>
        <w:rFonts w:hint="default"/>
      </w:rPr>
    </w:lvl>
    <w:lvl w:ilvl="1" w:tentative="0">
      <w:start w:val="1"/>
      <w:numFmt w:val="decimal"/>
      <w:lvlText w:val="(%2)"/>
      <w:lvlJc w:val="left"/>
      <w:pPr>
        <w:tabs>
          <w:tab w:val="left" w:pos="840"/>
        </w:tabs>
        <w:ind w:left="840" w:hanging="420"/>
      </w:pPr>
      <w:rPr>
        <w:rFonts w:hint="eastAsia"/>
      </w:rPr>
    </w:lvl>
    <w:lvl w:ilvl="2" w:tentative="0">
      <w:start w:val="1"/>
      <w:numFmt w:val="upperLetter"/>
      <w:lvlText w:val="%3．"/>
      <w:lvlJc w:val="left"/>
      <w:pPr>
        <w:tabs>
          <w:tab w:val="left" w:pos="1260"/>
        </w:tabs>
        <w:ind w:left="126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A0C7F9B"/>
    <w:multiLevelType w:val="multilevel"/>
    <w:tmpl w:val="4A0C7F9B"/>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0B03C27"/>
    <w:multiLevelType w:val="multilevel"/>
    <w:tmpl w:val="50B03C27"/>
    <w:lvl w:ilvl="0" w:tentative="0">
      <w:start w:val="1"/>
      <w:numFmt w:val="decimal"/>
      <w:lvlText w:val="第%1条"/>
      <w:lvlJc w:val="left"/>
      <w:pPr>
        <w:tabs>
          <w:tab w:val="left" w:pos="960"/>
        </w:tabs>
        <w:ind w:left="960" w:hanging="960"/>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5ED36E0"/>
    <w:multiLevelType w:val="multilevel"/>
    <w:tmpl w:val="55ED36E0"/>
    <w:lvl w:ilvl="0" w:tentative="0">
      <w:start w:val="1"/>
      <w:numFmt w:val="decimal"/>
      <w:lvlText w:val="(%1)"/>
      <w:lvlJc w:val="left"/>
      <w:pPr>
        <w:tabs>
          <w:tab w:val="left" w:pos="1492"/>
        </w:tabs>
        <w:ind w:left="1492" w:hanging="420"/>
      </w:pPr>
      <w:rPr>
        <w:rFonts w:hint="eastAsia"/>
      </w:rPr>
    </w:lvl>
    <w:lvl w:ilvl="1" w:tentative="0">
      <w:start w:val="1"/>
      <w:numFmt w:val="lowerLetter"/>
      <w:lvlText w:val="%2)"/>
      <w:lvlJc w:val="left"/>
      <w:pPr>
        <w:tabs>
          <w:tab w:val="left" w:pos="952"/>
        </w:tabs>
        <w:ind w:left="952" w:hanging="420"/>
      </w:pPr>
    </w:lvl>
    <w:lvl w:ilvl="2" w:tentative="0">
      <w:start w:val="1"/>
      <w:numFmt w:val="lowerRoman"/>
      <w:lvlText w:val="%3."/>
      <w:lvlJc w:val="right"/>
      <w:pPr>
        <w:tabs>
          <w:tab w:val="left" w:pos="1372"/>
        </w:tabs>
        <w:ind w:left="1372" w:hanging="420"/>
      </w:pPr>
    </w:lvl>
    <w:lvl w:ilvl="3" w:tentative="0">
      <w:start w:val="1"/>
      <w:numFmt w:val="decimal"/>
      <w:lvlText w:val="%4."/>
      <w:lvlJc w:val="left"/>
      <w:pPr>
        <w:tabs>
          <w:tab w:val="left" w:pos="1792"/>
        </w:tabs>
        <w:ind w:left="1792" w:hanging="420"/>
      </w:pPr>
    </w:lvl>
    <w:lvl w:ilvl="4" w:tentative="0">
      <w:start w:val="1"/>
      <w:numFmt w:val="lowerLetter"/>
      <w:lvlText w:val="%5)"/>
      <w:lvlJc w:val="left"/>
      <w:pPr>
        <w:tabs>
          <w:tab w:val="left" w:pos="2212"/>
        </w:tabs>
        <w:ind w:left="2212" w:hanging="420"/>
      </w:pPr>
    </w:lvl>
    <w:lvl w:ilvl="5" w:tentative="0">
      <w:start w:val="1"/>
      <w:numFmt w:val="lowerRoman"/>
      <w:lvlText w:val="%6."/>
      <w:lvlJc w:val="right"/>
      <w:pPr>
        <w:tabs>
          <w:tab w:val="left" w:pos="2632"/>
        </w:tabs>
        <w:ind w:left="2632" w:hanging="420"/>
      </w:pPr>
    </w:lvl>
    <w:lvl w:ilvl="6" w:tentative="0">
      <w:start w:val="1"/>
      <w:numFmt w:val="decimal"/>
      <w:lvlText w:val="%7."/>
      <w:lvlJc w:val="left"/>
      <w:pPr>
        <w:tabs>
          <w:tab w:val="left" w:pos="3052"/>
        </w:tabs>
        <w:ind w:left="3052" w:hanging="420"/>
      </w:pPr>
    </w:lvl>
    <w:lvl w:ilvl="7" w:tentative="0">
      <w:start w:val="1"/>
      <w:numFmt w:val="lowerLetter"/>
      <w:lvlText w:val="%8)"/>
      <w:lvlJc w:val="left"/>
      <w:pPr>
        <w:tabs>
          <w:tab w:val="left" w:pos="3472"/>
        </w:tabs>
        <w:ind w:left="3472" w:hanging="420"/>
      </w:pPr>
    </w:lvl>
    <w:lvl w:ilvl="8" w:tentative="0">
      <w:start w:val="1"/>
      <w:numFmt w:val="lowerRoman"/>
      <w:lvlText w:val="%9."/>
      <w:lvlJc w:val="right"/>
      <w:pPr>
        <w:tabs>
          <w:tab w:val="left" w:pos="3892"/>
        </w:tabs>
        <w:ind w:left="3892" w:hanging="420"/>
      </w:pPr>
    </w:lvl>
  </w:abstractNum>
  <w:abstractNum w:abstractNumId="8">
    <w:nsid w:val="5DFD6A88"/>
    <w:multiLevelType w:val="multilevel"/>
    <w:tmpl w:val="5DFD6A88"/>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3EE5ABB"/>
    <w:multiLevelType w:val="multilevel"/>
    <w:tmpl w:val="63EE5ABB"/>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27543FF"/>
    <w:multiLevelType w:val="multilevel"/>
    <w:tmpl w:val="727543FF"/>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0"/>
  </w:num>
  <w:num w:numId="3">
    <w:abstractNumId w:val="6"/>
  </w:num>
  <w:num w:numId="4">
    <w:abstractNumId w:val="8"/>
  </w:num>
  <w:num w:numId="5">
    <w:abstractNumId w:val="10"/>
  </w:num>
  <w:num w:numId="6">
    <w:abstractNumId w:val="3"/>
  </w:num>
  <w:num w:numId="7">
    <w:abstractNumId w:val="9"/>
  </w:num>
  <w:num w:numId="8">
    <w:abstractNumId w:val="7"/>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YmY1NDQ0ZGI0N2M0ZDlmYTkyYWNjMWU3OTZmZDg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05C"/>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4754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B20"/>
    <w:rsid w:val="002E1D3D"/>
    <w:rsid w:val="002E54B9"/>
    <w:rsid w:val="002F2609"/>
    <w:rsid w:val="002F5FE4"/>
    <w:rsid w:val="002F7BE9"/>
    <w:rsid w:val="00302A50"/>
    <w:rsid w:val="00304CCB"/>
    <w:rsid w:val="00305923"/>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2D8F"/>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29CA"/>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1AD5"/>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443A"/>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3C7"/>
    <w:rsid w:val="00631EBC"/>
    <w:rsid w:val="00633219"/>
    <w:rsid w:val="0063389D"/>
    <w:rsid w:val="006338B6"/>
    <w:rsid w:val="00635DA4"/>
    <w:rsid w:val="0063620B"/>
    <w:rsid w:val="00637BF0"/>
    <w:rsid w:val="0064318E"/>
    <w:rsid w:val="00643CAC"/>
    <w:rsid w:val="00644330"/>
    <w:rsid w:val="0064643E"/>
    <w:rsid w:val="0064733A"/>
    <w:rsid w:val="00654A70"/>
    <w:rsid w:val="00654ABE"/>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0B2A"/>
    <w:rsid w:val="00811230"/>
    <w:rsid w:val="00811D59"/>
    <w:rsid w:val="008140C8"/>
    <w:rsid w:val="00814262"/>
    <w:rsid w:val="0081462B"/>
    <w:rsid w:val="00815115"/>
    <w:rsid w:val="00815CBA"/>
    <w:rsid w:val="0081688D"/>
    <w:rsid w:val="00816EE9"/>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0D3"/>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5528"/>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55FC"/>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34FE0"/>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44E0F"/>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56A"/>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1F571E8"/>
    <w:rsid w:val="02676536"/>
    <w:rsid w:val="027F313D"/>
    <w:rsid w:val="031E62CB"/>
    <w:rsid w:val="038156D1"/>
    <w:rsid w:val="03E032C1"/>
    <w:rsid w:val="0403584D"/>
    <w:rsid w:val="043011FB"/>
    <w:rsid w:val="04B107F3"/>
    <w:rsid w:val="04F41598"/>
    <w:rsid w:val="056C63BB"/>
    <w:rsid w:val="05B253F0"/>
    <w:rsid w:val="05C313AC"/>
    <w:rsid w:val="0627033B"/>
    <w:rsid w:val="062D553F"/>
    <w:rsid w:val="06A80B5A"/>
    <w:rsid w:val="06EF56F4"/>
    <w:rsid w:val="074107DA"/>
    <w:rsid w:val="07862EA2"/>
    <w:rsid w:val="08662E4F"/>
    <w:rsid w:val="08B131D7"/>
    <w:rsid w:val="08EB5608"/>
    <w:rsid w:val="093750AF"/>
    <w:rsid w:val="09442673"/>
    <w:rsid w:val="094C2162"/>
    <w:rsid w:val="0985779D"/>
    <w:rsid w:val="09CA0D6F"/>
    <w:rsid w:val="0A461B56"/>
    <w:rsid w:val="0A61636D"/>
    <w:rsid w:val="0A663227"/>
    <w:rsid w:val="0A666A2D"/>
    <w:rsid w:val="0A832B12"/>
    <w:rsid w:val="0AAA6900"/>
    <w:rsid w:val="0AD81243"/>
    <w:rsid w:val="0B536DFE"/>
    <w:rsid w:val="0BA35963"/>
    <w:rsid w:val="0BFE3758"/>
    <w:rsid w:val="0C1741FF"/>
    <w:rsid w:val="0C437F82"/>
    <w:rsid w:val="0D077DD0"/>
    <w:rsid w:val="0D466B4A"/>
    <w:rsid w:val="0D780511"/>
    <w:rsid w:val="0D8C66E1"/>
    <w:rsid w:val="0DB85E58"/>
    <w:rsid w:val="0DE842C2"/>
    <w:rsid w:val="0E520BCC"/>
    <w:rsid w:val="0EF06EE0"/>
    <w:rsid w:val="0F0162C2"/>
    <w:rsid w:val="0F3533BA"/>
    <w:rsid w:val="0F4E618A"/>
    <w:rsid w:val="0FE32D76"/>
    <w:rsid w:val="0FEB1C2B"/>
    <w:rsid w:val="11A665B8"/>
    <w:rsid w:val="11BE04B1"/>
    <w:rsid w:val="12045226"/>
    <w:rsid w:val="12417C17"/>
    <w:rsid w:val="12770708"/>
    <w:rsid w:val="129355BA"/>
    <w:rsid w:val="1294590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6717B9"/>
    <w:rsid w:val="19931384"/>
    <w:rsid w:val="19B65058"/>
    <w:rsid w:val="1AF64450"/>
    <w:rsid w:val="1B720258"/>
    <w:rsid w:val="1B903EE9"/>
    <w:rsid w:val="1BA51042"/>
    <w:rsid w:val="1C961170"/>
    <w:rsid w:val="1CB53B2D"/>
    <w:rsid w:val="1CCD730A"/>
    <w:rsid w:val="1D1D7568"/>
    <w:rsid w:val="1D232E70"/>
    <w:rsid w:val="1D393246"/>
    <w:rsid w:val="1D8636DD"/>
    <w:rsid w:val="1DD00AB6"/>
    <w:rsid w:val="1E1467F1"/>
    <w:rsid w:val="1EC07C63"/>
    <w:rsid w:val="1ED0096A"/>
    <w:rsid w:val="1F7D7FE1"/>
    <w:rsid w:val="1FBD5D4F"/>
    <w:rsid w:val="206104AB"/>
    <w:rsid w:val="20EB1A8B"/>
    <w:rsid w:val="212862D1"/>
    <w:rsid w:val="217F114F"/>
    <w:rsid w:val="21840784"/>
    <w:rsid w:val="21EC60B0"/>
    <w:rsid w:val="22066450"/>
    <w:rsid w:val="224C30E3"/>
    <w:rsid w:val="230C031C"/>
    <w:rsid w:val="245D650D"/>
    <w:rsid w:val="24F966A0"/>
    <w:rsid w:val="258B383C"/>
    <w:rsid w:val="25914A5C"/>
    <w:rsid w:val="25DA0855"/>
    <w:rsid w:val="25EA77E0"/>
    <w:rsid w:val="261966A6"/>
    <w:rsid w:val="26555BF8"/>
    <w:rsid w:val="26613595"/>
    <w:rsid w:val="26865B7D"/>
    <w:rsid w:val="26A7167B"/>
    <w:rsid w:val="26FB75E8"/>
    <w:rsid w:val="27150D4A"/>
    <w:rsid w:val="272929CC"/>
    <w:rsid w:val="272C2AA0"/>
    <w:rsid w:val="273A24BC"/>
    <w:rsid w:val="277A333A"/>
    <w:rsid w:val="283917B1"/>
    <w:rsid w:val="284C2BA9"/>
    <w:rsid w:val="28CF1AF5"/>
    <w:rsid w:val="291A2C1F"/>
    <w:rsid w:val="297E5BA6"/>
    <w:rsid w:val="298A2F5B"/>
    <w:rsid w:val="29C015DB"/>
    <w:rsid w:val="2A0B0ABF"/>
    <w:rsid w:val="2A1C0E68"/>
    <w:rsid w:val="2AF27382"/>
    <w:rsid w:val="2B304156"/>
    <w:rsid w:val="2BBD12AA"/>
    <w:rsid w:val="2BF07614"/>
    <w:rsid w:val="2C1F6654"/>
    <w:rsid w:val="2C2F765F"/>
    <w:rsid w:val="2C5C1A8E"/>
    <w:rsid w:val="2CBF1BAC"/>
    <w:rsid w:val="2D2B793A"/>
    <w:rsid w:val="2DAC211D"/>
    <w:rsid w:val="2E3E4A61"/>
    <w:rsid w:val="2E5860CE"/>
    <w:rsid w:val="2EDE3101"/>
    <w:rsid w:val="2F7215C9"/>
    <w:rsid w:val="2FA31782"/>
    <w:rsid w:val="2FAC1422"/>
    <w:rsid w:val="2FC82472"/>
    <w:rsid w:val="2FC8645A"/>
    <w:rsid w:val="30135E4B"/>
    <w:rsid w:val="30E57296"/>
    <w:rsid w:val="313564FF"/>
    <w:rsid w:val="322E5C7B"/>
    <w:rsid w:val="325112B7"/>
    <w:rsid w:val="3277057E"/>
    <w:rsid w:val="331F3816"/>
    <w:rsid w:val="33314CA9"/>
    <w:rsid w:val="3445338B"/>
    <w:rsid w:val="348C7842"/>
    <w:rsid w:val="34A75871"/>
    <w:rsid w:val="34F67EE0"/>
    <w:rsid w:val="360C62D3"/>
    <w:rsid w:val="36407B95"/>
    <w:rsid w:val="366724DD"/>
    <w:rsid w:val="369003F3"/>
    <w:rsid w:val="369F457E"/>
    <w:rsid w:val="372C73BF"/>
    <w:rsid w:val="37783EB8"/>
    <w:rsid w:val="37855B5B"/>
    <w:rsid w:val="39522C4F"/>
    <w:rsid w:val="39965EB4"/>
    <w:rsid w:val="39B60CF9"/>
    <w:rsid w:val="39C233C9"/>
    <w:rsid w:val="3A591CBB"/>
    <w:rsid w:val="3A9B06B7"/>
    <w:rsid w:val="3AC11C0B"/>
    <w:rsid w:val="3AC5785E"/>
    <w:rsid w:val="3B5D0EF4"/>
    <w:rsid w:val="3B84632D"/>
    <w:rsid w:val="3BB1327A"/>
    <w:rsid w:val="3C4F6FF3"/>
    <w:rsid w:val="3C530AC4"/>
    <w:rsid w:val="3C7B70A3"/>
    <w:rsid w:val="3CA56B3A"/>
    <w:rsid w:val="3CB74ABF"/>
    <w:rsid w:val="3D690867"/>
    <w:rsid w:val="3D697B26"/>
    <w:rsid w:val="3DF819A8"/>
    <w:rsid w:val="3DFA4C63"/>
    <w:rsid w:val="3E306FF6"/>
    <w:rsid w:val="3E381B5E"/>
    <w:rsid w:val="3E815608"/>
    <w:rsid w:val="3E9155A2"/>
    <w:rsid w:val="3E9C21BE"/>
    <w:rsid w:val="3EA91FFD"/>
    <w:rsid w:val="3F3D74FE"/>
    <w:rsid w:val="3F4145DB"/>
    <w:rsid w:val="40F80C31"/>
    <w:rsid w:val="41650C0D"/>
    <w:rsid w:val="41695F34"/>
    <w:rsid w:val="41BC69C3"/>
    <w:rsid w:val="41F63994"/>
    <w:rsid w:val="422B3CC4"/>
    <w:rsid w:val="4249440B"/>
    <w:rsid w:val="425273BE"/>
    <w:rsid w:val="42E11F92"/>
    <w:rsid w:val="42FE39BD"/>
    <w:rsid w:val="43987A99"/>
    <w:rsid w:val="43B3073F"/>
    <w:rsid w:val="442073EE"/>
    <w:rsid w:val="442451E1"/>
    <w:rsid w:val="44D81BBA"/>
    <w:rsid w:val="45D06B81"/>
    <w:rsid w:val="46625A9C"/>
    <w:rsid w:val="46B3016A"/>
    <w:rsid w:val="474D5277"/>
    <w:rsid w:val="479F2675"/>
    <w:rsid w:val="480A7E67"/>
    <w:rsid w:val="483A6DB8"/>
    <w:rsid w:val="48442464"/>
    <w:rsid w:val="48497225"/>
    <w:rsid w:val="485968EF"/>
    <w:rsid w:val="494B5BD1"/>
    <w:rsid w:val="4A757FD0"/>
    <w:rsid w:val="4B4844F0"/>
    <w:rsid w:val="4BC94BDB"/>
    <w:rsid w:val="4BD8290E"/>
    <w:rsid w:val="4C011ADB"/>
    <w:rsid w:val="4C2A5769"/>
    <w:rsid w:val="4C735875"/>
    <w:rsid w:val="4CE7467F"/>
    <w:rsid w:val="4D700CFE"/>
    <w:rsid w:val="4E3F37F1"/>
    <w:rsid w:val="4E8B06CC"/>
    <w:rsid w:val="4FBC446F"/>
    <w:rsid w:val="4FC560A3"/>
    <w:rsid w:val="50C87CE4"/>
    <w:rsid w:val="51143A06"/>
    <w:rsid w:val="51522CC3"/>
    <w:rsid w:val="51D87312"/>
    <w:rsid w:val="51E33FB3"/>
    <w:rsid w:val="52952D55"/>
    <w:rsid w:val="53032779"/>
    <w:rsid w:val="531E7EBF"/>
    <w:rsid w:val="53591BE0"/>
    <w:rsid w:val="5408474F"/>
    <w:rsid w:val="54595879"/>
    <w:rsid w:val="555409D5"/>
    <w:rsid w:val="5554516A"/>
    <w:rsid w:val="55720E2B"/>
    <w:rsid w:val="557467B6"/>
    <w:rsid w:val="559B4B26"/>
    <w:rsid w:val="55AC06EC"/>
    <w:rsid w:val="56746023"/>
    <w:rsid w:val="57917019"/>
    <w:rsid w:val="57D00083"/>
    <w:rsid w:val="57F338F8"/>
    <w:rsid w:val="58340256"/>
    <w:rsid w:val="585D299D"/>
    <w:rsid w:val="59041801"/>
    <w:rsid w:val="59E97ED0"/>
    <w:rsid w:val="5A1D3D5C"/>
    <w:rsid w:val="5A5322EA"/>
    <w:rsid w:val="5A8756A7"/>
    <w:rsid w:val="5BB167DD"/>
    <w:rsid w:val="5BD540F2"/>
    <w:rsid w:val="5BE80C99"/>
    <w:rsid w:val="5C2761A7"/>
    <w:rsid w:val="5D0F6392"/>
    <w:rsid w:val="5D2E62B6"/>
    <w:rsid w:val="5D741361"/>
    <w:rsid w:val="5E184528"/>
    <w:rsid w:val="5E25263B"/>
    <w:rsid w:val="5E2876F5"/>
    <w:rsid w:val="5E4775F9"/>
    <w:rsid w:val="5E564D2B"/>
    <w:rsid w:val="5F85500D"/>
    <w:rsid w:val="5FA2671A"/>
    <w:rsid w:val="5FED41D0"/>
    <w:rsid w:val="601B6CAE"/>
    <w:rsid w:val="620A4B83"/>
    <w:rsid w:val="624352C6"/>
    <w:rsid w:val="627961EF"/>
    <w:rsid w:val="62D97490"/>
    <w:rsid w:val="63291771"/>
    <w:rsid w:val="635B53F4"/>
    <w:rsid w:val="638616CA"/>
    <w:rsid w:val="6388493C"/>
    <w:rsid w:val="6431561E"/>
    <w:rsid w:val="646A06F8"/>
    <w:rsid w:val="64EE6A20"/>
    <w:rsid w:val="6565736F"/>
    <w:rsid w:val="673D43D6"/>
    <w:rsid w:val="68144CE6"/>
    <w:rsid w:val="68F147C3"/>
    <w:rsid w:val="694B5840"/>
    <w:rsid w:val="6A015822"/>
    <w:rsid w:val="6A325FF9"/>
    <w:rsid w:val="6A576651"/>
    <w:rsid w:val="6AA06672"/>
    <w:rsid w:val="6AA96333"/>
    <w:rsid w:val="6B246507"/>
    <w:rsid w:val="6BEE37AA"/>
    <w:rsid w:val="6C892A9E"/>
    <w:rsid w:val="6CB32287"/>
    <w:rsid w:val="6CC454B1"/>
    <w:rsid w:val="6D3B69F3"/>
    <w:rsid w:val="6DFE1580"/>
    <w:rsid w:val="6E296D1B"/>
    <w:rsid w:val="6E9D4964"/>
    <w:rsid w:val="6EA41EA1"/>
    <w:rsid w:val="6ECE4405"/>
    <w:rsid w:val="700F0193"/>
    <w:rsid w:val="703C530B"/>
    <w:rsid w:val="70434C25"/>
    <w:rsid w:val="70552422"/>
    <w:rsid w:val="70723796"/>
    <w:rsid w:val="70904E30"/>
    <w:rsid w:val="709D4563"/>
    <w:rsid w:val="71013E28"/>
    <w:rsid w:val="714479C8"/>
    <w:rsid w:val="714707D4"/>
    <w:rsid w:val="72B15531"/>
    <w:rsid w:val="72BF06E3"/>
    <w:rsid w:val="72D87E05"/>
    <w:rsid w:val="72EE0533"/>
    <w:rsid w:val="737B4CAA"/>
    <w:rsid w:val="74553583"/>
    <w:rsid w:val="74F33BFF"/>
    <w:rsid w:val="75293015"/>
    <w:rsid w:val="754E0C44"/>
    <w:rsid w:val="75E60170"/>
    <w:rsid w:val="76313693"/>
    <w:rsid w:val="76720DAB"/>
    <w:rsid w:val="769F35AF"/>
    <w:rsid w:val="76F123A0"/>
    <w:rsid w:val="77404F00"/>
    <w:rsid w:val="776948B3"/>
    <w:rsid w:val="77AB11E2"/>
    <w:rsid w:val="77D745F5"/>
    <w:rsid w:val="77F250B7"/>
    <w:rsid w:val="78714B10"/>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522D0"/>
    <w:rsid w:val="7DD8172B"/>
    <w:rsid w:val="7EA63A70"/>
    <w:rsid w:val="7F0A04A3"/>
    <w:rsid w:val="7FA35A4A"/>
    <w:rsid w:val="7FC00B62"/>
    <w:rsid w:val="FF578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8"/>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34"/>
    <w:qFormat/>
    <w:uiPriority w:val="0"/>
    <w:pPr>
      <w:ind w:firstLine="420"/>
    </w:pPr>
    <w:rPr>
      <w:szCs w:val="20"/>
    </w:rPr>
  </w:style>
  <w:style w:type="paragraph" w:styleId="3">
    <w:name w:val="footer"/>
    <w:basedOn w:val="1"/>
    <w:link w:val="32"/>
    <w:qFormat/>
    <w:uiPriority w:val="0"/>
    <w:pPr>
      <w:tabs>
        <w:tab w:val="center" w:pos="4153"/>
        <w:tab w:val="right" w:pos="8306"/>
      </w:tabs>
      <w:snapToGrid w:val="0"/>
      <w:jc w:val="left"/>
    </w:pPr>
    <w:rPr>
      <w:sz w:val="18"/>
      <w:szCs w:val="18"/>
    </w:rPr>
  </w:style>
  <w:style w:type="paragraph" w:styleId="8">
    <w:name w:val="annotation text"/>
    <w:basedOn w:val="1"/>
    <w:next w:val="9"/>
    <w:link w:val="36"/>
    <w:qFormat/>
    <w:uiPriority w:val="0"/>
    <w:pPr>
      <w:jc w:val="left"/>
    </w:pPr>
  </w:style>
  <w:style w:type="paragraph" w:styleId="9">
    <w:name w:val="toc 5"/>
    <w:basedOn w:val="1"/>
    <w:next w:val="1"/>
    <w:qFormat/>
    <w:uiPriority w:val="0"/>
    <w:pPr>
      <w:ind w:left="840"/>
      <w:jc w:val="left"/>
    </w:pPr>
    <w:rPr>
      <w:rFonts w:cs="Calibri"/>
      <w:sz w:val="18"/>
      <w:szCs w:val="18"/>
    </w:rPr>
  </w:style>
  <w:style w:type="paragraph" w:styleId="10">
    <w:name w:val="Body Text"/>
    <w:basedOn w:val="1"/>
    <w:next w:val="11"/>
    <w:qFormat/>
    <w:uiPriority w:val="0"/>
    <w:pPr>
      <w:spacing w:before="10" w:after="10" w:line="360" w:lineRule="auto"/>
      <w:ind w:firstLine="200" w:firstLineChars="200"/>
    </w:pPr>
    <w:rPr>
      <w:sz w:val="24"/>
    </w:rPr>
  </w:style>
  <w:style w:type="paragraph" w:styleId="11">
    <w:name w:val="Body Text 2"/>
    <w:basedOn w:val="1"/>
    <w:qFormat/>
    <w:uiPriority w:val="0"/>
    <w:pPr>
      <w:spacing w:after="120" w:line="480" w:lineRule="auto"/>
    </w:pPr>
  </w:style>
  <w:style w:type="paragraph" w:styleId="12">
    <w:name w:val="Body Text Indent"/>
    <w:basedOn w:val="1"/>
    <w:next w:val="13"/>
    <w:qFormat/>
    <w:uiPriority w:val="0"/>
    <w:pPr>
      <w:spacing w:line="360" w:lineRule="auto"/>
      <w:ind w:firstLine="420" w:firstLineChars="200"/>
    </w:pPr>
  </w:style>
  <w:style w:type="paragraph" w:styleId="13">
    <w:name w:val="envelope return"/>
    <w:basedOn w:val="1"/>
    <w:qFormat/>
    <w:uiPriority w:val="99"/>
    <w:rPr>
      <w:rFonts w:ascii="Arial" w:hAnsi="Arial"/>
    </w:rPr>
  </w:style>
  <w:style w:type="paragraph" w:styleId="14">
    <w:name w:val="Plain Text"/>
    <w:basedOn w:val="1"/>
    <w:next w:val="15"/>
    <w:qFormat/>
    <w:uiPriority w:val="0"/>
    <w:rPr>
      <w:rFonts w:ascii="宋体" w:hAnsi="Courier New"/>
    </w:rPr>
  </w:style>
  <w:style w:type="paragraph" w:customStyle="1" w:styleId="15">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6">
    <w:name w:val="Balloon Text"/>
    <w:basedOn w:val="1"/>
    <w:link w:val="35"/>
    <w:qFormat/>
    <w:uiPriority w:val="0"/>
    <w:rPr>
      <w:sz w:val="18"/>
      <w:szCs w:val="18"/>
    </w:rPr>
  </w:style>
  <w:style w:type="paragraph" w:styleId="17">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8">
    <w:name w:val="footnote text"/>
    <w:basedOn w:val="1"/>
    <w:qFormat/>
    <w:uiPriority w:val="0"/>
    <w:pPr>
      <w:snapToGrid w:val="0"/>
      <w:jc w:val="left"/>
    </w:pPr>
    <w:rPr>
      <w:sz w:val="18"/>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annotation subject"/>
    <w:basedOn w:val="8"/>
    <w:next w:val="8"/>
    <w:link w:val="37"/>
    <w:qFormat/>
    <w:uiPriority w:val="0"/>
    <w:rPr>
      <w:b/>
      <w:bCs/>
    </w:rPr>
  </w:style>
  <w:style w:type="paragraph" w:styleId="22">
    <w:name w:val="Body Text First Indent 2"/>
    <w:basedOn w:val="12"/>
    <w:next w:val="1"/>
    <w:qFormat/>
    <w:uiPriority w:val="0"/>
    <w:pPr>
      <w:spacing w:after="120" w:line="240" w:lineRule="auto"/>
      <w:ind w:left="420" w:leftChars="200"/>
    </w:pPr>
  </w:style>
  <w:style w:type="table" w:styleId="24">
    <w:name w:val="Table Grid"/>
    <w:basedOn w:val="2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basedOn w:val="25"/>
    <w:unhideWhenUsed/>
    <w:qFormat/>
    <w:uiPriority w:val="0"/>
    <w:rPr>
      <w:color w:val="800080"/>
      <w:u w:val="single"/>
    </w:rPr>
  </w:style>
  <w:style w:type="character" w:styleId="29">
    <w:name w:val="Hyperlink"/>
    <w:basedOn w:val="25"/>
    <w:qFormat/>
    <w:uiPriority w:val="0"/>
    <w:rPr>
      <w:color w:val="0000FF"/>
      <w:u w:val="single"/>
    </w:rPr>
  </w:style>
  <w:style w:type="character" w:styleId="30">
    <w:name w:val="annotation reference"/>
    <w:basedOn w:val="25"/>
    <w:qFormat/>
    <w:uiPriority w:val="0"/>
    <w:rPr>
      <w:sz w:val="21"/>
      <w:szCs w:val="21"/>
    </w:rPr>
  </w:style>
  <w:style w:type="character" w:customStyle="1" w:styleId="31">
    <w:name w:val="页眉 字符"/>
    <w:basedOn w:val="25"/>
    <w:link w:val="17"/>
    <w:qFormat/>
    <w:uiPriority w:val="0"/>
    <w:rPr>
      <w:kern w:val="2"/>
      <w:sz w:val="18"/>
      <w:szCs w:val="18"/>
    </w:rPr>
  </w:style>
  <w:style w:type="character" w:customStyle="1" w:styleId="32">
    <w:name w:val="页脚 字符"/>
    <w:basedOn w:val="25"/>
    <w:link w:val="3"/>
    <w:qFormat/>
    <w:uiPriority w:val="0"/>
    <w:rPr>
      <w:kern w:val="2"/>
      <w:sz w:val="18"/>
      <w:szCs w:val="18"/>
    </w:rPr>
  </w:style>
  <w:style w:type="paragraph" w:customStyle="1" w:styleId="33">
    <w:name w:val="列出段落1"/>
    <w:basedOn w:val="1"/>
    <w:qFormat/>
    <w:uiPriority w:val="34"/>
    <w:pPr>
      <w:ind w:firstLine="420" w:firstLineChars="200"/>
    </w:pPr>
    <w:rPr>
      <w:szCs w:val="21"/>
    </w:rPr>
  </w:style>
  <w:style w:type="character" w:customStyle="1" w:styleId="34">
    <w:name w:val="正文缩进 字符"/>
    <w:basedOn w:val="25"/>
    <w:link w:val="2"/>
    <w:qFormat/>
    <w:uiPriority w:val="0"/>
    <w:rPr>
      <w:kern w:val="2"/>
      <w:sz w:val="21"/>
    </w:rPr>
  </w:style>
  <w:style w:type="character" w:customStyle="1" w:styleId="35">
    <w:name w:val="批注框文本 字符"/>
    <w:basedOn w:val="25"/>
    <w:link w:val="16"/>
    <w:qFormat/>
    <w:uiPriority w:val="0"/>
    <w:rPr>
      <w:kern w:val="2"/>
      <w:sz w:val="18"/>
      <w:szCs w:val="18"/>
    </w:rPr>
  </w:style>
  <w:style w:type="character" w:customStyle="1" w:styleId="36">
    <w:name w:val="批注文字 字符"/>
    <w:basedOn w:val="25"/>
    <w:link w:val="8"/>
    <w:qFormat/>
    <w:uiPriority w:val="0"/>
    <w:rPr>
      <w:kern w:val="2"/>
      <w:sz w:val="21"/>
      <w:szCs w:val="24"/>
    </w:rPr>
  </w:style>
  <w:style w:type="character" w:customStyle="1" w:styleId="37">
    <w:name w:val="批注主题 字符"/>
    <w:basedOn w:val="36"/>
    <w:link w:val="21"/>
    <w:qFormat/>
    <w:uiPriority w:val="0"/>
    <w:rPr>
      <w:b/>
      <w:bCs/>
      <w:kern w:val="2"/>
      <w:sz w:val="21"/>
      <w:szCs w:val="24"/>
    </w:rPr>
  </w:style>
  <w:style w:type="character" w:customStyle="1" w:styleId="38">
    <w:name w:val="标题 3 字符"/>
    <w:basedOn w:val="25"/>
    <w:link w:val="6"/>
    <w:qFormat/>
    <w:uiPriority w:val="0"/>
    <w:rPr>
      <w:rFonts w:ascii="Arial" w:hAnsi="Arial"/>
      <w:b/>
      <w:bCs/>
      <w:sz w:val="32"/>
      <w:szCs w:val="32"/>
    </w:rPr>
  </w:style>
  <w:style w:type="paragraph" w:customStyle="1" w:styleId="39">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40">
    <w:name w:val="彩色列表 - 强调文字颜色 111"/>
    <w:basedOn w:val="1"/>
    <w:qFormat/>
    <w:uiPriority w:val="0"/>
    <w:pPr>
      <w:ind w:firstLine="420" w:firstLineChars="200"/>
    </w:pPr>
  </w:style>
  <w:style w:type="paragraph" w:customStyle="1" w:styleId="41">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42">
    <w:name w:val="List Paragraph"/>
    <w:basedOn w:val="43"/>
    <w:unhideWhenUsed/>
    <w:qFormat/>
    <w:uiPriority w:val="99"/>
    <w:pPr>
      <w:ind w:firstLine="420" w:firstLineChars="200"/>
    </w:pPr>
  </w:style>
  <w:style w:type="paragraph" w:customStyle="1" w:styleId="43">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Normal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6">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7">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8">
    <w:name w:val="Body text|1_"/>
    <w:basedOn w:val="25"/>
    <w:link w:val="49"/>
    <w:qFormat/>
    <w:locked/>
    <w:uiPriority w:val="0"/>
    <w:rPr>
      <w:rFonts w:ascii="宋体" w:hAnsi="宋体" w:cs="宋体"/>
      <w:lang w:val="zh-TW" w:eastAsia="zh-TW" w:bidi="zh-TW"/>
    </w:rPr>
  </w:style>
  <w:style w:type="paragraph" w:customStyle="1" w:styleId="49">
    <w:name w:val="Body text|1"/>
    <w:basedOn w:val="1"/>
    <w:link w:val="48"/>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50">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51">
    <w:name w:val="Table Normal"/>
    <w:semiHidden/>
    <w:unhideWhenUsed/>
    <w:qFormat/>
    <w:uiPriority w:val="0"/>
    <w:pPr>
      <w:spacing w:after="0" w:line="240" w:lineRule="auto"/>
    </w:pPr>
    <w:tblPr>
      <w:tblCellMar>
        <w:top w:w="0" w:type="dxa"/>
        <w:left w:w="0" w:type="dxa"/>
        <w:bottom w:w="0" w:type="dxa"/>
        <w:right w:w="0" w:type="dxa"/>
      </w:tblCellMar>
    </w:tblPr>
  </w:style>
  <w:style w:type="character" w:customStyle="1" w:styleId="52">
    <w:name w:val="Unresolved Mention"/>
    <w:basedOn w:val="25"/>
    <w:semiHidden/>
    <w:unhideWhenUsed/>
    <w:qFormat/>
    <w:uiPriority w:val="99"/>
    <w:rPr>
      <w:color w:val="605E5C"/>
      <w:shd w:val="clear" w:color="auto" w:fill="E1DFDD"/>
    </w:rPr>
  </w:style>
  <w:style w:type="paragraph" w:customStyle="1" w:styleId="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4">
    <w:name w:val="样式 宋体 五号 行距: 1.5 倍行距 首行缩进:  2 字符"/>
    <w:basedOn w:val="44"/>
    <w:qFormat/>
    <w:uiPriority w:val="0"/>
    <w:pPr>
      <w:spacing w:line="360" w:lineRule="auto"/>
      <w:ind w:firstLine="200" w:firstLineChars="200"/>
    </w:pPr>
    <w:rPr>
      <w:rFonts w:ascii="宋体" w:hAnsi="宋体" w:cs="宋体"/>
      <w:szCs w:val="20"/>
    </w:rPr>
  </w:style>
  <w:style w:type="paragraph" w:customStyle="1" w:styleId="55">
    <w:name w:val="样式 样式 宋体 五号 行距: 1.5 倍行距 首行缩进:  2 字符 + 小四 首行缩进:  2 字符"/>
    <w:basedOn w:val="54"/>
    <w:qFormat/>
    <w:uiPriority w:val="0"/>
    <w:pPr>
      <w:ind w:firstLine="480"/>
    </w:pPr>
  </w:style>
  <w:style w:type="paragraph" w:customStyle="1" w:styleId="56">
    <w:name w:val="列出段落2"/>
    <w:basedOn w:val="44"/>
    <w:unhideWhenUsed/>
    <w:qFormat/>
    <w:uiPriority w:val="0"/>
    <w:pPr>
      <w:ind w:firstLine="420" w:firstLineChars="200"/>
    </w:pPr>
  </w:style>
  <w:style w:type="paragraph" w:customStyle="1" w:styleId="57">
    <w:name w:val="正文3"/>
    <w:qFormat/>
    <w:uiPriority w:val="0"/>
    <w:pPr>
      <w:jc w:val="both"/>
    </w:pPr>
    <w:rPr>
      <w:rFonts w:ascii="Times New Roman" w:hAnsi="Times New Roman" w:eastAsia="宋体" w:cs="Calibri"/>
      <w:kern w:val="2"/>
      <w:sz w:val="21"/>
      <w:szCs w:val="21"/>
      <w:lang w:val="en-US" w:eastAsia="zh-CN" w:bidi="ar-SA"/>
    </w:rPr>
  </w:style>
  <w:style w:type="paragraph" w:customStyle="1" w:styleId="58">
    <w:name w:val="Normal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8230</Words>
  <Characters>8395</Characters>
  <Lines>335</Lines>
  <Paragraphs>395</Paragraphs>
  <TotalTime>11</TotalTime>
  <ScaleCrop>false</ScaleCrop>
  <LinksUpToDate>false</LinksUpToDate>
  <CharactersWithSpaces>16230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Administrator</cp:lastModifiedBy>
  <cp:lastPrinted>2025-12-04T03:11:00Z</cp:lastPrinted>
  <dcterms:modified xsi:type="dcterms:W3CDTF">2025-12-11T13:19:43Z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14C8DD91B8644E05858191EF53C091DB</vt:lpwstr>
  </property>
  <property fmtid="{D5CDD505-2E9C-101B-9397-08002B2CF9AE}" pid="4" name="KSOTemplateDocerSaveRecord">
    <vt:lpwstr>eyJoZGlkIjoiYmJlNDdmNGU3ZmIyZjAwMzAyNmM4MGEyNDY5Y2NiMDciLCJ1c2VySWQiOiIzOTc5OTU2OTcifQ==</vt:lpwstr>
  </property>
</Properties>
</file>