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8"/>
        <w:gridCol w:w="826"/>
        <w:gridCol w:w="636"/>
        <w:gridCol w:w="6959"/>
      </w:tblGrid>
      <w:tr w14:paraId="061FD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0F5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类别</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AD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计分因素</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B8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分值</w:t>
            </w:r>
          </w:p>
        </w:tc>
        <w:tc>
          <w:tcPr>
            <w:tcW w:w="6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96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评分标准</w:t>
            </w:r>
          </w:p>
        </w:tc>
      </w:tr>
      <w:tr w14:paraId="49EE7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3"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E96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报价</w:t>
            </w:r>
          </w:p>
          <w:p w14:paraId="123123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部分</w:t>
            </w:r>
          </w:p>
          <w:p w14:paraId="210E4E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20分</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26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价格</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978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20</w:t>
            </w:r>
          </w:p>
        </w:tc>
        <w:tc>
          <w:tcPr>
            <w:tcW w:w="6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E6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价格分应当采用低价优先法计算，即满足采购文件要求且报价最低的报价为基准得分价，其价格分为满分。报价得分＝（基准得分价／响应报价）x20，评分过程中，不得去掉报价中的最高报价和最低报价。</w:t>
            </w:r>
          </w:p>
        </w:tc>
      </w:tr>
      <w:tr w14:paraId="0DC3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6" w:hRule="atLeast"/>
        </w:trPr>
        <w:tc>
          <w:tcPr>
            <w:tcW w:w="658" w:type="dxa"/>
            <w:vMerge w:val="restart"/>
            <w:tcBorders>
              <w:top w:val="single" w:color="000000" w:sz="4" w:space="0"/>
              <w:left w:val="single" w:color="000000" w:sz="4" w:space="0"/>
              <w:bottom w:val="nil"/>
              <w:right w:val="single" w:color="000000" w:sz="4" w:space="0"/>
            </w:tcBorders>
            <w:shd w:val="clear" w:color="auto" w:fill="auto"/>
            <w:vAlign w:val="center"/>
          </w:tcPr>
          <w:p w14:paraId="321EA0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商务部分40分</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DE0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人员配备</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CA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15</w:t>
            </w:r>
          </w:p>
        </w:tc>
        <w:tc>
          <w:tcPr>
            <w:tcW w:w="6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FB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1、项目总负责人同时具有注册测绘师及测绘类正高级工程师（研究员高级工程师）和涉密测绘成果管理人员岗位培训证书资格的</w:t>
            </w:r>
            <w:r>
              <w:rPr>
                <w:rFonts w:hint="eastAsia" w:ascii="宋体" w:hAnsi="宋体" w:eastAsia="宋体" w:cs="宋体"/>
                <w:b w:val="0"/>
                <w:bCs w:val="0"/>
                <w:color w:val="auto"/>
                <w:kern w:val="2"/>
                <w:sz w:val="22"/>
                <w:szCs w:val="22"/>
                <w:lang w:val="en-US" w:eastAsia="zh-CN" w:bidi="ar-SA"/>
              </w:rPr>
              <w:t>计5分</w:t>
            </w:r>
            <w:r>
              <w:rPr>
                <w:rFonts w:hint="eastAsia" w:ascii="宋体" w:hAnsi="宋体" w:eastAsia="宋体" w:cs="宋体"/>
                <w:color w:val="auto"/>
                <w:kern w:val="2"/>
                <w:sz w:val="22"/>
                <w:szCs w:val="22"/>
                <w:lang w:val="en-US" w:eastAsia="zh-CN" w:bidi="ar-SA"/>
              </w:rPr>
              <w:t>；同时具有注册测绘师及测绘类高级工程师和涉密测绘成果管理人员岗位培训证书资格的计2分；</w:t>
            </w:r>
            <w:r>
              <w:rPr>
                <w:rFonts w:hint="eastAsia" w:ascii="宋体" w:hAnsi="宋体" w:eastAsia="宋体" w:cs="宋体"/>
                <w:b/>
                <w:bCs/>
                <w:color w:val="auto"/>
                <w:kern w:val="2"/>
                <w:sz w:val="22"/>
                <w:szCs w:val="22"/>
                <w:lang w:val="en-US" w:eastAsia="zh-CN" w:bidi="ar-SA"/>
              </w:rPr>
              <w:t>本项最高计5分，</w:t>
            </w:r>
            <w:r>
              <w:rPr>
                <w:rFonts w:hint="eastAsia" w:ascii="宋体" w:hAnsi="宋体" w:eastAsia="宋体" w:cs="宋体"/>
                <w:color w:val="auto"/>
                <w:kern w:val="2"/>
                <w:sz w:val="22"/>
                <w:szCs w:val="22"/>
                <w:lang w:val="en-US" w:eastAsia="zh-CN" w:bidi="ar-SA"/>
              </w:rPr>
              <w:t>否则不计分。</w:t>
            </w:r>
          </w:p>
          <w:p w14:paraId="6540BB7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2、投入本项目专业技术人员同时具备注册测绘师、工程师（含）以上技术职称资格达到10人（含）以上的，</w:t>
            </w:r>
            <w:r>
              <w:rPr>
                <w:rFonts w:hint="eastAsia" w:ascii="宋体" w:hAnsi="宋体" w:eastAsia="宋体" w:cs="宋体"/>
                <w:b w:val="0"/>
                <w:bCs w:val="0"/>
                <w:color w:val="auto"/>
                <w:kern w:val="2"/>
                <w:sz w:val="22"/>
                <w:szCs w:val="22"/>
                <w:lang w:val="en-US" w:eastAsia="zh-CN" w:bidi="ar-SA"/>
              </w:rPr>
              <w:t>得10分</w:t>
            </w:r>
            <w:r>
              <w:rPr>
                <w:rFonts w:hint="eastAsia" w:ascii="宋体" w:hAnsi="宋体" w:eastAsia="宋体" w:cs="宋体"/>
                <w:color w:val="auto"/>
                <w:kern w:val="2"/>
                <w:sz w:val="22"/>
                <w:szCs w:val="22"/>
                <w:lang w:val="en-US" w:eastAsia="zh-CN" w:bidi="ar-SA"/>
              </w:rPr>
              <w:t>；9-7人的，得7分；6-4人以下的，得4分；其余不得分。</w:t>
            </w:r>
            <w:r>
              <w:rPr>
                <w:rFonts w:hint="eastAsia" w:ascii="宋体" w:hAnsi="宋体" w:eastAsia="宋体" w:cs="宋体"/>
                <w:b/>
                <w:bCs/>
                <w:color w:val="auto"/>
                <w:kern w:val="2"/>
                <w:sz w:val="22"/>
                <w:szCs w:val="22"/>
                <w:lang w:val="en-US" w:eastAsia="zh-CN" w:bidi="ar-SA"/>
              </w:rPr>
              <w:t>本项最高计10分。</w:t>
            </w:r>
          </w:p>
          <w:p w14:paraId="386CA8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 xml:space="preserve">（提供相关证书复印件及近三个月购买社保证明，并加盖响应/报价人公章，否则不计分。） </w:t>
            </w:r>
          </w:p>
        </w:tc>
      </w:tr>
      <w:tr w14:paraId="0ADE1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58" w:type="dxa"/>
            <w:vMerge w:val="continue"/>
            <w:tcBorders>
              <w:top w:val="single" w:color="000000" w:sz="4" w:space="0"/>
              <w:left w:val="single" w:color="000000" w:sz="4" w:space="0"/>
              <w:bottom w:val="nil"/>
              <w:right w:val="single" w:color="000000" w:sz="4" w:space="0"/>
            </w:tcBorders>
            <w:shd w:val="clear" w:color="auto" w:fill="auto"/>
            <w:vAlign w:val="center"/>
          </w:tcPr>
          <w:p w14:paraId="7E900CD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1"/>
                <w:szCs w:val="21"/>
                <w:u w:val="none"/>
              </w:rPr>
            </w:pPr>
          </w:p>
        </w:tc>
        <w:tc>
          <w:tcPr>
            <w:tcW w:w="826" w:type="dxa"/>
            <w:vMerge w:val="restart"/>
            <w:tcBorders>
              <w:top w:val="single" w:color="000000" w:sz="4" w:space="0"/>
              <w:left w:val="single" w:color="000000" w:sz="4" w:space="0"/>
              <w:right w:val="single" w:color="000000" w:sz="4" w:space="0"/>
            </w:tcBorders>
            <w:shd w:val="clear" w:color="auto" w:fill="auto"/>
            <w:vAlign w:val="center"/>
          </w:tcPr>
          <w:p w14:paraId="0C7055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报价</w:t>
            </w:r>
            <w:bookmarkStart w:id="0" w:name="_GoBack"/>
            <w:bookmarkEnd w:id="0"/>
            <w:r>
              <w:rPr>
                <w:rFonts w:hint="eastAsia" w:ascii="宋体" w:hAnsi="宋体" w:eastAsia="宋体" w:cs="宋体"/>
                <w:color w:val="auto"/>
                <w:kern w:val="2"/>
                <w:sz w:val="22"/>
                <w:szCs w:val="22"/>
                <w:lang w:val="en-US" w:eastAsia="zh-CN" w:bidi="ar-SA"/>
              </w:rPr>
              <w:t>人综合实力</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C7C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15</w:t>
            </w:r>
          </w:p>
        </w:tc>
        <w:tc>
          <w:tcPr>
            <w:tcW w:w="6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AA9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1、自2020年1月至响应/报价截止时间，响应/报价人获得自然资源部颁发的全国全国自然资源系统先进集体荣誉的，</w:t>
            </w:r>
            <w:r>
              <w:rPr>
                <w:rFonts w:hint="eastAsia" w:ascii="宋体" w:hAnsi="宋体" w:eastAsia="宋体" w:cs="宋体"/>
                <w:b w:val="0"/>
                <w:bCs w:val="0"/>
                <w:color w:val="auto"/>
                <w:kern w:val="2"/>
                <w:sz w:val="22"/>
                <w:szCs w:val="22"/>
                <w:lang w:val="en-US" w:eastAsia="zh-CN" w:bidi="ar-SA"/>
              </w:rPr>
              <w:t>计5分</w:t>
            </w:r>
            <w:r>
              <w:rPr>
                <w:rFonts w:hint="eastAsia" w:ascii="宋体" w:hAnsi="宋体" w:eastAsia="宋体" w:cs="宋体"/>
                <w:color w:val="auto"/>
                <w:kern w:val="2"/>
                <w:sz w:val="22"/>
                <w:szCs w:val="22"/>
                <w:lang w:val="en-US" w:eastAsia="zh-CN" w:bidi="ar-SA"/>
              </w:rPr>
              <w:t>；获得省级自然资源系统先进集体荣誉的，计2分；</w:t>
            </w:r>
            <w:r>
              <w:rPr>
                <w:rFonts w:hint="eastAsia" w:ascii="宋体" w:hAnsi="宋体" w:eastAsia="宋体" w:cs="宋体"/>
                <w:b/>
                <w:bCs/>
                <w:color w:val="auto"/>
                <w:kern w:val="2"/>
                <w:sz w:val="22"/>
                <w:szCs w:val="22"/>
                <w:lang w:val="en-US" w:eastAsia="zh-CN" w:bidi="ar-SA"/>
              </w:rPr>
              <w:t>本项最高计5分，</w:t>
            </w:r>
            <w:r>
              <w:rPr>
                <w:rFonts w:hint="eastAsia" w:ascii="宋体" w:hAnsi="宋体" w:eastAsia="宋体" w:cs="宋体"/>
                <w:color w:val="auto"/>
                <w:kern w:val="2"/>
                <w:sz w:val="22"/>
                <w:szCs w:val="22"/>
                <w:lang w:val="en-US" w:eastAsia="zh-CN" w:bidi="ar-SA"/>
              </w:rPr>
              <w:t>未获得不计分。</w:t>
            </w:r>
          </w:p>
          <w:p w14:paraId="43F8C4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（提供相关证书复印件并加盖响应/报价人公章，否则不计分）</w:t>
            </w:r>
          </w:p>
          <w:p w14:paraId="585283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2.自2015年1月至响应/报价截止时间，响应/报价人所承担项目荣获省级及以上科技进步奖一等奖的，每有一项得2分；获得二等奖的，每有一项得1分，其余不得分。</w:t>
            </w:r>
            <w:r>
              <w:rPr>
                <w:rFonts w:hint="eastAsia" w:ascii="宋体" w:hAnsi="宋体" w:eastAsia="宋体" w:cs="宋体"/>
                <w:b/>
                <w:bCs/>
                <w:color w:val="auto"/>
                <w:kern w:val="2"/>
                <w:sz w:val="22"/>
                <w:szCs w:val="22"/>
                <w:lang w:val="en-US" w:eastAsia="zh-CN" w:bidi="ar-SA"/>
              </w:rPr>
              <w:t>本项最高计4分</w:t>
            </w:r>
            <w:r>
              <w:rPr>
                <w:rFonts w:hint="eastAsia" w:ascii="宋体" w:hAnsi="宋体" w:eastAsia="宋体" w:cs="宋体"/>
                <w:color w:val="auto"/>
                <w:kern w:val="2"/>
                <w:sz w:val="22"/>
                <w:szCs w:val="22"/>
                <w:lang w:val="en-US" w:eastAsia="zh-CN" w:bidi="ar-SA"/>
              </w:rPr>
              <w:t>。（提供相关证书复印件并加盖响应/报价人公章，否则不计分。）</w:t>
            </w:r>
          </w:p>
          <w:p w14:paraId="31C1E9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3.响应/报价人参加全国测绘地理信息行业职业技能竞赛，获得团体奖项的</w:t>
            </w:r>
            <w:r>
              <w:rPr>
                <w:rFonts w:hint="eastAsia" w:ascii="宋体" w:hAnsi="宋体" w:eastAsia="宋体" w:cs="宋体"/>
                <w:b w:val="0"/>
                <w:bCs w:val="0"/>
                <w:color w:val="auto"/>
                <w:kern w:val="2"/>
                <w:sz w:val="22"/>
                <w:szCs w:val="22"/>
                <w:lang w:val="en-US" w:eastAsia="zh-CN" w:bidi="ar-SA"/>
              </w:rPr>
              <w:t>计5分</w:t>
            </w:r>
            <w:r>
              <w:rPr>
                <w:rFonts w:hint="eastAsia" w:ascii="宋体" w:hAnsi="宋体" w:eastAsia="宋体" w:cs="宋体"/>
                <w:color w:val="auto"/>
                <w:kern w:val="2"/>
                <w:sz w:val="22"/>
                <w:szCs w:val="22"/>
                <w:lang w:val="en-US" w:eastAsia="zh-CN" w:bidi="ar-SA"/>
              </w:rPr>
              <w:t>；参加省级测绘地理信息行业职业技能竞赛，获得团体奖项的计3分；参加市级测绘地理信息行业职业技能竞赛，获得团体奖项的计1分。不累计计分，</w:t>
            </w:r>
            <w:r>
              <w:rPr>
                <w:rFonts w:hint="eastAsia" w:ascii="宋体" w:hAnsi="宋体" w:eastAsia="宋体" w:cs="宋体"/>
                <w:b/>
                <w:bCs/>
                <w:color w:val="auto"/>
                <w:kern w:val="2"/>
                <w:sz w:val="22"/>
                <w:szCs w:val="22"/>
                <w:lang w:val="en-US" w:eastAsia="zh-CN" w:bidi="ar-SA"/>
              </w:rPr>
              <w:t>本项最高计5分</w:t>
            </w:r>
            <w:r>
              <w:rPr>
                <w:rFonts w:hint="eastAsia" w:ascii="宋体" w:hAnsi="宋体" w:eastAsia="宋体" w:cs="宋体"/>
                <w:color w:val="auto"/>
                <w:kern w:val="2"/>
                <w:sz w:val="22"/>
                <w:szCs w:val="22"/>
                <w:lang w:val="en-US" w:eastAsia="zh-CN" w:bidi="ar-SA"/>
              </w:rPr>
              <w:t>。</w:t>
            </w:r>
          </w:p>
          <w:p w14:paraId="271F9F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 xml:space="preserve">(提供相关证明资料复印件并加盖公章，否则不计分。) </w:t>
            </w:r>
          </w:p>
          <w:p w14:paraId="7CA775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4.响应/报价人具有省级测绘地理信息行政主管部门颁发的“测绘成果资料档案管理及保密工作考核合格证书”的</w:t>
            </w:r>
            <w:r>
              <w:rPr>
                <w:rFonts w:hint="eastAsia" w:ascii="宋体" w:hAnsi="宋体" w:eastAsia="宋体" w:cs="宋体"/>
                <w:b/>
                <w:bCs/>
                <w:color w:val="auto"/>
                <w:kern w:val="2"/>
                <w:sz w:val="22"/>
                <w:szCs w:val="22"/>
                <w:lang w:val="en-US" w:eastAsia="zh-CN" w:bidi="ar-SA"/>
              </w:rPr>
              <w:t>计1分</w:t>
            </w:r>
            <w:r>
              <w:rPr>
                <w:rFonts w:hint="eastAsia" w:ascii="宋体" w:hAnsi="宋体" w:eastAsia="宋体" w:cs="宋体"/>
                <w:color w:val="auto"/>
                <w:kern w:val="2"/>
                <w:sz w:val="22"/>
                <w:szCs w:val="22"/>
                <w:lang w:val="en-US" w:eastAsia="zh-CN" w:bidi="ar-SA"/>
              </w:rPr>
              <w:t>，否则不计分。</w:t>
            </w:r>
          </w:p>
          <w:p w14:paraId="5B80BC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（提供相关证书复印件并加盖响应/报价人公章，否则不计分）</w:t>
            </w:r>
          </w:p>
        </w:tc>
      </w:tr>
      <w:tr w14:paraId="0B32D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58" w:type="dxa"/>
            <w:vMerge w:val="continue"/>
            <w:tcBorders>
              <w:top w:val="single" w:color="000000" w:sz="4" w:space="0"/>
              <w:left w:val="single" w:color="000000" w:sz="4" w:space="0"/>
              <w:bottom w:val="nil"/>
              <w:right w:val="single" w:color="000000" w:sz="4" w:space="0"/>
            </w:tcBorders>
            <w:shd w:val="clear" w:color="auto" w:fill="auto"/>
            <w:vAlign w:val="center"/>
          </w:tcPr>
          <w:p w14:paraId="7B01C5B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1"/>
                <w:szCs w:val="21"/>
                <w:u w:val="none"/>
              </w:rPr>
            </w:pPr>
          </w:p>
        </w:tc>
        <w:tc>
          <w:tcPr>
            <w:tcW w:w="826" w:type="dxa"/>
            <w:vMerge w:val="continue"/>
            <w:tcBorders>
              <w:left w:val="single" w:color="000000" w:sz="4" w:space="0"/>
              <w:bottom w:val="single" w:color="000000" w:sz="4" w:space="0"/>
              <w:right w:val="single" w:color="000000" w:sz="4" w:space="0"/>
            </w:tcBorders>
            <w:shd w:val="clear" w:color="auto" w:fill="auto"/>
            <w:vAlign w:val="center"/>
          </w:tcPr>
          <w:p w14:paraId="3C34B7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5AB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c>
          <w:tcPr>
            <w:tcW w:w="6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ADD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r>
      <w:tr w14:paraId="44EAD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58" w:type="dxa"/>
            <w:vMerge w:val="continue"/>
            <w:tcBorders>
              <w:top w:val="single" w:color="000000" w:sz="4" w:space="0"/>
              <w:left w:val="single" w:color="000000" w:sz="4" w:space="0"/>
              <w:bottom w:val="nil"/>
              <w:right w:val="single" w:color="000000" w:sz="4" w:space="0"/>
            </w:tcBorders>
            <w:shd w:val="clear" w:color="auto" w:fill="auto"/>
            <w:vAlign w:val="center"/>
          </w:tcPr>
          <w:p w14:paraId="7D98D82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1"/>
                <w:szCs w:val="21"/>
                <w:u w:val="none"/>
              </w:rPr>
            </w:pPr>
          </w:p>
        </w:tc>
        <w:tc>
          <w:tcPr>
            <w:tcW w:w="826" w:type="dxa"/>
            <w:vMerge w:val="restart"/>
            <w:tcBorders>
              <w:top w:val="single" w:color="000000" w:sz="4" w:space="0"/>
              <w:left w:val="single" w:color="000000" w:sz="4" w:space="0"/>
              <w:right w:val="single" w:color="000000" w:sz="4" w:space="0"/>
            </w:tcBorders>
            <w:shd w:val="clear" w:color="auto" w:fill="auto"/>
            <w:vAlign w:val="center"/>
          </w:tcPr>
          <w:p w14:paraId="5946EF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类似业绩</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8F1F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10</w:t>
            </w:r>
          </w:p>
        </w:tc>
        <w:tc>
          <w:tcPr>
            <w:tcW w:w="6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8F03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近三年承担过</w:t>
            </w:r>
            <w:r>
              <w:rPr>
                <w:rFonts w:hint="eastAsia" w:ascii="宋体" w:hAnsi="宋体" w:eastAsia="宋体" w:cs="宋体"/>
                <w:color w:val="auto"/>
                <w:kern w:val="2"/>
                <w:sz w:val="22"/>
                <w:szCs w:val="22"/>
                <w:lang w:val="zh-CN" w:eastAsia="zh-CN" w:bidi="ar-SA"/>
              </w:rPr>
              <w:t>城市更新/城中村改造/土地整备</w:t>
            </w:r>
            <w:r>
              <w:rPr>
                <w:rFonts w:hint="eastAsia" w:ascii="宋体" w:hAnsi="宋体" w:eastAsia="宋体" w:cs="宋体"/>
                <w:color w:val="auto"/>
                <w:kern w:val="2"/>
                <w:sz w:val="22"/>
                <w:szCs w:val="22"/>
                <w:lang w:val="en-US" w:eastAsia="zh-CN" w:bidi="ar-SA"/>
              </w:rPr>
              <w:t>（含利益统筹）</w:t>
            </w:r>
            <w:r>
              <w:rPr>
                <w:rFonts w:hint="eastAsia" w:ascii="宋体" w:hAnsi="宋体" w:eastAsia="宋体" w:cs="宋体"/>
                <w:color w:val="auto"/>
                <w:kern w:val="2"/>
                <w:sz w:val="22"/>
                <w:szCs w:val="22"/>
                <w:lang w:val="zh-CN" w:eastAsia="zh-CN" w:bidi="ar-SA"/>
              </w:rPr>
              <w:t>项目</w:t>
            </w:r>
            <w:r>
              <w:rPr>
                <w:rFonts w:hint="eastAsia" w:ascii="宋体" w:hAnsi="宋体" w:eastAsia="宋体" w:cs="宋体"/>
                <w:color w:val="auto"/>
                <w:kern w:val="2"/>
                <w:sz w:val="22"/>
                <w:szCs w:val="22"/>
                <w:lang w:val="en-US" w:eastAsia="zh-CN" w:bidi="ar-SA"/>
              </w:rPr>
              <w:t>/城中村改造</w:t>
            </w:r>
            <w:r>
              <w:rPr>
                <w:rFonts w:hint="eastAsia" w:ascii="宋体" w:hAnsi="宋体" w:eastAsia="宋体" w:cs="宋体"/>
                <w:color w:val="auto"/>
                <w:kern w:val="2"/>
                <w:sz w:val="22"/>
                <w:szCs w:val="22"/>
                <w:lang w:val="zh-CN" w:eastAsia="zh-CN" w:bidi="ar-SA"/>
              </w:rPr>
              <w:t>现状房屋测绘类</w:t>
            </w:r>
            <w:r>
              <w:rPr>
                <w:rFonts w:hint="eastAsia" w:ascii="宋体" w:hAnsi="宋体" w:eastAsia="宋体" w:cs="宋体"/>
                <w:color w:val="auto"/>
                <w:kern w:val="2"/>
                <w:sz w:val="22"/>
                <w:szCs w:val="22"/>
                <w:lang w:val="en-US" w:eastAsia="zh-CN" w:bidi="ar-SA"/>
              </w:rPr>
              <w:t>的项目业绩，每提供一个计2分，</w:t>
            </w:r>
            <w:r>
              <w:rPr>
                <w:rFonts w:hint="eastAsia" w:ascii="宋体" w:hAnsi="宋体" w:eastAsia="宋体" w:cs="宋体"/>
                <w:b/>
                <w:bCs/>
                <w:color w:val="auto"/>
                <w:kern w:val="2"/>
                <w:sz w:val="22"/>
                <w:szCs w:val="22"/>
                <w:lang w:val="en-US" w:eastAsia="zh-CN" w:bidi="ar-SA"/>
              </w:rPr>
              <w:t>本项最高计10分.</w:t>
            </w:r>
            <w:r>
              <w:rPr>
                <w:rFonts w:hint="eastAsia" w:ascii="宋体" w:hAnsi="宋体" w:eastAsia="宋体" w:cs="宋体"/>
                <w:color w:val="auto"/>
                <w:kern w:val="2"/>
                <w:sz w:val="22"/>
                <w:szCs w:val="22"/>
                <w:lang w:val="en-US" w:eastAsia="zh-CN" w:bidi="ar-SA"/>
              </w:rPr>
              <w:t>（提供合同或中标通知书，并加盖响应/报价人公章，否则不计分）</w:t>
            </w:r>
          </w:p>
        </w:tc>
      </w:tr>
      <w:tr w14:paraId="7701C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58" w:type="dxa"/>
            <w:vMerge w:val="continue"/>
            <w:tcBorders>
              <w:top w:val="single" w:color="000000" w:sz="4" w:space="0"/>
              <w:left w:val="single" w:color="000000" w:sz="4" w:space="0"/>
              <w:bottom w:val="nil"/>
              <w:right w:val="single" w:color="000000" w:sz="4" w:space="0"/>
            </w:tcBorders>
            <w:shd w:val="clear" w:color="auto" w:fill="auto"/>
            <w:vAlign w:val="center"/>
          </w:tcPr>
          <w:p w14:paraId="69D028F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1"/>
                <w:szCs w:val="21"/>
                <w:u w:val="none"/>
              </w:rPr>
            </w:pPr>
          </w:p>
        </w:tc>
        <w:tc>
          <w:tcPr>
            <w:tcW w:w="826" w:type="dxa"/>
            <w:vMerge w:val="continue"/>
            <w:tcBorders>
              <w:left w:val="single" w:color="000000" w:sz="4" w:space="0"/>
              <w:bottom w:val="single" w:color="000000" w:sz="4" w:space="0"/>
              <w:right w:val="single" w:color="000000" w:sz="4" w:space="0"/>
            </w:tcBorders>
            <w:shd w:val="clear" w:color="auto" w:fill="auto"/>
            <w:vAlign w:val="center"/>
          </w:tcPr>
          <w:p w14:paraId="527E25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BE0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c>
          <w:tcPr>
            <w:tcW w:w="6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609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r>
      <w:tr w14:paraId="30FFA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658" w:type="dxa"/>
            <w:vMerge w:val="continue"/>
            <w:tcBorders>
              <w:top w:val="single" w:color="000000" w:sz="4" w:space="0"/>
              <w:left w:val="single" w:color="000000" w:sz="4" w:space="0"/>
              <w:bottom w:val="nil"/>
              <w:right w:val="single" w:color="000000" w:sz="4" w:space="0"/>
            </w:tcBorders>
            <w:shd w:val="clear" w:color="auto" w:fill="auto"/>
            <w:vAlign w:val="center"/>
          </w:tcPr>
          <w:p w14:paraId="07B46DE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1"/>
                <w:szCs w:val="21"/>
                <w:u w:val="none"/>
              </w:rPr>
            </w:pPr>
          </w:p>
        </w:tc>
        <w:tc>
          <w:tcPr>
            <w:tcW w:w="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313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08A3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c>
          <w:tcPr>
            <w:tcW w:w="6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BAB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r>
      <w:tr w14:paraId="710E7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29D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技术部分40分</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B7B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sz w:val="21"/>
                <w:szCs w:val="21"/>
              </w:rPr>
              <w:t>实施方案</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A592">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12</w:t>
            </w:r>
          </w:p>
        </w:tc>
        <w:tc>
          <w:tcPr>
            <w:tcW w:w="6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ED06">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rPr>
            </w:pPr>
            <w:r>
              <w:rPr>
                <w:rFonts w:hint="eastAsia" w:ascii="宋体" w:hAnsi="宋体" w:eastAsia="宋体" w:cs="宋体"/>
                <w:b/>
                <w:bCs/>
                <w:sz w:val="21"/>
                <w:szCs w:val="21"/>
              </w:rPr>
              <w:t>（一）评审内容：</w:t>
            </w:r>
          </w:p>
          <w:p w14:paraId="21E96AA5">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响应/报价人需按本项目要求提供实施方案，包括以下内容：</w:t>
            </w:r>
          </w:p>
          <w:p w14:paraId="34535F05">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1.技术路线；</w:t>
            </w:r>
          </w:p>
          <w:p w14:paraId="5A044318">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2.工艺流程；</w:t>
            </w:r>
          </w:p>
          <w:p w14:paraId="7781B81B">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3.工作计划；</w:t>
            </w:r>
          </w:p>
          <w:p w14:paraId="21BC0D0C">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4.项目管理；</w:t>
            </w:r>
          </w:p>
          <w:p w14:paraId="745501AE">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（二）</w:t>
            </w:r>
            <w:r>
              <w:rPr>
                <w:rFonts w:hint="eastAsia" w:ascii="宋体" w:hAnsi="宋体" w:eastAsia="宋体" w:cs="宋体"/>
                <w:b/>
                <w:bCs/>
                <w:color w:val="auto"/>
                <w:sz w:val="21"/>
                <w:szCs w:val="21"/>
                <w:highlight w:val="none"/>
                <w:u w:val="none"/>
                <w:lang w:val="en-US" w:eastAsia="zh-CN"/>
              </w:rPr>
              <w:t>评分标准：</w:t>
            </w:r>
          </w:p>
          <w:p w14:paraId="76EF4BA1">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依据响应/报价人提供的实施方案按照下列要求进行评分：</w:t>
            </w:r>
          </w:p>
          <w:p w14:paraId="0EA7D75F">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1.优：对项目理解准确全面，对内容有针对性详细分析，实施方案详细且贴切项目实际的。 </w:t>
            </w:r>
          </w:p>
          <w:p w14:paraId="0DD49E73">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2.良：对项目理解较准确，对内容分析较全面，实施方案较详细、较贴切项目实际。 </w:t>
            </w:r>
          </w:p>
          <w:p w14:paraId="28B84B5B">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3.中：对项目理解一般，内容分析一般，实施方案一般、贴切项目实际情况一般。 </w:t>
            </w:r>
          </w:p>
          <w:p w14:paraId="35977786">
            <w:pPr>
              <w:keepNext w:val="0"/>
              <w:keepLines w:val="0"/>
              <w:pageBreakBefore w:val="0"/>
              <w:kinsoku/>
              <w:wordWrap w:val="0"/>
              <w:overflowPunct/>
              <w:topLinePunct w:val="0"/>
              <w:bidi w:val="0"/>
              <w:adjustRightInd/>
              <w:snapToGrid/>
              <w:spacing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4.差：没有理解项目需求且没有针对内容进行分析，缺少实施方案的；如果评审为差，请书面说明理由，并记录存档。 </w:t>
            </w:r>
          </w:p>
          <w:p w14:paraId="2C1ADA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sz w:val="21"/>
                <w:szCs w:val="21"/>
                <w:lang w:val="en-US" w:eastAsia="zh-CN"/>
              </w:rPr>
              <w:t>评价为优得12分；评价为良得8分；评价为中得4分；评价为差不得分。</w:t>
            </w:r>
          </w:p>
        </w:tc>
      </w:tr>
      <w:tr w14:paraId="3B8BA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5"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379E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1"/>
                <w:szCs w:val="21"/>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BAE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sz w:val="21"/>
                <w:szCs w:val="21"/>
              </w:rPr>
              <w:t>质量（完成时间、安全、环保）保障措施及方案</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26B7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12</w:t>
            </w:r>
          </w:p>
        </w:tc>
        <w:tc>
          <w:tcPr>
            <w:tcW w:w="6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91886">
            <w:pPr>
              <w:keepNext w:val="0"/>
              <w:keepLines w:val="0"/>
              <w:pageBreakBefore w:val="0"/>
              <w:kinsoku/>
              <w:wordWrap w:val="0"/>
              <w:overflowPunct/>
              <w:topLinePunct w:val="0"/>
              <w:bidi w:val="0"/>
              <w:adjustRightInd/>
              <w:snapToGrid/>
              <w:ind w:firstLine="0" w:firstLineChars="0"/>
              <w:textAlignment w:val="auto"/>
              <w:rPr>
                <w:rFonts w:hint="eastAsia" w:ascii="宋体" w:hAnsi="宋体" w:eastAsia="宋体" w:cs="宋体"/>
                <w:color w:val="auto"/>
                <w:sz w:val="21"/>
                <w:szCs w:val="21"/>
                <w:highlight w:val="none"/>
                <w:u w:val="none"/>
              </w:rPr>
            </w:pPr>
            <w:r>
              <w:rPr>
                <w:rFonts w:hint="eastAsia" w:ascii="宋体" w:hAnsi="宋体" w:eastAsia="宋体" w:cs="宋体"/>
                <w:b/>
                <w:bCs/>
                <w:color w:val="auto"/>
                <w:sz w:val="21"/>
                <w:szCs w:val="21"/>
                <w:highlight w:val="none"/>
                <w:u w:val="none"/>
              </w:rPr>
              <w:t>（一）评审内容：</w:t>
            </w:r>
            <w:r>
              <w:rPr>
                <w:rFonts w:hint="eastAsia" w:ascii="宋体" w:hAnsi="宋体" w:eastAsia="宋体" w:cs="宋体"/>
                <w:color w:val="auto"/>
                <w:sz w:val="21"/>
                <w:szCs w:val="21"/>
                <w:highlight w:val="none"/>
                <w:u w:val="none"/>
              </w:rPr>
              <w:t xml:space="preserve"> </w:t>
            </w:r>
          </w:p>
          <w:p w14:paraId="1DBA8A43">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响应/报价人需按本项目要求提供质量（完成时间、安全、环保）保障措施及方案，包括以下内容：</w:t>
            </w:r>
          </w:p>
          <w:p w14:paraId="4260F059">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1.项目质量管理；</w:t>
            </w:r>
          </w:p>
          <w:p w14:paraId="78F59292">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2.项目质量保障措施；</w:t>
            </w:r>
          </w:p>
          <w:p w14:paraId="1CE66B55">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3.项目售后服务内容。</w:t>
            </w:r>
          </w:p>
          <w:p w14:paraId="2ECC9B1E">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lang w:eastAsia="zh-CN"/>
              </w:rPr>
              <w:t>）</w:t>
            </w:r>
            <w:r>
              <w:rPr>
                <w:rFonts w:hint="eastAsia" w:ascii="宋体" w:hAnsi="宋体" w:eastAsia="宋体" w:cs="宋体"/>
                <w:b/>
                <w:bCs/>
                <w:sz w:val="21"/>
                <w:szCs w:val="21"/>
              </w:rPr>
              <w:t>评分标准：</w:t>
            </w:r>
          </w:p>
          <w:p w14:paraId="3B011A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sz w:val="21"/>
                <w:szCs w:val="21"/>
                <w:lang w:val="en-US" w:eastAsia="zh-CN"/>
              </w:rPr>
              <w:t>响应/报价人提供的质量（完成时间、安全、环保）保障措施及方案每满足以上1点的得4分，最高得12分。</w:t>
            </w:r>
          </w:p>
        </w:tc>
      </w:tr>
      <w:tr w14:paraId="50F31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10B0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1"/>
                <w:szCs w:val="21"/>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BFE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sz w:val="21"/>
                <w:szCs w:val="21"/>
              </w:rPr>
              <w:t>项目完成（服务期满）后的服务承诺</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938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12</w:t>
            </w:r>
          </w:p>
        </w:tc>
        <w:tc>
          <w:tcPr>
            <w:tcW w:w="6959" w:type="dxa"/>
            <w:tcBorders>
              <w:top w:val="single" w:color="000000" w:sz="4" w:space="0"/>
              <w:left w:val="single" w:color="000000" w:sz="4" w:space="0"/>
              <w:bottom w:val="single" w:color="000000" w:sz="4" w:space="0"/>
              <w:right w:val="single" w:color="000000" w:sz="4" w:space="0"/>
            </w:tcBorders>
            <w:shd w:val="clear" w:color="auto" w:fill="auto"/>
            <w:vAlign w:val="top"/>
          </w:tcPr>
          <w:p w14:paraId="38B0C399">
            <w:pPr>
              <w:keepNext w:val="0"/>
              <w:keepLines w:val="0"/>
              <w:pageBreakBefore w:val="0"/>
              <w:kinsoku/>
              <w:wordWrap w:val="0"/>
              <w:overflowPunct/>
              <w:topLinePunct w:val="0"/>
              <w:bidi w:val="0"/>
              <w:adjustRightInd/>
              <w:snapToGrid/>
              <w:ind w:firstLine="0" w:firstLineChars="0"/>
              <w:textAlignment w:val="auto"/>
              <w:rPr>
                <w:rFonts w:hint="eastAsia" w:ascii="宋体" w:hAnsi="宋体" w:eastAsia="宋体" w:cs="宋体"/>
                <w:color w:val="auto"/>
                <w:sz w:val="21"/>
                <w:szCs w:val="21"/>
                <w:highlight w:val="none"/>
                <w:u w:val="none"/>
              </w:rPr>
            </w:pPr>
            <w:r>
              <w:rPr>
                <w:rFonts w:hint="eastAsia" w:ascii="宋体" w:hAnsi="宋体" w:eastAsia="宋体" w:cs="宋体"/>
                <w:b/>
                <w:bCs/>
                <w:color w:val="auto"/>
                <w:sz w:val="21"/>
                <w:szCs w:val="21"/>
                <w:highlight w:val="none"/>
                <w:u w:val="none"/>
              </w:rPr>
              <w:t>（一）评审内容：</w:t>
            </w:r>
            <w:r>
              <w:rPr>
                <w:rFonts w:hint="eastAsia" w:ascii="宋体" w:hAnsi="宋体" w:eastAsia="宋体" w:cs="宋体"/>
                <w:color w:val="auto"/>
                <w:sz w:val="21"/>
                <w:szCs w:val="21"/>
                <w:highlight w:val="none"/>
                <w:u w:val="none"/>
              </w:rPr>
              <w:t xml:space="preserve"> </w:t>
            </w:r>
          </w:p>
          <w:p w14:paraId="086CA3DD">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响应/报价人需按本项目要求提供项目完成（服务期满）后的服务承诺，包括以下内容：</w:t>
            </w:r>
          </w:p>
          <w:p w14:paraId="44D993DC">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1.承诺与采购人保持密切沟通，随时跟进项目后续的服务需求，为本项目提供相关咨询解释、配合成果审核和报告更新等技术支持； </w:t>
            </w:r>
          </w:p>
          <w:p w14:paraId="770F914A">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2.承诺安排专人负责售后技术支持，并提供其联系手机、电话、传真、email；如人员需要调整应及时通知采购人；</w:t>
            </w:r>
          </w:p>
          <w:p w14:paraId="6BC9CDFC">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3.具有售后服务计划、保证措施具体、可行。</w:t>
            </w:r>
          </w:p>
          <w:p w14:paraId="5DEE7542">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lang w:eastAsia="zh-CN"/>
              </w:rPr>
              <w:t>）</w:t>
            </w:r>
            <w:r>
              <w:rPr>
                <w:rFonts w:hint="eastAsia" w:ascii="宋体" w:hAnsi="宋体" w:eastAsia="宋体" w:cs="宋体"/>
                <w:b/>
                <w:bCs/>
                <w:sz w:val="21"/>
                <w:szCs w:val="21"/>
              </w:rPr>
              <w:t>评分标准：</w:t>
            </w:r>
          </w:p>
          <w:p w14:paraId="2D90E27B">
            <w:pPr>
              <w:keepNext w:val="0"/>
              <w:keepLines w:val="0"/>
              <w:pageBreakBefore w:val="0"/>
              <w:widowControl w:val="0"/>
              <w:kinsoku/>
              <w:overflowPunct/>
              <w:topLinePunct w:val="0"/>
              <w:autoSpaceDE/>
              <w:autoSpaceDN/>
              <w:bidi w:val="0"/>
              <w:adjustRightInd/>
              <w:snapToGrid/>
              <w:ind w:firstLine="0" w:firstLineChars="0"/>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响应/报价人提供的项目完成（服务期满）后的服务承诺每满足以上1点的得4分，最高得12分。</w:t>
            </w:r>
          </w:p>
        </w:tc>
      </w:tr>
      <w:tr w14:paraId="0921F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5"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3B7E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1"/>
                <w:szCs w:val="21"/>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ED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1"/>
                <w:szCs w:val="21"/>
                <w:highlight w:val="none"/>
                <w:u w:val="none"/>
              </w:rPr>
              <w:t>违约承诺</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7A5C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4</w:t>
            </w:r>
          </w:p>
        </w:tc>
        <w:tc>
          <w:tcPr>
            <w:tcW w:w="6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6F0B7">
            <w:pPr>
              <w:keepNext w:val="0"/>
              <w:keepLines w:val="0"/>
              <w:pageBreakBefore w:val="0"/>
              <w:kinsoku/>
              <w:overflowPunct/>
              <w:topLinePunct w:val="0"/>
              <w:bidi w:val="0"/>
              <w:adjustRightInd/>
              <w:snapToGrid/>
              <w:ind w:firstLine="0" w:firstLineChars="0"/>
              <w:jc w:val="left"/>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（一）评审内容：</w:t>
            </w:r>
          </w:p>
          <w:p w14:paraId="5B8BE9F0">
            <w:pPr>
              <w:pStyle w:val="4"/>
              <w:keepNext w:val="0"/>
              <w:keepLines w:val="0"/>
              <w:pageBreakBefore w:val="0"/>
              <w:kinsoku/>
              <w:overflowPunct/>
              <w:topLinePunct w:val="0"/>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hAnsi="宋体" w:eastAsia="宋体" w:cs="宋体"/>
                <w:b w:val="0"/>
                <w:bCs w:val="0"/>
                <w:sz w:val="21"/>
                <w:szCs w:val="21"/>
                <w:lang w:val="en-US" w:eastAsia="zh-CN"/>
              </w:rPr>
              <w:t>响应/报价</w:t>
            </w:r>
            <w:r>
              <w:rPr>
                <w:rFonts w:hint="eastAsia" w:ascii="宋体" w:hAnsi="宋体" w:eastAsia="宋体" w:cs="宋体"/>
                <w:b w:val="0"/>
                <w:bCs w:val="0"/>
                <w:sz w:val="21"/>
                <w:szCs w:val="21"/>
                <w:lang w:val="en-US" w:eastAsia="zh-CN"/>
              </w:rPr>
              <w:t>人需以本项目要求提供“违约承诺”，“违约承诺”包括以下内容：</w:t>
            </w:r>
          </w:p>
          <w:p w14:paraId="6BCBB2AF">
            <w:pPr>
              <w:pStyle w:val="4"/>
              <w:keepNext w:val="0"/>
              <w:keepLines w:val="0"/>
              <w:pageBreakBefore w:val="0"/>
              <w:kinsoku/>
              <w:overflowPunct/>
              <w:topLinePunct w:val="0"/>
              <w:bidi w:val="0"/>
              <w:adjustRightInd/>
              <w:snapToGrid/>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1.服务质量达到</w:t>
            </w:r>
            <w:r>
              <w:rPr>
                <w:rFonts w:hint="eastAsia" w:hAnsi="宋体" w:eastAsia="宋体" w:cs="宋体"/>
                <w:b w:val="0"/>
                <w:bCs w:val="0"/>
                <w:sz w:val="21"/>
                <w:szCs w:val="21"/>
                <w:lang w:val="en-US" w:eastAsia="zh-CN"/>
              </w:rPr>
              <w:t>响应/报价</w:t>
            </w:r>
            <w:r>
              <w:rPr>
                <w:rFonts w:hint="eastAsia" w:ascii="宋体" w:hAnsi="宋体" w:eastAsia="宋体" w:cs="宋体"/>
                <w:b w:val="0"/>
                <w:bCs w:val="0"/>
                <w:sz w:val="21"/>
                <w:szCs w:val="21"/>
                <w:lang w:val="en-US" w:eastAsia="zh-CN"/>
              </w:rPr>
              <w:t>文件要求；</w:t>
            </w:r>
          </w:p>
          <w:p w14:paraId="5BB7BF53">
            <w:pPr>
              <w:pStyle w:val="4"/>
              <w:keepNext w:val="0"/>
              <w:keepLines w:val="0"/>
              <w:pageBreakBefore w:val="0"/>
              <w:kinsoku/>
              <w:overflowPunct/>
              <w:topLinePunct w:val="0"/>
              <w:bidi w:val="0"/>
              <w:adjustRightInd/>
              <w:snapToGrid/>
              <w:ind w:firstLine="0" w:firstLineChars="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2.对未能达到的</w:t>
            </w:r>
            <w:r>
              <w:rPr>
                <w:rFonts w:hint="eastAsia" w:hAnsi="宋体" w:eastAsia="宋体" w:cs="宋体"/>
                <w:b w:val="0"/>
                <w:bCs w:val="0"/>
                <w:sz w:val="21"/>
                <w:szCs w:val="21"/>
                <w:lang w:val="en-US" w:eastAsia="zh-CN"/>
              </w:rPr>
              <w:t>响应/报价</w:t>
            </w:r>
            <w:r>
              <w:rPr>
                <w:rFonts w:hint="eastAsia" w:ascii="宋体" w:hAnsi="宋体" w:eastAsia="宋体" w:cs="宋体"/>
                <w:b w:val="0"/>
                <w:bCs w:val="0"/>
                <w:sz w:val="21"/>
                <w:szCs w:val="21"/>
                <w:lang w:val="en-US" w:eastAsia="zh-CN"/>
              </w:rPr>
              <w:t>文件要求或</w:t>
            </w:r>
            <w:r>
              <w:rPr>
                <w:rFonts w:hint="eastAsia" w:hAnsi="宋体" w:eastAsia="宋体" w:cs="宋体"/>
                <w:b w:val="0"/>
                <w:bCs w:val="0"/>
                <w:sz w:val="21"/>
                <w:szCs w:val="21"/>
                <w:lang w:val="en-US" w:eastAsia="zh-CN"/>
              </w:rPr>
              <w:t>响应/报价</w:t>
            </w:r>
            <w:r>
              <w:rPr>
                <w:rFonts w:hint="eastAsia" w:ascii="宋体" w:hAnsi="宋体" w:eastAsia="宋体" w:cs="宋体"/>
                <w:b w:val="0"/>
                <w:bCs w:val="0"/>
                <w:sz w:val="21"/>
                <w:szCs w:val="21"/>
                <w:lang w:val="en-US" w:eastAsia="zh-CN"/>
              </w:rPr>
              <w:t>承诺而愿承担责任。</w:t>
            </w:r>
          </w:p>
          <w:p w14:paraId="165BF7D5">
            <w:pPr>
              <w:pStyle w:val="4"/>
              <w:keepNext w:val="0"/>
              <w:keepLines w:val="0"/>
              <w:pageBreakBefore w:val="0"/>
              <w:kinsoku/>
              <w:overflowPunct/>
              <w:topLinePunct w:val="0"/>
              <w:bidi w:val="0"/>
              <w:adjustRightInd/>
              <w:snapToGrid/>
              <w:ind w:firstLine="0" w:firstLineChars="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lang w:eastAsia="zh-CN"/>
              </w:rPr>
              <w:t>）</w:t>
            </w:r>
            <w:r>
              <w:rPr>
                <w:rFonts w:hint="eastAsia" w:ascii="宋体" w:hAnsi="宋体" w:eastAsia="宋体" w:cs="宋体"/>
                <w:b/>
                <w:bCs/>
                <w:sz w:val="21"/>
                <w:szCs w:val="21"/>
              </w:rPr>
              <w:t>评分标准：</w:t>
            </w:r>
          </w:p>
          <w:p w14:paraId="4D7F8B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r>
              <w:rPr>
                <w:rFonts w:hint="eastAsia" w:ascii="宋体" w:hAnsi="宋体" w:eastAsia="宋体" w:cs="宋体"/>
                <w:sz w:val="21"/>
                <w:szCs w:val="21"/>
                <w:lang w:val="en-US" w:eastAsia="zh-CN"/>
              </w:rPr>
              <w:t>提出违约承诺的，得</w:t>
            </w:r>
            <w:r>
              <w:rPr>
                <w:rFonts w:hint="eastAsia" w:hAnsi="宋体" w:eastAsia="宋体" w:cs="宋体"/>
                <w:sz w:val="21"/>
                <w:szCs w:val="21"/>
                <w:lang w:val="en-US" w:eastAsia="zh-CN"/>
              </w:rPr>
              <w:t>4</w:t>
            </w:r>
            <w:r>
              <w:rPr>
                <w:rFonts w:hint="eastAsia" w:ascii="宋体" w:hAnsi="宋体" w:eastAsia="宋体" w:cs="宋体"/>
                <w:sz w:val="21"/>
                <w:szCs w:val="21"/>
                <w:lang w:val="en-US" w:eastAsia="zh-CN"/>
              </w:rPr>
              <w:t>分。要求提供承诺函</w:t>
            </w:r>
            <w:r>
              <w:rPr>
                <w:rFonts w:hint="eastAsia" w:ascii="宋体" w:hAnsi="宋体" w:eastAsia="宋体" w:cs="宋体"/>
                <w:sz w:val="21"/>
                <w:szCs w:val="21"/>
              </w:rPr>
              <w:t>（格式自拟）作为得分依据，未提供承诺或承诺内容不满足要求的不得分。</w:t>
            </w:r>
            <w:r>
              <w:rPr>
                <w:rFonts w:hint="eastAsia" w:ascii="宋体" w:hAnsi="宋体" w:eastAsia="宋体" w:cs="宋体"/>
                <w:color w:val="auto"/>
                <w:kern w:val="2"/>
                <w:sz w:val="22"/>
                <w:szCs w:val="22"/>
                <w:lang w:val="en-US" w:eastAsia="zh-CN" w:bidi="ar-SA"/>
              </w:rPr>
              <w:t xml:space="preserve"> </w:t>
            </w:r>
          </w:p>
        </w:tc>
      </w:tr>
      <w:tr w14:paraId="00B52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B0B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总分</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37E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总分</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585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100</w:t>
            </w:r>
          </w:p>
        </w:tc>
        <w:tc>
          <w:tcPr>
            <w:tcW w:w="6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75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2"/>
                <w:szCs w:val="22"/>
                <w:lang w:val="en-US" w:eastAsia="zh-CN" w:bidi="ar-SA"/>
              </w:rPr>
            </w:pPr>
          </w:p>
        </w:tc>
      </w:tr>
    </w:tbl>
    <w:p w14:paraId="61F843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3B031D"/>
    <w:rsid w:val="169F72CB"/>
    <w:rsid w:val="280C5191"/>
    <w:rsid w:val="2D6A0A71"/>
    <w:rsid w:val="2DF500E3"/>
    <w:rsid w:val="34EC41DF"/>
    <w:rsid w:val="453B031D"/>
    <w:rsid w:val="4B944949"/>
    <w:rsid w:val="4EB14ED2"/>
    <w:rsid w:val="54C4331E"/>
    <w:rsid w:val="5EB35D99"/>
    <w:rsid w:val="71FB3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List Paragraph"/>
    <w:basedOn w:val="3"/>
    <w:qFormat/>
    <w:uiPriority w:val="26"/>
    <w:pPr>
      <w:ind w:firstLine="420" w:firstLineChars="200"/>
    </w:pPr>
  </w:style>
  <w:style w:type="paragraph" w:customStyle="1" w:styleId="3">
    <w:name w:val="星耀正文"/>
    <w:basedOn w:val="1"/>
    <w:qFormat/>
    <w:uiPriority w:val="3"/>
    <w:pPr>
      <w:ind w:firstLine="422" w:firstLineChars="200"/>
    </w:pPr>
    <w:rPr>
      <w:rFonts w:ascii="宋体" w:hAnsi="宋体" w:eastAsia="仿宋_GB2312" w:cs="宋体"/>
      <w:bCs/>
    </w:rPr>
  </w:style>
  <w:style w:type="paragraph" w:styleId="4">
    <w:name w:val="annotation text"/>
    <w:basedOn w:val="1"/>
    <w:qFormat/>
    <w:uiPriority w:val="0"/>
    <w:pPr>
      <w:autoSpaceDE w:val="0"/>
      <w:autoSpaceDN w:val="0"/>
      <w:adjustRightInd w:val="0"/>
      <w:jc w:val="left"/>
      <w:textAlignment w:val="baseline"/>
    </w:pPr>
    <w:rPr>
      <w:rFonts w:ascii="宋体"/>
      <w:kern w:val="0"/>
      <w:sz w:val="34"/>
      <w:szCs w:val="20"/>
    </w:rPr>
  </w:style>
  <w:style w:type="paragraph" w:styleId="5">
    <w:name w:val="Body Text Indent 2"/>
    <w:basedOn w:val="1"/>
    <w:qFormat/>
    <w:uiPriority w:val="0"/>
    <w:pPr>
      <w:spacing w:after="120" w:afterLines="0" w:afterAutospacing="0" w:line="480" w:lineRule="auto"/>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1728</Words>
  <Characters>1782</Characters>
  <Lines>0</Lines>
  <Paragraphs>0</Paragraphs>
  <TotalTime>8</TotalTime>
  <ScaleCrop>false</ScaleCrop>
  <LinksUpToDate>false</LinksUpToDate>
  <CharactersWithSpaces>1792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2025-07-10T03:25:00Z</dcterms:created>
  <dc:creator>敏敏</dc:creator>
  <cp:lastModifiedBy>暴雪疾风似流年</cp:lastModifiedBy>
  <dcterms:modified xsi:type="dcterms:W3CDTF">2025-07-14T01:57:10Z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1F10A55C9E52460297EC9E46E908D5CB_11</vt:lpwstr>
  </property>
  <property fmtid="{D5CDD505-2E9C-101B-9397-08002B2CF9AE}" pid="4" name="KSOTemplateDocerSaveRecord">
    <vt:lpwstr>eyJoZGlkIjoiZDVkMTg4OTk1ZWI5MTc1ZmE5Nzc2MjFjNzQ2ZmQzNmQiLCJ1c2VySWQiOiI1ODg2ODY0MTcifQ==</vt:lpwstr>
  </property>
</Properties>
</file>