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2472" w:tblpY="1567"/>
        <w:tblOverlap w:val="never"/>
        <w:tblW w:w="12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89"/>
        <w:gridCol w:w="2987"/>
        <w:gridCol w:w="3326"/>
        <w:gridCol w:w="2837"/>
        <w:gridCol w:w="2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2705" w:type="dxa"/>
            <w:gridSpan w:val="5"/>
            <w:tcBorders>
              <w:top w:val="single" w:color="auto" w:sz="6" w:space="0"/>
              <w:left w:val="single" w:color="auto" w:sz="6" w:space="0"/>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000000"/>
                <w:spacing w:val="0"/>
                <w:sz w:val="21"/>
                <w:szCs w:val="21"/>
              </w:rPr>
              <w:t>标的资产清单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12705" w:type="dxa"/>
            <w:gridSpan w:val="5"/>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right"/>
              <w:rPr>
                <w:rFonts w:hint="eastAsia" w:ascii="仿宋" w:hAnsi="仿宋" w:eastAsia="仿宋" w:cs="仿宋"/>
                <w:sz w:val="21"/>
                <w:szCs w:val="21"/>
              </w:rPr>
            </w:pPr>
            <w:r>
              <w:rPr>
                <w:rFonts w:hint="eastAsia" w:ascii="仿宋" w:hAnsi="仿宋" w:eastAsia="仿宋" w:cs="仿宋"/>
                <w:i w:val="0"/>
                <w:iCs w:val="0"/>
                <w:caps w:val="0"/>
                <w:color w:val="1B1B1B"/>
                <w:spacing w:val="0"/>
                <w:sz w:val="21"/>
                <w:szCs w:val="21"/>
              </w:rPr>
              <w:t>基准日：202</w:t>
            </w:r>
            <w:r>
              <w:rPr>
                <w:rFonts w:hint="eastAsia" w:ascii="仿宋" w:hAnsi="仿宋" w:eastAsia="仿宋" w:cs="仿宋"/>
                <w:i w:val="0"/>
                <w:iCs w:val="0"/>
                <w:caps w:val="0"/>
                <w:color w:val="1B1B1B"/>
                <w:spacing w:val="0"/>
                <w:sz w:val="21"/>
                <w:szCs w:val="21"/>
                <w:lang w:val="en-US" w:eastAsia="zh-CN"/>
              </w:rPr>
              <w:t>6</w:t>
            </w:r>
            <w:r>
              <w:rPr>
                <w:rFonts w:hint="eastAsia" w:ascii="仿宋" w:hAnsi="仿宋" w:eastAsia="仿宋" w:cs="仿宋"/>
                <w:i w:val="0"/>
                <w:iCs w:val="0"/>
                <w:caps w:val="0"/>
                <w:color w:val="1B1B1B"/>
                <w:spacing w:val="0"/>
                <w:sz w:val="21"/>
                <w:szCs w:val="21"/>
              </w:rPr>
              <w:t>年</w:t>
            </w:r>
            <w:r>
              <w:rPr>
                <w:rFonts w:hint="eastAsia" w:ascii="仿宋" w:hAnsi="仿宋" w:eastAsia="仿宋" w:cs="仿宋"/>
                <w:i w:val="0"/>
                <w:iCs w:val="0"/>
                <w:caps w:val="0"/>
                <w:color w:val="1B1B1B"/>
                <w:spacing w:val="0"/>
                <w:sz w:val="21"/>
                <w:szCs w:val="21"/>
                <w:lang w:val="en-US" w:eastAsia="zh-CN"/>
              </w:rPr>
              <w:t>4</w:t>
            </w:r>
            <w:r>
              <w:rPr>
                <w:rFonts w:hint="eastAsia" w:ascii="仿宋" w:hAnsi="仿宋" w:eastAsia="仿宋" w:cs="仿宋"/>
                <w:i w:val="0"/>
                <w:iCs w:val="0"/>
                <w:caps w:val="0"/>
                <w:color w:val="1B1B1B"/>
                <w:spacing w:val="0"/>
                <w:sz w:val="21"/>
                <w:szCs w:val="21"/>
              </w:rPr>
              <w:t>月</w:t>
            </w:r>
            <w:r>
              <w:rPr>
                <w:rFonts w:hint="eastAsia" w:ascii="仿宋" w:hAnsi="仿宋" w:eastAsia="仿宋" w:cs="仿宋"/>
                <w:i w:val="0"/>
                <w:iCs w:val="0"/>
                <w:caps w:val="0"/>
                <w:color w:val="1B1B1B"/>
                <w:spacing w:val="0"/>
                <w:sz w:val="21"/>
                <w:szCs w:val="21"/>
                <w:lang w:val="en-US" w:eastAsia="zh-CN"/>
              </w:rPr>
              <w:t>30</w:t>
            </w:r>
            <w:r>
              <w:rPr>
                <w:rFonts w:hint="eastAsia" w:ascii="仿宋" w:hAnsi="仿宋" w:eastAsia="仿宋" w:cs="仿宋"/>
                <w:i w:val="0"/>
                <w:iCs w:val="0"/>
                <w:caps w:val="0"/>
                <w:color w:val="1B1B1B"/>
                <w:spacing w:val="0"/>
                <w:sz w:val="21"/>
                <w:szCs w:val="21"/>
              </w:rPr>
              <w:t>日；单位：人民币/元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589" w:type="dxa"/>
            <w:tcBorders>
              <w:top w:val="nil"/>
              <w:left w:val="single" w:color="auto" w:sz="6" w:space="0"/>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序号</w:t>
            </w:r>
          </w:p>
        </w:tc>
        <w:tc>
          <w:tcPr>
            <w:tcW w:w="2987" w:type="dxa"/>
            <w:tcBorders>
              <w:top w:val="nil"/>
              <w:left w:val="nil"/>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债务人</w:t>
            </w:r>
          </w:p>
        </w:tc>
        <w:tc>
          <w:tcPr>
            <w:tcW w:w="3326" w:type="dxa"/>
            <w:tcBorders>
              <w:top w:val="nil"/>
              <w:left w:val="nil"/>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本金余额</w:t>
            </w:r>
          </w:p>
        </w:tc>
        <w:tc>
          <w:tcPr>
            <w:tcW w:w="2837" w:type="dxa"/>
            <w:tcBorders>
              <w:top w:val="nil"/>
              <w:left w:val="nil"/>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利息（含罚息）</w:t>
            </w:r>
          </w:p>
        </w:tc>
        <w:tc>
          <w:tcPr>
            <w:tcW w:w="2966" w:type="dxa"/>
            <w:tcBorders>
              <w:top w:val="nil"/>
              <w:left w:val="nil"/>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其他垫付用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589" w:type="dxa"/>
            <w:vMerge w:val="restar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Fonts w:hint="eastAsia" w:ascii="仿宋" w:hAnsi="仿宋" w:eastAsia="仿宋" w:cs="仿宋"/>
                <w:i w:val="0"/>
                <w:iCs w:val="0"/>
                <w:caps w:val="0"/>
                <w:color w:val="1B1B1B"/>
                <w:spacing w:val="0"/>
                <w:sz w:val="21"/>
                <w:szCs w:val="21"/>
              </w:rPr>
              <w:t>1</w:t>
            </w:r>
          </w:p>
        </w:tc>
        <w:tc>
          <w:tcPr>
            <w:tcW w:w="2987"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Fonts w:hint="eastAsia" w:ascii="仿宋" w:hAnsi="仿宋" w:eastAsia="仿宋" w:cs="仿宋"/>
                <w:caps w:val="0"/>
                <w:smallCaps w:val="0"/>
                <w:sz w:val="21"/>
                <w:szCs w:val="21"/>
                <w:highlight w:val="none"/>
              </w:rPr>
              <w:t>深圳羽翎投资发展有限公司</w:t>
            </w:r>
          </w:p>
        </w:tc>
        <w:tc>
          <w:tcPr>
            <w:tcW w:w="3326"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lang w:eastAsia="zh-CN"/>
              </w:rPr>
            </w:pPr>
            <w:r>
              <w:rPr>
                <w:rFonts w:hint="eastAsia" w:ascii="仿宋" w:hAnsi="仿宋" w:eastAsia="仿宋" w:cs="仿宋"/>
                <w:i w:val="0"/>
                <w:iCs w:val="0"/>
                <w:caps w:val="0"/>
                <w:color w:val="1B1B1B"/>
                <w:spacing w:val="0"/>
                <w:sz w:val="21"/>
                <w:szCs w:val="21"/>
                <w:lang w:val="en-US" w:eastAsia="zh-CN"/>
              </w:rPr>
              <w:t xml:space="preserve">152,632,179.63  </w:t>
            </w:r>
          </w:p>
        </w:tc>
        <w:tc>
          <w:tcPr>
            <w:tcW w:w="2837"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lang w:eastAsia="zh-CN"/>
              </w:rPr>
            </w:pPr>
            <w:r>
              <w:rPr>
                <w:rFonts w:hint="eastAsia" w:ascii="仿宋" w:hAnsi="仿宋" w:eastAsia="仿宋" w:cs="仿宋"/>
                <w:i w:val="0"/>
                <w:iCs w:val="0"/>
                <w:caps w:val="0"/>
                <w:color w:val="1B1B1B"/>
                <w:spacing w:val="0"/>
                <w:sz w:val="21"/>
                <w:szCs w:val="21"/>
                <w:lang w:val="en-US" w:eastAsia="zh-CN"/>
              </w:rPr>
              <w:t xml:space="preserve">30,985,742.63 </w:t>
            </w:r>
          </w:p>
        </w:tc>
        <w:tc>
          <w:tcPr>
            <w:tcW w:w="2966"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lang w:eastAsia="zh-CN"/>
              </w:rPr>
            </w:pPr>
            <w:r>
              <w:rPr>
                <w:rFonts w:hint="eastAsia" w:ascii="仿宋" w:hAnsi="仿宋" w:eastAsia="仿宋" w:cs="仿宋"/>
                <w:i w:val="0"/>
                <w:iCs w:val="0"/>
                <w:caps w:val="0"/>
                <w:color w:val="1B1B1B"/>
                <w:spacing w:val="0"/>
                <w:sz w:val="21"/>
                <w:szCs w:val="21"/>
                <w:lang w:val="en-US" w:eastAsia="zh-CN"/>
              </w:rPr>
              <w:t xml:space="preserve">918,471.00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589" w:type="dxa"/>
            <w:vMerge w:val="continue"/>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eastAsia" w:ascii="仿宋" w:hAnsi="仿宋" w:eastAsia="仿宋" w:cs="仿宋"/>
                <w:i w:val="0"/>
                <w:iCs w:val="0"/>
                <w:caps w:val="0"/>
                <w:color w:val="333333"/>
                <w:spacing w:val="0"/>
                <w:sz w:val="21"/>
                <w:szCs w:val="21"/>
              </w:rPr>
            </w:pPr>
          </w:p>
        </w:tc>
        <w:tc>
          <w:tcPr>
            <w:tcW w:w="9150" w:type="dxa"/>
            <w:gridSpan w:val="3"/>
            <w:tcBorders>
              <w:top w:val="single" w:color="auto" w:sz="6" w:space="0"/>
              <w:left w:val="single" w:color="auto" w:sz="6" w:space="0"/>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担保方式</w:t>
            </w:r>
          </w:p>
        </w:tc>
        <w:tc>
          <w:tcPr>
            <w:tcW w:w="2966" w:type="dxa"/>
            <w:vMerge w:val="restart"/>
            <w:tcBorders>
              <w:top w:val="single" w:color="auto" w:sz="6" w:space="0"/>
              <w:left w:val="single" w:color="auto" w:sz="6" w:space="0"/>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诉讼情况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589" w:type="dxa"/>
            <w:vMerge w:val="continue"/>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eastAsia" w:ascii="仿宋" w:hAnsi="仿宋" w:eastAsia="仿宋" w:cs="仿宋"/>
                <w:i w:val="0"/>
                <w:iCs w:val="0"/>
                <w:caps w:val="0"/>
                <w:color w:val="333333"/>
                <w:spacing w:val="0"/>
                <w:sz w:val="21"/>
                <w:szCs w:val="21"/>
              </w:rPr>
            </w:pPr>
          </w:p>
        </w:tc>
        <w:tc>
          <w:tcPr>
            <w:tcW w:w="2987" w:type="dxa"/>
            <w:tcBorders>
              <w:top w:val="single" w:color="auto" w:sz="6" w:space="0"/>
              <w:left w:val="single" w:color="auto" w:sz="6" w:space="0"/>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保证</w:t>
            </w:r>
          </w:p>
        </w:tc>
        <w:tc>
          <w:tcPr>
            <w:tcW w:w="3326" w:type="dxa"/>
            <w:tcBorders>
              <w:top w:val="single" w:color="auto" w:sz="6" w:space="0"/>
              <w:left w:val="single" w:color="auto" w:sz="6" w:space="0"/>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抵押</w:t>
            </w:r>
          </w:p>
        </w:tc>
        <w:tc>
          <w:tcPr>
            <w:tcW w:w="2837" w:type="dxa"/>
            <w:tcBorders>
              <w:top w:val="single" w:color="auto" w:sz="6" w:space="0"/>
              <w:left w:val="single" w:color="auto" w:sz="6" w:space="0"/>
              <w:bottom w:val="single" w:color="auto" w:sz="6" w:space="0"/>
              <w:right w:val="single" w:color="auto" w:sz="6" w:space="0"/>
            </w:tcBorders>
            <w:shd w:val="clear" w:color="auto" w:fill="F2F2F2"/>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rPr>
                <w:rFonts w:hint="eastAsia" w:ascii="仿宋" w:hAnsi="仿宋" w:eastAsia="仿宋" w:cs="仿宋"/>
                <w:sz w:val="21"/>
                <w:szCs w:val="21"/>
              </w:rPr>
            </w:pPr>
            <w:r>
              <w:rPr>
                <w:rStyle w:val="6"/>
                <w:rFonts w:hint="eastAsia" w:ascii="仿宋" w:hAnsi="仿宋" w:eastAsia="仿宋" w:cs="仿宋"/>
                <w:i w:val="0"/>
                <w:iCs w:val="0"/>
                <w:caps w:val="0"/>
                <w:color w:val="1B1B1B"/>
                <w:spacing w:val="0"/>
                <w:sz w:val="21"/>
                <w:szCs w:val="21"/>
              </w:rPr>
              <w:t>质押</w:t>
            </w:r>
          </w:p>
        </w:tc>
        <w:tc>
          <w:tcPr>
            <w:tcW w:w="2966" w:type="dxa"/>
            <w:vMerge w:val="continue"/>
            <w:tcBorders>
              <w:top w:val="single" w:color="auto" w:sz="6" w:space="0"/>
              <w:left w:val="single" w:color="auto" w:sz="6" w:space="0"/>
              <w:bottom w:val="single" w:color="auto" w:sz="6" w:space="0"/>
              <w:right w:val="single" w:color="auto" w:sz="6" w:space="0"/>
            </w:tcBorders>
            <w:shd w:val="clear" w:color="auto" w:fill="F2F2F2"/>
            <w:tcMar>
              <w:left w:w="105" w:type="dxa"/>
              <w:right w:w="105" w:type="dxa"/>
            </w:tcMar>
            <w:vAlign w:val="center"/>
          </w:tcPr>
          <w:p>
            <w:pPr>
              <w:rPr>
                <w:rFonts w:hint="eastAsia" w:ascii="仿宋" w:hAnsi="仿宋" w:eastAsia="仿宋" w:cs="仿宋"/>
                <w:i w:val="0"/>
                <w:iCs w:val="0"/>
                <w:caps w:val="0"/>
                <w:color w:val="333333"/>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95" w:hRule="atLeast"/>
        </w:trPr>
        <w:tc>
          <w:tcPr>
            <w:tcW w:w="589" w:type="dxa"/>
            <w:vMerge w:val="continue"/>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rPr>
                <w:rFonts w:hint="eastAsia" w:ascii="仿宋" w:hAnsi="仿宋" w:eastAsia="仿宋" w:cs="仿宋"/>
                <w:i w:val="0"/>
                <w:iCs w:val="0"/>
                <w:caps w:val="0"/>
                <w:color w:val="333333"/>
                <w:spacing w:val="0"/>
                <w:sz w:val="21"/>
                <w:szCs w:val="21"/>
              </w:rPr>
            </w:pPr>
          </w:p>
        </w:tc>
        <w:tc>
          <w:tcPr>
            <w:tcW w:w="2987"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both"/>
              <w:rPr>
                <w:rFonts w:hint="eastAsia" w:ascii="仿宋" w:hAnsi="仿宋" w:eastAsia="仿宋" w:cs="仿宋"/>
                <w:sz w:val="21"/>
                <w:szCs w:val="21"/>
              </w:rPr>
            </w:pPr>
            <w:r>
              <w:rPr>
                <w:rFonts w:hint="eastAsia" w:ascii="仿宋" w:hAnsi="仿宋" w:eastAsia="仿宋" w:cs="仿宋"/>
                <w:caps w:val="0"/>
                <w:smallCaps w:val="0"/>
                <w:sz w:val="21"/>
                <w:szCs w:val="21"/>
                <w:highlight w:val="none"/>
              </w:rPr>
              <w:t>彭鹏、马丹华、桂淑英、深圳香蜜湖商业运营管理有限公司、深圳市藏乐阁文化发展有限公司、深圳摩玛投资发展有限公司、深圳市一九七九文化发展有限公司、深圳一九七九投资发展有限公司、广西巴马一九七九发展有限公司、深圳幸福商业运营管理有限公司、深圳一九七九古墟发展有限公司</w:t>
            </w:r>
          </w:p>
        </w:tc>
        <w:tc>
          <w:tcPr>
            <w:tcW w:w="3326"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left"/>
              <w:rPr>
                <w:rFonts w:hint="eastAsia" w:ascii="仿宋" w:hAnsi="仿宋" w:eastAsia="仿宋" w:cs="仿宋"/>
                <w:caps w:val="0"/>
                <w:smallCaps w:val="0"/>
                <w:sz w:val="21"/>
                <w:szCs w:val="21"/>
                <w:highlight w:val="none"/>
              </w:rPr>
            </w:pPr>
            <w:r>
              <w:rPr>
                <w:rFonts w:hint="eastAsia" w:ascii="仿宋" w:hAnsi="仿宋" w:eastAsia="仿宋" w:cs="仿宋"/>
                <w:caps w:val="0"/>
                <w:smallCaps w:val="0"/>
                <w:sz w:val="21"/>
                <w:szCs w:val="21"/>
                <w:highlight w:val="none"/>
              </w:rPr>
              <w:t>彭鹏以其名下位于福田区福民路北侧中央花园长乐阁1502住宅物业（面积253.37平方米）提供第一顺位抵押担保；</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left"/>
              <w:rPr>
                <w:rFonts w:hint="eastAsia" w:ascii="仿宋" w:hAnsi="仿宋" w:eastAsia="仿宋" w:cs="仿宋"/>
                <w:sz w:val="21"/>
                <w:szCs w:val="21"/>
              </w:rPr>
            </w:pPr>
            <w:r>
              <w:rPr>
                <w:rFonts w:hint="eastAsia" w:ascii="仿宋" w:hAnsi="仿宋" w:eastAsia="仿宋" w:cs="仿宋"/>
                <w:caps w:val="0"/>
                <w:smallCaps w:val="0"/>
                <w:sz w:val="21"/>
                <w:szCs w:val="21"/>
                <w:highlight w:val="none"/>
              </w:rPr>
              <w:t>桂淑英、马丹华分别以其名下位于南山区招商街道海上世界双玺花园三期B区2栋37A住宅物业（面积425.08平方米）、南山区侨香路天鹅湖花园（一期)B栋二单元303住宅物业（面积335.28平方米）提供第二顺位抵押担保</w:t>
            </w:r>
          </w:p>
        </w:tc>
        <w:tc>
          <w:tcPr>
            <w:tcW w:w="2837"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left"/>
              <w:rPr>
                <w:rFonts w:hint="eastAsia" w:ascii="仿宋" w:hAnsi="仿宋" w:eastAsia="仿宋" w:cs="仿宋"/>
                <w:sz w:val="21"/>
                <w:szCs w:val="21"/>
              </w:rPr>
            </w:pPr>
            <w:r>
              <w:rPr>
                <w:rFonts w:hint="eastAsia" w:ascii="仿宋" w:hAnsi="仿宋" w:eastAsia="仿宋" w:cs="仿宋"/>
                <w:caps w:val="0"/>
                <w:smallCaps w:val="0"/>
                <w:sz w:val="21"/>
                <w:szCs w:val="21"/>
                <w:highlight w:val="none"/>
              </w:rPr>
              <w:t>深圳羽翎投资发展有限公司、深圳香蜜湖商业运营管理有限公司分别以其所持有的全部应收账款提供质押担保</w:t>
            </w:r>
          </w:p>
        </w:tc>
        <w:tc>
          <w:tcPr>
            <w:tcW w:w="2966"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left"/>
              <w:rPr>
                <w:rFonts w:hint="eastAsia" w:ascii="仿宋" w:hAnsi="仿宋" w:eastAsia="仿宋" w:cs="仿宋"/>
                <w:sz w:val="21"/>
                <w:szCs w:val="21"/>
                <w:lang w:val="en-US" w:eastAsia="zh-CN"/>
              </w:rPr>
            </w:pPr>
            <w:r>
              <w:rPr>
                <w:rFonts w:hint="eastAsia" w:ascii="仿宋" w:hAnsi="仿宋" w:eastAsia="仿宋" w:cs="仿宋"/>
                <w:caps w:val="0"/>
                <w:smallCaps w:val="0"/>
                <w:sz w:val="21"/>
                <w:szCs w:val="21"/>
                <w:highlight w:val="none"/>
                <w:lang w:val="en-US" w:eastAsia="zh-CN"/>
              </w:rPr>
              <w:t>已取得生效裁决，案件处于执行中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95" w:hRule="atLeast"/>
        </w:trPr>
        <w:tc>
          <w:tcPr>
            <w:tcW w:w="12705" w:type="dxa"/>
            <w:gridSpan w:val="5"/>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left"/>
              <w:rPr>
                <w:rFonts w:hint="eastAsia" w:ascii="仿宋" w:hAnsi="仿宋" w:eastAsia="仿宋" w:cs="仿宋"/>
                <w:caps w:val="0"/>
                <w:smallCaps w:val="0"/>
                <w:sz w:val="21"/>
                <w:szCs w:val="21"/>
                <w:highlight w:val="none"/>
                <w:lang w:val="en-US" w:eastAsia="zh-CN"/>
              </w:rPr>
            </w:pPr>
            <w:r>
              <w:rPr>
                <w:rFonts w:hint="eastAsia" w:ascii="仿宋" w:hAnsi="仿宋" w:eastAsia="仿宋" w:cs="仿宋"/>
                <w:sz w:val="21"/>
                <w:szCs w:val="21"/>
              </w:rPr>
              <w:t>注：标的资产实际情况以借据、合同、法院判决等有关法律资料确定的为准。</w:t>
            </w:r>
            <w:bookmarkStart w:id="0" w:name="_GoBack"/>
            <w:bookmarkEnd w:id="0"/>
          </w:p>
        </w:tc>
      </w:tr>
    </w:tbl>
    <w:p>
      <w:pPr>
        <w:numPr>
          <w:ilvl w:val="0"/>
          <w:numId w:val="0"/>
        </w:numPr>
        <w:rPr>
          <w:rFonts w:hint="default"/>
          <w:lang w:val="en-US" w:eastAsia="zh-CN"/>
        </w:rPr>
      </w:pPr>
    </w:p>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6E05B"/>
    <w:multiLevelType w:val="singleLevel"/>
    <w:tmpl w:val="3AB6E05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672BDC"/>
    <w:rsid w:val="3D602CBC"/>
    <w:rsid w:val="5C672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2026-08-05T06:50:00Z</dcterms:created>
  <dc:creator>...</dc:creator>
  <cp:lastModifiedBy>...</cp:lastModifiedBy>
  <dcterms:modified xsi:type="dcterms:W3CDTF">2026-08-19T09:36:39Z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9B7380A0C8CE4A5980D34E766DEC5822</vt:lpwstr>
  </property>
</Properties>
</file>