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80" w:tblpY="2558"/>
        <w:tblOverlap w:val="never"/>
        <w:tblW w:w="49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01"/>
        <w:gridCol w:w="1735"/>
        <w:gridCol w:w="1432"/>
        <w:gridCol w:w="1595"/>
        <w:gridCol w:w="1573"/>
        <w:gridCol w:w="3455"/>
        <w:gridCol w:w="859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债务人</w:t>
            </w:r>
          </w:p>
        </w:tc>
        <w:tc>
          <w:tcPr>
            <w:tcW w:w="6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本金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利息（含罚息、复利）</w:t>
            </w:r>
          </w:p>
        </w:tc>
        <w:tc>
          <w:tcPr>
            <w:tcW w:w="5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其他代垫费用</w:t>
            </w:r>
          </w:p>
        </w:tc>
        <w:tc>
          <w:tcPr>
            <w:tcW w:w="20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担保方式</w:t>
            </w:r>
          </w:p>
        </w:tc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诉讼情况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保证</w:t>
            </w:r>
          </w:p>
        </w:tc>
        <w:tc>
          <w:tcPr>
            <w:tcW w:w="1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抵押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质押</w:t>
            </w:r>
          </w:p>
        </w:tc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bookmarkStart w:id="0" w:name="_GoBack" w:colFirst="1" w:colLast="8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王学科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6,420,000.00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361,859.13 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11,800.00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深圳市翠羽明珠贸易有限公司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深圳市宝安区西乡街道华海金湾公馆(A104-0135)1栋E座二单元7**，面积88.94㎡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1B1B1B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1B1B1B"/>
                <w:kern w:val="0"/>
                <w:sz w:val="18"/>
                <w:szCs w:val="18"/>
              </w:rPr>
              <w:t xml:space="preserve">2026年3月立案，已申请保全 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注:以借据、合同、法院判决等有关法律资料为准。</w:t>
            </w:r>
          </w:p>
        </w:tc>
      </w:tr>
    </w:tbl>
    <w:p>
      <w:pPr>
        <w:widowControl/>
        <w:jc w:val="righ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交易基准日2026年0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月3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日</w:t>
      </w:r>
    </w:p>
    <w:p>
      <w:pPr>
        <w:widowControl/>
        <w:jc w:val="righ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单位:人民币/元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75C4"/>
    <w:rsid w:val="0E0B4C1A"/>
    <w:rsid w:val="17804154"/>
    <w:rsid w:val="266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2026-06-05T08:38:00Z</dcterms:created>
  <dc:creator>...</dc:creator>
  <cp:lastModifiedBy>...</cp:lastModifiedBy>
  <dcterms:modified xsi:type="dcterms:W3CDTF">2026-06-11T10:14:52Z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C33026A7D7E1482D9B97C2B478B58A45</vt:lpwstr>
  </property>
</Properties>
</file>