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14CDA">
      <w:pPr>
        <w:widowControl/>
        <w:spacing w:before="100" w:beforeAutospacing="1" w:after="100"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8423" w:type="dxa"/>
        <w:jc w:val="center"/>
        <w:tblCellSpacing w:w="0" w:type="dxa"/>
        <w:tblLayout w:type="autofit"/>
        <w:tblCellMar>
          <w:top w:w="45" w:type="dxa"/>
          <w:left w:w="45" w:type="dxa"/>
          <w:bottom w:w="45" w:type="dxa"/>
          <w:right w:w="45" w:type="dxa"/>
        </w:tblCellMar>
      </w:tblPr>
      <w:tblGrid>
        <w:gridCol w:w="2723"/>
        <w:gridCol w:w="5700"/>
      </w:tblGrid>
      <w:tr w14:paraId="2F8FD52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63E1C17">
            <w:pPr>
              <w:widowControl/>
              <w:jc w:val="right"/>
              <w:rPr>
                <w:sz w:val="30"/>
                <w:szCs w:val="30"/>
              </w:rPr>
            </w:pPr>
            <w:r>
              <w:rPr>
                <w:rFonts w:ascii="宋体" w:hAnsi="宋体" w:cs="宋体"/>
                <w:kern w:val="0"/>
                <w:sz w:val="30"/>
                <w:szCs w:val="30"/>
              </w:rPr>
              <w:t>项目编号：</w:t>
            </w:r>
          </w:p>
        </w:tc>
        <w:tc>
          <w:tcPr>
            <w:tcW w:w="5700" w:type="dxa"/>
            <w:shd w:val="clear" w:color="auto" w:fill="auto"/>
            <w:vAlign w:val="center"/>
          </w:tcPr>
          <w:p w14:paraId="07C8707B">
            <w:pPr>
              <w:widowControl/>
              <w:jc w:val="left"/>
              <w:rPr>
                <w:sz w:val="30"/>
                <w:szCs w:val="30"/>
              </w:rPr>
            </w:pPr>
            <w:r>
              <w:rPr>
                <w:rFonts w:hint="eastAsia"/>
                <w:sz w:val="30"/>
                <w:szCs w:val="30"/>
              </w:rPr>
              <w:t>SZZXCG-2025-00183</w:t>
            </w:r>
          </w:p>
        </w:tc>
      </w:tr>
      <w:tr w14:paraId="47E3E68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BF13B65">
            <w:pPr>
              <w:widowControl/>
              <w:jc w:val="right"/>
              <w:rPr>
                <w:sz w:val="30"/>
                <w:szCs w:val="30"/>
              </w:rPr>
            </w:pPr>
            <w:r>
              <w:rPr>
                <w:rFonts w:ascii="宋体" w:hAnsi="宋体" w:cs="宋体"/>
                <w:kern w:val="0"/>
                <w:sz w:val="30"/>
                <w:szCs w:val="30"/>
              </w:rPr>
              <w:t>项目名称：</w:t>
            </w:r>
          </w:p>
        </w:tc>
        <w:tc>
          <w:tcPr>
            <w:tcW w:w="5700" w:type="dxa"/>
            <w:shd w:val="clear" w:color="auto" w:fill="auto"/>
            <w:vAlign w:val="center"/>
          </w:tcPr>
          <w:p w14:paraId="30805FB1">
            <w:pPr>
              <w:widowControl/>
              <w:jc w:val="left"/>
              <w:rPr>
                <w:sz w:val="30"/>
                <w:szCs w:val="30"/>
              </w:rPr>
            </w:pPr>
            <w:r>
              <w:rPr>
                <w:rFonts w:hint="eastAsia" w:ascii="宋体" w:hAnsi="宋体" w:cs="宋体"/>
                <w:kern w:val="0"/>
                <w:sz w:val="30"/>
                <w:szCs w:val="30"/>
                <w:lang w:bidi="ar"/>
              </w:rPr>
              <w:t>深圳市中医院网络信息安全运营服务项目</w:t>
            </w:r>
          </w:p>
        </w:tc>
      </w:tr>
      <w:tr w14:paraId="422AE46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D0F07EF">
            <w:pPr>
              <w:widowControl/>
              <w:jc w:val="right"/>
              <w:rPr>
                <w:sz w:val="30"/>
                <w:szCs w:val="30"/>
              </w:rPr>
            </w:pPr>
            <w:r>
              <w:rPr>
                <w:rFonts w:ascii="宋体" w:hAnsi="宋体" w:cs="宋体"/>
                <w:kern w:val="0"/>
                <w:sz w:val="30"/>
                <w:szCs w:val="30"/>
              </w:rPr>
              <w:t>包 号：</w:t>
            </w:r>
          </w:p>
        </w:tc>
        <w:tc>
          <w:tcPr>
            <w:tcW w:w="5700" w:type="dxa"/>
            <w:shd w:val="clear" w:color="auto" w:fill="auto"/>
            <w:vAlign w:val="center"/>
          </w:tcPr>
          <w:p w14:paraId="14B01539">
            <w:pPr>
              <w:widowControl/>
              <w:jc w:val="left"/>
              <w:rPr>
                <w:sz w:val="30"/>
                <w:szCs w:val="30"/>
              </w:rPr>
            </w:pPr>
            <w:r>
              <w:rPr>
                <w:rFonts w:ascii="宋体" w:hAnsi="宋体" w:cs="宋体"/>
                <w:kern w:val="0"/>
                <w:sz w:val="30"/>
                <w:szCs w:val="30"/>
              </w:rPr>
              <w:t>A</w:t>
            </w:r>
          </w:p>
        </w:tc>
      </w:tr>
      <w:tr w14:paraId="2DFB3DB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28A16B3">
            <w:pPr>
              <w:widowControl/>
              <w:jc w:val="right"/>
              <w:rPr>
                <w:sz w:val="30"/>
                <w:szCs w:val="30"/>
              </w:rPr>
            </w:pPr>
            <w:r>
              <w:rPr>
                <w:rFonts w:ascii="宋体" w:hAnsi="宋体" w:cs="宋体"/>
                <w:kern w:val="0"/>
                <w:sz w:val="30"/>
                <w:szCs w:val="30"/>
              </w:rPr>
              <w:t>项目类型：</w:t>
            </w:r>
          </w:p>
        </w:tc>
        <w:tc>
          <w:tcPr>
            <w:tcW w:w="5700" w:type="dxa"/>
            <w:shd w:val="clear" w:color="auto" w:fill="auto"/>
            <w:vAlign w:val="center"/>
          </w:tcPr>
          <w:p w14:paraId="06957020">
            <w:pPr>
              <w:widowControl/>
              <w:jc w:val="left"/>
              <w:rPr>
                <w:sz w:val="30"/>
                <w:szCs w:val="30"/>
              </w:rPr>
            </w:pPr>
            <w:r>
              <w:rPr>
                <w:rFonts w:hint="eastAsia" w:ascii="宋体" w:hAnsi="宋体" w:cs="宋体"/>
                <w:kern w:val="0"/>
                <w:sz w:val="30"/>
                <w:szCs w:val="30"/>
              </w:rPr>
              <w:t>服务类</w:t>
            </w:r>
          </w:p>
        </w:tc>
      </w:tr>
      <w:tr w14:paraId="371919D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A7B67E5">
            <w:pPr>
              <w:widowControl/>
              <w:jc w:val="right"/>
              <w:rPr>
                <w:sz w:val="30"/>
                <w:szCs w:val="30"/>
              </w:rPr>
            </w:pPr>
            <w:r>
              <w:rPr>
                <w:rFonts w:ascii="宋体" w:hAnsi="宋体" w:cs="宋体"/>
                <w:kern w:val="0"/>
                <w:sz w:val="30"/>
                <w:szCs w:val="30"/>
              </w:rPr>
              <w:t>采购方式：</w:t>
            </w:r>
          </w:p>
        </w:tc>
        <w:tc>
          <w:tcPr>
            <w:tcW w:w="5700" w:type="dxa"/>
            <w:shd w:val="clear" w:color="auto" w:fill="auto"/>
            <w:vAlign w:val="center"/>
          </w:tcPr>
          <w:p w14:paraId="0B4D7F4B">
            <w:pPr>
              <w:widowControl/>
              <w:jc w:val="left"/>
              <w:rPr>
                <w:sz w:val="30"/>
                <w:szCs w:val="30"/>
              </w:rPr>
            </w:pPr>
            <w:r>
              <w:rPr>
                <w:rFonts w:ascii="宋体" w:hAnsi="宋体" w:cs="宋体"/>
                <w:kern w:val="0"/>
                <w:sz w:val="30"/>
                <w:szCs w:val="30"/>
              </w:rPr>
              <w:t>公开</w:t>
            </w:r>
            <w:r>
              <w:rPr>
                <w:rFonts w:hint="eastAsia" w:ascii="宋体" w:hAnsi="宋体" w:cs="宋体"/>
                <w:kern w:val="0"/>
                <w:sz w:val="30"/>
                <w:szCs w:val="30"/>
              </w:rPr>
              <w:t>招标</w:t>
            </w:r>
          </w:p>
        </w:tc>
      </w:tr>
      <w:tr w14:paraId="3B583EC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900B756">
            <w:pPr>
              <w:widowControl/>
              <w:jc w:val="right"/>
              <w:rPr>
                <w:sz w:val="30"/>
                <w:szCs w:val="30"/>
              </w:rPr>
            </w:pPr>
            <w:r>
              <w:rPr>
                <w:rFonts w:ascii="宋体" w:hAnsi="宋体" w:cs="宋体"/>
                <w:kern w:val="0"/>
                <w:sz w:val="30"/>
                <w:szCs w:val="30"/>
              </w:rPr>
              <w:t>货币类型：</w:t>
            </w:r>
          </w:p>
        </w:tc>
        <w:tc>
          <w:tcPr>
            <w:tcW w:w="5700" w:type="dxa"/>
            <w:shd w:val="clear" w:color="auto" w:fill="auto"/>
            <w:vAlign w:val="center"/>
          </w:tcPr>
          <w:p w14:paraId="0B86542F">
            <w:pPr>
              <w:widowControl/>
              <w:jc w:val="left"/>
              <w:rPr>
                <w:sz w:val="30"/>
                <w:szCs w:val="30"/>
              </w:rPr>
            </w:pPr>
            <w:r>
              <w:rPr>
                <w:rFonts w:ascii="宋体" w:hAnsi="宋体" w:cs="宋体"/>
                <w:kern w:val="0"/>
                <w:sz w:val="30"/>
                <w:szCs w:val="30"/>
              </w:rPr>
              <w:t>人民币</w:t>
            </w:r>
          </w:p>
        </w:tc>
      </w:tr>
      <w:tr w14:paraId="1ADF4E8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36E335C">
            <w:pPr>
              <w:widowControl/>
              <w:jc w:val="right"/>
              <w:rPr>
                <w:sz w:val="30"/>
                <w:szCs w:val="30"/>
              </w:rPr>
            </w:pPr>
            <w:r>
              <w:rPr>
                <w:rFonts w:ascii="宋体" w:hAnsi="宋体" w:cs="宋体"/>
                <w:kern w:val="0"/>
                <w:sz w:val="30"/>
                <w:szCs w:val="30"/>
              </w:rPr>
              <w:t>评标方法：</w:t>
            </w:r>
          </w:p>
        </w:tc>
        <w:tc>
          <w:tcPr>
            <w:tcW w:w="5700" w:type="dxa"/>
            <w:shd w:val="clear" w:color="auto" w:fill="auto"/>
            <w:vAlign w:val="center"/>
          </w:tcPr>
          <w:p w14:paraId="75B5380B">
            <w:pPr>
              <w:widowControl/>
              <w:jc w:val="left"/>
              <w:rPr>
                <w:sz w:val="30"/>
                <w:szCs w:val="30"/>
              </w:rPr>
            </w:pPr>
            <w:r>
              <w:rPr>
                <w:rFonts w:ascii="宋体" w:hAnsi="宋体" w:cs="宋体"/>
                <w:kern w:val="0"/>
                <w:sz w:val="30"/>
                <w:szCs w:val="30"/>
                <w:lang w:bidi="ar"/>
              </w:rPr>
              <w:t>综合评分法</w:t>
            </w:r>
          </w:p>
        </w:tc>
      </w:tr>
    </w:tbl>
    <w:p w14:paraId="03D3CBF7">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9D56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F446412">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DC00039">
            <w:pPr>
              <w:jc w:val="center"/>
              <w:rPr>
                <w:rFonts w:hint="eastAsia" w:ascii="宋体" w:hAnsi="宋体" w:cs="宋体"/>
                <w:sz w:val="28"/>
                <w:szCs w:val="28"/>
              </w:rPr>
            </w:pPr>
            <w:r>
              <w:rPr>
                <w:sz w:val="28"/>
                <w:szCs w:val="28"/>
              </w:rPr>
              <w:t>内容</w:t>
            </w:r>
          </w:p>
        </w:tc>
      </w:tr>
      <w:tr w14:paraId="02E71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A682191">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7DC8BAC">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7578FE0A">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4F709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DB6C35E">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2771AFC3">
            <w:pPr>
              <w:widowControl/>
              <w:jc w:val="center"/>
              <w:rPr>
                <w:sz w:val="28"/>
                <w:szCs w:val="28"/>
              </w:rPr>
            </w:pPr>
            <w:r>
              <w:rPr>
                <w:rFonts w:ascii="宋体" w:hAnsi="宋体" w:cs="宋体"/>
                <w:kern w:val="0"/>
                <w:sz w:val="28"/>
                <w:szCs w:val="28"/>
              </w:rPr>
              <w:t>内容</w:t>
            </w:r>
          </w:p>
        </w:tc>
      </w:tr>
      <w:tr w14:paraId="2AA2C1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C91586A">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EF9A7AF">
            <w:pPr>
              <w:widowControl/>
              <w:jc w:val="left"/>
              <w:textAlignment w:val="top"/>
              <w:rPr>
                <w:szCs w:val="21"/>
              </w:rPr>
            </w:pPr>
            <w:r>
              <w:rPr>
                <w:rFonts w:hint="eastAsia"/>
              </w:rPr>
              <w:t>不得将一个包内容拆开投标；</w:t>
            </w:r>
          </w:p>
        </w:tc>
      </w:tr>
      <w:tr w14:paraId="51322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0F3F43B">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9ED5712">
            <w:pPr>
              <w:widowControl/>
              <w:jc w:val="left"/>
              <w:textAlignment w:val="top"/>
              <w:rPr>
                <w:szCs w:val="21"/>
              </w:rPr>
            </w:pPr>
            <w:r>
              <w:rPr>
                <w:rFonts w:hint="eastAsia"/>
              </w:rPr>
              <w:t>对同一项目投标时，不得提供两套以上的投标方案（招标文件另有规定的除外）；</w:t>
            </w:r>
          </w:p>
        </w:tc>
      </w:tr>
      <w:tr w14:paraId="3DDD9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CF51C37">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2481AD6">
            <w:pPr>
              <w:widowControl/>
              <w:jc w:val="left"/>
              <w:textAlignment w:val="top"/>
              <w:rPr>
                <w:szCs w:val="21"/>
              </w:rPr>
            </w:pPr>
            <w:r>
              <w:rPr>
                <w:rFonts w:hint="eastAsia"/>
              </w:rPr>
              <w:t>分项报价或投标总价不得高于相应预算金额（或设定的预算金额下的最高限价）；</w:t>
            </w:r>
          </w:p>
        </w:tc>
      </w:tr>
      <w:tr w14:paraId="344C00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8993FC9">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A30FC4E">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A399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2BFB343">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F4D0EB1">
            <w:pPr>
              <w:widowControl/>
              <w:jc w:val="left"/>
              <w:textAlignment w:val="top"/>
              <w:rPr>
                <w:szCs w:val="21"/>
              </w:rPr>
            </w:pPr>
            <w:r>
              <w:rPr>
                <w:rFonts w:hint="eastAsia"/>
              </w:rPr>
              <w:t>投标人响应的内容在技术、商务等方面没有实质性满足（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14:paraId="03517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E8C3A2B">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4A043B0">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14:paraId="2E79C6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729C222">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8097928">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14:paraId="60631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0B1B3BB">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C48D013">
            <w:pPr>
              <w:widowControl/>
              <w:jc w:val="left"/>
              <w:textAlignment w:val="top"/>
              <w:rPr>
                <w:szCs w:val="21"/>
              </w:rPr>
            </w:pPr>
            <w:r>
              <w:rPr>
                <w:rFonts w:hint="eastAsia"/>
              </w:rPr>
              <w:t>投标文件电子文档不得带病毒；</w:t>
            </w:r>
          </w:p>
        </w:tc>
      </w:tr>
      <w:tr w14:paraId="70137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3D49777">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DC38008">
            <w:pPr>
              <w:widowControl/>
              <w:jc w:val="left"/>
              <w:textAlignment w:val="top"/>
              <w:rPr>
                <w:szCs w:val="21"/>
              </w:rPr>
            </w:pPr>
            <w:r>
              <w:rPr>
                <w:rFonts w:hint="eastAsia"/>
              </w:rPr>
              <w:t>投标文件用不属于本公司的电子密钥进行加密或投标文件未按时解密的；</w:t>
            </w:r>
          </w:p>
        </w:tc>
      </w:tr>
      <w:tr w14:paraId="1C976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5DDD1A9">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9C102DC">
            <w:pPr>
              <w:widowControl/>
              <w:jc w:val="left"/>
              <w:textAlignment w:val="top"/>
              <w:rPr>
                <w:szCs w:val="21"/>
              </w:rPr>
            </w:pPr>
            <w:r>
              <w:rPr>
                <w:rFonts w:hint="eastAsia"/>
              </w:rPr>
              <w:t>法律、法规、规章、规范性文件规定的其他情形。</w:t>
            </w:r>
          </w:p>
        </w:tc>
      </w:tr>
    </w:tbl>
    <w:p w14:paraId="77C36418">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33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477"/>
        <w:gridCol w:w="539"/>
        <w:gridCol w:w="2015"/>
        <w:gridCol w:w="816"/>
        <w:gridCol w:w="5486"/>
      </w:tblGrid>
      <w:tr w14:paraId="588B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333" w:type="dxa"/>
            <w:gridSpan w:val="5"/>
            <w:vAlign w:val="center"/>
          </w:tcPr>
          <w:p w14:paraId="1DE3DF83">
            <w:pPr>
              <w:jc w:val="left"/>
              <w:rPr>
                <w:rFonts w:hint="eastAsia" w:ascii="宋体" w:hAnsi="宋体" w:cs="宋体"/>
                <w:b/>
                <w:bCs/>
                <w:sz w:val="24"/>
              </w:rPr>
            </w:pPr>
            <w:r>
              <w:rPr>
                <w:b/>
                <w:bCs/>
              </w:rPr>
              <w:t>评标方法：综合评分法</w:t>
            </w:r>
          </w:p>
        </w:tc>
      </w:tr>
      <w:tr w14:paraId="7361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048" w:hRule="atLeast"/>
          <w:tblCellSpacing w:w="0" w:type="dxa"/>
          <w:jc w:val="center"/>
        </w:trPr>
        <w:tc>
          <w:tcPr>
            <w:tcW w:w="9333" w:type="dxa"/>
            <w:gridSpan w:val="5"/>
            <w:vAlign w:val="center"/>
          </w:tcPr>
          <w:p w14:paraId="04E127EB">
            <w:pPr>
              <w:pStyle w:val="37"/>
              <w:spacing w:line="324" w:lineRule="auto"/>
              <w:ind w:firstLine="420"/>
              <w:rPr>
                <w:sz w:val="21"/>
                <w:szCs w:val="21"/>
              </w:rPr>
            </w:pPr>
            <w:r>
              <w:rPr>
                <w:rFonts w:hint="eastAsia"/>
                <w:sz w:val="21"/>
                <w:szCs w:val="21"/>
              </w:rPr>
              <w:t>综合评分法，是指投标文件满足招标文件全部实质性要求，且按照评审因素的量化指标评审得分最高的投标人为中标候选人的评标方法。 （适用于中标候选人为1家的情形）</w:t>
            </w:r>
          </w:p>
          <w:p w14:paraId="4CC51852">
            <w:pPr>
              <w:pStyle w:val="37"/>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4042D33D">
            <w:pPr>
              <w:pStyle w:val="37"/>
              <w:ind w:firstLine="420"/>
              <w:rPr>
                <w:sz w:val="21"/>
                <w:szCs w:val="21"/>
              </w:rPr>
            </w:pPr>
            <w:r>
              <w:rPr>
                <w:sz w:val="21"/>
                <w:szCs w:val="21"/>
              </w:rPr>
              <w:t>价格分计算方法：</w:t>
            </w:r>
          </w:p>
          <w:p w14:paraId="5EAE8FA5">
            <w:pPr>
              <w:pStyle w:val="37"/>
              <w:spacing w:line="324" w:lineRule="auto"/>
              <w:ind w:left="420"/>
              <w:rPr>
                <w:sz w:val="21"/>
                <w:szCs w:val="21"/>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69C98787">
            <w:pPr>
              <w:pStyle w:val="37"/>
              <w:spacing w:line="324" w:lineRule="auto"/>
              <w:ind w:firstLine="420"/>
              <w:rPr>
                <w:sz w:val="21"/>
                <w:szCs w:val="21"/>
              </w:rPr>
            </w:pPr>
            <w:r>
              <w:rPr>
                <w:rFonts w:hint="eastAsia" w:ascii="Times New Roman" w:hAnsi="Times New Roman" w:eastAsia="宋体" w:cs="Times New Roman"/>
                <w:b/>
                <w:bCs/>
                <w:color w:val="FF0000"/>
                <w:sz w:val="21"/>
                <w:szCs w:val="21"/>
              </w:rPr>
              <w:t>注：投标人的“技术响应情况”“技术偏离情况”等必须与客观实际保持一致，响应不实且情节严重的，经查实，将依法记入供应商诚信档案或受到行政处罚。</w:t>
            </w:r>
          </w:p>
        </w:tc>
      </w:tr>
      <w:tr w14:paraId="72C9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shd w:val="clear" w:color="auto" w:fill="E6EFFA"/>
            <w:vAlign w:val="center"/>
          </w:tcPr>
          <w:p w14:paraId="524EF9F5">
            <w:pPr>
              <w:wordWrap w:val="0"/>
              <w:jc w:val="center"/>
              <w:rPr>
                <w:rFonts w:ascii="宋体" w:hAnsi="宋体" w:cs="宋体"/>
                <w:b/>
                <w:bCs/>
                <w:szCs w:val="21"/>
              </w:rPr>
            </w:pPr>
            <w:r>
              <w:rPr>
                <w:rFonts w:hint="eastAsia" w:ascii="宋体" w:hAnsi="宋体" w:cs="宋体"/>
                <w:b/>
                <w:bCs/>
                <w:szCs w:val="21"/>
              </w:rPr>
              <w:t>序号</w:t>
            </w:r>
          </w:p>
        </w:tc>
        <w:tc>
          <w:tcPr>
            <w:tcW w:w="3370" w:type="dxa"/>
            <w:gridSpan w:val="3"/>
            <w:shd w:val="clear" w:color="auto" w:fill="E6EFFA"/>
            <w:vAlign w:val="center"/>
          </w:tcPr>
          <w:p w14:paraId="18B90AE4">
            <w:pPr>
              <w:wordWrap w:val="0"/>
              <w:jc w:val="center"/>
              <w:rPr>
                <w:rFonts w:ascii="宋体" w:hAnsi="宋体" w:cs="宋体"/>
                <w:b/>
                <w:bCs/>
                <w:szCs w:val="21"/>
              </w:rPr>
            </w:pPr>
            <w:r>
              <w:rPr>
                <w:rFonts w:hint="eastAsia" w:ascii="宋体" w:hAnsi="宋体" w:cs="宋体"/>
                <w:b/>
                <w:bCs/>
                <w:szCs w:val="21"/>
              </w:rPr>
              <w:t>评分项</w:t>
            </w:r>
          </w:p>
        </w:tc>
        <w:tc>
          <w:tcPr>
            <w:tcW w:w="5486" w:type="dxa"/>
            <w:shd w:val="clear" w:color="auto" w:fill="E6EFFA"/>
            <w:vAlign w:val="center"/>
          </w:tcPr>
          <w:p w14:paraId="19578107">
            <w:pPr>
              <w:wordWrap w:val="0"/>
              <w:jc w:val="center"/>
              <w:rPr>
                <w:rFonts w:ascii="宋体" w:hAnsi="宋体" w:cs="宋体"/>
                <w:b/>
                <w:bCs/>
                <w:szCs w:val="21"/>
              </w:rPr>
            </w:pPr>
            <w:r>
              <w:rPr>
                <w:rFonts w:hint="eastAsia" w:ascii="宋体" w:hAnsi="宋体" w:cs="宋体"/>
                <w:b/>
                <w:bCs/>
                <w:szCs w:val="21"/>
              </w:rPr>
              <w:t>权重(%)</w:t>
            </w:r>
          </w:p>
        </w:tc>
      </w:tr>
      <w:tr w14:paraId="6AE7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restart"/>
          </w:tcPr>
          <w:p w14:paraId="5096073D">
            <w:pPr>
              <w:wordWrap w:val="0"/>
              <w:jc w:val="center"/>
              <w:rPr>
                <w:rFonts w:ascii="宋体" w:hAnsi="宋体" w:cs="宋体"/>
                <w:b/>
                <w:bCs/>
                <w:color w:val="0000FF"/>
                <w:szCs w:val="21"/>
              </w:rPr>
            </w:pPr>
            <w:r>
              <w:rPr>
                <w:rFonts w:hint="eastAsia" w:ascii="宋体" w:hAnsi="宋体" w:cs="宋体"/>
                <w:b/>
                <w:bCs/>
                <w:color w:val="0000FF"/>
                <w:szCs w:val="21"/>
              </w:rPr>
              <w:t>1</w:t>
            </w:r>
          </w:p>
        </w:tc>
        <w:tc>
          <w:tcPr>
            <w:tcW w:w="3370" w:type="dxa"/>
            <w:gridSpan w:val="3"/>
          </w:tcPr>
          <w:p w14:paraId="621C7C12">
            <w:pPr>
              <w:wordWrap w:val="0"/>
              <w:jc w:val="center"/>
              <w:rPr>
                <w:rFonts w:ascii="宋体" w:hAnsi="宋体" w:cs="宋体"/>
                <w:b/>
                <w:bCs/>
                <w:color w:val="0000FF"/>
                <w:szCs w:val="21"/>
              </w:rPr>
            </w:pPr>
            <w:r>
              <w:rPr>
                <w:rFonts w:hint="eastAsia" w:ascii="宋体" w:hAnsi="宋体" w:cs="宋体"/>
                <w:b/>
                <w:bCs/>
                <w:color w:val="0000FF"/>
                <w:szCs w:val="21"/>
              </w:rPr>
              <w:t>价格</w:t>
            </w:r>
          </w:p>
        </w:tc>
        <w:tc>
          <w:tcPr>
            <w:tcW w:w="5486" w:type="dxa"/>
          </w:tcPr>
          <w:p w14:paraId="349059F1">
            <w:pPr>
              <w:wordWrap w:val="0"/>
              <w:jc w:val="center"/>
              <w:rPr>
                <w:rFonts w:ascii="宋体" w:hAnsi="宋体" w:cs="宋体"/>
                <w:b/>
                <w:bCs/>
                <w:color w:val="0000FF"/>
                <w:szCs w:val="21"/>
              </w:rPr>
            </w:pPr>
            <w:r>
              <w:rPr>
                <w:rFonts w:hint="eastAsia" w:ascii="宋体" w:hAnsi="宋体" w:cs="宋体"/>
                <w:b/>
                <w:bCs/>
                <w:color w:val="0000FF"/>
                <w:szCs w:val="21"/>
              </w:rPr>
              <w:t>20</w:t>
            </w:r>
          </w:p>
        </w:tc>
      </w:tr>
      <w:tr w14:paraId="6694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continue"/>
            <w:vAlign w:val="center"/>
          </w:tcPr>
          <w:p w14:paraId="448718F6">
            <w:pPr>
              <w:rPr>
                <w:rFonts w:ascii="宋体" w:hAnsi="宋体" w:cs="宋体"/>
                <w:b/>
                <w:bCs/>
                <w:color w:val="0000FF"/>
                <w:szCs w:val="21"/>
              </w:rPr>
            </w:pPr>
          </w:p>
        </w:tc>
        <w:tc>
          <w:tcPr>
            <w:tcW w:w="8856" w:type="dxa"/>
            <w:gridSpan w:val="4"/>
          </w:tcPr>
          <w:p w14:paraId="31862B83">
            <w:pPr>
              <w:wordWrap w:val="0"/>
              <w:rPr>
                <w:rFonts w:ascii="宋体" w:hAnsi="宋体" w:cs="宋体"/>
                <w:szCs w:val="21"/>
              </w:rPr>
            </w:pPr>
          </w:p>
        </w:tc>
      </w:tr>
      <w:tr w14:paraId="2B3E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restart"/>
          </w:tcPr>
          <w:p w14:paraId="7F7AB311">
            <w:pPr>
              <w:wordWrap w:val="0"/>
              <w:jc w:val="center"/>
              <w:rPr>
                <w:rFonts w:ascii="宋体" w:hAnsi="宋体" w:cs="宋体"/>
                <w:b/>
                <w:bCs/>
                <w:color w:val="0000FF"/>
                <w:szCs w:val="21"/>
              </w:rPr>
            </w:pPr>
            <w:r>
              <w:rPr>
                <w:rFonts w:hint="eastAsia" w:ascii="宋体" w:hAnsi="宋体" w:cs="宋体"/>
                <w:b/>
                <w:bCs/>
                <w:color w:val="0000FF"/>
                <w:szCs w:val="21"/>
              </w:rPr>
              <w:t>2</w:t>
            </w:r>
          </w:p>
        </w:tc>
        <w:tc>
          <w:tcPr>
            <w:tcW w:w="3370" w:type="dxa"/>
            <w:gridSpan w:val="3"/>
          </w:tcPr>
          <w:p w14:paraId="193CFFB5">
            <w:pPr>
              <w:wordWrap w:val="0"/>
              <w:jc w:val="center"/>
              <w:rPr>
                <w:rFonts w:ascii="宋体" w:hAnsi="宋体" w:cs="宋体"/>
                <w:b/>
                <w:bCs/>
                <w:color w:val="0000FF"/>
                <w:szCs w:val="21"/>
              </w:rPr>
            </w:pPr>
            <w:r>
              <w:rPr>
                <w:rFonts w:hint="eastAsia" w:ascii="宋体" w:hAnsi="宋体" w:cs="宋体"/>
                <w:b/>
                <w:bCs/>
                <w:color w:val="0000FF"/>
                <w:szCs w:val="21"/>
              </w:rPr>
              <w:t>技术部分</w:t>
            </w:r>
          </w:p>
        </w:tc>
        <w:tc>
          <w:tcPr>
            <w:tcW w:w="5486" w:type="dxa"/>
          </w:tcPr>
          <w:p w14:paraId="19233791">
            <w:pPr>
              <w:wordWrap w:val="0"/>
              <w:jc w:val="center"/>
              <w:rPr>
                <w:rFonts w:hint="default" w:ascii="宋体" w:hAnsi="宋体" w:eastAsia="宋体" w:cs="宋体"/>
                <w:b/>
                <w:bCs/>
                <w:color w:val="0000FF"/>
                <w:szCs w:val="21"/>
                <w:lang w:val="en-US" w:eastAsia="zh-CN"/>
              </w:rPr>
            </w:pPr>
            <w:r>
              <w:rPr>
                <w:rFonts w:hint="eastAsia" w:ascii="宋体" w:hAnsi="宋体" w:cs="宋体"/>
                <w:b/>
                <w:bCs/>
                <w:color w:val="0000FF"/>
                <w:szCs w:val="21"/>
                <w:lang w:val="en-US" w:eastAsia="zh-CN"/>
              </w:rPr>
              <w:t>60</w:t>
            </w:r>
          </w:p>
        </w:tc>
      </w:tr>
      <w:tr w14:paraId="33CB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continue"/>
            <w:vAlign w:val="center"/>
          </w:tcPr>
          <w:p w14:paraId="648AFA20">
            <w:pPr>
              <w:rPr>
                <w:rFonts w:ascii="宋体" w:hAnsi="宋体" w:cs="宋体"/>
                <w:b/>
                <w:bCs/>
                <w:color w:val="0000FF"/>
                <w:szCs w:val="21"/>
              </w:rPr>
            </w:pPr>
          </w:p>
        </w:tc>
        <w:tc>
          <w:tcPr>
            <w:tcW w:w="8856" w:type="dxa"/>
            <w:gridSpan w:val="4"/>
          </w:tcPr>
          <w:p w14:paraId="62E5018D">
            <w:pPr>
              <w:wordWrap w:val="0"/>
              <w:rPr>
                <w:rFonts w:ascii="宋体" w:hAnsi="宋体" w:cs="宋体"/>
                <w:szCs w:val="21"/>
              </w:rPr>
            </w:pPr>
          </w:p>
        </w:tc>
      </w:tr>
      <w:tr w14:paraId="4E70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continue"/>
            <w:shd w:val="clear" w:color="auto" w:fill="E6EFFA"/>
            <w:vAlign w:val="center"/>
          </w:tcPr>
          <w:p w14:paraId="47028AA1">
            <w:pPr>
              <w:rPr>
                <w:rFonts w:ascii="宋体" w:hAnsi="宋体" w:cs="宋体"/>
                <w:b/>
                <w:bCs/>
                <w:color w:val="0000FF"/>
                <w:szCs w:val="21"/>
              </w:rPr>
            </w:pPr>
          </w:p>
        </w:tc>
        <w:tc>
          <w:tcPr>
            <w:tcW w:w="539" w:type="dxa"/>
            <w:shd w:val="clear" w:color="auto" w:fill="E6EFFA"/>
            <w:vAlign w:val="center"/>
          </w:tcPr>
          <w:p w14:paraId="4AE2137E">
            <w:pPr>
              <w:wordWrap w:val="0"/>
              <w:jc w:val="center"/>
              <w:rPr>
                <w:rFonts w:ascii="宋体" w:hAnsi="宋体" w:cs="宋体"/>
                <w:szCs w:val="21"/>
              </w:rPr>
            </w:pPr>
            <w:r>
              <w:rPr>
                <w:rFonts w:hint="eastAsia" w:ascii="宋体" w:hAnsi="宋体" w:cs="宋体"/>
                <w:szCs w:val="21"/>
              </w:rPr>
              <w:t>序号</w:t>
            </w:r>
          </w:p>
        </w:tc>
        <w:tc>
          <w:tcPr>
            <w:tcW w:w="2015" w:type="dxa"/>
            <w:shd w:val="clear" w:color="auto" w:fill="E6EFFA"/>
            <w:vAlign w:val="center"/>
          </w:tcPr>
          <w:p w14:paraId="279D25B4">
            <w:pPr>
              <w:wordWrap w:val="0"/>
              <w:jc w:val="center"/>
              <w:rPr>
                <w:rFonts w:ascii="宋体" w:hAnsi="宋体" w:cs="宋体"/>
                <w:szCs w:val="21"/>
              </w:rPr>
            </w:pPr>
            <w:r>
              <w:rPr>
                <w:rFonts w:hint="eastAsia" w:ascii="宋体" w:hAnsi="宋体" w:cs="宋体"/>
                <w:szCs w:val="21"/>
              </w:rPr>
              <w:t>评审因素</w:t>
            </w:r>
          </w:p>
        </w:tc>
        <w:tc>
          <w:tcPr>
            <w:tcW w:w="816" w:type="dxa"/>
            <w:shd w:val="clear" w:color="auto" w:fill="E6EFFA"/>
            <w:vAlign w:val="center"/>
          </w:tcPr>
          <w:p w14:paraId="527B52FB">
            <w:pPr>
              <w:wordWrap w:val="0"/>
              <w:jc w:val="center"/>
              <w:rPr>
                <w:rFonts w:ascii="宋体" w:hAnsi="宋体" w:cs="宋体"/>
                <w:szCs w:val="21"/>
              </w:rPr>
            </w:pPr>
            <w:r>
              <w:rPr>
                <w:rFonts w:hint="eastAsia" w:ascii="宋体" w:hAnsi="宋体" w:cs="宋体"/>
                <w:szCs w:val="21"/>
              </w:rPr>
              <w:t>权重(%)</w:t>
            </w:r>
          </w:p>
        </w:tc>
        <w:tc>
          <w:tcPr>
            <w:tcW w:w="5486" w:type="dxa"/>
            <w:shd w:val="clear" w:color="auto" w:fill="E6EFFA"/>
            <w:vAlign w:val="center"/>
          </w:tcPr>
          <w:p w14:paraId="7F7C24A6">
            <w:pPr>
              <w:wordWrap w:val="0"/>
              <w:jc w:val="center"/>
              <w:rPr>
                <w:rFonts w:ascii="宋体" w:hAnsi="宋体" w:cs="宋体"/>
                <w:szCs w:val="21"/>
              </w:rPr>
            </w:pPr>
            <w:r>
              <w:rPr>
                <w:rFonts w:hint="eastAsia" w:ascii="宋体" w:hAnsi="宋体" w:cs="宋体"/>
                <w:szCs w:val="21"/>
              </w:rPr>
              <w:t>评分准则</w:t>
            </w:r>
          </w:p>
        </w:tc>
      </w:tr>
      <w:tr w14:paraId="2DDE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continue"/>
            <w:vAlign w:val="center"/>
          </w:tcPr>
          <w:p w14:paraId="393B68B7">
            <w:pPr>
              <w:rPr>
                <w:rFonts w:ascii="宋体" w:hAnsi="宋体" w:cs="宋体"/>
                <w:b/>
                <w:bCs/>
                <w:color w:val="0000FF"/>
                <w:szCs w:val="21"/>
              </w:rPr>
            </w:pPr>
          </w:p>
        </w:tc>
        <w:tc>
          <w:tcPr>
            <w:tcW w:w="539" w:type="dxa"/>
            <w:vAlign w:val="center"/>
          </w:tcPr>
          <w:p w14:paraId="2500F516">
            <w:pPr>
              <w:wordWrap w:val="0"/>
              <w:jc w:val="center"/>
              <w:rPr>
                <w:rFonts w:ascii="宋体" w:hAnsi="宋体" w:cs="宋体"/>
                <w:szCs w:val="21"/>
              </w:rPr>
            </w:pPr>
            <w:r>
              <w:rPr>
                <w:rFonts w:hint="eastAsia" w:ascii="宋体" w:hAnsi="宋体" w:cs="宋体"/>
                <w:szCs w:val="21"/>
              </w:rPr>
              <w:t>1</w:t>
            </w:r>
          </w:p>
        </w:tc>
        <w:tc>
          <w:tcPr>
            <w:tcW w:w="2015" w:type="dxa"/>
            <w:vAlign w:val="center"/>
          </w:tcPr>
          <w:p w14:paraId="1689E009">
            <w:pPr>
              <w:wordWrap w:val="0"/>
              <w:jc w:val="center"/>
              <w:rPr>
                <w:rFonts w:ascii="宋体" w:hAnsi="宋体" w:cs="宋体"/>
                <w:szCs w:val="21"/>
              </w:rPr>
            </w:pPr>
            <w:r>
              <w:rPr>
                <w:rFonts w:hint="eastAsia" w:ascii="宋体" w:hAnsi="宋体" w:cs="宋体"/>
                <w:szCs w:val="21"/>
              </w:rPr>
              <w:t>项目总体服务方案</w:t>
            </w:r>
          </w:p>
        </w:tc>
        <w:tc>
          <w:tcPr>
            <w:tcW w:w="816" w:type="dxa"/>
            <w:vAlign w:val="center"/>
          </w:tcPr>
          <w:p w14:paraId="5876D836">
            <w:pPr>
              <w:wordWrap w:val="0"/>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5486" w:type="dxa"/>
          </w:tcPr>
          <w:p w14:paraId="4BA1F986">
            <w:pPr>
              <w:wordWrap w:val="0"/>
              <w:rPr>
                <w:rFonts w:ascii="宋体" w:hAnsi="宋体" w:cs="宋体"/>
                <w:b/>
                <w:bCs/>
                <w:szCs w:val="21"/>
              </w:rPr>
            </w:pPr>
            <w:r>
              <w:rPr>
                <w:rFonts w:hint="eastAsia" w:ascii="宋体" w:hAnsi="宋体" w:cs="宋体"/>
                <w:b/>
                <w:bCs/>
                <w:szCs w:val="21"/>
              </w:rPr>
              <w:t>（一）评分内容：</w:t>
            </w:r>
          </w:p>
          <w:p w14:paraId="5791A6D3">
            <w:pPr>
              <w:wordWrap w:val="0"/>
              <w:rPr>
                <w:rFonts w:ascii="宋体" w:hAnsi="宋体" w:cs="宋体"/>
                <w:szCs w:val="21"/>
              </w:rPr>
            </w:pPr>
            <w:r>
              <w:rPr>
                <w:rFonts w:hint="eastAsia"/>
                <w:szCs w:val="21"/>
              </w:rPr>
              <w:t>1.根据投标人针对本项目制定</w:t>
            </w:r>
            <w:r>
              <w:rPr>
                <w:rFonts w:hint="eastAsia" w:ascii="宋体" w:hAnsi="宋体" w:cs="宋体"/>
                <w:szCs w:val="21"/>
              </w:rPr>
              <w:t>项目总体服务方案</w:t>
            </w:r>
            <w:r>
              <w:rPr>
                <w:rFonts w:hint="eastAsia"/>
                <w:szCs w:val="21"/>
              </w:rPr>
              <w:t>，包含但不限于</w:t>
            </w:r>
          </w:p>
          <w:p w14:paraId="736B54F6">
            <w:pPr>
              <w:wordWrap w:val="0"/>
              <w:rPr>
                <w:rFonts w:ascii="宋体" w:hAnsi="宋体" w:cs="宋体"/>
                <w:szCs w:val="21"/>
              </w:rPr>
            </w:pPr>
            <w:r>
              <w:rPr>
                <w:rFonts w:hint="eastAsia" w:ascii="宋体" w:hAnsi="宋体" w:cs="宋体"/>
                <w:szCs w:val="21"/>
              </w:rPr>
              <w:t>①服务响应承诺；</w:t>
            </w:r>
          </w:p>
          <w:p w14:paraId="0111ACCC">
            <w:pPr>
              <w:wordWrap w:val="0"/>
              <w:rPr>
                <w:rFonts w:ascii="宋体" w:hAnsi="宋体" w:cs="宋体"/>
                <w:szCs w:val="21"/>
              </w:rPr>
            </w:pPr>
            <w:r>
              <w:rPr>
                <w:rFonts w:hint="eastAsia" w:ascii="宋体" w:hAnsi="宋体" w:cs="宋体"/>
                <w:szCs w:val="21"/>
              </w:rPr>
              <w:t>②服务团队安排计划；</w:t>
            </w:r>
          </w:p>
          <w:p w14:paraId="71E7CFB7">
            <w:pPr>
              <w:wordWrap w:val="0"/>
              <w:rPr>
                <w:rFonts w:ascii="宋体" w:hAnsi="宋体" w:cs="宋体"/>
                <w:szCs w:val="21"/>
              </w:rPr>
            </w:pPr>
            <w:r>
              <w:rPr>
                <w:rFonts w:hint="eastAsia" w:ascii="宋体" w:hAnsi="宋体" w:cs="宋体"/>
                <w:szCs w:val="21"/>
              </w:rPr>
              <w:t>③服务工具清单；</w:t>
            </w:r>
          </w:p>
          <w:p w14:paraId="4063CA6C">
            <w:pPr>
              <w:wordWrap w:val="0"/>
              <w:rPr>
                <w:rFonts w:ascii="宋体" w:hAnsi="宋体" w:cs="宋体"/>
                <w:szCs w:val="21"/>
              </w:rPr>
            </w:pPr>
            <w:r>
              <w:rPr>
                <w:szCs w:val="21"/>
              </w:rPr>
              <w:t>④</w:t>
            </w:r>
            <w:r>
              <w:rPr>
                <w:rFonts w:hint="eastAsia" w:ascii="宋体" w:hAnsi="宋体" w:cs="宋体"/>
                <w:szCs w:val="21"/>
              </w:rPr>
              <w:t>项目方案总体设计；</w:t>
            </w:r>
          </w:p>
          <w:p w14:paraId="4520CE89">
            <w:pPr>
              <w:wordWrap w:val="0"/>
              <w:rPr>
                <w:rFonts w:ascii="宋体" w:hAnsi="宋体" w:cs="宋体"/>
                <w:szCs w:val="21"/>
              </w:rPr>
            </w:pPr>
            <w:r>
              <w:rPr>
                <w:szCs w:val="21"/>
              </w:rPr>
              <w:t>⑤</w:t>
            </w:r>
            <w:r>
              <w:rPr>
                <w:rFonts w:hint="eastAsia" w:ascii="宋体" w:hAnsi="宋体" w:cs="宋体"/>
                <w:szCs w:val="21"/>
              </w:rPr>
              <w:t>项目实施管理方案设计；</w:t>
            </w:r>
          </w:p>
          <w:p w14:paraId="5B2A08B3">
            <w:pPr>
              <w:wordWrap w:val="0"/>
              <w:rPr>
                <w:rFonts w:ascii="宋体" w:hAnsi="宋体" w:cs="宋体"/>
                <w:szCs w:val="21"/>
              </w:rPr>
            </w:pPr>
            <w:r>
              <w:rPr>
                <w:szCs w:val="21"/>
              </w:rPr>
              <w:t>⑥</w:t>
            </w:r>
            <w:r>
              <w:rPr>
                <w:rFonts w:hint="eastAsia" w:ascii="宋体" w:hAnsi="宋体" w:cs="宋体"/>
                <w:szCs w:val="21"/>
              </w:rPr>
              <w:t>项目应急保障方案。</w:t>
            </w:r>
          </w:p>
          <w:p w14:paraId="2DDA2312">
            <w:pPr>
              <w:wordWrap w:val="0"/>
              <w:rPr>
                <w:rFonts w:ascii="宋体" w:hAnsi="宋体" w:cs="宋体"/>
                <w:b/>
                <w:bCs/>
                <w:szCs w:val="21"/>
              </w:rPr>
            </w:pPr>
            <w:r>
              <w:rPr>
                <w:rFonts w:hint="eastAsia" w:ascii="宋体" w:hAnsi="宋体" w:cs="宋体"/>
                <w:b/>
                <w:bCs/>
                <w:szCs w:val="21"/>
              </w:rPr>
              <w:t>（二）评分依据：</w:t>
            </w:r>
          </w:p>
          <w:p w14:paraId="77910808">
            <w:pPr>
              <w:wordWrap w:val="0"/>
              <w:rPr>
                <w:rFonts w:ascii="宋体" w:hAnsi="宋体" w:cs="宋体"/>
                <w:szCs w:val="21"/>
              </w:rPr>
            </w:pPr>
            <w:r>
              <w:rPr>
                <w:rFonts w:hint="eastAsia" w:ascii="宋体" w:hAnsi="宋体" w:cs="宋体"/>
                <w:szCs w:val="21"/>
              </w:rPr>
              <w:t>1.考察以上</w:t>
            </w:r>
            <w:r>
              <w:rPr>
                <w:rFonts w:hint="eastAsia" w:ascii="宋体" w:hAnsi="宋体" w:cs="宋体"/>
                <w:szCs w:val="21"/>
                <w:lang w:val="en-US" w:eastAsia="zh-CN"/>
              </w:rPr>
              <w:t>六</w:t>
            </w:r>
            <w:r>
              <w:rPr>
                <w:rFonts w:hint="eastAsia" w:ascii="宋体" w:hAnsi="宋体" w:cs="宋体"/>
                <w:szCs w:val="21"/>
              </w:rPr>
              <w:t>点内容，满足六点的得</w:t>
            </w:r>
            <w:r>
              <w:rPr>
                <w:rFonts w:hint="eastAsia" w:ascii="宋体" w:hAnsi="宋体" w:cs="宋体"/>
                <w:szCs w:val="21"/>
                <w:lang w:val="en-US" w:eastAsia="zh-CN"/>
              </w:rPr>
              <w:t>50</w:t>
            </w:r>
            <w:r>
              <w:rPr>
                <w:rFonts w:hint="eastAsia" w:ascii="宋体" w:hAnsi="宋体" w:cs="宋体"/>
                <w:szCs w:val="21"/>
              </w:rPr>
              <w:t>分，满足任意</w:t>
            </w:r>
            <w:r>
              <w:rPr>
                <w:rFonts w:hint="eastAsia" w:ascii="宋体" w:hAnsi="宋体" w:cs="宋体"/>
                <w:szCs w:val="21"/>
                <w:lang w:val="en-US" w:eastAsia="zh-CN"/>
              </w:rPr>
              <w:t>五</w:t>
            </w:r>
            <w:r>
              <w:rPr>
                <w:rFonts w:hint="eastAsia" w:ascii="宋体" w:hAnsi="宋体" w:cs="宋体"/>
                <w:szCs w:val="21"/>
              </w:rPr>
              <w:t>点的得</w:t>
            </w:r>
            <w:r>
              <w:rPr>
                <w:rFonts w:hint="eastAsia" w:ascii="宋体" w:hAnsi="宋体" w:cs="宋体"/>
                <w:szCs w:val="21"/>
                <w:lang w:val="en-US" w:eastAsia="zh-CN"/>
              </w:rPr>
              <w:t>40</w:t>
            </w:r>
            <w:r>
              <w:rPr>
                <w:rFonts w:hint="eastAsia" w:ascii="宋体" w:hAnsi="宋体" w:cs="宋体"/>
                <w:szCs w:val="21"/>
              </w:rPr>
              <w:t>分，满足任意四点的得</w:t>
            </w:r>
            <w:r>
              <w:rPr>
                <w:rFonts w:hint="eastAsia" w:ascii="宋体" w:hAnsi="宋体" w:cs="宋体"/>
                <w:szCs w:val="21"/>
                <w:lang w:val="en-US" w:eastAsia="zh-CN"/>
              </w:rPr>
              <w:t>30</w:t>
            </w:r>
            <w:r>
              <w:rPr>
                <w:rFonts w:hint="eastAsia" w:ascii="宋体" w:hAnsi="宋体" w:cs="宋体"/>
                <w:szCs w:val="21"/>
              </w:rPr>
              <w:t>分，满足任意</w:t>
            </w:r>
            <w:r>
              <w:rPr>
                <w:rFonts w:hint="eastAsia" w:ascii="宋体" w:hAnsi="宋体" w:cs="宋体"/>
                <w:szCs w:val="21"/>
                <w:lang w:val="en-US" w:eastAsia="zh-CN"/>
              </w:rPr>
              <w:t>三</w:t>
            </w:r>
            <w:r>
              <w:rPr>
                <w:rFonts w:hint="eastAsia" w:ascii="宋体" w:hAnsi="宋体" w:cs="宋体"/>
                <w:szCs w:val="21"/>
              </w:rPr>
              <w:t>点的得</w:t>
            </w:r>
            <w:r>
              <w:rPr>
                <w:rFonts w:hint="eastAsia" w:ascii="宋体" w:hAnsi="宋体" w:cs="宋体"/>
                <w:szCs w:val="21"/>
                <w:lang w:val="en-US" w:eastAsia="zh-CN"/>
              </w:rPr>
              <w:t>20</w:t>
            </w:r>
            <w:r>
              <w:rPr>
                <w:rFonts w:hint="eastAsia" w:ascii="宋体" w:hAnsi="宋体" w:cs="宋体"/>
                <w:szCs w:val="21"/>
              </w:rPr>
              <w:t>分，满足任意两点的得</w:t>
            </w:r>
            <w:r>
              <w:rPr>
                <w:rFonts w:hint="eastAsia" w:ascii="宋体" w:hAnsi="宋体" w:cs="宋体"/>
                <w:szCs w:val="21"/>
                <w:lang w:val="en-US" w:eastAsia="zh-CN"/>
              </w:rPr>
              <w:t>10</w:t>
            </w:r>
            <w:r>
              <w:rPr>
                <w:rFonts w:hint="eastAsia" w:ascii="宋体" w:hAnsi="宋体" w:cs="宋体"/>
                <w:szCs w:val="21"/>
              </w:rPr>
              <w:t>分，</w:t>
            </w:r>
            <w:r>
              <w:rPr>
                <w:rFonts w:hint="eastAsia" w:ascii="宋体" w:hAnsi="宋体" w:cs="宋体"/>
                <w:szCs w:val="21"/>
                <w:lang w:val="en-US" w:eastAsia="zh-CN"/>
              </w:rPr>
              <w:t>否则</w:t>
            </w:r>
            <w:r>
              <w:rPr>
                <w:rFonts w:hint="eastAsia" w:ascii="宋体" w:hAnsi="宋体" w:cs="宋体"/>
                <w:szCs w:val="21"/>
              </w:rPr>
              <w:t>不得分。</w:t>
            </w:r>
          </w:p>
          <w:p w14:paraId="6EBC2C50">
            <w:pPr>
              <w:wordWrap w:val="0"/>
              <w:rPr>
                <w:rFonts w:ascii="宋体" w:hAnsi="宋体" w:cs="宋体"/>
                <w:szCs w:val="21"/>
              </w:rPr>
            </w:pPr>
            <w:r>
              <w:rPr>
                <w:rFonts w:hint="eastAsia" w:ascii="宋体" w:hAnsi="宋体" w:cs="宋体"/>
                <w:szCs w:val="21"/>
              </w:rPr>
              <w:t>2.在第1项得分基础上，专家根据各供应商的具体响应内容按照量化的评审因素指标进一步评审：</w:t>
            </w:r>
          </w:p>
          <w:p w14:paraId="2902AD88">
            <w:pPr>
              <w:wordWrap w:val="0"/>
              <w:rPr>
                <w:rFonts w:ascii="宋体" w:hAnsi="宋体" w:cs="宋体"/>
                <w:szCs w:val="21"/>
              </w:rPr>
            </w:pPr>
            <w:r>
              <w:rPr>
                <w:rFonts w:hint="eastAsia" w:ascii="宋体" w:hAnsi="宋体" w:cs="宋体"/>
                <w:szCs w:val="21"/>
              </w:rPr>
              <w:t>评审为优：方案内容全面、清晰、针对性强、可操作性强的加</w:t>
            </w:r>
            <w:r>
              <w:rPr>
                <w:rFonts w:hint="eastAsia" w:ascii="宋体" w:hAnsi="宋体" w:cs="宋体"/>
                <w:szCs w:val="21"/>
                <w:lang w:val="en-US" w:eastAsia="zh-CN"/>
              </w:rPr>
              <w:t>50</w:t>
            </w:r>
            <w:r>
              <w:rPr>
                <w:rFonts w:hint="eastAsia" w:ascii="宋体" w:hAnsi="宋体" w:cs="宋体"/>
                <w:szCs w:val="21"/>
              </w:rPr>
              <w:t>分；</w:t>
            </w:r>
          </w:p>
          <w:p w14:paraId="7675768D">
            <w:pPr>
              <w:wordWrap w:val="0"/>
              <w:rPr>
                <w:rFonts w:ascii="宋体" w:hAnsi="宋体" w:cs="宋体"/>
                <w:szCs w:val="21"/>
              </w:rPr>
            </w:pPr>
            <w:r>
              <w:rPr>
                <w:rFonts w:hint="eastAsia" w:ascii="宋体" w:hAnsi="宋体" w:cs="宋体"/>
                <w:szCs w:val="21"/>
              </w:rPr>
              <w:t>评审为良：方案内容较全面、较清晰、针对性较强、可操作性较强的加</w:t>
            </w:r>
            <w:r>
              <w:rPr>
                <w:rFonts w:hint="eastAsia" w:ascii="宋体" w:hAnsi="宋体" w:cs="宋体"/>
                <w:szCs w:val="21"/>
                <w:lang w:val="en-US" w:eastAsia="zh-CN"/>
              </w:rPr>
              <w:t>30</w:t>
            </w:r>
            <w:r>
              <w:rPr>
                <w:rFonts w:hint="eastAsia" w:ascii="宋体" w:hAnsi="宋体" w:cs="宋体"/>
                <w:szCs w:val="21"/>
              </w:rPr>
              <w:t>分；</w:t>
            </w:r>
          </w:p>
          <w:p w14:paraId="4F44EABA">
            <w:pPr>
              <w:wordWrap w:val="0"/>
              <w:rPr>
                <w:rFonts w:ascii="宋体" w:hAnsi="宋体" w:cs="宋体"/>
                <w:szCs w:val="21"/>
              </w:rPr>
            </w:pPr>
            <w:r>
              <w:rPr>
                <w:rFonts w:hint="eastAsia" w:ascii="宋体" w:hAnsi="宋体" w:cs="宋体"/>
                <w:szCs w:val="21"/>
              </w:rPr>
              <w:t>评审为中：方案内容基本完整，针对性一般，可操作性一般的加</w:t>
            </w:r>
            <w:r>
              <w:rPr>
                <w:rFonts w:hint="eastAsia" w:ascii="宋体" w:hAnsi="宋体" w:cs="宋体"/>
                <w:szCs w:val="21"/>
                <w:lang w:val="en-US" w:eastAsia="zh-CN"/>
              </w:rPr>
              <w:t>10</w:t>
            </w:r>
            <w:r>
              <w:rPr>
                <w:rFonts w:hint="eastAsia" w:ascii="宋体" w:hAnsi="宋体" w:cs="宋体"/>
                <w:szCs w:val="21"/>
              </w:rPr>
              <w:t>分；</w:t>
            </w:r>
          </w:p>
          <w:p w14:paraId="0B3FD26F">
            <w:pPr>
              <w:wordWrap w:val="0"/>
              <w:rPr>
                <w:rFonts w:ascii="宋体" w:hAnsi="宋体" w:cs="宋体"/>
                <w:szCs w:val="21"/>
              </w:rPr>
            </w:pPr>
            <w:r>
              <w:rPr>
                <w:rFonts w:hint="eastAsia" w:ascii="宋体" w:hAnsi="宋体" w:cs="宋体"/>
                <w:szCs w:val="21"/>
              </w:rPr>
              <w:t>评审为差：方案内容缺失或与项目关联度不大的</w:t>
            </w:r>
            <w:r>
              <w:rPr>
                <w:rFonts w:hint="eastAsia" w:ascii="宋体" w:hAnsi="宋体" w:cs="宋体"/>
                <w:szCs w:val="21"/>
                <w:lang w:eastAsia="zh-CN"/>
              </w:rPr>
              <w:t>，</w:t>
            </w:r>
            <w:r>
              <w:rPr>
                <w:rFonts w:hint="eastAsia" w:ascii="宋体" w:hAnsi="宋体" w:cs="宋体"/>
                <w:szCs w:val="21"/>
                <w:lang w:val="en-US" w:eastAsia="zh-CN"/>
              </w:rPr>
              <w:t>不加分</w:t>
            </w:r>
            <w:r>
              <w:rPr>
                <w:rFonts w:hint="eastAsia" w:ascii="宋体" w:hAnsi="宋体" w:cs="宋体"/>
                <w:szCs w:val="21"/>
              </w:rPr>
              <w:t>。如果评审为差，要求专家书面说明理由，并记录在档。</w:t>
            </w:r>
          </w:p>
          <w:p w14:paraId="414F96AD">
            <w:pPr>
              <w:wordWrap w:val="0"/>
              <w:rPr>
                <w:rFonts w:ascii="宋体" w:hAnsi="宋体" w:cs="宋体"/>
                <w:szCs w:val="21"/>
              </w:rPr>
            </w:pPr>
            <w:r>
              <w:rPr>
                <w:rFonts w:hint="eastAsia" w:ascii="宋体" w:hAnsi="宋体" w:cs="宋体"/>
                <w:szCs w:val="21"/>
              </w:rPr>
              <w:t>以上2项累计得分最高</w:t>
            </w:r>
            <w:r>
              <w:rPr>
                <w:rFonts w:hint="eastAsia" w:ascii="宋体" w:hAnsi="宋体" w:cs="宋体"/>
                <w:szCs w:val="21"/>
                <w:lang w:val="en-US" w:eastAsia="zh-CN"/>
              </w:rPr>
              <w:t>100</w:t>
            </w:r>
            <w:r>
              <w:rPr>
                <w:rFonts w:hint="eastAsia" w:ascii="宋体" w:hAnsi="宋体" w:cs="宋体"/>
                <w:szCs w:val="21"/>
              </w:rPr>
              <w:t>分。</w:t>
            </w:r>
          </w:p>
        </w:tc>
      </w:tr>
      <w:tr w14:paraId="1ED1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restart"/>
            <w:vAlign w:val="center"/>
          </w:tcPr>
          <w:p w14:paraId="4C0FFC87">
            <w:pPr>
              <w:rPr>
                <w:rFonts w:ascii="宋体" w:hAnsi="宋体" w:cs="宋体"/>
                <w:b/>
                <w:bCs/>
                <w:color w:val="0000FF"/>
                <w:szCs w:val="21"/>
              </w:rPr>
            </w:pPr>
          </w:p>
        </w:tc>
        <w:tc>
          <w:tcPr>
            <w:tcW w:w="539" w:type="dxa"/>
            <w:vAlign w:val="center"/>
          </w:tcPr>
          <w:p w14:paraId="672321CE">
            <w:pPr>
              <w:wordWrap w:val="0"/>
              <w:jc w:val="center"/>
              <w:rPr>
                <w:rFonts w:ascii="宋体" w:hAnsi="宋体" w:cs="宋体"/>
                <w:szCs w:val="21"/>
              </w:rPr>
            </w:pPr>
            <w:r>
              <w:rPr>
                <w:rFonts w:hint="eastAsia" w:ascii="宋体" w:hAnsi="宋体" w:cs="宋体"/>
                <w:szCs w:val="21"/>
              </w:rPr>
              <w:t>2</w:t>
            </w:r>
          </w:p>
        </w:tc>
        <w:tc>
          <w:tcPr>
            <w:tcW w:w="2015" w:type="dxa"/>
            <w:vAlign w:val="center"/>
          </w:tcPr>
          <w:p w14:paraId="7F758399">
            <w:pPr>
              <w:wordWrap w:val="0"/>
              <w:jc w:val="center"/>
              <w:rPr>
                <w:rFonts w:ascii="宋体" w:hAnsi="宋体" w:cs="宋体"/>
                <w:szCs w:val="21"/>
              </w:rPr>
            </w:pPr>
            <w:r>
              <w:rPr>
                <w:rFonts w:hint="eastAsia" w:ascii="宋体" w:hAnsi="宋体" w:cs="宋体"/>
                <w:szCs w:val="21"/>
              </w:rPr>
              <w:t>技术要求响应情况</w:t>
            </w:r>
          </w:p>
        </w:tc>
        <w:tc>
          <w:tcPr>
            <w:tcW w:w="816" w:type="dxa"/>
            <w:vAlign w:val="center"/>
          </w:tcPr>
          <w:p w14:paraId="11811236">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40</w:t>
            </w:r>
          </w:p>
        </w:tc>
        <w:tc>
          <w:tcPr>
            <w:tcW w:w="5486" w:type="dxa"/>
          </w:tcPr>
          <w:p w14:paraId="3604B54D">
            <w:pPr>
              <w:jc w:val="left"/>
              <w:rPr>
                <w:rFonts w:ascii="宋体" w:hAnsi="宋体" w:cs="宋体"/>
                <w:szCs w:val="21"/>
              </w:rPr>
            </w:pPr>
            <w:r>
              <w:rPr>
                <w:rFonts w:hint="eastAsia" w:ascii="宋体" w:hAnsi="宋体" w:cs="宋体"/>
                <w:kern w:val="0"/>
                <w:szCs w:val="21"/>
              </w:rPr>
              <w:t>投标人应如实填写《技术要求偏离表》，评审委员会根据技术需求参数响应情况进行打分，各项技术参数指标及要求全部满足的得</w:t>
            </w:r>
            <w:r>
              <w:rPr>
                <w:rFonts w:hint="eastAsia" w:ascii="宋体" w:hAnsi="宋体" w:cs="宋体"/>
                <w:kern w:val="0"/>
                <w:szCs w:val="21"/>
                <w:lang w:val="en-US" w:eastAsia="zh-CN"/>
              </w:rPr>
              <w:t>100</w:t>
            </w:r>
            <w:r>
              <w:rPr>
                <w:rFonts w:hint="eastAsia" w:ascii="宋体" w:hAnsi="宋体" w:cs="宋体"/>
                <w:kern w:val="0"/>
                <w:szCs w:val="21"/>
              </w:rPr>
              <w:t>分，所有标注“▲”的重要参数每项负偏离一扣</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kern w:val="0"/>
                <w:szCs w:val="21"/>
                <w:lang w:val="en-US" w:eastAsia="zh-CN"/>
              </w:rPr>
              <w:t>；</w:t>
            </w:r>
            <w:r>
              <w:rPr>
                <w:rFonts w:hint="eastAsia" w:ascii="宋体" w:hAnsi="宋体" w:cs="宋体"/>
                <w:kern w:val="0"/>
                <w:szCs w:val="21"/>
              </w:rPr>
              <w:t>一般参数每负偏离一条扣</w:t>
            </w:r>
            <w:r>
              <w:rPr>
                <w:rFonts w:hint="eastAsia" w:ascii="宋体" w:hAnsi="宋体" w:cs="宋体"/>
                <w:kern w:val="0"/>
                <w:szCs w:val="21"/>
                <w:lang w:val="en-US" w:eastAsia="zh-CN"/>
              </w:rPr>
              <w:t>0.5</w:t>
            </w:r>
            <w:r>
              <w:rPr>
                <w:rFonts w:hint="eastAsia" w:ascii="宋体" w:hAnsi="宋体" w:cs="宋体"/>
                <w:kern w:val="0"/>
                <w:szCs w:val="21"/>
              </w:rPr>
              <w:t>分，扣完为止。</w:t>
            </w:r>
          </w:p>
        </w:tc>
      </w:tr>
      <w:tr w14:paraId="77DD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continue"/>
            <w:vAlign w:val="center"/>
          </w:tcPr>
          <w:p w14:paraId="2BAC947E">
            <w:pPr>
              <w:rPr>
                <w:rFonts w:ascii="宋体" w:hAnsi="宋体" w:cs="宋体"/>
                <w:b/>
                <w:bCs/>
                <w:color w:val="0000FF"/>
                <w:szCs w:val="21"/>
              </w:rPr>
            </w:pPr>
          </w:p>
        </w:tc>
        <w:tc>
          <w:tcPr>
            <w:tcW w:w="539" w:type="dxa"/>
            <w:vAlign w:val="center"/>
          </w:tcPr>
          <w:p w14:paraId="3F43C668">
            <w:pPr>
              <w:wordWrap w:val="0"/>
              <w:jc w:val="center"/>
              <w:rPr>
                <w:rFonts w:ascii="宋体" w:hAnsi="宋体" w:cs="宋体"/>
                <w:szCs w:val="21"/>
              </w:rPr>
            </w:pPr>
            <w:r>
              <w:rPr>
                <w:rFonts w:hint="eastAsia" w:ascii="宋体" w:hAnsi="宋体" w:cs="宋体"/>
                <w:szCs w:val="21"/>
              </w:rPr>
              <w:t>3</w:t>
            </w:r>
          </w:p>
        </w:tc>
        <w:tc>
          <w:tcPr>
            <w:tcW w:w="2015" w:type="dxa"/>
            <w:vAlign w:val="center"/>
          </w:tcPr>
          <w:p w14:paraId="7926CD38">
            <w:pPr>
              <w:wordWrap w:val="0"/>
              <w:jc w:val="center"/>
              <w:rPr>
                <w:rFonts w:ascii="宋体" w:hAnsi="宋体" w:cs="宋体"/>
                <w:szCs w:val="21"/>
              </w:rPr>
            </w:pPr>
            <w:r>
              <w:rPr>
                <w:rFonts w:hint="eastAsia" w:ascii="宋体" w:hAnsi="宋体" w:cs="宋体"/>
                <w:szCs w:val="21"/>
              </w:rPr>
              <w:t>拟投入的项目技术人员情况</w:t>
            </w:r>
          </w:p>
        </w:tc>
        <w:tc>
          <w:tcPr>
            <w:tcW w:w="816" w:type="dxa"/>
            <w:vAlign w:val="center"/>
          </w:tcPr>
          <w:p w14:paraId="05971073">
            <w:pPr>
              <w:wordWrap w:val="0"/>
              <w:jc w:val="center"/>
              <w:rPr>
                <w:rFonts w:ascii="宋体" w:hAnsi="宋体" w:cs="宋体"/>
                <w:szCs w:val="21"/>
              </w:rPr>
            </w:pPr>
            <w:r>
              <w:rPr>
                <w:rFonts w:hint="eastAsia" w:ascii="宋体" w:hAnsi="宋体" w:cs="宋体"/>
                <w:szCs w:val="21"/>
                <w:lang w:val="en-US" w:eastAsia="zh-CN"/>
              </w:rPr>
              <w:t>14</w:t>
            </w:r>
          </w:p>
        </w:tc>
        <w:tc>
          <w:tcPr>
            <w:tcW w:w="5486" w:type="dxa"/>
          </w:tcPr>
          <w:p w14:paraId="056D1B54">
            <w:pPr>
              <w:jc w:val="left"/>
              <w:rPr>
                <w:rFonts w:hint="eastAsia" w:ascii="宋体" w:hAnsi="宋体" w:eastAsia="宋体" w:cs="宋体"/>
                <w:szCs w:val="21"/>
                <w:lang w:eastAsia="zh-CN"/>
              </w:rPr>
            </w:pPr>
            <w:r>
              <w:rPr>
                <w:rFonts w:hint="eastAsia" w:ascii="宋体" w:hAnsi="宋体" w:cs="宋体"/>
                <w:szCs w:val="21"/>
              </w:rPr>
              <w:t>（一）评分内容</w:t>
            </w:r>
            <w:r>
              <w:rPr>
                <w:rFonts w:hint="eastAsia" w:ascii="宋体" w:hAnsi="宋体" w:cs="宋体"/>
                <w:szCs w:val="21"/>
                <w:lang w:eastAsia="zh-CN"/>
              </w:rPr>
              <w:t>：</w:t>
            </w:r>
          </w:p>
          <w:p w14:paraId="0B780412">
            <w:pPr>
              <w:topLinePunct/>
              <w:snapToGrid w:val="0"/>
              <w:rPr>
                <w:rFonts w:ascii="宋体" w:hAnsi="宋体" w:cs="宋体"/>
                <w:szCs w:val="21"/>
              </w:rPr>
            </w:pPr>
            <w:r>
              <w:rPr>
                <w:rFonts w:hint="eastAsia" w:ascii="宋体" w:hAnsi="宋体" w:cs="宋体"/>
                <w:szCs w:val="21"/>
              </w:rPr>
              <w:t>（1）投标人项目经理具有以下认证：</w:t>
            </w:r>
          </w:p>
          <w:p w14:paraId="313D263A">
            <w:pPr>
              <w:topLinePunct/>
              <w:snapToGrid w:val="0"/>
              <w:rPr>
                <w:rFonts w:ascii="宋体" w:hAnsi="宋体" w:cs="宋体"/>
                <w:szCs w:val="21"/>
              </w:rPr>
            </w:pPr>
            <w:r>
              <w:rPr>
                <w:rFonts w:hint="eastAsia" w:ascii="宋体" w:hAnsi="宋体" w:cs="宋体"/>
                <w:szCs w:val="21"/>
              </w:rPr>
              <w:t>①计算机技术与软件专业技术资格证书（专业：信息系统项目管理师）；</w:t>
            </w:r>
          </w:p>
          <w:p w14:paraId="1825E13F">
            <w:pPr>
              <w:topLinePunct/>
              <w:snapToGrid w:val="0"/>
              <w:rPr>
                <w:rFonts w:ascii="宋体" w:hAnsi="宋体" w:cs="宋体"/>
                <w:szCs w:val="21"/>
              </w:rPr>
            </w:pPr>
            <w:r>
              <w:rPr>
                <w:rFonts w:hint="eastAsia" w:ascii="宋体" w:hAnsi="宋体" w:cs="宋体"/>
                <w:szCs w:val="21"/>
              </w:rPr>
              <w:t>②计算机技术与软件专业技术资格证书（专业：信息安全工程师）；</w:t>
            </w:r>
          </w:p>
          <w:p w14:paraId="594FDF35">
            <w:pPr>
              <w:topLinePunct/>
              <w:snapToGrid w:val="0"/>
              <w:rPr>
                <w:rFonts w:ascii="宋体" w:hAnsi="宋体" w:cs="宋体"/>
                <w:szCs w:val="21"/>
              </w:rPr>
            </w:pPr>
            <w:r>
              <w:rPr>
                <w:rFonts w:hint="eastAsia" w:ascii="宋体" w:hAnsi="宋体" w:cs="宋体"/>
                <w:szCs w:val="21"/>
              </w:rPr>
              <w:t>③中国网络安全审查技术与认证中心颁发的信息安全保障人员证书（认证方向：应急服务）。</w:t>
            </w:r>
          </w:p>
          <w:p w14:paraId="607DBDC4">
            <w:pPr>
              <w:topLinePunct/>
              <w:snapToGrid w:val="0"/>
              <w:rPr>
                <w:rFonts w:ascii="宋体" w:hAnsi="宋体" w:cs="宋体"/>
                <w:szCs w:val="21"/>
              </w:rPr>
            </w:pPr>
            <w:r>
              <w:rPr>
                <w:rFonts w:hint="eastAsia" w:ascii="宋体" w:hAnsi="宋体" w:cs="宋体"/>
                <w:szCs w:val="21"/>
              </w:rPr>
              <w:t>每具有一个得</w:t>
            </w:r>
            <w:r>
              <w:rPr>
                <w:rFonts w:hint="eastAsia" w:ascii="宋体" w:hAnsi="宋体" w:cs="宋体"/>
                <w:szCs w:val="21"/>
                <w:lang w:val="en-US" w:eastAsia="zh-CN"/>
              </w:rPr>
              <w:t>10</w:t>
            </w:r>
            <w:r>
              <w:rPr>
                <w:rFonts w:hint="eastAsia" w:ascii="宋体" w:hAnsi="宋体" w:cs="宋体"/>
                <w:szCs w:val="21"/>
              </w:rPr>
              <w:t>分，最多得</w:t>
            </w:r>
            <w:r>
              <w:rPr>
                <w:rFonts w:hint="eastAsia" w:ascii="宋体" w:hAnsi="宋体" w:cs="宋体"/>
                <w:szCs w:val="21"/>
                <w:lang w:val="en-US" w:eastAsia="zh-CN"/>
              </w:rPr>
              <w:t>30</w:t>
            </w:r>
            <w:r>
              <w:rPr>
                <w:rFonts w:hint="eastAsia" w:ascii="宋体" w:hAnsi="宋体" w:cs="宋体"/>
                <w:szCs w:val="21"/>
              </w:rPr>
              <w:t>分。</w:t>
            </w:r>
          </w:p>
          <w:p w14:paraId="6A85BB9B">
            <w:pPr>
              <w:topLinePunct/>
              <w:snapToGrid w:val="0"/>
              <w:rPr>
                <w:rFonts w:ascii="宋体" w:hAnsi="宋体" w:cs="宋体"/>
                <w:szCs w:val="21"/>
              </w:rPr>
            </w:pPr>
            <w:r>
              <w:rPr>
                <w:rFonts w:hint="eastAsia" w:ascii="宋体" w:hAnsi="宋体" w:cs="宋体"/>
                <w:szCs w:val="21"/>
              </w:rPr>
              <w:t>（2）投标人项目技术负责人具有以下认证：</w:t>
            </w:r>
          </w:p>
          <w:p w14:paraId="227EA992">
            <w:pPr>
              <w:topLinePunct/>
              <w:snapToGrid w:val="0"/>
              <w:rPr>
                <w:rFonts w:ascii="宋体" w:hAnsi="宋体" w:cs="宋体"/>
                <w:szCs w:val="21"/>
              </w:rPr>
            </w:pPr>
            <w:r>
              <w:rPr>
                <w:rFonts w:hint="eastAsia" w:ascii="宋体" w:hAnsi="宋体" w:cs="宋体"/>
                <w:szCs w:val="21"/>
              </w:rPr>
              <w:t>①计算机技术与软件专业技术资格证书（专业：网络规划设计师）；</w:t>
            </w:r>
          </w:p>
          <w:p w14:paraId="4CE76244">
            <w:pPr>
              <w:topLinePunct/>
              <w:snapToGrid w:val="0"/>
              <w:rPr>
                <w:rFonts w:hint="eastAsia"/>
                <w:lang w:val="en-US" w:eastAsia="zh-CN"/>
              </w:rPr>
            </w:pPr>
            <w:r>
              <w:rPr>
                <w:rFonts w:hint="eastAsia" w:ascii="宋体" w:hAnsi="宋体" w:cs="宋体"/>
                <w:szCs w:val="21"/>
              </w:rPr>
              <w:t>②电子数据取证分析员</w:t>
            </w:r>
            <w:r>
              <w:rPr>
                <w:rFonts w:hint="eastAsia"/>
                <w:lang w:val="en-US" w:eastAsia="zh-CN"/>
              </w:rPr>
              <w:t>证书。</w:t>
            </w:r>
          </w:p>
          <w:p w14:paraId="47528E9E">
            <w:pPr>
              <w:topLinePunct/>
              <w:snapToGrid w:val="0"/>
              <w:rPr>
                <w:rFonts w:ascii="宋体" w:hAnsi="宋体" w:cs="宋体"/>
                <w:szCs w:val="21"/>
              </w:rPr>
            </w:pPr>
            <w:r>
              <w:rPr>
                <w:rFonts w:hint="eastAsia" w:ascii="宋体" w:hAnsi="宋体" w:cs="宋体"/>
                <w:szCs w:val="21"/>
              </w:rPr>
              <w:t>每具有一个得</w:t>
            </w:r>
            <w:r>
              <w:rPr>
                <w:rFonts w:hint="eastAsia" w:ascii="宋体" w:hAnsi="宋体" w:cs="宋体"/>
                <w:szCs w:val="21"/>
                <w:lang w:val="en-US" w:eastAsia="zh-CN"/>
              </w:rPr>
              <w:t>10</w:t>
            </w:r>
            <w:r>
              <w:rPr>
                <w:rFonts w:hint="eastAsia" w:ascii="宋体" w:hAnsi="宋体" w:cs="宋体"/>
                <w:szCs w:val="21"/>
              </w:rPr>
              <w:t>分，最多得</w:t>
            </w:r>
            <w:r>
              <w:rPr>
                <w:rFonts w:hint="eastAsia" w:ascii="宋体" w:hAnsi="宋体" w:cs="宋体"/>
                <w:szCs w:val="21"/>
                <w:lang w:val="en-US" w:eastAsia="zh-CN"/>
              </w:rPr>
              <w:t>20</w:t>
            </w:r>
            <w:r>
              <w:rPr>
                <w:rFonts w:hint="eastAsia" w:ascii="宋体" w:hAnsi="宋体" w:cs="宋体"/>
                <w:szCs w:val="21"/>
              </w:rPr>
              <w:t>分。</w:t>
            </w:r>
          </w:p>
          <w:p w14:paraId="49048BAF">
            <w:pPr>
              <w:topLinePunct/>
              <w:snapToGrid w:val="0"/>
              <w:rPr>
                <w:rFonts w:ascii="宋体" w:hAnsi="宋体" w:cs="宋体"/>
                <w:szCs w:val="21"/>
              </w:rPr>
            </w:pPr>
            <w:r>
              <w:rPr>
                <w:rFonts w:hint="eastAsia" w:ascii="宋体" w:hAnsi="宋体" w:cs="宋体"/>
                <w:szCs w:val="21"/>
              </w:rPr>
              <w:t>（3）投标人提供一名具有中国信息安全测评中心颁发的CISO注册信息安全管理人员认证证书的得</w:t>
            </w:r>
            <w:r>
              <w:rPr>
                <w:rFonts w:hint="eastAsia" w:ascii="宋体" w:hAnsi="宋体" w:cs="宋体"/>
                <w:szCs w:val="21"/>
                <w:lang w:val="en-US" w:eastAsia="zh-CN"/>
              </w:rPr>
              <w:t>10</w:t>
            </w:r>
            <w:r>
              <w:rPr>
                <w:rFonts w:hint="eastAsia" w:ascii="宋体" w:hAnsi="宋体" w:cs="宋体"/>
                <w:szCs w:val="21"/>
              </w:rPr>
              <w:t>分，最多得</w:t>
            </w:r>
            <w:r>
              <w:rPr>
                <w:rFonts w:hint="eastAsia" w:ascii="宋体" w:hAnsi="宋体" w:cs="宋体"/>
                <w:szCs w:val="21"/>
                <w:lang w:val="en-US" w:eastAsia="zh-CN"/>
              </w:rPr>
              <w:t>10</w:t>
            </w:r>
            <w:r>
              <w:rPr>
                <w:rFonts w:hint="eastAsia" w:ascii="宋体" w:hAnsi="宋体" w:cs="宋体"/>
                <w:szCs w:val="21"/>
              </w:rPr>
              <w:t>分。</w:t>
            </w:r>
          </w:p>
          <w:p w14:paraId="079D766D">
            <w:pPr>
              <w:topLinePunct/>
              <w:snapToGrid w:val="0"/>
              <w:rPr>
                <w:rFonts w:ascii="宋体" w:hAnsi="宋体" w:cs="宋体"/>
                <w:szCs w:val="21"/>
              </w:rPr>
            </w:pPr>
            <w:r>
              <w:rPr>
                <w:rFonts w:hint="eastAsia" w:ascii="宋体" w:hAnsi="宋体" w:cs="宋体"/>
                <w:szCs w:val="21"/>
              </w:rPr>
              <w:t>（4）投标人提供一名具有国家重要信息系统保护人员证书的得</w:t>
            </w:r>
            <w:r>
              <w:rPr>
                <w:rFonts w:hint="eastAsia" w:ascii="宋体" w:hAnsi="宋体" w:cs="宋体"/>
                <w:szCs w:val="21"/>
                <w:lang w:val="en-US" w:eastAsia="zh-CN"/>
              </w:rPr>
              <w:t>10</w:t>
            </w:r>
            <w:r>
              <w:rPr>
                <w:rFonts w:hint="eastAsia" w:ascii="宋体" w:hAnsi="宋体" w:cs="宋体"/>
                <w:szCs w:val="21"/>
              </w:rPr>
              <w:t>分，最多得</w:t>
            </w:r>
            <w:r>
              <w:rPr>
                <w:rFonts w:hint="eastAsia" w:ascii="宋体" w:hAnsi="宋体" w:cs="宋体"/>
                <w:szCs w:val="21"/>
                <w:lang w:val="en-US" w:eastAsia="zh-CN"/>
              </w:rPr>
              <w:t>10</w:t>
            </w:r>
            <w:r>
              <w:rPr>
                <w:rFonts w:hint="eastAsia" w:ascii="宋体" w:hAnsi="宋体" w:cs="宋体"/>
                <w:szCs w:val="21"/>
              </w:rPr>
              <w:t>分。</w:t>
            </w:r>
          </w:p>
          <w:p w14:paraId="384B9ADA">
            <w:pPr>
              <w:topLinePunct/>
              <w:snapToGrid w:val="0"/>
              <w:rPr>
                <w:rFonts w:ascii="宋体" w:hAnsi="宋体" w:cs="宋体"/>
                <w:szCs w:val="21"/>
              </w:rPr>
            </w:pPr>
            <w:r>
              <w:rPr>
                <w:rFonts w:hint="eastAsia" w:ascii="宋体" w:hAnsi="宋体" w:cs="宋体"/>
                <w:szCs w:val="21"/>
              </w:rPr>
              <w:t>（5）投标人提供一名具有计算机技术与软件专业技术资格证书（专业：信息安全工程师）的得</w:t>
            </w:r>
            <w:r>
              <w:rPr>
                <w:rFonts w:hint="eastAsia" w:ascii="宋体" w:hAnsi="宋体" w:cs="宋体"/>
                <w:szCs w:val="21"/>
                <w:lang w:val="en-US" w:eastAsia="zh-CN"/>
              </w:rPr>
              <w:t>10</w:t>
            </w:r>
            <w:r>
              <w:rPr>
                <w:rFonts w:hint="eastAsia" w:ascii="宋体" w:hAnsi="宋体" w:cs="宋体"/>
                <w:szCs w:val="21"/>
              </w:rPr>
              <w:t>分，最多得</w:t>
            </w:r>
            <w:r>
              <w:rPr>
                <w:rFonts w:hint="eastAsia" w:ascii="宋体" w:hAnsi="宋体" w:cs="宋体"/>
                <w:szCs w:val="21"/>
                <w:lang w:val="en-US" w:eastAsia="zh-CN"/>
              </w:rPr>
              <w:t>10</w:t>
            </w:r>
            <w:r>
              <w:rPr>
                <w:rFonts w:hint="eastAsia" w:ascii="宋体" w:hAnsi="宋体" w:cs="宋体"/>
                <w:szCs w:val="21"/>
              </w:rPr>
              <w:t>分。</w:t>
            </w:r>
          </w:p>
          <w:p w14:paraId="76AFC2C7">
            <w:pPr>
              <w:topLinePunct/>
              <w:snapToGrid w:val="0"/>
              <w:rPr>
                <w:rFonts w:ascii="宋体" w:hAnsi="宋体" w:cs="宋体"/>
                <w:szCs w:val="21"/>
              </w:rPr>
            </w:pPr>
            <w:r>
              <w:rPr>
                <w:rFonts w:hint="eastAsia" w:ascii="宋体" w:hAnsi="宋体" w:cs="宋体"/>
                <w:szCs w:val="21"/>
              </w:rPr>
              <w:t>（6）投标人提供一名具有中国网络安全审查技术与认证中心颁发的信息安全保障人员（认证方向：安全运维）认证证书的得</w:t>
            </w:r>
            <w:r>
              <w:rPr>
                <w:rFonts w:hint="eastAsia" w:ascii="宋体" w:hAnsi="宋体" w:cs="宋体"/>
                <w:szCs w:val="21"/>
                <w:lang w:val="en-US" w:eastAsia="zh-CN"/>
              </w:rPr>
              <w:t>10</w:t>
            </w:r>
            <w:r>
              <w:rPr>
                <w:rFonts w:hint="eastAsia" w:ascii="宋体" w:hAnsi="宋体" w:cs="宋体"/>
                <w:szCs w:val="21"/>
              </w:rPr>
              <w:t>分，最多得</w:t>
            </w:r>
            <w:r>
              <w:rPr>
                <w:rFonts w:hint="eastAsia" w:ascii="宋体" w:hAnsi="宋体" w:cs="宋体"/>
                <w:szCs w:val="21"/>
                <w:lang w:val="en-US" w:eastAsia="zh-CN"/>
              </w:rPr>
              <w:t>10</w:t>
            </w:r>
            <w:r>
              <w:rPr>
                <w:rFonts w:hint="eastAsia" w:ascii="宋体" w:hAnsi="宋体" w:cs="宋体"/>
                <w:szCs w:val="21"/>
              </w:rPr>
              <w:t>分。</w:t>
            </w:r>
          </w:p>
          <w:p w14:paraId="0F536726">
            <w:pPr>
              <w:jc w:val="left"/>
              <w:rPr>
                <w:rFonts w:ascii="宋体" w:hAnsi="宋体" w:cs="宋体"/>
                <w:szCs w:val="21"/>
              </w:rPr>
            </w:pPr>
            <w:r>
              <w:rPr>
                <w:rFonts w:hint="eastAsia" w:ascii="宋体" w:hAnsi="宋体" w:cs="宋体"/>
                <w:szCs w:val="21"/>
              </w:rPr>
              <w:t>（7）投标人提供一名具有中国信息安全测评中心颁发的注册渗透测试工程师（CISP-PTE）认证证书的得</w:t>
            </w:r>
            <w:r>
              <w:rPr>
                <w:rFonts w:hint="eastAsia" w:ascii="宋体" w:hAnsi="宋体" w:cs="宋体"/>
                <w:szCs w:val="21"/>
                <w:lang w:val="en-US" w:eastAsia="zh-CN"/>
              </w:rPr>
              <w:t>10</w:t>
            </w:r>
            <w:r>
              <w:rPr>
                <w:rFonts w:hint="eastAsia" w:ascii="宋体" w:hAnsi="宋体" w:cs="宋体"/>
                <w:szCs w:val="21"/>
              </w:rPr>
              <w:t>分，最多得</w:t>
            </w:r>
            <w:r>
              <w:rPr>
                <w:rFonts w:hint="eastAsia" w:ascii="宋体" w:hAnsi="宋体" w:cs="宋体"/>
                <w:szCs w:val="21"/>
                <w:lang w:val="en-US" w:eastAsia="zh-CN"/>
              </w:rPr>
              <w:t>10</w:t>
            </w:r>
            <w:r>
              <w:rPr>
                <w:rFonts w:hint="eastAsia" w:ascii="宋体" w:hAnsi="宋体" w:cs="宋体"/>
                <w:szCs w:val="21"/>
              </w:rPr>
              <w:t>分。</w:t>
            </w:r>
          </w:p>
          <w:p w14:paraId="3E857FAF">
            <w:pPr>
              <w:jc w:val="left"/>
              <w:rPr>
                <w:rFonts w:ascii="宋体" w:hAnsi="宋体" w:cs="宋体"/>
                <w:szCs w:val="21"/>
              </w:rPr>
            </w:pPr>
            <w:r>
              <w:rPr>
                <w:rFonts w:hint="eastAsia" w:ascii="宋体" w:hAnsi="宋体" w:cs="宋体"/>
                <w:szCs w:val="21"/>
              </w:rPr>
              <w:t xml:space="preserve">（二）评分依据： </w:t>
            </w:r>
          </w:p>
          <w:p w14:paraId="4EE87842">
            <w:pPr>
              <w:jc w:val="left"/>
              <w:rPr>
                <w:rFonts w:hint="eastAsia" w:ascii="宋体" w:hAnsi="宋体" w:eastAsia="宋体" w:cs="宋体"/>
                <w:szCs w:val="21"/>
                <w:lang w:eastAsia="zh-CN"/>
              </w:rPr>
            </w:pPr>
            <w:r>
              <w:rPr>
                <w:rFonts w:hint="eastAsia" w:ascii="宋体" w:hAnsi="宋体" w:cs="宋体"/>
                <w:szCs w:val="21"/>
              </w:rPr>
              <w:t>1.通过投标人缴纳的近三个月（含开标当月）的任意一个月的社保证明作为本单位员工的证明依据，如供应商成立不足一个月或员工入职不足一个月的，提供情况说明函（格式自拟），无需提供相关人员社保，亦可得分</w:t>
            </w:r>
            <w:r>
              <w:rPr>
                <w:rFonts w:hint="eastAsia" w:ascii="宋体" w:hAnsi="宋体" w:cs="宋体"/>
                <w:szCs w:val="21"/>
                <w:lang w:eastAsia="zh-CN"/>
              </w:rPr>
              <w:t>；</w:t>
            </w:r>
          </w:p>
          <w:p w14:paraId="1304AA51">
            <w:pPr>
              <w:jc w:val="left"/>
              <w:rPr>
                <w:rFonts w:hint="eastAsia" w:ascii="宋体" w:hAnsi="宋体" w:eastAsia="宋体" w:cs="宋体"/>
                <w:szCs w:val="21"/>
                <w:lang w:eastAsia="zh-CN"/>
              </w:rPr>
            </w:pPr>
            <w:r>
              <w:rPr>
                <w:rFonts w:hint="eastAsia" w:ascii="宋体" w:hAnsi="宋体" w:cs="宋体"/>
                <w:szCs w:val="21"/>
              </w:rPr>
              <w:t>2.要求提供投标人相关证明资料作为得分依据</w:t>
            </w:r>
            <w:r>
              <w:rPr>
                <w:rFonts w:hint="eastAsia" w:ascii="宋体" w:hAnsi="宋体" w:cs="宋体"/>
                <w:szCs w:val="21"/>
                <w:lang w:eastAsia="zh-CN"/>
              </w:rPr>
              <w:t>；</w:t>
            </w:r>
          </w:p>
          <w:p w14:paraId="310DFC55">
            <w:pPr>
              <w:jc w:val="left"/>
              <w:rPr>
                <w:rFonts w:hint="eastAsia" w:ascii="宋体" w:hAnsi="宋体" w:eastAsia="宋体" w:cs="宋体"/>
                <w:szCs w:val="21"/>
                <w:lang w:eastAsia="zh-CN"/>
              </w:rPr>
            </w:pPr>
            <w:r>
              <w:rPr>
                <w:rFonts w:hint="eastAsia" w:ascii="宋体" w:hAnsi="宋体" w:cs="宋体"/>
                <w:szCs w:val="21"/>
              </w:rPr>
              <w:t>3.以上资料均要求提供扫描件。评分中出现无证明资料或专家无法凭所提供资料判断是否得分的情况，一律作不得分处理</w:t>
            </w:r>
            <w:r>
              <w:rPr>
                <w:rFonts w:hint="eastAsia" w:ascii="宋体" w:hAnsi="宋体" w:cs="宋体"/>
                <w:szCs w:val="21"/>
                <w:lang w:eastAsia="zh-CN"/>
              </w:rPr>
              <w:t>；</w:t>
            </w:r>
          </w:p>
          <w:p w14:paraId="0F5539C9">
            <w:pPr>
              <w:jc w:val="left"/>
              <w:rPr>
                <w:rFonts w:ascii="宋体" w:hAnsi="宋体" w:cs="宋体"/>
                <w:szCs w:val="21"/>
              </w:rPr>
            </w:pPr>
            <w:r>
              <w:rPr>
                <w:rFonts w:hint="eastAsia" w:ascii="宋体" w:hAnsi="宋体" w:cs="宋体"/>
                <w:szCs w:val="21"/>
              </w:rPr>
              <w:t>4.同一人具有多个证书的不可重复计分。</w:t>
            </w:r>
          </w:p>
        </w:tc>
      </w:tr>
      <w:tr w14:paraId="225C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jc w:val="center"/>
        </w:trPr>
        <w:tc>
          <w:tcPr>
            <w:tcW w:w="477" w:type="dxa"/>
            <w:vMerge w:val="restart"/>
          </w:tcPr>
          <w:p w14:paraId="72CB6331">
            <w:pPr>
              <w:wordWrap w:val="0"/>
              <w:jc w:val="center"/>
              <w:rPr>
                <w:rFonts w:ascii="宋体" w:hAnsi="宋体" w:cs="宋体"/>
                <w:b/>
                <w:bCs/>
                <w:color w:val="0000FF"/>
                <w:szCs w:val="21"/>
              </w:rPr>
            </w:pPr>
            <w:r>
              <w:rPr>
                <w:rFonts w:hint="eastAsia" w:ascii="宋体" w:hAnsi="宋体" w:cs="宋体"/>
                <w:b/>
                <w:bCs/>
                <w:color w:val="0000FF"/>
                <w:szCs w:val="21"/>
              </w:rPr>
              <w:t>3</w:t>
            </w:r>
          </w:p>
        </w:tc>
        <w:tc>
          <w:tcPr>
            <w:tcW w:w="3370" w:type="dxa"/>
            <w:gridSpan w:val="3"/>
          </w:tcPr>
          <w:p w14:paraId="4E5E6AA2">
            <w:pPr>
              <w:wordWrap w:val="0"/>
              <w:jc w:val="center"/>
              <w:rPr>
                <w:rFonts w:ascii="宋体" w:hAnsi="宋体" w:cs="宋体"/>
                <w:b/>
                <w:bCs/>
                <w:color w:val="0000FF"/>
                <w:szCs w:val="21"/>
              </w:rPr>
            </w:pPr>
            <w:r>
              <w:rPr>
                <w:rFonts w:hint="eastAsia" w:ascii="宋体" w:hAnsi="宋体" w:cs="宋体"/>
                <w:b/>
                <w:bCs/>
                <w:color w:val="0000FF"/>
                <w:szCs w:val="21"/>
              </w:rPr>
              <w:t>商务部分</w:t>
            </w:r>
          </w:p>
        </w:tc>
        <w:tc>
          <w:tcPr>
            <w:tcW w:w="5486" w:type="dxa"/>
          </w:tcPr>
          <w:p w14:paraId="31056879">
            <w:pPr>
              <w:wordWrap w:val="0"/>
              <w:jc w:val="center"/>
              <w:rPr>
                <w:rFonts w:hint="default" w:ascii="宋体" w:hAnsi="宋体" w:eastAsia="宋体" w:cs="宋体"/>
                <w:b/>
                <w:bCs/>
                <w:color w:val="0000FF"/>
                <w:szCs w:val="21"/>
                <w:lang w:val="en-US" w:eastAsia="zh-CN"/>
              </w:rPr>
            </w:pPr>
            <w:r>
              <w:rPr>
                <w:rFonts w:hint="eastAsia" w:ascii="宋体" w:hAnsi="宋体" w:cs="宋体"/>
                <w:b/>
                <w:bCs/>
                <w:color w:val="0000FF"/>
                <w:szCs w:val="21"/>
                <w:lang w:val="en-US" w:eastAsia="zh-CN"/>
              </w:rPr>
              <w:t>15</w:t>
            </w:r>
          </w:p>
        </w:tc>
      </w:tr>
      <w:tr w14:paraId="3A38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continue"/>
            <w:vAlign w:val="center"/>
          </w:tcPr>
          <w:p w14:paraId="3353730D">
            <w:pPr>
              <w:rPr>
                <w:rFonts w:ascii="宋体" w:hAnsi="宋体" w:cs="宋体"/>
                <w:b/>
                <w:bCs/>
                <w:color w:val="0000FF"/>
                <w:szCs w:val="21"/>
              </w:rPr>
            </w:pPr>
          </w:p>
        </w:tc>
        <w:tc>
          <w:tcPr>
            <w:tcW w:w="8856" w:type="dxa"/>
            <w:gridSpan w:val="4"/>
          </w:tcPr>
          <w:p w14:paraId="403531F3">
            <w:pPr>
              <w:wordWrap w:val="0"/>
              <w:rPr>
                <w:rFonts w:ascii="宋体" w:hAnsi="宋体" w:cs="宋体"/>
                <w:szCs w:val="21"/>
              </w:rPr>
            </w:pPr>
          </w:p>
        </w:tc>
      </w:tr>
      <w:tr w14:paraId="6D75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continue"/>
            <w:shd w:val="clear" w:color="auto" w:fill="E6EFFA"/>
            <w:vAlign w:val="center"/>
          </w:tcPr>
          <w:p w14:paraId="294C0D75">
            <w:pPr>
              <w:rPr>
                <w:rFonts w:ascii="宋体" w:hAnsi="宋体" w:cs="宋体"/>
                <w:b/>
                <w:bCs/>
                <w:color w:val="0000FF"/>
                <w:szCs w:val="21"/>
              </w:rPr>
            </w:pPr>
          </w:p>
        </w:tc>
        <w:tc>
          <w:tcPr>
            <w:tcW w:w="539" w:type="dxa"/>
            <w:shd w:val="clear" w:color="auto" w:fill="E6EFFA"/>
            <w:vAlign w:val="center"/>
          </w:tcPr>
          <w:p w14:paraId="1E8BB3E1">
            <w:pPr>
              <w:wordWrap w:val="0"/>
              <w:jc w:val="center"/>
              <w:rPr>
                <w:rFonts w:ascii="宋体" w:hAnsi="宋体" w:cs="宋体"/>
                <w:szCs w:val="21"/>
              </w:rPr>
            </w:pPr>
            <w:r>
              <w:rPr>
                <w:rFonts w:hint="eastAsia" w:ascii="宋体" w:hAnsi="宋体" w:cs="宋体"/>
                <w:szCs w:val="21"/>
              </w:rPr>
              <w:t>序号</w:t>
            </w:r>
          </w:p>
        </w:tc>
        <w:tc>
          <w:tcPr>
            <w:tcW w:w="2015" w:type="dxa"/>
            <w:shd w:val="clear" w:color="auto" w:fill="E6EFFA"/>
            <w:vAlign w:val="center"/>
          </w:tcPr>
          <w:p w14:paraId="789C6F03">
            <w:pPr>
              <w:wordWrap w:val="0"/>
              <w:jc w:val="center"/>
              <w:rPr>
                <w:rFonts w:ascii="宋体" w:hAnsi="宋体" w:cs="宋体"/>
                <w:szCs w:val="21"/>
              </w:rPr>
            </w:pPr>
            <w:r>
              <w:rPr>
                <w:rFonts w:hint="eastAsia" w:ascii="宋体" w:hAnsi="宋体" w:cs="宋体"/>
                <w:szCs w:val="21"/>
              </w:rPr>
              <w:t>评审因素</w:t>
            </w:r>
          </w:p>
        </w:tc>
        <w:tc>
          <w:tcPr>
            <w:tcW w:w="816" w:type="dxa"/>
            <w:shd w:val="clear" w:color="auto" w:fill="E6EFFA"/>
            <w:vAlign w:val="center"/>
          </w:tcPr>
          <w:p w14:paraId="5C3AD847">
            <w:pPr>
              <w:wordWrap w:val="0"/>
              <w:jc w:val="center"/>
              <w:rPr>
                <w:rFonts w:ascii="宋体" w:hAnsi="宋体" w:cs="宋体"/>
                <w:szCs w:val="21"/>
              </w:rPr>
            </w:pPr>
            <w:r>
              <w:rPr>
                <w:rFonts w:hint="eastAsia" w:ascii="宋体" w:hAnsi="宋体" w:cs="宋体"/>
                <w:szCs w:val="21"/>
              </w:rPr>
              <w:t>权重(%)</w:t>
            </w:r>
          </w:p>
        </w:tc>
        <w:tc>
          <w:tcPr>
            <w:tcW w:w="5486" w:type="dxa"/>
            <w:shd w:val="clear" w:color="auto" w:fill="E6EFFA"/>
            <w:vAlign w:val="center"/>
          </w:tcPr>
          <w:p w14:paraId="130BA672">
            <w:pPr>
              <w:wordWrap w:val="0"/>
              <w:jc w:val="center"/>
              <w:rPr>
                <w:rFonts w:ascii="宋体" w:hAnsi="宋体" w:cs="宋体"/>
                <w:szCs w:val="21"/>
              </w:rPr>
            </w:pPr>
            <w:r>
              <w:rPr>
                <w:rFonts w:hint="eastAsia" w:ascii="宋体" w:hAnsi="宋体" w:cs="宋体"/>
                <w:szCs w:val="21"/>
              </w:rPr>
              <w:t>评分准则</w:t>
            </w:r>
          </w:p>
        </w:tc>
      </w:tr>
      <w:tr w14:paraId="180A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continue"/>
            <w:vAlign w:val="center"/>
          </w:tcPr>
          <w:p w14:paraId="307258F8">
            <w:pPr>
              <w:rPr>
                <w:rFonts w:ascii="宋体" w:hAnsi="宋体" w:cs="宋体"/>
                <w:b/>
                <w:bCs/>
                <w:color w:val="0000FF"/>
                <w:szCs w:val="21"/>
              </w:rPr>
            </w:pPr>
          </w:p>
        </w:tc>
        <w:tc>
          <w:tcPr>
            <w:tcW w:w="539" w:type="dxa"/>
            <w:vAlign w:val="center"/>
          </w:tcPr>
          <w:p w14:paraId="730B5C2A">
            <w:pPr>
              <w:wordWrap w:val="0"/>
              <w:jc w:val="center"/>
              <w:rPr>
                <w:rFonts w:ascii="宋体" w:hAnsi="宋体" w:cs="宋体"/>
                <w:szCs w:val="21"/>
              </w:rPr>
            </w:pPr>
            <w:r>
              <w:rPr>
                <w:rFonts w:hint="eastAsia" w:ascii="宋体" w:hAnsi="宋体" w:cs="宋体"/>
                <w:szCs w:val="21"/>
              </w:rPr>
              <w:t>1</w:t>
            </w:r>
          </w:p>
        </w:tc>
        <w:tc>
          <w:tcPr>
            <w:tcW w:w="2015" w:type="dxa"/>
            <w:vAlign w:val="center"/>
          </w:tcPr>
          <w:p w14:paraId="7C34A773">
            <w:pPr>
              <w:wordWrap w:val="0"/>
              <w:jc w:val="center"/>
              <w:rPr>
                <w:rFonts w:ascii="宋体" w:hAnsi="宋体" w:cs="宋体"/>
                <w:szCs w:val="21"/>
              </w:rPr>
            </w:pPr>
            <w:r>
              <w:rPr>
                <w:rFonts w:hint="eastAsia" w:ascii="宋体" w:hAnsi="宋体" w:cs="宋体"/>
                <w:szCs w:val="21"/>
              </w:rPr>
              <w:t>供应商认证情况</w:t>
            </w:r>
          </w:p>
        </w:tc>
        <w:tc>
          <w:tcPr>
            <w:tcW w:w="816" w:type="dxa"/>
            <w:vAlign w:val="center"/>
          </w:tcPr>
          <w:p w14:paraId="2589301C">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486" w:type="dxa"/>
          </w:tcPr>
          <w:p w14:paraId="364910B9">
            <w:pPr>
              <w:jc w:val="left"/>
              <w:rPr>
                <w:rFonts w:ascii="宋体" w:hAnsi="宋体" w:cs="宋体"/>
                <w:szCs w:val="21"/>
              </w:rPr>
            </w:pPr>
            <w:r>
              <w:rPr>
                <w:rFonts w:hint="eastAsia" w:ascii="宋体" w:hAnsi="宋体" w:cs="宋体"/>
                <w:szCs w:val="21"/>
              </w:rPr>
              <w:t>（一）评分内容：</w:t>
            </w:r>
          </w:p>
          <w:p w14:paraId="58786C5B">
            <w:pPr>
              <w:rPr>
                <w:rFonts w:ascii="宋体" w:eastAsia="宋体" w:cs="宋体"/>
                <w:sz w:val="21"/>
                <w:szCs w:val="21"/>
              </w:rPr>
            </w:pPr>
            <w:r>
              <w:rPr>
                <w:rFonts w:hint="eastAsia" w:ascii="宋体" w:eastAsia="宋体" w:cs="宋体"/>
                <w:sz w:val="21"/>
                <w:szCs w:val="21"/>
              </w:rPr>
              <w:t>（1）投标人具备以下有效认证证书，每提供一个得</w:t>
            </w:r>
            <w:r>
              <w:rPr>
                <w:rFonts w:hint="eastAsia" w:ascii="宋体" w:eastAsia="宋体" w:cs="宋体"/>
                <w:sz w:val="21"/>
                <w:szCs w:val="21"/>
                <w:lang w:val="en-US" w:eastAsia="zh-CN"/>
              </w:rPr>
              <w:t>10</w:t>
            </w:r>
            <w:r>
              <w:rPr>
                <w:rFonts w:hint="eastAsia" w:ascii="宋体" w:eastAsia="宋体" w:cs="宋体"/>
                <w:sz w:val="21"/>
                <w:szCs w:val="21"/>
              </w:rPr>
              <w:t>分，最高得</w:t>
            </w:r>
            <w:r>
              <w:rPr>
                <w:rFonts w:hint="eastAsia" w:ascii="宋体" w:eastAsia="宋体" w:cs="宋体"/>
                <w:sz w:val="21"/>
                <w:szCs w:val="21"/>
                <w:lang w:val="en-US" w:eastAsia="zh-CN"/>
              </w:rPr>
              <w:t>20</w:t>
            </w:r>
            <w:r>
              <w:rPr>
                <w:rFonts w:hint="eastAsia" w:ascii="宋体" w:eastAsia="宋体" w:cs="宋体"/>
                <w:sz w:val="21"/>
                <w:szCs w:val="21"/>
              </w:rPr>
              <w:t>分，</w:t>
            </w:r>
            <w:r>
              <w:rPr>
                <w:rFonts w:hint="eastAsia" w:ascii="宋体" w:cs="宋体"/>
                <w:sz w:val="21"/>
                <w:szCs w:val="21"/>
                <w:lang w:val="en-US" w:eastAsia="zh-CN"/>
              </w:rPr>
              <w:t>未提供不得分</w:t>
            </w:r>
            <w:r>
              <w:rPr>
                <w:rFonts w:hint="eastAsia" w:ascii="宋体" w:eastAsia="宋体" w:cs="宋体"/>
                <w:sz w:val="21"/>
                <w:szCs w:val="21"/>
              </w:rPr>
              <w:t>：</w:t>
            </w:r>
          </w:p>
          <w:p w14:paraId="7055FC79">
            <w:pPr>
              <w:rPr>
                <w:rFonts w:ascii="宋体" w:eastAsia="宋体" w:cs="宋体"/>
                <w:sz w:val="21"/>
                <w:szCs w:val="21"/>
              </w:rPr>
            </w:pPr>
            <w:r>
              <w:rPr>
                <w:rFonts w:hint="eastAsia" w:ascii="宋体" w:eastAsia="宋体" w:cs="宋体"/>
                <w:sz w:val="21"/>
                <w:szCs w:val="21"/>
              </w:rPr>
              <w:t>1.质量管理体系认证证书；</w:t>
            </w:r>
          </w:p>
          <w:p w14:paraId="5ACA38FF">
            <w:pPr>
              <w:rPr>
                <w:rFonts w:ascii="宋体" w:eastAsia="宋体" w:cs="宋体"/>
                <w:sz w:val="21"/>
                <w:szCs w:val="21"/>
              </w:rPr>
            </w:pPr>
            <w:r>
              <w:rPr>
                <w:rFonts w:ascii="宋体" w:eastAsia="宋体" w:cs="宋体"/>
                <w:sz w:val="21"/>
                <w:szCs w:val="21"/>
              </w:rPr>
              <w:t>2</w:t>
            </w:r>
            <w:r>
              <w:rPr>
                <w:rFonts w:hint="eastAsia" w:ascii="宋体" w:eastAsia="宋体" w:cs="宋体"/>
                <w:sz w:val="21"/>
                <w:szCs w:val="21"/>
              </w:rPr>
              <w:t>.环境管理体系认证证书</w:t>
            </w:r>
          </w:p>
          <w:p w14:paraId="471593E9">
            <w:pPr>
              <w:rPr>
                <w:rFonts w:hint="eastAsia" w:ascii="宋体" w:eastAsia="宋体" w:cs="宋体"/>
                <w:sz w:val="21"/>
                <w:szCs w:val="21"/>
                <w:lang w:eastAsia="zh-CN"/>
              </w:rPr>
            </w:pPr>
            <w:r>
              <w:rPr>
                <w:rFonts w:hint="eastAsia" w:ascii="宋体" w:eastAsia="宋体" w:cs="宋体"/>
                <w:sz w:val="21"/>
                <w:szCs w:val="21"/>
              </w:rPr>
              <w:t>（2）投标人具有中国互联网协会网络与信息安全工作委员会、国家互联网应急中心（CNCERT）颁发的原创漏洞证明，每提供一个得</w:t>
            </w:r>
            <w:r>
              <w:rPr>
                <w:rFonts w:hint="eastAsia" w:ascii="宋体" w:eastAsia="宋体" w:cs="宋体"/>
                <w:sz w:val="21"/>
                <w:szCs w:val="21"/>
                <w:lang w:val="en-US" w:eastAsia="zh-CN"/>
              </w:rPr>
              <w:t>10</w:t>
            </w:r>
            <w:r>
              <w:rPr>
                <w:rFonts w:hint="eastAsia" w:ascii="宋体" w:eastAsia="宋体" w:cs="宋体"/>
                <w:sz w:val="21"/>
                <w:szCs w:val="21"/>
              </w:rPr>
              <w:t>分，最高得</w:t>
            </w:r>
            <w:r>
              <w:rPr>
                <w:rFonts w:hint="eastAsia" w:ascii="宋体" w:eastAsia="宋体" w:cs="宋体"/>
                <w:sz w:val="21"/>
                <w:szCs w:val="21"/>
                <w:lang w:val="en-US" w:eastAsia="zh-CN"/>
              </w:rPr>
              <w:t>20</w:t>
            </w:r>
            <w:r>
              <w:rPr>
                <w:rFonts w:hint="eastAsia" w:ascii="宋体" w:eastAsia="宋体" w:cs="宋体"/>
                <w:sz w:val="21"/>
                <w:szCs w:val="21"/>
              </w:rPr>
              <w:t>分，</w:t>
            </w:r>
            <w:r>
              <w:rPr>
                <w:rFonts w:hint="eastAsia" w:ascii="宋体" w:cs="宋体"/>
                <w:sz w:val="21"/>
                <w:szCs w:val="21"/>
                <w:lang w:val="en-US" w:eastAsia="zh-CN"/>
              </w:rPr>
              <w:t>未提供不得分</w:t>
            </w:r>
            <w:r>
              <w:rPr>
                <w:rFonts w:hint="eastAsia" w:ascii="宋体" w:cs="宋体"/>
                <w:sz w:val="21"/>
                <w:szCs w:val="21"/>
                <w:lang w:eastAsia="zh-CN"/>
              </w:rPr>
              <w:t>；</w:t>
            </w:r>
          </w:p>
          <w:p w14:paraId="49004F47">
            <w:pPr>
              <w:rPr>
                <w:rFonts w:hint="eastAsia" w:ascii="宋体" w:eastAsia="宋体" w:cs="宋体"/>
                <w:sz w:val="21"/>
                <w:szCs w:val="21"/>
                <w:lang w:eastAsia="zh-CN"/>
              </w:rPr>
            </w:pPr>
            <w:r>
              <w:rPr>
                <w:rFonts w:hint="eastAsia" w:ascii="宋体" w:eastAsia="宋体" w:cs="宋体"/>
                <w:sz w:val="21"/>
                <w:szCs w:val="21"/>
              </w:rPr>
              <w:t>（3）投标人具有中国信息安全测评中心颁发的国家信息安全漏洞库（CNNVD）技术支撑单位等级证书三级或以上（一级最高）的得</w:t>
            </w:r>
            <w:r>
              <w:rPr>
                <w:rFonts w:hint="eastAsia" w:ascii="宋体" w:eastAsia="宋体" w:cs="宋体"/>
                <w:sz w:val="21"/>
                <w:szCs w:val="21"/>
                <w:lang w:val="en-US" w:eastAsia="zh-CN"/>
              </w:rPr>
              <w:t>10</w:t>
            </w:r>
            <w:r>
              <w:rPr>
                <w:rFonts w:hint="eastAsia" w:ascii="宋体" w:eastAsia="宋体" w:cs="宋体"/>
                <w:sz w:val="21"/>
                <w:szCs w:val="21"/>
              </w:rPr>
              <w:t>分，</w:t>
            </w:r>
            <w:r>
              <w:rPr>
                <w:rFonts w:hint="eastAsia" w:ascii="宋体" w:cs="宋体"/>
                <w:sz w:val="21"/>
                <w:szCs w:val="21"/>
                <w:lang w:val="en-US" w:eastAsia="zh-CN"/>
              </w:rPr>
              <w:t>未提供不得分</w:t>
            </w:r>
            <w:r>
              <w:rPr>
                <w:rFonts w:hint="eastAsia" w:ascii="宋体" w:cs="宋体"/>
                <w:sz w:val="21"/>
                <w:szCs w:val="21"/>
                <w:lang w:eastAsia="zh-CN"/>
              </w:rPr>
              <w:t>；</w:t>
            </w:r>
          </w:p>
          <w:p w14:paraId="7CCC23FF">
            <w:pPr>
              <w:rPr>
                <w:rFonts w:hint="eastAsia" w:ascii="宋体" w:cs="宋体"/>
                <w:sz w:val="21"/>
                <w:szCs w:val="21"/>
                <w:lang w:eastAsia="zh-CN"/>
              </w:rPr>
            </w:pPr>
            <w:r>
              <w:rPr>
                <w:rFonts w:hint="eastAsia" w:ascii="宋体" w:eastAsia="宋体" w:cs="宋体"/>
                <w:sz w:val="21"/>
                <w:szCs w:val="21"/>
              </w:rPr>
              <w:t>（4）投标人具有中国信息安全测评中心颁发的信息安全服务资质安全工程类的得</w:t>
            </w:r>
            <w:r>
              <w:rPr>
                <w:rFonts w:hint="eastAsia" w:ascii="宋体" w:eastAsia="宋体" w:cs="宋体"/>
                <w:sz w:val="21"/>
                <w:szCs w:val="21"/>
                <w:lang w:val="en-US" w:eastAsia="zh-CN"/>
              </w:rPr>
              <w:t>10</w:t>
            </w:r>
            <w:r>
              <w:rPr>
                <w:rFonts w:hint="eastAsia" w:ascii="宋体" w:eastAsia="宋体" w:cs="宋体"/>
                <w:sz w:val="21"/>
                <w:szCs w:val="21"/>
              </w:rPr>
              <w:t>分，</w:t>
            </w:r>
            <w:r>
              <w:rPr>
                <w:rFonts w:hint="eastAsia" w:ascii="宋体" w:cs="宋体"/>
                <w:sz w:val="21"/>
                <w:szCs w:val="21"/>
                <w:lang w:val="en-US" w:eastAsia="zh-CN"/>
              </w:rPr>
              <w:t>未提供不得分</w:t>
            </w:r>
            <w:r>
              <w:rPr>
                <w:rFonts w:hint="eastAsia" w:ascii="宋体" w:cs="宋体"/>
                <w:sz w:val="21"/>
                <w:szCs w:val="21"/>
                <w:lang w:eastAsia="zh-CN"/>
              </w:rPr>
              <w:t>；</w:t>
            </w:r>
          </w:p>
          <w:p w14:paraId="044EBAD0">
            <w:pPr>
              <w:rPr>
                <w:rFonts w:hint="eastAsia" w:ascii="宋体" w:eastAsia="宋体" w:cs="宋体"/>
                <w:sz w:val="21"/>
                <w:szCs w:val="21"/>
                <w:lang w:eastAsia="zh-CN"/>
              </w:rPr>
            </w:pPr>
            <w:r>
              <w:rPr>
                <w:rFonts w:hint="eastAsia" w:ascii="宋体" w:eastAsia="宋体" w:cs="宋体"/>
                <w:sz w:val="21"/>
                <w:szCs w:val="21"/>
              </w:rPr>
              <w:t>（5）投标人具有中国信息安全测评中心颁发的信息安全服务资质风险评估类的得</w:t>
            </w:r>
            <w:r>
              <w:rPr>
                <w:rFonts w:hint="eastAsia" w:ascii="宋体" w:eastAsia="宋体" w:cs="宋体"/>
                <w:sz w:val="21"/>
                <w:szCs w:val="21"/>
                <w:lang w:val="en-US" w:eastAsia="zh-CN"/>
              </w:rPr>
              <w:t>10</w:t>
            </w:r>
            <w:r>
              <w:rPr>
                <w:rFonts w:hint="eastAsia" w:ascii="宋体" w:eastAsia="宋体" w:cs="宋体"/>
                <w:sz w:val="21"/>
                <w:szCs w:val="21"/>
              </w:rPr>
              <w:t>分，</w:t>
            </w:r>
            <w:r>
              <w:rPr>
                <w:rFonts w:hint="eastAsia" w:ascii="宋体" w:cs="宋体"/>
                <w:sz w:val="21"/>
                <w:szCs w:val="21"/>
                <w:lang w:val="en-US" w:eastAsia="zh-CN"/>
              </w:rPr>
              <w:t>未提供不得分</w:t>
            </w:r>
            <w:r>
              <w:rPr>
                <w:rFonts w:hint="eastAsia" w:ascii="宋体" w:cs="宋体"/>
                <w:sz w:val="21"/>
                <w:szCs w:val="21"/>
                <w:lang w:eastAsia="zh-CN"/>
              </w:rPr>
              <w:t>；</w:t>
            </w:r>
          </w:p>
          <w:p w14:paraId="16EF7B3B">
            <w:pPr>
              <w:jc w:val="left"/>
              <w:rPr>
                <w:rFonts w:hint="eastAsia" w:ascii="宋体" w:hAnsi="宋体" w:eastAsia="宋体" w:cs="宋体"/>
                <w:szCs w:val="21"/>
                <w:lang w:eastAsia="zh-CN"/>
              </w:rPr>
            </w:pPr>
            <w:r>
              <w:rPr>
                <w:rFonts w:hint="eastAsia" w:ascii="宋体" w:hAnsi="宋体" w:cs="宋体"/>
                <w:szCs w:val="21"/>
              </w:rPr>
              <w:t>（6）投标人具有中国网络安全审查技术与认证中心颁发的信息安全服务资质信息安全风险评估类证书的得</w:t>
            </w:r>
            <w:r>
              <w:rPr>
                <w:rFonts w:hint="eastAsia" w:ascii="宋体" w:hAnsi="宋体" w:cs="宋体"/>
                <w:szCs w:val="21"/>
                <w:lang w:val="en-US" w:eastAsia="zh-CN"/>
              </w:rPr>
              <w:t>10</w:t>
            </w:r>
            <w:r>
              <w:rPr>
                <w:rFonts w:hint="eastAsia" w:ascii="宋体" w:hAnsi="宋体" w:cs="宋体"/>
                <w:szCs w:val="21"/>
              </w:rPr>
              <w:t>分，</w:t>
            </w:r>
            <w:r>
              <w:rPr>
                <w:rFonts w:hint="eastAsia" w:ascii="宋体" w:cs="宋体"/>
                <w:sz w:val="21"/>
                <w:szCs w:val="21"/>
                <w:lang w:val="en-US" w:eastAsia="zh-CN"/>
              </w:rPr>
              <w:t>未提供不得分</w:t>
            </w:r>
            <w:r>
              <w:rPr>
                <w:rFonts w:hint="eastAsia" w:ascii="宋体" w:hAnsi="宋体" w:cs="宋体"/>
                <w:szCs w:val="21"/>
                <w:lang w:eastAsia="zh-CN"/>
              </w:rPr>
              <w:t>；</w:t>
            </w:r>
          </w:p>
          <w:p w14:paraId="3ABFEB08">
            <w:pPr>
              <w:jc w:val="left"/>
              <w:rPr>
                <w:rFonts w:hint="eastAsia" w:ascii="宋体" w:hAnsi="宋体" w:eastAsia="宋体" w:cs="宋体"/>
                <w:szCs w:val="21"/>
                <w:lang w:eastAsia="zh-CN"/>
              </w:rPr>
            </w:pPr>
            <w:r>
              <w:rPr>
                <w:rFonts w:hint="eastAsia" w:ascii="宋体" w:hAnsi="宋体" w:cs="宋体"/>
                <w:szCs w:val="21"/>
              </w:rPr>
              <w:t>（7）投标人具有中国网络安全审查技术与认证中心颁发的信息安全服务资质信息系统安全集成类证书的得</w:t>
            </w:r>
            <w:r>
              <w:rPr>
                <w:rFonts w:hint="eastAsia" w:ascii="宋体" w:hAnsi="宋体" w:cs="宋体"/>
                <w:szCs w:val="21"/>
                <w:lang w:val="en-US" w:eastAsia="zh-CN"/>
              </w:rPr>
              <w:t>10</w:t>
            </w:r>
            <w:r>
              <w:rPr>
                <w:rFonts w:hint="eastAsia" w:ascii="宋体" w:hAnsi="宋体" w:cs="宋体"/>
                <w:szCs w:val="21"/>
              </w:rPr>
              <w:t>分，</w:t>
            </w:r>
            <w:r>
              <w:rPr>
                <w:rFonts w:hint="eastAsia" w:ascii="宋体" w:cs="宋体"/>
                <w:sz w:val="21"/>
                <w:szCs w:val="21"/>
                <w:lang w:val="en-US" w:eastAsia="zh-CN"/>
              </w:rPr>
              <w:t>未提供不得分</w:t>
            </w:r>
            <w:r>
              <w:rPr>
                <w:rFonts w:hint="eastAsia" w:ascii="宋体" w:hAnsi="宋体" w:cs="宋体"/>
                <w:szCs w:val="21"/>
                <w:lang w:eastAsia="zh-CN"/>
              </w:rPr>
              <w:t>；</w:t>
            </w:r>
          </w:p>
          <w:p w14:paraId="030E5F41">
            <w:pPr>
              <w:jc w:val="left"/>
              <w:rPr>
                <w:rFonts w:ascii="宋体" w:hAnsi="宋体" w:cs="宋体"/>
                <w:szCs w:val="21"/>
              </w:rPr>
            </w:pPr>
            <w:r>
              <w:rPr>
                <w:rFonts w:hint="eastAsia" w:ascii="宋体" w:hAnsi="宋体" w:cs="宋体"/>
                <w:szCs w:val="21"/>
              </w:rPr>
              <w:t>（8）投标人具有中国网络安全审查技术与认证中心颁发的信息安全服务资质信息系统安全运维类证书的得</w:t>
            </w:r>
            <w:r>
              <w:rPr>
                <w:rFonts w:hint="eastAsia" w:ascii="宋体" w:hAnsi="宋体" w:cs="宋体"/>
                <w:szCs w:val="21"/>
                <w:lang w:val="en-US" w:eastAsia="zh-CN"/>
              </w:rPr>
              <w:t>10</w:t>
            </w:r>
            <w:r>
              <w:rPr>
                <w:rFonts w:hint="eastAsia" w:ascii="宋体" w:hAnsi="宋体" w:cs="宋体"/>
                <w:szCs w:val="21"/>
              </w:rPr>
              <w:t>分，</w:t>
            </w:r>
            <w:r>
              <w:rPr>
                <w:rFonts w:hint="eastAsia" w:ascii="宋体" w:cs="宋体"/>
                <w:sz w:val="21"/>
                <w:szCs w:val="21"/>
                <w:lang w:val="en-US" w:eastAsia="zh-CN"/>
              </w:rPr>
              <w:t>未提供不得分</w:t>
            </w:r>
            <w:r>
              <w:rPr>
                <w:rFonts w:hint="eastAsia" w:ascii="宋体" w:hAnsi="宋体" w:cs="宋体"/>
                <w:szCs w:val="21"/>
              </w:rPr>
              <w:t>。</w:t>
            </w:r>
          </w:p>
          <w:p w14:paraId="0604760E">
            <w:pPr>
              <w:jc w:val="left"/>
              <w:rPr>
                <w:rFonts w:ascii="宋体" w:hAnsi="宋体" w:cs="宋体"/>
                <w:szCs w:val="21"/>
              </w:rPr>
            </w:pPr>
            <w:r>
              <w:rPr>
                <w:rFonts w:hint="eastAsia" w:ascii="宋体" w:hAnsi="宋体" w:cs="宋体"/>
                <w:szCs w:val="21"/>
              </w:rPr>
              <w:t>（二）评分依据：</w:t>
            </w:r>
          </w:p>
          <w:p w14:paraId="7EA2E79A">
            <w:pPr>
              <w:jc w:val="left"/>
              <w:rPr>
                <w:rFonts w:hint="eastAsia" w:ascii="宋体" w:hAnsi="宋体" w:eastAsia="宋体" w:cs="宋体"/>
                <w:szCs w:val="21"/>
                <w:lang w:eastAsia="zh-CN"/>
              </w:rPr>
            </w:pPr>
            <w:r>
              <w:rPr>
                <w:rFonts w:hint="eastAsia" w:ascii="宋体" w:hAnsi="宋体" w:cs="宋体"/>
                <w:szCs w:val="21"/>
              </w:rPr>
              <w:t>1.第（1）项</w:t>
            </w:r>
            <w:r>
              <w:rPr>
                <w:rFonts w:hint="eastAsia"/>
              </w:rPr>
              <w:t>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r>
              <w:rPr>
                <w:rFonts w:hint="eastAsia"/>
                <w:lang w:eastAsia="zh-CN"/>
              </w:rPr>
              <w:t>；</w:t>
            </w:r>
          </w:p>
          <w:p w14:paraId="1A431684">
            <w:pPr>
              <w:jc w:val="left"/>
              <w:rPr>
                <w:rFonts w:hint="default"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第（2）-（8）项要求提供投标人相关证书证明资料作为得分依据；</w:t>
            </w:r>
          </w:p>
          <w:p w14:paraId="2DB1B345">
            <w:pPr>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以上资料均要求提供扫描件。评分中出现无证明资料或专家无法凭所提供资料判断是否得分的情况，一律作不得分处理。</w:t>
            </w:r>
          </w:p>
        </w:tc>
      </w:tr>
      <w:tr w14:paraId="4592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continue"/>
            <w:vAlign w:val="center"/>
          </w:tcPr>
          <w:p w14:paraId="613AF7A6">
            <w:pPr>
              <w:rPr>
                <w:rFonts w:ascii="宋体" w:hAnsi="宋体" w:cs="宋体"/>
                <w:b/>
                <w:bCs/>
                <w:color w:val="0000FF"/>
                <w:szCs w:val="21"/>
              </w:rPr>
            </w:pPr>
          </w:p>
        </w:tc>
        <w:tc>
          <w:tcPr>
            <w:tcW w:w="539" w:type="dxa"/>
            <w:vAlign w:val="center"/>
          </w:tcPr>
          <w:p w14:paraId="1E70A491">
            <w:pPr>
              <w:wordWrap w:val="0"/>
              <w:jc w:val="center"/>
              <w:rPr>
                <w:rFonts w:ascii="宋体" w:hAnsi="宋体" w:cs="宋体"/>
                <w:szCs w:val="21"/>
              </w:rPr>
            </w:pPr>
            <w:r>
              <w:rPr>
                <w:rFonts w:hint="eastAsia" w:ascii="宋体" w:hAnsi="宋体" w:cs="宋体"/>
                <w:szCs w:val="21"/>
              </w:rPr>
              <w:t>2</w:t>
            </w:r>
          </w:p>
        </w:tc>
        <w:tc>
          <w:tcPr>
            <w:tcW w:w="2015" w:type="dxa"/>
            <w:vAlign w:val="center"/>
          </w:tcPr>
          <w:p w14:paraId="4481B75E">
            <w:pPr>
              <w:wordWrap w:val="0"/>
              <w:jc w:val="center"/>
              <w:rPr>
                <w:rFonts w:ascii="宋体" w:hAnsi="宋体" w:cs="宋体"/>
                <w:szCs w:val="21"/>
              </w:rPr>
            </w:pPr>
            <w:r>
              <w:rPr>
                <w:rFonts w:hint="eastAsia" w:ascii="宋体" w:hAnsi="宋体" w:cs="宋体"/>
                <w:szCs w:val="21"/>
              </w:rPr>
              <w:t>供应商同类项目业绩情况</w:t>
            </w:r>
          </w:p>
        </w:tc>
        <w:tc>
          <w:tcPr>
            <w:tcW w:w="816" w:type="dxa"/>
            <w:vAlign w:val="center"/>
          </w:tcPr>
          <w:p w14:paraId="66285AC5">
            <w:pPr>
              <w:wordWrap w:val="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5486" w:type="dxa"/>
          </w:tcPr>
          <w:p w14:paraId="64323261">
            <w:pPr>
              <w:jc w:val="left"/>
              <w:rPr>
                <w:rFonts w:ascii="宋体" w:hAnsi="宋体" w:cs="宋体"/>
                <w:szCs w:val="21"/>
              </w:rPr>
            </w:pPr>
            <w:r>
              <w:rPr>
                <w:rFonts w:hint="eastAsia" w:ascii="宋体" w:hAnsi="宋体" w:cs="宋体"/>
                <w:szCs w:val="21"/>
              </w:rPr>
              <w:t>（一）评分内容：提供自20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日至本项目投标截止日，以合同签订时间为准的网络安全服务类同类业绩，提供3个即得满分，提供2个得</w:t>
            </w:r>
            <w:r>
              <w:rPr>
                <w:rFonts w:hint="eastAsia" w:ascii="宋体" w:hAnsi="宋体" w:cs="宋体"/>
                <w:szCs w:val="21"/>
                <w:lang w:val="en-US" w:eastAsia="zh-CN"/>
              </w:rPr>
              <w:t>60</w:t>
            </w:r>
            <w:r>
              <w:rPr>
                <w:rFonts w:hint="eastAsia" w:ascii="宋体" w:hAnsi="宋体" w:cs="宋体"/>
                <w:szCs w:val="21"/>
              </w:rPr>
              <w:t>分，提供1个得</w:t>
            </w:r>
            <w:r>
              <w:rPr>
                <w:rFonts w:hint="eastAsia" w:ascii="宋体" w:hAnsi="宋体" w:cs="宋体"/>
                <w:szCs w:val="21"/>
                <w:lang w:val="en-US" w:eastAsia="zh-CN"/>
              </w:rPr>
              <w:t>20</w:t>
            </w:r>
            <w:r>
              <w:rPr>
                <w:rFonts w:hint="eastAsia" w:ascii="宋体" w:hAnsi="宋体" w:cs="宋体"/>
                <w:szCs w:val="21"/>
              </w:rPr>
              <w:t>分，未提供的不得分。</w:t>
            </w:r>
          </w:p>
          <w:p w14:paraId="020DDA41">
            <w:pPr>
              <w:jc w:val="left"/>
              <w:rPr>
                <w:rFonts w:ascii="宋体" w:hAnsi="宋体" w:cs="宋体"/>
                <w:szCs w:val="21"/>
              </w:rPr>
            </w:pPr>
            <w:r>
              <w:rPr>
                <w:rFonts w:hint="eastAsia" w:ascii="宋体" w:hAnsi="宋体" w:cs="宋体"/>
                <w:szCs w:val="21"/>
              </w:rPr>
              <w:t>（二）评分依据：投标人必须在投标文件中提供每一个项目的合同和验收报告（均加盖合同甲方公章或业务章）扫描件，否则不得分。</w:t>
            </w:r>
          </w:p>
        </w:tc>
      </w:tr>
      <w:tr w14:paraId="4B05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tcPr>
          <w:p w14:paraId="3DED87A6">
            <w:pPr>
              <w:wordWrap w:val="0"/>
              <w:jc w:val="center"/>
              <w:rPr>
                <w:rFonts w:ascii="宋体" w:hAnsi="宋体" w:cs="宋体"/>
                <w:b/>
                <w:bCs/>
                <w:color w:val="0000FF"/>
                <w:szCs w:val="21"/>
              </w:rPr>
            </w:pPr>
            <w:r>
              <w:rPr>
                <w:rFonts w:hint="eastAsia" w:ascii="宋体" w:hAnsi="宋体" w:cs="宋体"/>
                <w:b/>
                <w:bCs/>
                <w:color w:val="0000FF"/>
                <w:szCs w:val="21"/>
              </w:rPr>
              <w:t>4</w:t>
            </w:r>
          </w:p>
        </w:tc>
        <w:tc>
          <w:tcPr>
            <w:tcW w:w="3370" w:type="dxa"/>
            <w:gridSpan w:val="3"/>
          </w:tcPr>
          <w:p w14:paraId="7D750705">
            <w:pPr>
              <w:wordWrap w:val="0"/>
              <w:jc w:val="center"/>
              <w:rPr>
                <w:rFonts w:ascii="宋体" w:hAnsi="宋体" w:cs="宋体"/>
                <w:b/>
                <w:bCs/>
                <w:color w:val="0000FF"/>
                <w:szCs w:val="21"/>
              </w:rPr>
            </w:pPr>
            <w:r>
              <w:rPr>
                <w:rFonts w:hint="eastAsia" w:ascii="宋体" w:hAnsi="宋体" w:cs="宋体"/>
                <w:b/>
                <w:bCs/>
                <w:color w:val="0000FF"/>
                <w:szCs w:val="21"/>
              </w:rPr>
              <w:t>诚信情况</w:t>
            </w:r>
          </w:p>
        </w:tc>
        <w:tc>
          <w:tcPr>
            <w:tcW w:w="5486" w:type="dxa"/>
          </w:tcPr>
          <w:p w14:paraId="287F4123">
            <w:pPr>
              <w:wordWrap w:val="0"/>
              <w:jc w:val="center"/>
              <w:rPr>
                <w:rFonts w:ascii="宋体" w:hAnsi="宋体" w:cs="宋体"/>
                <w:b/>
                <w:bCs/>
                <w:color w:val="0000FF"/>
                <w:szCs w:val="21"/>
              </w:rPr>
            </w:pPr>
            <w:r>
              <w:rPr>
                <w:rFonts w:hint="eastAsia" w:ascii="宋体" w:hAnsi="宋体" w:cs="宋体"/>
                <w:b/>
                <w:bCs/>
                <w:color w:val="0000FF"/>
                <w:szCs w:val="21"/>
              </w:rPr>
              <w:t>5</w:t>
            </w:r>
          </w:p>
        </w:tc>
      </w:tr>
      <w:tr w14:paraId="075E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restart"/>
            <w:shd w:val="clear" w:color="auto" w:fill="E6EFFA"/>
            <w:vAlign w:val="center"/>
          </w:tcPr>
          <w:p w14:paraId="278F8E47">
            <w:pPr>
              <w:rPr>
                <w:rFonts w:ascii="宋体" w:hAnsi="宋体" w:cs="宋体"/>
                <w:b/>
                <w:bCs/>
                <w:color w:val="0000FF"/>
                <w:szCs w:val="21"/>
              </w:rPr>
            </w:pPr>
          </w:p>
        </w:tc>
        <w:tc>
          <w:tcPr>
            <w:tcW w:w="539" w:type="dxa"/>
            <w:shd w:val="clear" w:color="auto" w:fill="E6EFFA"/>
            <w:vAlign w:val="center"/>
          </w:tcPr>
          <w:p w14:paraId="2EBA50E0">
            <w:pPr>
              <w:wordWrap w:val="0"/>
              <w:jc w:val="center"/>
              <w:rPr>
                <w:rFonts w:ascii="宋体" w:hAnsi="宋体" w:cs="宋体"/>
                <w:szCs w:val="21"/>
              </w:rPr>
            </w:pPr>
            <w:r>
              <w:rPr>
                <w:rFonts w:hint="eastAsia" w:ascii="宋体" w:hAnsi="宋体" w:cs="宋体"/>
                <w:szCs w:val="21"/>
              </w:rPr>
              <w:t>序号</w:t>
            </w:r>
          </w:p>
        </w:tc>
        <w:tc>
          <w:tcPr>
            <w:tcW w:w="2015" w:type="dxa"/>
            <w:shd w:val="clear" w:color="auto" w:fill="E6EFFA"/>
            <w:vAlign w:val="center"/>
          </w:tcPr>
          <w:p w14:paraId="0C86A492">
            <w:pPr>
              <w:wordWrap w:val="0"/>
              <w:jc w:val="center"/>
              <w:rPr>
                <w:rFonts w:ascii="宋体" w:hAnsi="宋体" w:cs="宋体"/>
                <w:szCs w:val="21"/>
              </w:rPr>
            </w:pPr>
            <w:r>
              <w:rPr>
                <w:rFonts w:hint="eastAsia" w:ascii="宋体" w:hAnsi="宋体" w:cs="宋体"/>
                <w:szCs w:val="21"/>
              </w:rPr>
              <w:t>评审因素</w:t>
            </w:r>
          </w:p>
        </w:tc>
        <w:tc>
          <w:tcPr>
            <w:tcW w:w="816" w:type="dxa"/>
            <w:shd w:val="clear" w:color="auto" w:fill="E6EFFA"/>
            <w:vAlign w:val="center"/>
          </w:tcPr>
          <w:p w14:paraId="0B865C13">
            <w:pPr>
              <w:wordWrap w:val="0"/>
              <w:jc w:val="center"/>
              <w:rPr>
                <w:rFonts w:ascii="宋体" w:hAnsi="宋体" w:cs="宋体"/>
                <w:szCs w:val="21"/>
              </w:rPr>
            </w:pPr>
            <w:r>
              <w:rPr>
                <w:rFonts w:hint="eastAsia" w:ascii="宋体" w:hAnsi="宋体" w:cs="宋体"/>
                <w:szCs w:val="21"/>
              </w:rPr>
              <w:t>权重(%)</w:t>
            </w:r>
          </w:p>
        </w:tc>
        <w:tc>
          <w:tcPr>
            <w:tcW w:w="5486" w:type="dxa"/>
            <w:shd w:val="clear" w:color="auto" w:fill="E6EFFA"/>
            <w:vAlign w:val="center"/>
          </w:tcPr>
          <w:p w14:paraId="59F5CFA4">
            <w:pPr>
              <w:wordWrap w:val="0"/>
              <w:jc w:val="center"/>
              <w:rPr>
                <w:rFonts w:ascii="宋体" w:hAnsi="宋体" w:cs="宋体"/>
                <w:szCs w:val="21"/>
              </w:rPr>
            </w:pPr>
            <w:r>
              <w:rPr>
                <w:rFonts w:hint="eastAsia" w:ascii="宋体" w:hAnsi="宋体" w:cs="宋体"/>
                <w:szCs w:val="21"/>
              </w:rPr>
              <w:t>评分准则</w:t>
            </w:r>
          </w:p>
        </w:tc>
      </w:tr>
      <w:tr w14:paraId="53BE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477" w:type="dxa"/>
            <w:vMerge w:val="continue"/>
            <w:vAlign w:val="center"/>
          </w:tcPr>
          <w:p w14:paraId="55FA5C3E">
            <w:pPr>
              <w:rPr>
                <w:rFonts w:ascii="宋体" w:hAnsi="宋体" w:cs="宋体"/>
                <w:b/>
                <w:bCs/>
                <w:color w:val="0000FF"/>
                <w:szCs w:val="21"/>
              </w:rPr>
            </w:pPr>
          </w:p>
        </w:tc>
        <w:tc>
          <w:tcPr>
            <w:tcW w:w="539" w:type="dxa"/>
            <w:vAlign w:val="center"/>
          </w:tcPr>
          <w:p w14:paraId="60E2FEB8">
            <w:pPr>
              <w:wordWrap w:val="0"/>
              <w:jc w:val="center"/>
              <w:rPr>
                <w:rFonts w:ascii="宋体" w:hAnsi="宋体" w:cs="宋体"/>
                <w:szCs w:val="21"/>
              </w:rPr>
            </w:pPr>
            <w:r>
              <w:rPr>
                <w:rFonts w:hint="eastAsia" w:ascii="宋体" w:hAnsi="宋体" w:cs="宋体"/>
                <w:szCs w:val="21"/>
              </w:rPr>
              <w:t>1</w:t>
            </w:r>
          </w:p>
        </w:tc>
        <w:tc>
          <w:tcPr>
            <w:tcW w:w="2015" w:type="dxa"/>
            <w:vAlign w:val="center"/>
          </w:tcPr>
          <w:p w14:paraId="30192219">
            <w:pPr>
              <w:wordWrap w:val="0"/>
              <w:jc w:val="center"/>
              <w:rPr>
                <w:rFonts w:ascii="宋体" w:hAnsi="宋体" w:cs="宋体"/>
                <w:szCs w:val="21"/>
              </w:rPr>
            </w:pPr>
            <w:r>
              <w:rPr>
                <w:rFonts w:hint="eastAsia" w:ascii="宋体" w:hAnsi="宋体" w:cs="宋体"/>
                <w:szCs w:val="21"/>
              </w:rPr>
              <w:t>诚信情况</w:t>
            </w:r>
          </w:p>
        </w:tc>
        <w:tc>
          <w:tcPr>
            <w:tcW w:w="816" w:type="dxa"/>
            <w:vAlign w:val="center"/>
          </w:tcPr>
          <w:p w14:paraId="2470154C">
            <w:pPr>
              <w:wordWrap w:val="0"/>
              <w:jc w:val="center"/>
              <w:rPr>
                <w:rFonts w:ascii="宋体" w:hAnsi="宋体" w:cs="宋体"/>
                <w:szCs w:val="21"/>
              </w:rPr>
            </w:pPr>
            <w:r>
              <w:rPr>
                <w:rFonts w:hint="eastAsia" w:ascii="宋体" w:hAnsi="宋体" w:cs="宋体"/>
                <w:szCs w:val="21"/>
              </w:rPr>
              <w:t>5</w:t>
            </w:r>
          </w:p>
        </w:tc>
        <w:tc>
          <w:tcPr>
            <w:tcW w:w="5486" w:type="dxa"/>
          </w:tcPr>
          <w:p w14:paraId="0A5EA68A">
            <w:pPr>
              <w:jc w:val="left"/>
              <w:rPr>
                <w:rFonts w:hint="eastAsia" w:ascii="宋体" w:hAnsi="宋体" w:cs="宋体"/>
                <w:szCs w:val="21"/>
              </w:rPr>
            </w:pPr>
            <w:r>
              <w:rPr>
                <w:rFonts w:hint="eastAsia" w:ascii="宋体" w:hAnsi="宋体" w:cs="宋体"/>
                <w:szCs w:val="21"/>
              </w:rPr>
              <w:t>（一）评分内容：</w:t>
            </w:r>
          </w:p>
          <w:p w14:paraId="0A1BB18C">
            <w:pPr>
              <w:jc w:val="left"/>
              <w:rPr>
                <w:rFonts w:hint="eastAsia" w:ascii="宋体" w:hAnsi="宋体" w:cs="宋体"/>
                <w:szCs w:val="21"/>
              </w:rPr>
            </w:pPr>
            <w:r>
              <w:rPr>
                <w:rFonts w:hint="eastAsia" w:ascii="宋体" w:hAnsi="宋体" w:cs="宋体"/>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51A01B06">
            <w:pPr>
              <w:jc w:val="left"/>
              <w:rPr>
                <w:rFonts w:hint="eastAsia" w:ascii="宋体" w:hAnsi="宋体" w:cs="宋体"/>
                <w:szCs w:val="21"/>
              </w:rPr>
            </w:pPr>
            <w:r>
              <w:rPr>
                <w:rFonts w:hint="eastAsia" w:ascii="宋体" w:hAnsi="宋体" w:cs="宋体"/>
                <w:szCs w:val="21"/>
              </w:rPr>
              <w:t>（二）评分依据：</w:t>
            </w:r>
          </w:p>
          <w:p w14:paraId="2AB6EFD7">
            <w:pPr>
              <w:jc w:val="left"/>
              <w:rPr>
                <w:rFonts w:ascii="宋体" w:hAnsi="宋体" w:cs="宋体"/>
                <w:szCs w:val="21"/>
              </w:rPr>
            </w:pPr>
            <w:r>
              <w:rPr>
                <w:rFonts w:hint="eastAsia" w:ascii="宋体" w:hAnsi="宋体" w:cs="宋体"/>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10BB2997">
      <w:pPr>
        <w:rPr>
          <w:b/>
          <w:sz w:val="120"/>
          <w:szCs w:val="120"/>
        </w:rPr>
      </w:pPr>
      <w:r>
        <w:rPr>
          <w:rFonts w:hint="eastAsia"/>
        </w:rPr>
        <w:br w:type="page"/>
      </w:r>
    </w:p>
    <w:p w14:paraId="7737338F">
      <w:pPr>
        <w:jc w:val="center"/>
        <w:rPr>
          <w:b/>
          <w:sz w:val="120"/>
          <w:szCs w:val="120"/>
        </w:rPr>
      </w:pPr>
    </w:p>
    <w:p w14:paraId="3219F5C8">
      <w:pPr>
        <w:pStyle w:val="2"/>
        <w:rPr>
          <w:b/>
          <w:sz w:val="120"/>
          <w:szCs w:val="120"/>
        </w:rPr>
      </w:pPr>
    </w:p>
    <w:p w14:paraId="188C3A17">
      <w:pPr>
        <w:pStyle w:val="3"/>
      </w:pPr>
    </w:p>
    <w:p w14:paraId="1BC1ED83">
      <w:pPr>
        <w:jc w:val="center"/>
        <w:rPr>
          <w:b/>
          <w:sz w:val="120"/>
          <w:szCs w:val="120"/>
        </w:rPr>
      </w:pPr>
      <w:r>
        <w:rPr>
          <w:rFonts w:hint="eastAsia"/>
          <w:b/>
          <w:sz w:val="120"/>
          <w:szCs w:val="120"/>
        </w:rPr>
        <w:t>自行采购</w:t>
      </w:r>
    </w:p>
    <w:p w14:paraId="79C1781A">
      <w:pPr>
        <w:jc w:val="center"/>
        <w:rPr>
          <w:b/>
          <w:sz w:val="120"/>
          <w:szCs w:val="120"/>
        </w:rPr>
      </w:pPr>
      <w:r>
        <w:rPr>
          <w:rFonts w:hint="eastAsia"/>
          <w:b/>
          <w:sz w:val="120"/>
          <w:szCs w:val="120"/>
        </w:rPr>
        <w:t>招标文件</w:t>
      </w:r>
    </w:p>
    <w:p w14:paraId="0E298285">
      <w:pPr>
        <w:jc w:val="center"/>
        <w:rPr>
          <w:b/>
          <w:sz w:val="52"/>
          <w:szCs w:val="52"/>
        </w:rPr>
      </w:pPr>
      <w:r>
        <w:rPr>
          <w:rFonts w:hint="eastAsia"/>
          <w:b/>
          <w:sz w:val="52"/>
          <w:szCs w:val="52"/>
        </w:rPr>
        <w:t>（服务类）</w:t>
      </w:r>
    </w:p>
    <w:p w14:paraId="6980F291">
      <w:pPr>
        <w:jc w:val="center"/>
      </w:pPr>
    </w:p>
    <w:p w14:paraId="12E6A51B">
      <w:pPr>
        <w:jc w:val="center"/>
      </w:pPr>
    </w:p>
    <w:p w14:paraId="3558BD06">
      <w:pPr>
        <w:jc w:val="center"/>
      </w:pPr>
    </w:p>
    <w:p w14:paraId="28585C35">
      <w:pPr>
        <w:jc w:val="center"/>
      </w:pPr>
    </w:p>
    <w:p w14:paraId="60D62C9A">
      <w:pPr>
        <w:jc w:val="center"/>
      </w:pPr>
    </w:p>
    <w:p w14:paraId="1379F780">
      <w:pPr>
        <w:jc w:val="center"/>
        <w:rPr>
          <w:b/>
          <w:sz w:val="44"/>
          <w:szCs w:val="44"/>
        </w:rPr>
      </w:pPr>
    </w:p>
    <w:p w14:paraId="49189E06">
      <w:pPr>
        <w:jc w:val="center"/>
        <w:rPr>
          <w:b/>
          <w:sz w:val="44"/>
          <w:szCs w:val="44"/>
        </w:rPr>
      </w:pPr>
    </w:p>
    <w:p w14:paraId="507332AE">
      <w:pPr>
        <w:jc w:val="center"/>
        <w:rPr>
          <w:b/>
          <w:sz w:val="44"/>
          <w:szCs w:val="44"/>
        </w:rPr>
      </w:pPr>
    </w:p>
    <w:p w14:paraId="6E6C29A1">
      <w:pPr>
        <w:jc w:val="center"/>
        <w:rPr>
          <w:b/>
          <w:sz w:val="44"/>
          <w:szCs w:val="44"/>
        </w:rPr>
      </w:pPr>
    </w:p>
    <w:p w14:paraId="4685FF52">
      <w:pPr>
        <w:jc w:val="center"/>
        <w:rPr>
          <w:b/>
          <w:sz w:val="44"/>
          <w:szCs w:val="44"/>
        </w:rPr>
      </w:pPr>
    </w:p>
    <w:p w14:paraId="1DA0D41E">
      <w:pPr>
        <w:jc w:val="center"/>
        <w:rPr>
          <w:b/>
          <w:sz w:val="44"/>
          <w:szCs w:val="44"/>
        </w:rPr>
      </w:pPr>
    </w:p>
    <w:p w14:paraId="3DF648E2">
      <w:pPr>
        <w:jc w:val="center"/>
        <w:rPr>
          <w:b/>
          <w:sz w:val="44"/>
          <w:szCs w:val="44"/>
        </w:rPr>
      </w:pPr>
    </w:p>
    <w:p w14:paraId="2C56D29B">
      <w:pPr>
        <w:jc w:val="center"/>
        <w:rPr>
          <w:b/>
          <w:sz w:val="44"/>
          <w:szCs w:val="44"/>
        </w:rPr>
      </w:pPr>
    </w:p>
    <w:p w14:paraId="19DA493F">
      <w:pPr>
        <w:jc w:val="center"/>
        <w:rPr>
          <w:b/>
          <w:sz w:val="44"/>
          <w:szCs w:val="44"/>
        </w:rPr>
      </w:pPr>
      <w:bookmarkStart w:id="0" w:name="_Hlk71465316"/>
      <w:r>
        <w:rPr>
          <w:rFonts w:hint="eastAsia"/>
          <w:b/>
          <w:sz w:val="44"/>
          <w:szCs w:val="44"/>
        </w:rPr>
        <w:t>深圳公共资源交易中心</w:t>
      </w:r>
    </w:p>
    <w:p w14:paraId="6638AD8E">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14:paraId="27671F37">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3A2559C5">
      <w:pPr>
        <w:ind w:firstLine="400" w:firstLineChars="200"/>
        <w:rPr>
          <w:rFonts w:hint="eastAsia" w:ascii="宋体" w:hAnsi="宋体"/>
          <w:color w:val="FF0000"/>
          <w:sz w:val="20"/>
          <w:szCs w:val="20"/>
        </w:rPr>
      </w:pPr>
    </w:p>
    <w:p w14:paraId="45F1BDC5">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660A1B49">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2CC5AEDD">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36D22AFA">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37C798BB">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7F3B0496">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162BF9B6">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3017817A">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10CEEE4E">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6D98D6AA">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1B7017AB">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3648C1C8">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03ED426">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55D7C04">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0E6B6080">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4861C712">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p>
    <w:bookmarkEnd w:id="1"/>
    <w:p w14:paraId="6A1EDCB2">
      <w:pPr>
        <w:widowControl/>
        <w:jc w:val="left"/>
        <w:rPr>
          <w:rFonts w:hint="eastAsia" w:ascii="宋体" w:hAnsi="宋体" w:eastAsia="黑体"/>
          <w:b/>
          <w:bCs/>
          <w:kern w:val="44"/>
          <w:sz w:val="28"/>
          <w:szCs w:val="44"/>
        </w:rPr>
      </w:pPr>
      <w:r>
        <w:br w:type="page"/>
      </w:r>
    </w:p>
    <w:p w14:paraId="3D058CBA">
      <w:pPr>
        <w:pStyle w:val="4"/>
        <w:rPr>
          <w:rFonts w:hint="eastAsia"/>
        </w:rPr>
      </w:pPr>
      <w:r>
        <w:rPr>
          <w:rFonts w:hint="eastAsia"/>
        </w:rPr>
        <w:t>目   录</w:t>
      </w:r>
    </w:p>
    <w:p w14:paraId="18F4A346">
      <w:pPr>
        <w:outlineLvl w:val="0"/>
        <w:rPr>
          <w:b/>
          <w:sz w:val="24"/>
        </w:rPr>
      </w:pPr>
      <w:r>
        <w:rPr>
          <w:rFonts w:hint="eastAsia"/>
          <w:b/>
          <w:sz w:val="24"/>
        </w:rPr>
        <w:t>第一册  专用条款</w:t>
      </w:r>
    </w:p>
    <w:p w14:paraId="7C2876E3">
      <w:pPr>
        <w:rPr>
          <w:sz w:val="24"/>
        </w:rPr>
      </w:pPr>
      <w:r>
        <w:rPr>
          <w:rFonts w:hint="eastAsia"/>
          <w:sz w:val="24"/>
        </w:rPr>
        <w:t xml:space="preserve">          关键信息</w:t>
      </w:r>
    </w:p>
    <w:p w14:paraId="3765E717">
      <w:pPr>
        <w:ind w:left="630" w:leftChars="300" w:firstLine="630" w:firstLineChars="300"/>
        <w:rPr>
          <w:rFonts w:hint="eastAsia" w:ascii="宋体" w:hAnsi="宋体"/>
          <w:szCs w:val="21"/>
        </w:rPr>
      </w:pPr>
      <w:r>
        <w:rPr>
          <w:rFonts w:hint="eastAsia" w:ascii="宋体" w:hAnsi="宋体"/>
          <w:szCs w:val="21"/>
        </w:rPr>
        <w:t>第一章  招标公告</w:t>
      </w:r>
    </w:p>
    <w:p w14:paraId="5B5F2450">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6C00EB6C">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7A5490AE">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93F6C8F">
      <w:pPr>
        <w:ind w:left="630" w:leftChars="300" w:firstLine="630" w:firstLineChars="300"/>
        <w:rPr>
          <w:rFonts w:hint="eastAsia" w:ascii="宋体" w:hAnsi="宋体"/>
          <w:szCs w:val="21"/>
        </w:rPr>
      </w:pPr>
      <w:r>
        <w:rPr>
          <w:rFonts w:hint="eastAsia" w:ascii="宋体" w:hAnsi="宋体"/>
          <w:szCs w:val="21"/>
        </w:rPr>
        <w:t>第五章  合同条款及格式</w:t>
      </w:r>
    </w:p>
    <w:p w14:paraId="31345B7A">
      <w:pPr>
        <w:rPr>
          <w:b/>
          <w:sz w:val="24"/>
        </w:rPr>
      </w:pPr>
    </w:p>
    <w:p w14:paraId="40A633A2">
      <w:pPr>
        <w:outlineLvl w:val="0"/>
        <w:rPr>
          <w:b/>
          <w:sz w:val="24"/>
        </w:rPr>
      </w:pPr>
      <w:r>
        <w:rPr>
          <w:rFonts w:hint="eastAsia"/>
          <w:b/>
          <w:sz w:val="24"/>
        </w:rPr>
        <w:t>第二册  通用条款</w:t>
      </w:r>
    </w:p>
    <w:p w14:paraId="43179F4C">
      <w:pPr>
        <w:ind w:left="630" w:leftChars="300" w:firstLine="630" w:firstLineChars="300"/>
        <w:rPr>
          <w:rFonts w:hint="eastAsia" w:ascii="宋体" w:hAnsi="宋体"/>
          <w:szCs w:val="21"/>
        </w:rPr>
      </w:pPr>
      <w:r>
        <w:rPr>
          <w:rFonts w:hint="eastAsia" w:ascii="宋体" w:hAnsi="宋体"/>
          <w:szCs w:val="21"/>
        </w:rPr>
        <w:t>第一章  总则</w:t>
      </w:r>
    </w:p>
    <w:p w14:paraId="7C471174">
      <w:pPr>
        <w:ind w:left="630" w:leftChars="300" w:firstLine="630" w:firstLineChars="300"/>
        <w:rPr>
          <w:rFonts w:hint="eastAsia" w:ascii="宋体" w:hAnsi="宋体"/>
          <w:szCs w:val="21"/>
        </w:rPr>
      </w:pPr>
      <w:r>
        <w:rPr>
          <w:rFonts w:hint="eastAsia" w:ascii="宋体" w:hAnsi="宋体"/>
          <w:szCs w:val="21"/>
        </w:rPr>
        <w:t>第二章  招标文件</w:t>
      </w:r>
    </w:p>
    <w:p w14:paraId="4D759017">
      <w:pPr>
        <w:ind w:left="630" w:leftChars="300" w:firstLine="630" w:firstLineChars="300"/>
        <w:rPr>
          <w:rFonts w:hint="eastAsia" w:ascii="宋体" w:hAnsi="宋体"/>
          <w:szCs w:val="21"/>
        </w:rPr>
      </w:pPr>
      <w:r>
        <w:rPr>
          <w:rFonts w:hint="eastAsia" w:ascii="宋体" w:hAnsi="宋体"/>
          <w:szCs w:val="21"/>
        </w:rPr>
        <w:t>第三章  投标文件的编制</w:t>
      </w:r>
    </w:p>
    <w:p w14:paraId="3225B36C">
      <w:pPr>
        <w:ind w:left="630" w:leftChars="300" w:firstLine="630" w:firstLineChars="300"/>
        <w:rPr>
          <w:rFonts w:hint="eastAsia" w:ascii="宋体" w:hAnsi="宋体"/>
          <w:szCs w:val="21"/>
        </w:rPr>
      </w:pPr>
      <w:r>
        <w:rPr>
          <w:rFonts w:hint="eastAsia" w:ascii="宋体" w:hAnsi="宋体"/>
          <w:szCs w:val="21"/>
        </w:rPr>
        <w:t>第四章  投标文件的递交</w:t>
      </w:r>
    </w:p>
    <w:p w14:paraId="6B6113BE">
      <w:pPr>
        <w:ind w:left="630" w:leftChars="300" w:firstLine="630" w:firstLineChars="300"/>
        <w:rPr>
          <w:rFonts w:hint="eastAsia" w:ascii="宋体" w:hAnsi="宋体"/>
          <w:szCs w:val="21"/>
        </w:rPr>
      </w:pPr>
      <w:r>
        <w:rPr>
          <w:rFonts w:hint="eastAsia" w:ascii="宋体" w:hAnsi="宋体"/>
          <w:szCs w:val="21"/>
        </w:rPr>
        <w:t>第五章  开标</w:t>
      </w:r>
    </w:p>
    <w:p w14:paraId="063F543E">
      <w:pPr>
        <w:ind w:left="630" w:leftChars="300" w:firstLine="630" w:firstLineChars="300"/>
        <w:rPr>
          <w:rFonts w:hint="eastAsia" w:ascii="宋体" w:hAnsi="宋体"/>
          <w:szCs w:val="21"/>
        </w:rPr>
      </w:pPr>
      <w:r>
        <w:rPr>
          <w:rFonts w:hint="eastAsia" w:ascii="宋体" w:hAnsi="宋体"/>
          <w:szCs w:val="21"/>
        </w:rPr>
        <w:t>第六章  评审要求</w:t>
      </w:r>
    </w:p>
    <w:p w14:paraId="468F7782">
      <w:pPr>
        <w:ind w:left="630" w:leftChars="300" w:firstLine="630" w:firstLineChars="300"/>
        <w:rPr>
          <w:rFonts w:hint="eastAsia" w:ascii="宋体" w:hAnsi="宋体"/>
          <w:szCs w:val="21"/>
        </w:rPr>
      </w:pPr>
      <w:r>
        <w:rPr>
          <w:rFonts w:hint="eastAsia" w:ascii="宋体" w:hAnsi="宋体"/>
          <w:szCs w:val="21"/>
        </w:rPr>
        <w:t>第七章  评审程序及评审方法</w:t>
      </w:r>
    </w:p>
    <w:p w14:paraId="08E89DC8">
      <w:pPr>
        <w:ind w:left="630" w:leftChars="300" w:firstLine="630" w:firstLineChars="300"/>
        <w:rPr>
          <w:rFonts w:hint="eastAsia" w:ascii="宋体" w:hAnsi="宋体"/>
          <w:szCs w:val="21"/>
        </w:rPr>
      </w:pPr>
      <w:r>
        <w:rPr>
          <w:rFonts w:hint="eastAsia" w:ascii="宋体" w:hAnsi="宋体"/>
          <w:szCs w:val="21"/>
        </w:rPr>
        <w:t>第八章  定标及公示</w:t>
      </w:r>
    </w:p>
    <w:p w14:paraId="5EF9B62E">
      <w:pPr>
        <w:ind w:left="630" w:leftChars="300" w:firstLine="630" w:firstLineChars="300"/>
        <w:rPr>
          <w:rFonts w:hint="eastAsia" w:ascii="宋体" w:hAnsi="宋体"/>
          <w:szCs w:val="21"/>
        </w:rPr>
      </w:pPr>
      <w:r>
        <w:rPr>
          <w:rFonts w:hint="eastAsia" w:ascii="宋体" w:hAnsi="宋体"/>
          <w:szCs w:val="21"/>
        </w:rPr>
        <w:t>第九章  公开招标失败的后续处理</w:t>
      </w:r>
    </w:p>
    <w:p w14:paraId="2CCEE937">
      <w:pPr>
        <w:ind w:left="630" w:leftChars="300" w:firstLine="630" w:firstLineChars="300"/>
        <w:rPr>
          <w:rFonts w:hint="eastAsia" w:ascii="宋体" w:hAnsi="宋体"/>
          <w:szCs w:val="21"/>
        </w:rPr>
      </w:pPr>
      <w:r>
        <w:rPr>
          <w:rFonts w:hint="eastAsia" w:ascii="宋体" w:hAnsi="宋体"/>
          <w:szCs w:val="21"/>
        </w:rPr>
        <w:t>第十章  合同的授予与备案</w:t>
      </w:r>
    </w:p>
    <w:p w14:paraId="18D5A90B">
      <w:pPr>
        <w:ind w:left="630" w:leftChars="300" w:firstLine="630" w:firstLineChars="300"/>
        <w:rPr>
          <w:rFonts w:hint="eastAsia" w:ascii="宋体" w:hAnsi="宋体"/>
          <w:szCs w:val="21"/>
        </w:rPr>
      </w:pPr>
      <w:r>
        <w:rPr>
          <w:rFonts w:hint="eastAsia" w:ascii="宋体" w:hAnsi="宋体"/>
          <w:szCs w:val="21"/>
        </w:rPr>
        <w:t>第十一章  质疑处理</w:t>
      </w:r>
    </w:p>
    <w:p w14:paraId="57C2B81A">
      <w:pPr>
        <w:spacing w:line="360" w:lineRule="auto"/>
        <w:ind w:firstLine="420" w:firstLineChars="200"/>
        <w:jc w:val="left"/>
        <w:rPr>
          <w:rFonts w:hint="eastAsia" w:ascii="宋体" w:hAnsi="宋体"/>
          <w:szCs w:val="21"/>
        </w:rPr>
      </w:pPr>
    </w:p>
    <w:p w14:paraId="641DA49F">
      <w:pPr>
        <w:pStyle w:val="4"/>
        <w:rPr>
          <w:rFonts w:hint="eastAsia"/>
          <w:sz w:val="24"/>
        </w:rPr>
      </w:pPr>
      <w:r>
        <w:br w:type="page"/>
      </w:r>
      <w:bookmarkStart w:id="3" w:name="bt投标文件签署授权委托书"/>
      <w:bookmarkEnd w:id="3"/>
      <w:bookmarkStart w:id="4" w:name="bt本工程承诺书"/>
      <w:bookmarkEnd w:id="4"/>
      <w:bookmarkStart w:id="5" w:name="bt其他资料由投标人自定"/>
      <w:bookmarkEnd w:id="5"/>
      <w:bookmarkStart w:id="6" w:name="bt投标报价汇总表"/>
      <w:bookmarkEnd w:id="6"/>
      <w:bookmarkStart w:id="7" w:name="bt商务标投标文件格式"/>
      <w:bookmarkEnd w:id="7"/>
      <w:bookmarkStart w:id="8" w:name="bt其他资料2"/>
      <w:bookmarkEnd w:id="8"/>
      <w:bookmarkStart w:id="9" w:name="bt投标人情况介绍"/>
      <w:bookmarkEnd w:id="9"/>
      <w:bookmarkStart w:id="10" w:name="bt合同格式"/>
      <w:bookmarkEnd w:id="10"/>
      <w:bookmarkStart w:id="11" w:name="bt项目管理班子配备情况"/>
      <w:bookmarkEnd w:id="11"/>
      <w:bookmarkStart w:id="12" w:name="bt投标函"/>
      <w:bookmarkEnd w:id="12"/>
      <w:bookmarkStart w:id="13" w:name="合同格式"/>
      <w:bookmarkEnd w:id="13"/>
      <w:bookmarkStart w:id="14" w:name="bt说明"/>
      <w:bookmarkEnd w:id="14"/>
      <w:bookmarkStart w:id="15" w:name="bt开标一览表"/>
      <w:bookmarkEnd w:id="15"/>
      <w:bookmarkStart w:id="16" w:name="bt合同条款"/>
      <w:bookmarkEnd w:id="16"/>
      <w:bookmarkStart w:id="17" w:name="bt合同条款及格式"/>
      <w:bookmarkEnd w:id="17"/>
      <w:bookmarkStart w:id="18" w:name="bt技术标投标文件格式"/>
      <w:bookmarkEnd w:id="18"/>
      <w:bookmarkStart w:id="19" w:name="bt投标人须知"/>
      <w:bookmarkEnd w:id="19"/>
      <w:r>
        <w:rPr>
          <w:rFonts w:hint="eastAsia"/>
        </w:rPr>
        <w:t>第一册专用条款</w:t>
      </w:r>
    </w:p>
    <w:p w14:paraId="6041462B">
      <w:pPr>
        <w:pStyle w:val="7"/>
        <w:rPr>
          <w:rFonts w:hint="eastAsia"/>
          <w:sz w:val="28"/>
          <w:szCs w:val="28"/>
        </w:rPr>
      </w:pPr>
      <w:r>
        <w:rPr>
          <w:rFonts w:hint="eastAsia"/>
          <w:sz w:val="28"/>
          <w:szCs w:val="28"/>
        </w:rPr>
        <w:t>第一章  招标公告</w:t>
      </w:r>
    </w:p>
    <w:p w14:paraId="432DDABA"/>
    <w:p w14:paraId="512CFC1E">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14:paraId="45D0EFFA">
      <w:pPr>
        <w:ind w:firstLine="630" w:firstLineChars="3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7B9324EE">
      <w:pPr>
        <w:ind w:firstLine="630" w:firstLineChars="3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14:paraId="387359C8">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14:paraId="3C482938">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14:paraId="376221D6">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14:paraId="4AB8D613">
      <w:pPr>
        <w:ind w:firstLine="630" w:firstLineChars="3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14:paraId="2FF96DBF">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0EF3FFDF">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8.本项目是（否）专门面向中小企业采购：否；</w:t>
      </w:r>
    </w:p>
    <w:p w14:paraId="76CE5733">
      <w:pPr>
        <w:ind w:firstLine="630" w:firstLineChars="300"/>
        <w:rPr>
          <w:rFonts w:hint="eastAsia" w:ascii="宋体" w:hAnsi="宋体" w:cs="宋体"/>
          <w:kern w:val="0"/>
          <w:szCs w:val="21"/>
        </w:rPr>
      </w:pPr>
      <w:r>
        <w:rPr>
          <w:rFonts w:hint="eastAsia" w:ascii="宋体" w:hAnsi="宋体" w:cs="宋体"/>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14:paraId="64F4250E">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053E68B9">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14:paraId="4644447E">
      <w:pPr>
        <w:ind w:firstLine="420" w:firstLineChars="200"/>
        <w:rPr>
          <w:rFonts w:hint="eastAsia" w:ascii="宋体" w:hAnsi="宋体" w:cs="宋体"/>
          <w:color w:val="FF0000"/>
          <w:kern w:val="0"/>
          <w:szCs w:val="21"/>
        </w:rPr>
      </w:pPr>
    </w:p>
    <w:p w14:paraId="440473F5">
      <w:pPr>
        <w:jc w:val="left"/>
        <w:rPr>
          <w:sz w:val="22"/>
          <w:szCs w:val="18"/>
        </w:rPr>
      </w:pPr>
      <w:r>
        <w:rPr>
          <w:rFonts w:hint="eastAsia"/>
          <w:sz w:val="22"/>
          <w:szCs w:val="18"/>
        </w:rPr>
        <w:t>完整公告内容详见：深圳交易集团（深圳公共资源交易中心）官网https://www.szexgrp.com/jyfw/zfcg-view.html?id=zfcg</w:t>
      </w:r>
    </w:p>
    <w:p w14:paraId="79E16434">
      <w:r>
        <w:rPr>
          <w:rFonts w:hint="eastAsia"/>
        </w:rPr>
        <w:br w:type="page"/>
      </w:r>
    </w:p>
    <w:p w14:paraId="56CE15CD">
      <w:pPr>
        <w:pStyle w:val="7"/>
        <w:rPr>
          <w:rFonts w:hint="eastAsia"/>
          <w:sz w:val="28"/>
          <w:szCs w:val="28"/>
        </w:rPr>
      </w:pPr>
      <w:r>
        <w:rPr>
          <w:rFonts w:hint="eastAsia"/>
          <w:sz w:val="28"/>
          <w:szCs w:val="28"/>
        </w:rPr>
        <w:t>第二章 对通用条款的补充内容及其他关键信息</w:t>
      </w:r>
    </w:p>
    <w:p w14:paraId="3B273D81">
      <w:pPr>
        <w:pStyle w:val="7"/>
        <w:spacing w:before="120" w:beforeLines="50" w:after="120" w:afterLines="50"/>
        <w:rPr>
          <w:rFonts w:hint="eastAsia"/>
          <w:sz w:val="28"/>
          <w:szCs w:val="28"/>
        </w:rPr>
      </w:pPr>
      <w:bookmarkStart w:id="21" w:name="_Toc73521635"/>
      <w:bookmarkStart w:id="22" w:name="_Toc73521547"/>
      <w:bookmarkStart w:id="23" w:name="_Toc73517639"/>
      <w:bookmarkStart w:id="24" w:name="_Toc73518117"/>
      <w:bookmarkStart w:id="25" w:name="_Toc60631620"/>
      <w:bookmarkStart w:id="26" w:name="_Toc60560625"/>
      <w:bookmarkStart w:id="27" w:name="_Toc101074876"/>
      <w:bookmarkStart w:id="28" w:name="_Toc100052364"/>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486FAD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B6F4425">
            <w:pPr>
              <w:jc w:val="center"/>
              <w:rPr>
                <w:rFonts w:hint="eastAsia" w:ascii="宋体" w:hAnsi="宋体"/>
                <w:b/>
                <w:bCs/>
              </w:rPr>
            </w:pPr>
            <w:r>
              <w:rPr>
                <w:rFonts w:hint="eastAsia" w:ascii="宋体" w:hAnsi="宋体"/>
                <w:b/>
                <w:bCs/>
              </w:rPr>
              <w:t>通用条款序号</w:t>
            </w:r>
          </w:p>
        </w:tc>
        <w:tc>
          <w:tcPr>
            <w:tcW w:w="2526" w:type="dxa"/>
            <w:vAlign w:val="center"/>
          </w:tcPr>
          <w:p w14:paraId="269627D2">
            <w:pPr>
              <w:jc w:val="center"/>
              <w:rPr>
                <w:rFonts w:hint="eastAsia" w:ascii="宋体" w:hAnsi="宋体"/>
                <w:b/>
                <w:bCs/>
              </w:rPr>
            </w:pPr>
            <w:r>
              <w:rPr>
                <w:rFonts w:hint="eastAsia" w:ascii="宋体" w:hAnsi="宋体"/>
                <w:b/>
                <w:bCs/>
              </w:rPr>
              <w:t>涉及事项</w:t>
            </w:r>
          </w:p>
        </w:tc>
        <w:tc>
          <w:tcPr>
            <w:tcW w:w="4871" w:type="dxa"/>
            <w:vAlign w:val="center"/>
          </w:tcPr>
          <w:p w14:paraId="698257D0">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1B3A7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7F4F2B3B">
            <w:pPr>
              <w:jc w:val="center"/>
              <w:rPr>
                <w:rFonts w:hint="eastAsia" w:ascii="宋体" w:hAnsi="宋体"/>
                <w:b/>
                <w:bCs/>
              </w:rPr>
            </w:pPr>
            <w:r>
              <w:rPr>
                <w:rFonts w:hint="eastAsia"/>
              </w:rPr>
              <w:t>本项目为自行采购项目，相关事宜按照招标文件要求及采购单位内控制度执行。</w:t>
            </w:r>
          </w:p>
        </w:tc>
      </w:tr>
      <w:tr w14:paraId="0AB5D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BF1C808">
            <w:pPr>
              <w:jc w:val="center"/>
              <w:rPr>
                <w:rFonts w:hint="eastAsia" w:ascii="宋体" w:hAnsi="宋体"/>
              </w:rPr>
            </w:pPr>
            <w:r>
              <w:rPr>
                <w:rFonts w:hint="eastAsia" w:ascii="宋体" w:hAnsi="宋体"/>
              </w:rPr>
              <w:t>3</w:t>
            </w:r>
            <w:r>
              <w:rPr>
                <w:rFonts w:ascii="宋体" w:hAnsi="宋体"/>
              </w:rPr>
              <w:t>.1</w:t>
            </w:r>
          </w:p>
        </w:tc>
        <w:tc>
          <w:tcPr>
            <w:tcW w:w="2526" w:type="dxa"/>
            <w:vAlign w:val="center"/>
          </w:tcPr>
          <w:p w14:paraId="7593A0E3">
            <w:pPr>
              <w:jc w:val="center"/>
            </w:pPr>
            <w:r>
              <w:rPr>
                <w:rFonts w:hint="eastAsia"/>
              </w:rPr>
              <w:t>采购人</w:t>
            </w:r>
          </w:p>
        </w:tc>
        <w:tc>
          <w:tcPr>
            <w:tcW w:w="4871" w:type="dxa"/>
            <w:vAlign w:val="center"/>
          </w:tcPr>
          <w:p w14:paraId="3B901755">
            <w:pPr>
              <w:jc w:val="center"/>
              <w:rPr>
                <w:rFonts w:hint="eastAsia" w:ascii="宋体" w:hAnsi="宋体"/>
              </w:rPr>
            </w:pPr>
            <w:r>
              <w:rPr>
                <w:rFonts w:hint="eastAsia" w:ascii="宋体" w:hAnsi="宋体"/>
              </w:rPr>
              <w:t>深圳市中医院</w:t>
            </w:r>
          </w:p>
        </w:tc>
      </w:tr>
      <w:tr w14:paraId="174F4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CCB30BC">
            <w:pPr>
              <w:jc w:val="center"/>
              <w:rPr>
                <w:rFonts w:hint="eastAsia" w:ascii="宋体" w:hAnsi="宋体"/>
              </w:rPr>
            </w:pPr>
            <w:r>
              <w:rPr>
                <w:rFonts w:hint="eastAsia" w:ascii="宋体" w:hAnsi="宋体"/>
              </w:rPr>
              <w:t>3</w:t>
            </w:r>
            <w:r>
              <w:rPr>
                <w:rFonts w:ascii="宋体" w:hAnsi="宋体"/>
              </w:rPr>
              <w:t>.2</w:t>
            </w:r>
          </w:p>
        </w:tc>
        <w:tc>
          <w:tcPr>
            <w:tcW w:w="2526" w:type="dxa"/>
            <w:vAlign w:val="center"/>
          </w:tcPr>
          <w:p w14:paraId="1A199BD4">
            <w:pPr>
              <w:jc w:val="center"/>
              <w:rPr>
                <w:rFonts w:hint="eastAsia" w:ascii="宋体" w:hAnsi="宋体"/>
              </w:rPr>
            </w:pPr>
            <w:r>
              <w:rPr>
                <w:rFonts w:hint="eastAsia" w:ascii="宋体" w:hAnsi="宋体"/>
              </w:rPr>
              <w:t>政府集中采购机构</w:t>
            </w:r>
          </w:p>
        </w:tc>
        <w:tc>
          <w:tcPr>
            <w:tcW w:w="4871" w:type="dxa"/>
            <w:vAlign w:val="center"/>
          </w:tcPr>
          <w:p w14:paraId="637BCD7C">
            <w:pPr>
              <w:jc w:val="center"/>
              <w:rPr>
                <w:rFonts w:hint="eastAsia" w:ascii="宋体" w:hAnsi="宋体"/>
              </w:rPr>
            </w:pPr>
            <w:r>
              <w:rPr>
                <w:rFonts w:hint="eastAsia" w:ascii="宋体" w:hAnsi="宋体"/>
              </w:rPr>
              <w:t>深圳公共资源交易中心</w:t>
            </w:r>
          </w:p>
          <w:p w14:paraId="1F86F41A">
            <w:pPr>
              <w:jc w:val="center"/>
              <w:rPr>
                <w:rFonts w:hint="eastAsia" w:ascii="宋体" w:hAnsi="宋体"/>
              </w:rPr>
            </w:pPr>
            <w:r>
              <w:rPr>
                <w:rFonts w:hint="eastAsia" w:ascii="宋体" w:hAnsi="宋体"/>
              </w:rPr>
              <w:t>（深圳交易集团有限公司政府采购业务分公司）</w:t>
            </w:r>
          </w:p>
        </w:tc>
      </w:tr>
      <w:tr w14:paraId="178D76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825A148">
            <w:pPr>
              <w:jc w:val="center"/>
              <w:rPr>
                <w:rFonts w:hint="eastAsia" w:ascii="宋体" w:hAnsi="宋体"/>
              </w:rPr>
            </w:pPr>
            <w:r>
              <w:rPr>
                <w:rFonts w:hint="eastAsia" w:ascii="宋体" w:hAnsi="宋体"/>
              </w:rPr>
              <w:t>9</w:t>
            </w:r>
          </w:p>
        </w:tc>
        <w:tc>
          <w:tcPr>
            <w:tcW w:w="2526" w:type="dxa"/>
            <w:vAlign w:val="center"/>
          </w:tcPr>
          <w:p w14:paraId="36A92C16">
            <w:pPr>
              <w:jc w:val="center"/>
              <w:rPr>
                <w:rFonts w:hint="eastAsia" w:ascii="宋体" w:hAnsi="宋体"/>
              </w:rPr>
            </w:pPr>
            <w:r>
              <w:rPr>
                <w:rFonts w:hint="eastAsia" w:ascii="宋体" w:hAnsi="宋体"/>
              </w:rPr>
              <w:t>踏勘现场</w:t>
            </w:r>
          </w:p>
        </w:tc>
        <w:tc>
          <w:tcPr>
            <w:tcW w:w="4871" w:type="dxa"/>
            <w:vAlign w:val="center"/>
          </w:tcPr>
          <w:p w14:paraId="130D152C">
            <w:pPr>
              <w:jc w:val="center"/>
              <w:rPr>
                <w:rFonts w:hint="eastAsia" w:ascii="宋体" w:hAnsi="宋体"/>
              </w:rPr>
            </w:pPr>
            <w:r>
              <w:rPr>
                <w:rFonts w:hint="eastAsia" w:ascii="宋体" w:hAnsi="宋体"/>
              </w:rPr>
              <w:t>不组织</w:t>
            </w:r>
          </w:p>
        </w:tc>
      </w:tr>
      <w:tr w14:paraId="428E8B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90B5A7F">
            <w:pPr>
              <w:jc w:val="center"/>
              <w:rPr>
                <w:rFonts w:hint="eastAsia" w:ascii="宋体" w:hAnsi="宋体"/>
              </w:rPr>
            </w:pPr>
            <w:r>
              <w:rPr>
                <w:rFonts w:hint="eastAsia" w:ascii="宋体" w:hAnsi="宋体"/>
              </w:rPr>
              <w:t>1</w:t>
            </w:r>
            <w:r>
              <w:rPr>
                <w:rFonts w:ascii="宋体" w:hAnsi="宋体"/>
              </w:rPr>
              <w:t>0</w:t>
            </w:r>
          </w:p>
        </w:tc>
        <w:tc>
          <w:tcPr>
            <w:tcW w:w="2526" w:type="dxa"/>
            <w:vAlign w:val="center"/>
          </w:tcPr>
          <w:p w14:paraId="339B733C">
            <w:pPr>
              <w:jc w:val="center"/>
              <w:rPr>
                <w:rFonts w:hint="eastAsia" w:ascii="宋体" w:hAnsi="宋体"/>
              </w:rPr>
            </w:pPr>
            <w:r>
              <w:rPr>
                <w:rFonts w:hint="eastAsia" w:ascii="宋体" w:hAnsi="宋体"/>
              </w:rPr>
              <w:t>标前会议</w:t>
            </w:r>
          </w:p>
        </w:tc>
        <w:tc>
          <w:tcPr>
            <w:tcW w:w="4871" w:type="dxa"/>
            <w:vAlign w:val="center"/>
          </w:tcPr>
          <w:p w14:paraId="6DA08801">
            <w:pPr>
              <w:jc w:val="center"/>
              <w:rPr>
                <w:rFonts w:hint="eastAsia" w:ascii="宋体" w:hAnsi="宋体"/>
              </w:rPr>
            </w:pPr>
            <w:r>
              <w:rPr>
                <w:rFonts w:hint="eastAsia" w:ascii="宋体" w:hAnsi="宋体"/>
              </w:rPr>
              <w:t>不组织</w:t>
            </w:r>
          </w:p>
        </w:tc>
      </w:tr>
      <w:tr w14:paraId="1CBB57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19B86DF">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76920F8C">
            <w:pPr>
              <w:jc w:val="center"/>
              <w:rPr>
                <w:rFonts w:hint="eastAsia" w:ascii="宋体" w:hAnsi="宋体"/>
              </w:rPr>
            </w:pPr>
            <w:r>
              <w:rPr>
                <w:rFonts w:hint="eastAsia" w:ascii="宋体" w:hAnsi="宋体"/>
              </w:rPr>
              <w:t>招标文件的澄清和修改</w:t>
            </w:r>
          </w:p>
        </w:tc>
        <w:tc>
          <w:tcPr>
            <w:tcW w:w="4871" w:type="dxa"/>
            <w:vAlign w:val="center"/>
          </w:tcPr>
          <w:p w14:paraId="5C6B557C">
            <w:pPr>
              <w:jc w:val="left"/>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14:paraId="741FB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A2AFB2B">
            <w:pPr>
              <w:jc w:val="center"/>
              <w:rPr>
                <w:rFonts w:hint="eastAsia" w:ascii="宋体" w:hAnsi="宋体"/>
              </w:rPr>
            </w:pPr>
            <w:r>
              <w:rPr>
                <w:rFonts w:hint="eastAsia" w:ascii="宋体" w:hAnsi="宋体"/>
              </w:rPr>
              <w:t>2</w:t>
            </w:r>
            <w:r>
              <w:rPr>
                <w:rFonts w:ascii="宋体" w:hAnsi="宋体"/>
              </w:rPr>
              <w:t>0</w:t>
            </w:r>
          </w:p>
        </w:tc>
        <w:tc>
          <w:tcPr>
            <w:tcW w:w="2526" w:type="dxa"/>
            <w:vAlign w:val="center"/>
          </w:tcPr>
          <w:p w14:paraId="3DF2894C">
            <w:pPr>
              <w:jc w:val="center"/>
              <w:rPr>
                <w:rFonts w:hint="eastAsia" w:ascii="宋体" w:hAnsi="宋体"/>
              </w:rPr>
            </w:pPr>
            <w:r>
              <w:rPr>
                <w:rFonts w:hint="eastAsia" w:ascii="宋体" w:hAnsi="宋体"/>
              </w:rPr>
              <w:t>投标有效期</w:t>
            </w:r>
          </w:p>
        </w:tc>
        <w:tc>
          <w:tcPr>
            <w:tcW w:w="4871" w:type="dxa"/>
            <w:vAlign w:val="center"/>
          </w:tcPr>
          <w:p w14:paraId="1C89F8EF">
            <w:pPr>
              <w:jc w:val="center"/>
              <w:rPr>
                <w:rFonts w:hint="eastAsia" w:ascii="宋体" w:hAnsi="宋体"/>
              </w:rPr>
            </w:pPr>
            <w:r>
              <w:rPr>
                <w:rFonts w:hint="eastAsia" w:ascii="宋体" w:hAnsi="宋体"/>
              </w:rPr>
              <w:t>120个日历日</w:t>
            </w:r>
          </w:p>
        </w:tc>
      </w:tr>
      <w:tr w14:paraId="71EB30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FDDD80D">
            <w:pPr>
              <w:jc w:val="center"/>
              <w:rPr>
                <w:rFonts w:hint="eastAsia" w:ascii="宋体" w:hAnsi="宋体"/>
              </w:rPr>
            </w:pPr>
            <w:r>
              <w:rPr>
                <w:rFonts w:hint="eastAsia" w:ascii="宋体" w:hAnsi="宋体"/>
              </w:rPr>
              <w:t>2</w:t>
            </w:r>
            <w:r>
              <w:rPr>
                <w:rFonts w:ascii="宋体" w:hAnsi="宋体"/>
              </w:rPr>
              <w:t>2</w:t>
            </w:r>
          </w:p>
        </w:tc>
        <w:tc>
          <w:tcPr>
            <w:tcW w:w="2526" w:type="dxa"/>
            <w:vAlign w:val="center"/>
          </w:tcPr>
          <w:p w14:paraId="7CB6563E">
            <w:pPr>
              <w:jc w:val="center"/>
              <w:rPr>
                <w:rFonts w:hint="eastAsia" w:ascii="宋体" w:hAnsi="宋体"/>
              </w:rPr>
            </w:pPr>
            <w:r>
              <w:rPr>
                <w:rFonts w:hint="eastAsia" w:ascii="宋体" w:hAnsi="宋体"/>
              </w:rPr>
              <w:t>投标人的替代方案</w:t>
            </w:r>
          </w:p>
        </w:tc>
        <w:tc>
          <w:tcPr>
            <w:tcW w:w="4871" w:type="dxa"/>
            <w:vAlign w:val="center"/>
          </w:tcPr>
          <w:p w14:paraId="7A177B89">
            <w:pPr>
              <w:jc w:val="center"/>
              <w:rPr>
                <w:rFonts w:hint="eastAsia" w:ascii="宋体" w:hAnsi="宋体"/>
              </w:rPr>
            </w:pPr>
            <w:r>
              <w:rPr>
                <w:rFonts w:hint="eastAsia" w:ascii="宋体" w:hAnsi="宋体"/>
              </w:rPr>
              <w:t>不接受</w:t>
            </w:r>
          </w:p>
        </w:tc>
      </w:tr>
      <w:tr w14:paraId="07DFB3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6A04C1A">
            <w:pPr>
              <w:jc w:val="center"/>
              <w:rPr>
                <w:rFonts w:hint="eastAsia" w:ascii="宋体" w:hAnsi="宋体"/>
              </w:rPr>
            </w:pPr>
            <w:r>
              <w:rPr>
                <w:rFonts w:hint="eastAsia" w:ascii="宋体" w:hAnsi="宋体"/>
              </w:rPr>
              <w:t>2</w:t>
            </w:r>
            <w:r>
              <w:rPr>
                <w:rFonts w:ascii="宋体" w:hAnsi="宋体"/>
              </w:rPr>
              <w:t>5</w:t>
            </w:r>
          </w:p>
        </w:tc>
        <w:tc>
          <w:tcPr>
            <w:tcW w:w="2526" w:type="dxa"/>
            <w:vAlign w:val="center"/>
          </w:tcPr>
          <w:p w14:paraId="2E945D62">
            <w:pPr>
              <w:jc w:val="center"/>
              <w:rPr>
                <w:rFonts w:hint="eastAsia" w:ascii="宋体" w:hAnsi="宋体"/>
              </w:rPr>
            </w:pPr>
            <w:r>
              <w:rPr>
                <w:rFonts w:hint="eastAsia" w:ascii="宋体" w:hAnsi="宋体"/>
              </w:rPr>
              <w:t>投标文件的大小</w:t>
            </w:r>
          </w:p>
        </w:tc>
        <w:tc>
          <w:tcPr>
            <w:tcW w:w="4871" w:type="dxa"/>
            <w:vAlign w:val="center"/>
          </w:tcPr>
          <w:p w14:paraId="0CCF4D93">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51AD46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BE7D1B4">
            <w:pPr>
              <w:jc w:val="center"/>
              <w:rPr>
                <w:rFonts w:hint="eastAsia" w:ascii="宋体" w:hAnsi="宋体"/>
              </w:rPr>
            </w:pPr>
            <w:r>
              <w:rPr>
                <w:rFonts w:hint="eastAsia" w:ascii="宋体" w:hAnsi="宋体"/>
              </w:rPr>
              <w:t>2</w:t>
            </w:r>
            <w:r>
              <w:rPr>
                <w:rFonts w:ascii="宋体" w:hAnsi="宋体"/>
              </w:rPr>
              <w:t>6</w:t>
            </w:r>
          </w:p>
        </w:tc>
        <w:tc>
          <w:tcPr>
            <w:tcW w:w="2526" w:type="dxa"/>
            <w:vAlign w:val="center"/>
          </w:tcPr>
          <w:p w14:paraId="7764C2A0">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14:paraId="6F8B64F7">
            <w:pPr>
              <w:rPr>
                <w:rFonts w:hint="eastAsia" w:ascii="宋体" w:hAnsi="宋体"/>
              </w:rPr>
            </w:pPr>
            <w:r>
              <w:rPr>
                <w:rFonts w:hint="eastAsia" w:ascii="宋体" w:hAnsi="宋体"/>
              </w:rPr>
              <w:t>如有样品、演示、方案讲解，具体安排见第三章 用户需求书相关要求</w:t>
            </w:r>
          </w:p>
        </w:tc>
      </w:tr>
      <w:tr w14:paraId="529AC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F83DB0E">
            <w:pPr>
              <w:jc w:val="center"/>
              <w:rPr>
                <w:rFonts w:hint="eastAsia" w:ascii="宋体" w:hAnsi="宋体"/>
              </w:rPr>
            </w:pPr>
            <w:r>
              <w:rPr>
                <w:rFonts w:hint="eastAsia" w:ascii="宋体" w:hAnsi="宋体"/>
              </w:rPr>
              <w:t>3</w:t>
            </w:r>
            <w:r>
              <w:rPr>
                <w:rFonts w:ascii="宋体" w:hAnsi="宋体"/>
              </w:rPr>
              <w:t>7</w:t>
            </w:r>
          </w:p>
        </w:tc>
        <w:tc>
          <w:tcPr>
            <w:tcW w:w="2526" w:type="dxa"/>
            <w:vAlign w:val="center"/>
          </w:tcPr>
          <w:p w14:paraId="00779B54">
            <w:pPr>
              <w:jc w:val="center"/>
              <w:rPr>
                <w:rFonts w:hint="eastAsia" w:ascii="宋体" w:hAnsi="宋体"/>
              </w:rPr>
            </w:pPr>
            <w:r>
              <w:rPr>
                <w:rFonts w:hint="eastAsia" w:ascii="宋体" w:hAnsi="宋体"/>
              </w:rPr>
              <w:t>评审方法</w:t>
            </w:r>
          </w:p>
        </w:tc>
        <w:tc>
          <w:tcPr>
            <w:tcW w:w="4871" w:type="dxa"/>
            <w:vAlign w:val="center"/>
          </w:tcPr>
          <w:p w14:paraId="06AC81A3">
            <w:pPr>
              <w:jc w:val="left"/>
              <w:rPr>
                <w:rFonts w:hint="eastAsia" w:ascii="宋体" w:hAnsi="宋体"/>
              </w:rPr>
            </w:pPr>
            <w:r>
              <w:rPr>
                <w:rFonts w:hint="eastAsia" w:ascii="宋体" w:hAnsi="宋体"/>
              </w:rPr>
              <w:t>综合评分法</w:t>
            </w:r>
          </w:p>
        </w:tc>
      </w:tr>
      <w:tr w14:paraId="4711B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17640FA8">
            <w:pPr>
              <w:jc w:val="center"/>
              <w:rPr>
                <w:rFonts w:hint="eastAsia" w:ascii="宋体" w:hAnsi="宋体"/>
              </w:rPr>
            </w:pPr>
            <w:r>
              <w:rPr>
                <w:rFonts w:hint="eastAsia" w:ascii="宋体" w:hAnsi="宋体"/>
              </w:rPr>
              <w:t>3</w:t>
            </w:r>
            <w:r>
              <w:rPr>
                <w:rFonts w:ascii="宋体" w:hAnsi="宋体"/>
              </w:rPr>
              <w:t>8</w:t>
            </w:r>
          </w:p>
        </w:tc>
        <w:tc>
          <w:tcPr>
            <w:tcW w:w="2526" w:type="dxa"/>
            <w:vAlign w:val="center"/>
          </w:tcPr>
          <w:p w14:paraId="74B959B9">
            <w:pPr>
              <w:jc w:val="center"/>
              <w:rPr>
                <w:rFonts w:hint="eastAsia" w:ascii="宋体" w:hAnsi="宋体"/>
              </w:rPr>
            </w:pPr>
            <w:r>
              <w:rPr>
                <w:rFonts w:hint="eastAsia" w:ascii="宋体" w:hAnsi="宋体"/>
              </w:rPr>
              <w:t>定标方法</w:t>
            </w:r>
          </w:p>
        </w:tc>
        <w:tc>
          <w:tcPr>
            <w:tcW w:w="4871" w:type="dxa"/>
            <w:vAlign w:val="center"/>
          </w:tcPr>
          <w:p w14:paraId="64F04DD6">
            <w:pPr>
              <w:jc w:val="left"/>
              <w:rPr>
                <w:rFonts w:hint="eastAsia" w:ascii="宋体" w:hAnsi="宋体"/>
              </w:rPr>
            </w:pPr>
            <w:r>
              <w:rPr>
                <w:rFonts w:hint="eastAsia" w:ascii="宋体" w:hAnsi="宋体"/>
              </w:rPr>
              <w:t>非评定分离</w:t>
            </w:r>
          </w:p>
        </w:tc>
      </w:tr>
      <w:tr w14:paraId="3FA77B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8939966">
            <w:pPr>
              <w:jc w:val="center"/>
              <w:rPr>
                <w:rFonts w:hint="eastAsia" w:ascii="宋体" w:hAnsi="宋体"/>
              </w:rPr>
            </w:pPr>
            <w:r>
              <w:rPr>
                <w:rFonts w:hint="eastAsia" w:ascii="宋体" w:hAnsi="宋体"/>
              </w:rPr>
              <w:t>4</w:t>
            </w:r>
            <w:r>
              <w:rPr>
                <w:rFonts w:ascii="宋体" w:hAnsi="宋体"/>
              </w:rPr>
              <w:t>6</w:t>
            </w:r>
          </w:p>
        </w:tc>
        <w:tc>
          <w:tcPr>
            <w:tcW w:w="2526" w:type="dxa"/>
            <w:vAlign w:val="center"/>
          </w:tcPr>
          <w:p w14:paraId="1170AF0E">
            <w:pPr>
              <w:jc w:val="center"/>
              <w:rPr>
                <w:rFonts w:hint="eastAsia" w:ascii="宋体" w:hAnsi="宋体"/>
              </w:rPr>
            </w:pPr>
            <w:r>
              <w:rPr>
                <w:rFonts w:hint="eastAsia" w:ascii="宋体" w:hAnsi="宋体"/>
              </w:rPr>
              <w:t>履约担保</w:t>
            </w:r>
          </w:p>
        </w:tc>
        <w:tc>
          <w:tcPr>
            <w:tcW w:w="4871" w:type="dxa"/>
            <w:vAlign w:val="center"/>
          </w:tcPr>
          <w:p w14:paraId="177F3194">
            <w:pPr>
              <w:jc w:val="left"/>
              <w:rPr>
                <w:rFonts w:hint="eastAsia" w:ascii="宋体" w:hAnsi="宋体"/>
              </w:rPr>
            </w:pPr>
            <w:r>
              <w:rPr>
                <w:rFonts w:hint="eastAsia" w:ascii="宋体" w:hAnsi="宋体"/>
              </w:rPr>
              <w:t>不需要</w:t>
            </w:r>
          </w:p>
        </w:tc>
      </w:tr>
      <w:tr w14:paraId="53BA10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7353945">
            <w:pPr>
              <w:jc w:val="center"/>
              <w:rPr>
                <w:rFonts w:hint="eastAsia" w:ascii="宋体" w:hAnsi="宋体"/>
              </w:rPr>
            </w:pPr>
            <w:r>
              <w:rPr>
                <w:rFonts w:hint="eastAsia" w:ascii="宋体" w:hAnsi="宋体"/>
              </w:rPr>
              <w:t>52.8</w:t>
            </w:r>
          </w:p>
        </w:tc>
        <w:tc>
          <w:tcPr>
            <w:tcW w:w="2526" w:type="dxa"/>
            <w:vAlign w:val="center"/>
          </w:tcPr>
          <w:p w14:paraId="6FE2B74C">
            <w:pPr>
              <w:jc w:val="center"/>
              <w:rPr>
                <w:rFonts w:hint="eastAsia" w:ascii="宋体" w:hAnsi="宋体"/>
              </w:rPr>
            </w:pPr>
            <w:r>
              <w:rPr>
                <w:rFonts w:hint="eastAsia" w:ascii="宋体" w:hAnsi="宋体"/>
              </w:rPr>
              <w:t>争议（投诉）</w:t>
            </w:r>
          </w:p>
        </w:tc>
        <w:tc>
          <w:tcPr>
            <w:tcW w:w="4871" w:type="dxa"/>
            <w:vAlign w:val="center"/>
          </w:tcPr>
          <w:p w14:paraId="679ED764">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24061B03">
      <w:pPr>
        <w:rPr>
          <w:b/>
        </w:rPr>
      </w:pPr>
      <w:r>
        <w:rPr>
          <w:rFonts w:hint="eastAsia"/>
          <w:szCs w:val="21"/>
        </w:rPr>
        <w:t>备注：本表是通用条款相关条款的补充和明确，如与通用条款内容相冲突的，以本表为准。</w:t>
      </w:r>
    </w:p>
    <w:p w14:paraId="19471197">
      <w:pPr>
        <w:rPr>
          <w:b/>
        </w:rPr>
      </w:pPr>
    </w:p>
    <w:p w14:paraId="567A9CFB">
      <w:pPr>
        <w:pStyle w:val="7"/>
        <w:spacing w:before="120" w:beforeLines="50" w:after="120" w:afterLines="50"/>
        <w:rPr>
          <w:rFonts w:hint="eastAsia"/>
          <w:szCs w:val="24"/>
        </w:rPr>
      </w:pPr>
      <w:r>
        <w:rPr>
          <w:rFonts w:hint="eastAsia"/>
          <w:szCs w:val="24"/>
        </w:rPr>
        <w:t>二、其他关键信息</w:t>
      </w:r>
    </w:p>
    <w:p w14:paraId="38E51BD5">
      <w:pPr>
        <w:ind w:firstLine="422" w:firstLineChars="200"/>
        <w:rPr>
          <w:b/>
          <w:bCs/>
        </w:rPr>
      </w:pPr>
      <w:r>
        <w:rPr>
          <w:rFonts w:hint="eastAsia"/>
          <w:b/>
          <w:bCs/>
        </w:rPr>
        <w:t>（一）与“对通用条款的补充内容”章节相关的事项</w:t>
      </w:r>
    </w:p>
    <w:p w14:paraId="48697B44">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w:t>
      </w:r>
      <w:r>
        <w:rPr>
          <w:rFonts w:hint="eastAsia" w:asciiTheme="minorEastAsia" w:hAnsiTheme="minorEastAsia" w:eastAsiaTheme="minorEastAsia"/>
          <w:b/>
          <w:kern w:val="0"/>
          <w:szCs w:val="20"/>
          <w:lang w:val="en-US" w:eastAsia="zh-CN"/>
        </w:rPr>
        <w:t>.</w:t>
      </w:r>
      <w:r>
        <w:rPr>
          <w:rFonts w:hint="eastAsia" w:asciiTheme="minorEastAsia" w:hAnsiTheme="minorEastAsia" w:eastAsiaTheme="minorEastAsia"/>
          <w:b/>
          <w:kern w:val="0"/>
          <w:szCs w:val="20"/>
        </w:rPr>
        <w:t>评标定标信息</w:t>
      </w:r>
    </w:p>
    <w:p w14:paraId="11AAC516">
      <w:pPr>
        <w:jc w:val="center"/>
      </w:pPr>
      <w:r>
        <w:rPr>
          <w:rFonts w:hint="eastAsia"/>
          <w:b/>
        </w:rPr>
        <w:t>非评定分离项目</w:t>
      </w:r>
    </w:p>
    <w:tbl>
      <w:tblPr>
        <w:tblStyle w:val="43"/>
        <w:tblW w:w="841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8"/>
        <w:gridCol w:w="4907"/>
      </w:tblGrid>
      <w:tr w14:paraId="0DAA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tcPr>
          <w:p w14:paraId="5F578740">
            <w:pPr>
              <w:jc w:val="center"/>
            </w:pPr>
            <w:r>
              <w:rPr>
                <w:rFonts w:hint="eastAsia"/>
              </w:rPr>
              <w:t>评标方法</w:t>
            </w:r>
          </w:p>
        </w:tc>
        <w:tc>
          <w:tcPr>
            <w:tcW w:w="4907" w:type="dxa"/>
          </w:tcPr>
          <w:p w14:paraId="3BEC8D2C">
            <w:pPr>
              <w:jc w:val="center"/>
            </w:pPr>
            <w:r>
              <w:rPr>
                <w:rFonts w:hint="eastAsia"/>
              </w:rPr>
              <w:t>综合评分法</w:t>
            </w:r>
          </w:p>
        </w:tc>
      </w:tr>
      <w:tr w14:paraId="0E9A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tcPr>
          <w:p w14:paraId="4FF58E7A">
            <w:pPr>
              <w:jc w:val="center"/>
            </w:pPr>
            <w:r>
              <w:rPr>
                <w:rFonts w:hint="eastAsia"/>
              </w:rPr>
              <w:t>候选中标供应商家数</w:t>
            </w:r>
          </w:p>
        </w:tc>
        <w:tc>
          <w:tcPr>
            <w:tcW w:w="4907" w:type="dxa"/>
          </w:tcPr>
          <w:p w14:paraId="1A67BADC">
            <w:pPr>
              <w:jc w:val="center"/>
            </w:pPr>
            <w:r>
              <w:rPr>
                <w:rFonts w:hint="eastAsia"/>
              </w:rPr>
              <w:t>3</w:t>
            </w:r>
          </w:p>
        </w:tc>
      </w:tr>
      <w:tr w14:paraId="39FB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tcPr>
          <w:p w14:paraId="4A587074">
            <w:pPr>
              <w:jc w:val="center"/>
            </w:pPr>
            <w:r>
              <w:rPr>
                <w:rFonts w:hint="eastAsia"/>
              </w:rPr>
              <w:t>中标供应商家数</w:t>
            </w:r>
          </w:p>
        </w:tc>
        <w:tc>
          <w:tcPr>
            <w:tcW w:w="4907" w:type="dxa"/>
          </w:tcPr>
          <w:p w14:paraId="3DDEF798">
            <w:pPr>
              <w:jc w:val="center"/>
            </w:pPr>
            <w:r>
              <w:rPr>
                <w:rFonts w:hint="eastAsia"/>
              </w:rPr>
              <w:t>1</w:t>
            </w:r>
          </w:p>
        </w:tc>
      </w:tr>
    </w:tbl>
    <w:p w14:paraId="43EE7DAB">
      <w:pPr>
        <w:rPr>
          <w:rFonts w:hint="eastAsia" w:ascii="宋体" w:hAnsi="宋体"/>
          <w:b/>
        </w:rPr>
      </w:pPr>
    </w:p>
    <w:bookmarkEnd w:id="30"/>
    <w:p w14:paraId="2F57F0D3">
      <w:pPr>
        <w:ind w:firstLine="422" w:firstLineChars="200"/>
        <w:rPr>
          <w:b/>
        </w:rPr>
      </w:pPr>
      <w:r>
        <w:rPr>
          <w:rFonts w:hint="eastAsia"/>
          <w:b/>
        </w:rPr>
        <w:t>（二）其他事项</w:t>
      </w:r>
    </w:p>
    <w:p w14:paraId="5BBE911D">
      <w:pPr>
        <w:ind w:firstLine="420" w:firstLineChars="200"/>
      </w:pPr>
      <w:r>
        <w:t>1</w:t>
      </w:r>
      <w:r>
        <w:rPr>
          <w:rFonts w:hint="eastAsia"/>
          <w:lang w:val="en-US" w:eastAsia="zh-CN"/>
        </w:rPr>
        <w:t>.</w:t>
      </w:r>
      <w:r>
        <w:rPr>
          <w:rFonts w:hint="eastAsia"/>
        </w:rPr>
        <w:t>关于享受优惠政策的主体及价格扣除比例</w:t>
      </w:r>
    </w:p>
    <w:p w14:paraId="38D1E3CC">
      <w:pPr>
        <w:ind w:firstLine="420" w:firstLineChars="200"/>
      </w:pPr>
      <w:r>
        <w:rPr>
          <w:rFonts w:hint="eastAsia"/>
        </w:rPr>
        <w:t>（1）专门面向中小企业采购的项目，不再执行价格扣除比例。</w:t>
      </w:r>
    </w:p>
    <w:p w14:paraId="576136CC">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10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287821BC">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23B2FABF">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hint="eastAsia"/>
          <w:b/>
          <w:bCs/>
          <w:color w:val="FF0000"/>
          <w:u w:val="single"/>
        </w:rPr>
        <w:t>信息传输业（包括电信、互联网和相关服务）</w:t>
      </w:r>
      <w:r>
        <w:rPr>
          <w:rFonts w:hint="eastAsia"/>
          <w:szCs w:val="21"/>
        </w:rPr>
        <w:t>。</w:t>
      </w:r>
    </w:p>
    <w:p w14:paraId="4E018699">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2B958C93">
      <w:pPr>
        <w:ind w:firstLine="420" w:firstLineChars="200"/>
      </w:pPr>
      <w:r>
        <w:rPr>
          <w:rFonts w:hint="eastAsia"/>
        </w:rPr>
        <w:t>（5）享受价格扣除获得采购合同的，小微企业不得将合同分包给大中型企业。</w:t>
      </w:r>
    </w:p>
    <w:p w14:paraId="233EB9F2">
      <w:pPr>
        <w:spacing w:line="360" w:lineRule="auto"/>
        <w:ind w:firstLine="422" w:firstLineChars="200"/>
        <w:rPr>
          <w:rFonts w:hint="eastAsia" w:ascii="宋体" w:hAnsi="宋体" w:cs="宋体"/>
          <w:b/>
          <w:bCs/>
        </w:rPr>
      </w:pPr>
    </w:p>
    <w:p w14:paraId="38704AE3">
      <w:pPr>
        <w:ind w:firstLine="422" w:firstLineChars="200"/>
        <w:rPr>
          <w:rFonts w:hint="eastAsia" w:ascii="宋体" w:hAnsi="宋体" w:cs="宋体"/>
          <w:b/>
          <w:bCs/>
        </w:rPr>
      </w:pPr>
      <w:r>
        <w:rPr>
          <w:rFonts w:hint="eastAsia" w:ascii="宋体" w:hAnsi="宋体" w:cs="宋体"/>
          <w:b/>
          <w:bCs/>
        </w:rPr>
        <w:t>2</w:t>
      </w:r>
      <w:r>
        <w:rPr>
          <w:rFonts w:hint="eastAsia" w:ascii="宋体" w:hAnsi="宋体" w:cs="宋体"/>
          <w:b/>
          <w:bCs/>
          <w:lang w:val="en-US" w:eastAsia="zh-CN"/>
        </w:rPr>
        <w:t>.</w:t>
      </w:r>
      <w:r>
        <w:rPr>
          <w:rFonts w:hint="eastAsia" w:ascii="宋体" w:hAnsi="宋体" w:cs="宋体"/>
          <w:b/>
          <w:bCs/>
        </w:rPr>
        <w:t>关于采购订单融资政策</w:t>
      </w:r>
    </w:p>
    <w:p w14:paraId="46F5B55D">
      <w:pPr>
        <w:wordWrap w:val="0"/>
        <w:ind w:firstLine="420" w:firstLineChars="200"/>
        <w:rPr>
          <w:rFonts w:hint="eastAsia" w:ascii="宋体" w:hAnsi="宋体"/>
          <w:b/>
          <w:color w:val="000000" w:themeColor="text1"/>
          <w14:textFill>
            <w14:solidFill>
              <w14:schemeClr w14:val="tx1"/>
            </w14:solidFill>
          </w14:textFill>
        </w:rPr>
      </w:pPr>
      <w:r>
        <w:rPr>
          <w:rFonts w:hint="eastAsia"/>
          <w:color w:val="000000" w:themeColor="text1"/>
          <w14:textFill>
            <w14:solidFill>
              <w14:schemeClr w14:val="tx1"/>
            </w14:solidFill>
          </w14:textFill>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5B3B94E3">
      <w:pPr>
        <w:ind w:firstLine="640" w:firstLineChars="200"/>
        <w:rPr>
          <w:sz w:val="32"/>
          <w:szCs w:val="40"/>
        </w:rPr>
      </w:pPr>
    </w:p>
    <w:p w14:paraId="17CBBC15">
      <w:pPr>
        <w:ind w:firstLine="422" w:firstLineChars="200"/>
        <w:rPr>
          <w:b/>
        </w:rPr>
      </w:pPr>
      <w:r>
        <w:rPr>
          <w:rFonts w:hint="eastAsia"/>
          <w:b/>
        </w:rPr>
        <w:t>3</w:t>
      </w:r>
      <w:bookmarkStart w:id="31" w:name="_Hlk72594729"/>
      <w:bookmarkStart w:id="32" w:name="_Hlk76855768"/>
      <w:r>
        <w:rPr>
          <w:rFonts w:hint="eastAsia"/>
          <w:b/>
          <w:lang w:val="en-US" w:eastAsia="zh-CN"/>
        </w:rPr>
        <w:t>.</w:t>
      </w:r>
      <w:r>
        <w:rPr>
          <w:rFonts w:hint="eastAsia"/>
          <w:b/>
        </w:rPr>
        <w:t>本项目为代理服务项目，将向中标（成交）供应商收取代理服务费。</w:t>
      </w:r>
    </w:p>
    <w:bookmarkEnd w:id="31"/>
    <w:bookmarkEnd w:id="32"/>
    <w:p w14:paraId="285ADC82">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40CA1CF3">
      <w:pPr>
        <w:ind w:firstLine="420" w:firstLineChars="200"/>
      </w:pPr>
      <w:r>
        <w:rPr>
          <w:rFonts w:hint="eastAsia"/>
        </w:rPr>
        <w:t>（1）代理服务费以《中标（成交）通知书》确定的中标（成交）金额作为计算基数，按差额定率累进法计算。</w:t>
      </w:r>
    </w:p>
    <w:p w14:paraId="24C5792F">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134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6C6D0EC">
            <w:pPr>
              <w:widowControl/>
              <w:spacing w:line="360" w:lineRule="auto"/>
              <w:jc w:val="center"/>
            </w:pPr>
            <w:r>
              <w:rPr>
                <w:rFonts w:hint="eastAsia"/>
              </w:rPr>
              <w:t>中标（成交）金额</w:t>
            </w:r>
          </w:p>
        </w:tc>
        <w:tc>
          <w:tcPr>
            <w:tcW w:w="1799" w:type="dxa"/>
            <w:vAlign w:val="center"/>
          </w:tcPr>
          <w:p w14:paraId="5449C733">
            <w:pPr>
              <w:widowControl/>
              <w:spacing w:line="360" w:lineRule="auto"/>
              <w:jc w:val="center"/>
            </w:pPr>
            <w:r>
              <w:rPr>
                <w:rFonts w:hint="eastAsia"/>
              </w:rPr>
              <w:t>货物采购</w:t>
            </w:r>
          </w:p>
        </w:tc>
        <w:tc>
          <w:tcPr>
            <w:tcW w:w="1799" w:type="dxa"/>
            <w:vAlign w:val="center"/>
          </w:tcPr>
          <w:p w14:paraId="2D6BC4B9">
            <w:pPr>
              <w:widowControl/>
              <w:spacing w:line="360" w:lineRule="auto"/>
              <w:jc w:val="center"/>
            </w:pPr>
            <w:r>
              <w:rPr>
                <w:rFonts w:hint="eastAsia"/>
              </w:rPr>
              <w:t>服务采购</w:t>
            </w:r>
          </w:p>
        </w:tc>
        <w:tc>
          <w:tcPr>
            <w:tcW w:w="1799" w:type="dxa"/>
            <w:vAlign w:val="center"/>
          </w:tcPr>
          <w:p w14:paraId="1A66B4D7">
            <w:pPr>
              <w:widowControl/>
              <w:spacing w:line="360" w:lineRule="auto"/>
              <w:jc w:val="center"/>
            </w:pPr>
            <w:r>
              <w:rPr>
                <w:rFonts w:hint="eastAsia"/>
              </w:rPr>
              <w:t>工程采购</w:t>
            </w:r>
          </w:p>
        </w:tc>
      </w:tr>
      <w:tr w14:paraId="702A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2982DDE">
            <w:pPr>
              <w:widowControl/>
              <w:spacing w:line="360" w:lineRule="auto"/>
              <w:jc w:val="center"/>
            </w:pPr>
            <w:r>
              <w:rPr>
                <w:rFonts w:hint="eastAsia"/>
              </w:rPr>
              <w:t>100万元以下</w:t>
            </w:r>
          </w:p>
        </w:tc>
        <w:tc>
          <w:tcPr>
            <w:tcW w:w="1799" w:type="dxa"/>
            <w:vAlign w:val="center"/>
          </w:tcPr>
          <w:p w14:paraId="23245DB7">
            <w:pPr>
              <w:widowControl/>
              <w:spacing w:line="360" w:lineRule="auto"/>
              <w:jc w:val="center"/>
            </w:pPr>
            <w:r>
              <w:rPr>
                <w:rFonts w:hint="eastAsia"/>
              </w:rPr>
              <w:t>1.5%</w:t>
            </w:r>
          </w:p>
        </w:tc>
        <w:tc>
          <w:tcPr>
            <w:tcW w:w="1799" w:type="dxa"/>
            <w:vAlign w:val="center"/>
          </w:tcPr>
          <w:p w14:paraId="452BF493">
            <w:pPr>
              <w:widowControl/>
              <w:spacing w:line="360" w:lineRule="auto"/>
              <w:jc w:val="center"/>
            </w:pPr>
            <w:r>
              <w:rPr>
                <w:rFonts w:hint="eastAsia"/>
              </w:rPr>
              <w:t>1.5%</w:t>
            </w:r>
          </w:p>
        </w:tc>
        <w:tc>
          <w:tcPr>
            <w:tcW w:w="1799" w:type="dxa"/>
            <w:vAlign w:val="center"/>
          </w:tcPr>
          <w:p w14:paraId="425273A2">
            <w:pPr>
              <w:widowControl/>
              <w:spacing w:line="360" w:lineRule="auto"/>
              <w:jc w:val="center"/>
            </w:pPr>
            <w:r>
              <w:rPr>
                <w:rFonts w:hint="eastAsia"/>
              </w:rPr>
              <w:t>1.0%</w:t>
            </w:r>
          </w:p>
        </w:tc>
      </w:tr>
      <w:tr w14:paraId="5DE6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99CBC40">
            <w:pPr>
              <w:widowControl/>
              <w:spacing w:line="360" w:lineRule="auto"/>
              <w:jc w:val="center"/>
            </w:pPr>
            <w:r>
              <w:rPr>
                <w:rFonts w:hint="eastAsia"/>
              </w:rPr>
              <w:t>100万元（含）-500万元</w:t>
            </w:r>
          </w:p>
        </w:tc>
        <w:tc>
          <w:tcPr>
            <w:tcW w:w="1799" w:type="dxa"/>
            <w:vAlign w:val="center"/>
          </w:tcPr>
          <w:p w14:paraId="4CEEA64F">
            <w:pPr>
              <w:widowControl/>
              <w:spacing w:line="360" w:lineRule="auto"/>
              <w:jc w:val="center"/>
            </w:pPr>
            <w:r>
              <w:rPr>
                <w:rFonts w:hint="eastAsia"/>
              </w:rPr>
              <w:t>1.1%</w:t>
            </w:r>
          </w:p>
        </w:tc>
        <w:tc>
          <w:tcPr>
            <w:tcW w:w="1799" w:type="dxa"/>
            <w:vAlign w:val="center"/>
          </w:tcPr>
          <w:p w14:paraId="7A6F1457">
            <w:pPr>
              <w:widowControl/>
              <w:spacing w:line="360" w:lineRule="auto"/>
              <w:jc w:val="center"/>
            </w:pPr>
            <w:r>
              <w:rPr>
                <w:rFonts w:hint="eastAsia"/>
              </w:rPr>
              <w:t>0.8%</w:t>
            </w:r>
          </w:p>
        </w:tc>
        <w:tc>
          <w:tcPr>
            <w:tcW w:w="1799" w:type="dxa"/>
            <w:vAlign w:val="center"/>
          </w:tcPr>
          <w:p w14:paraId="126C402D">
            <w:pPr>
              <w:widowControl/>
              <w:spacing w:line="360" w:lineRule="auto"/>
              <w:jc w:val="center"/>
            </w:pPr>
            <w:r>
              <w:rPr>
                <w:rFonts w:hint="eastAsia"/>
              </w:rPr>
              <w:t>0.7%</w:t>
            </w:r>
          </w:p>
        </w:tc>
      </w:tr>
      <w:tr w14:paraId="0E15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4B40F2B">
            <w:pPr>
              <w:widowControl/>
              <w:spacing w:line="360" w:lineRule="auto"/>
              <w:jc w:val="center"/>
            </w:pPr>
            <w:r>
              <w:rPr>
                <w:rFonts w:hint="eastAsia"/>
              </w:rPr>
              <w:t>500万元（含）-1000万元</w:t>
            </w:r>
          </w:p>
        </w:tc>
        <w:tc>
          <w:tcPr>
            <w:tcW w:w="1799" w:type="dxa"/>
            <w:vAlign w:val="center"/>
          </w:tcPr>
          <w:p w14:paraId="3AB6DDA2">
            <w:pPr>
              <w:widowControl/>
              <w:spacing w:line="360" w:lineRule="auto"/>
              <w:jc w:val="center"/>
            </w:pPr>
            <w:r>
              <w:rPr>
                <w:rFonts w:hint="eastAsia"/>
              </w:rPr>
              <w:t>0.8%</w:t>
            </w:r>
          </w:p>
        </w:tc>
        <w:tc>
          <w:tcPr>
            <w:tcW w:w="1799" w:type="dxa"/>
            <w:vAlign w:val="center"/>
          </w:tcPr>
          <w:p w14:paraId="146150D1">
            <w:pPr>
              <w:widowControl/>
              <w:spacing w:line="360" w:lineRule="auto"/>
              <w:jc w:val="center"/>
            </w:pPr>
            <w:r>
              <w:rPr>
                <w:rFonts w:hint="eastAsia"/>
              </w:rPr>
              <w:t>0.45%</w:t>
            </w:r>
          </w:p>
        </w:tc>
        <w:tc>
          <w:tcPr>
            <w:tcW w:w="1799" w:type="dxa"/>
            <w:vAlign w:val="center"/>
          </w:tcPr>
          <w:p w14:paraId="746627E8">
            <w:pPr>
              <w:widowControl/>
              <w:spacing w:line="360" w:lineRule="auto"/>
              <w:jc w:val="center"/>
            </w:pPr>
            <w:r>
              <w:rPr>
                <w:rFonts w:hint="eastAsia"/>
              </w:rPr>
              <w:t>0.55%</w:t>
            </w:r>
          </w:p>
        </w:tc>
      </w:tr>
      <w:tr w14:paraId="7558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89190CF">
            <w:pPr>
              <w:widowControl/>
              <w:spacing w:line="360" w:lineRule="auto"/>
              <w:jc w:val="center"/>
            </w:pPr>
            <w:r>
              <w:rPr>
                <w:rFonts w:hint="eastAsia"/>
              </w:rPr>
              <w:t>1000万元（含）-5000万元</w:t>
            </w:r>
          </w:p>
        </w:tc>
        <w:tc>
          <w:tcPr>
            <w:tcW w:w="1799" w:type="dxa"/>
            <w:vAlign w:val="center"/>
          </w:tcPr>
          <w:p w14:paraId="036D6092">
            <w:pPr>
              <w:widowControl/>
              <w:spacing w:line="360" w:lineRule="auto"/>
              <w:jc w:val="center"/>
            </w:pPr>
            <w:r>
              <w:rPr>
                <w:rFonts w:hint="eastAsia"/>
              </w:rPr>
              <w:t>0.5%</w:t>
            </w:r>
          </w:p>
        </w:tc>
        <w:tc>
          <w:tcPr>
            <w:tcW w:w="1799" w:type="dxa"/>
            <w:vAlign w:val="center"/>
          </w:tcPr>
          <w:p w14:paraId="161E6ED3">
            <w:pPr>
              <w:widowControl/>
              <w:spacing w:line="360" w:lineRule="auto"/>
              <w:jc w:val="center"/>
            </w:pPr>
            <w:r>
              <w:rPr>
                <w:rFonts w:hint="eastAsia"/>
              </w:rPr>
              <w:t>0.25%</w:t>
            </w:r>
          </w:p>
        </w:tc>
        <w:tc>
          <w:tcPr>
            <w:tcW w:w="1799" w:type="dxa"/>
            <w:vAlign w:val="center"/>
          </w:tcPr>
          <w:p w14:paraId="288E4775">
            <w:pPr>
              <w:widowControl/>
              <w:spacing w:line="360" w:lineRule="auto"/>
              <w:jc w:val="center"/>
            </w:pPr>
            <w:r>
              <w:rPr>
                <w:rFonts w:hint="eastAsia"/>
              </w:rPr>
              <w:t>0.35%</w:t>
            </w:r>
          </w:p>
        </w:tc>
      </w:tr>
      <w:tr w14:paraId="2DBD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F0D2C4">
            <w:pPr>
              <w:widowControl/>
              <w:spacing w:line="360" w:lineRule="auto"/>
              <w:jc w:val="center"/>
            </w:pPr>
            <w:r>
              <w:rPr>
                <w:rFonts w:hint="eastAsia"/>
              </w:rPr>
              <w:t>5000万元（含）-1亿元</w:t>
            </w:r>
          </w:p>
        </w:tc>
        <w:tc>
          <w:tcPr>
            <w:tcW w:w="1799" w:type="dxa"/>
            <w:vAlign w:val="center"/>
          </w:tcPr>
          <w:p w14:paraId="2AD29A6C">
            <w:pPr>
              <w:widowControl/>
              <w:spacing w:line="360" w:lineRule="auto"/>
              <w:jc w:val="center"/>
            </w:pPr>
            <w:r>
              <w:rPr>
                <w:rFonts w:hint="eastAsia"/>
              </w:rPr>
              <w:t>0.25%</w:t>
            </w:r>
          </w:p>
        </w:tc>
        <w:tc>
          <w:tcPr>
            <w:tcW w:w="1799" w:type="dxa"/>
            <w:vAlign w:val="center"/>
          </w:tcPr>
          <w:p w14:paraId="6C7AE651">
            <w:pPr>
              <w:widowControl/>
              <w:spacing w:line="360" w:lineRule="auto"/>
              <w:jc w:val="center"/>
            </w:pPr>
            <w:r>
              <w:rPr>
                <w:rFonts w:hint="eastAsia"/>
              </w:rPr>
              <w:t>0.1%</w:t>
            </w:r>
          </w:p>
        </w:tc>
        <w:tc>
          <w:tcPr>
            <w:tcW w:w="1799" w:type="dxa"/>
            <w:vAlign w:val="center"/>
          </w:tcPr>
          <w:p w14:paraId="41E29D66">
            <w:pPr>
              <w:widowControl/>
              <w:spacing w:line="360" w:lineRule="auto"/>
              <w:jc w:val="center"/>
            </w:pPr>
            <w:r>
              <w:rPr>
                <w:rFonts w:hint="eastAsia"/>
              </w:rPr>
              <w:t>0.2%</w:t>
            </w:r>
          </w:p>
        </w:tc>
      </w:tr>
      <w:tr w14:paraId="5871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D412AD">
            <w:pPr>
              <w:widowControl/>
              <w:spacing w:line="360" w:lineRule="auto"/>
              <w:jc w:val="center"/>
            </w:pPr>
            <w:r>
              <w:rPr>
                <w:rFonts w:hint="eastAsia"/>
              </w:rPr>
              <w:t>1亿元（含）-5亿元</w:t>
            </w:r>
          </w:p>
        </w:tc>
        <w:tc>
          <w:tcPr>
            <w:tcW w:w="1799" w:type="dxa"/>
            <w:vAlign w:val="center"/>
          </w:tcPr>
          <w:p w14:paraId="21DD4EE4">
            <w:pPr>
              <w:widowControl/>
              <w:spacing w:line="360" w:lineRule="auto"/>
              <w:jc w:val="center"/>
            </w:pPr>
            <w:r>
              <w:rPr>
                <w:rFonts w:hint="eastAsia"/>
              </w:rPr>
              <w:t>0.05%</w:t>
            </w:r>
          </w:p>
        </w:tc>
        <w:tc>
          <w:tcPr>
            <w:tcW w:w="1799" w:type="dxa"/>
            <w:vAlign w:val="center"/>
          </w:tcPr>
          <w:p w14:paraId="422844B7">
            <w:pPr>
              <w:widowControl/>
              <w:spacing w:line="360" w:lineRule="auto"/>
              <w:jc w:val="center"/>
            </w:pPr>
            <w:r>
              <w:rPr>
                <w:rFonts w:hint="eastAsia"/>
              </w:rPr>
              <w:t>0.05%</w:t>
            </w:r>
          </w:p>
        </w:tc>
        <w:tc>
          <w:tcPr>
            <w:tcW w:w="1799" w:type="dxa"/>
            <w:vAlign w:val="center"/>
          </w:tcPr>
          <w:p w14:paraId="1DE0E9B0">
            <w:pPr>
              <w:widowControl/>
              <w:spacing w:line="360" w:lineRule="auto"/>
              <w:jc w:val="center"/>
            </w:pPr>
            <w:r>
              <w:rPr>
                <w:rFonts w:hint="eastAsia"/>
              </w:rPr>
              <w:t>0.05%</w:t>
            </w:r>
          </w:p>
        </w:tc>
      </w:tr>
      <w:tr w14:paraId="0ACC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065CD88">
            <w:pPr>
              <w:widowControl/>
              <w:spacing w:line="360" w:lineRule="auto"/>
              <w:jc w:val="center"/>
            </w:pPr>
            <w:r>
              <w:rPr>
                <w:rFonts w:hint="eastAsia"/>
              </w:rPr>
              <w:t>5亿元（含）-10亿元</w:t>
            </w:r>
          </w:p>
        </w:tc>
        <w:tc>
          <w:tcPr>
            <w:tcW w:w="1799" w:type="dxa"/>
            <w:vAlign w:val="center"/>
          </w:tcPr>
          <w:p w14:paraId="7C8AA22F">
            <w:pPr>
              <w:widowControl/>
              <w:spacing w:line="360" w:lineRule="auto"/>
              <w:jc w:val="center"/>
            </w:pPr>
            <w:r>
              <w:rPr>
                <w:rFonts w:hint="eastAsia"/>
              </w:rPr>
              <w:t>0.035%</w:t>
            </w:r>
          </w:p>
        </w:tc>
        <w:tc>
          <w:tcPr>
            <w:tcW w:w="1799" w:type="dxa"/>
            <w:vAlign w:val="center"/>
          </w:tcPr>
          <w:p w14:paraId="6D7CE5B9">
            <w:pPr>
              <w:widowControl/>
              <w:spacing w:line="360" w:lineRule="auto"/>
              <w:jc w:val="center"/>
            </w:pPr>
            <w:r>
              <w:rPr>
                <w:rFonts w:hint="eastAsia"/>
              </w:rPr>
              <w:t>0.035%</w:t>
            </w:r>
          </w:p>
        </w:tc>
        <w:tc>
          <w:tcPr>
            <w:tcW w:w="1799" w:type="dxa"/>
            <w:vAlign w:val="center"/>
          </w:tcPr>
          <w:p w14:paraId="6B85E5C3">
            <w:pPr>
              <w:widowControl/>
              <w:spacing w:line="360" w:lineRule="auto"/>
              <w:jc w:val="center"/>
            </w:pPr>
            <w:r>
              <w:rPr>
                <w:rFonts w:hint="eastAsia"/>
              </w:rPr>
              <w:t>0.035%</w:t>
            </w:r>
          </w:p>
        </w:tc>
      </w:tr>
      <w:tr w14:paraId="6EE9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C55590A">
            <w:pPr>
              <w:widowControl/>
              <w:spacing w:line="360" w:lineRule="auto"/>
              <w:jc w:val="center"/>
            </w:pPr>
            <w:r>
              <w:rPr>
                <w:rFonts w:hint="eastAsia"/>
              </w:rPr>
              <w:t>10亿元（含）-50亿元</w:t>
            </w:r>
          </w:p>
        </w:tc>
        <w:tc>
          <w:tcPr>
            <w:tcW w:w="1799" w:type="dxa"/>
            <w:vAlign w:val="center"/>
          </w:tcPr>
          <w:p w14:paraId="5145B4D7">
            <w:pPr>
              <w:widowControl/>
              <w:spacing w:line="360" w:lineRule="auto"/>
              <w:jc w:val="center"/>
            </w:pPr>
            <w:r>
              <w:rPr>
                <w:rFonts w:hint="eastAsia"/>
              </w:rPr>
              <w:t>0.008%</w:t>
            </w:r>
          </w:p>
        </w:tc>
        <w:tc>
          <w:tcPr>
            <w:tcW w:w="1799" w:type="dxa"/>
            <w:vAlign w:val="center"/>
          </w:tcPr>
          <w:p w14:paraId="7A377EA2">
            <w:pPr>
              <w:widowControl/>
              <w:spacing w:line="360" w:lineRule="auto"/>
              <w:jc w:val="center"/>
            </w:pPr>
            <w:r>
              <w:rPr>
                <w:rFonts w:hint="eastAsia"/>
              </w:rPr>
              <w:t>0.008%</w:t>
            </w:r>
          </w:p>
        </w:tc>
        <w:tc>
          <w:tcPr>
            <w:tcW w:w="1799" w:type="dxa"/>
            <w:vAlign w:val="center"/>
          </w:tcPr>
          <w:p w14:paraId="3E020796">
            <w:pPr>
              <w:widowControl/>
              <w:spacing w:line="360" w:lineRule="auto"/>
              <w:jc w:val="center"/>
            </w:pPr>
            <w:r>
              <w:rPr>
                <w:rFonts w:hint="eastAsia"/>
              </w:rPr>
              <w:t>0.008%</w:t>
            </w:r>
          </w:p>
        </w:tc>
      </w:tr>
      <w:tr w14:paraId="5367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A77B097">
            <w:pPr>
              <w:widowControl/>
              <w:spacing w:line="360" w:lineRule="auto"/>
              <w:jc w:val="center"/>
            </w:pPr>
            <w:r>
              <w:rPr>
                <w:rFonts w:hint="eastAsia"/>
              </w:rPr>
              <w:t>50亿元（含）-100亿元</w:t>
            </w:r>
          </w:p>
        </w:tc>
        <w:tc>
          <w:tcPr>
            <w:tcW w:w="1799" w:type="dxa"/>
            <w:vAlign w:val="center"/>
          </w:tcPr>
          <w:p w14:paraId="7CBE6200">
            <w:pPr>
              <w:widowControl/>
              <w:spacing w:line="360" w:lineRule="auto"/>
              <w:jc w:val="center"/>
            </w:pPr>
            <w:r>
              <w:rPr>
                <w:rFonts w:hint="eastAsia"/>
              </w:rPr>
              <w:t>0.006%</w:t>
            </w:r>
          </w:p>
        </w:tc>
        <w:tc>
          <w:tcPr>
            <w:tcW w:w="1799" w:type="dxa"/>
            <w:vAlign w:val="center"/>
          </w:tcPr>
          <w:p w14:paraId="2EC28F57">
            <w:pPr>
              <w:widowControl/>
              <w:spacing w:line="360" w:lineRule="auto"/>
              <w:jc w:val="center"/>
            </w:pPr>
            <w:r>
              <w:rPr>
                <w:rFonts w:hint="eastAsia"/>
              </w:rPr>
              <w:t>0.006%</w:t>
            </w:r>
          </w:p>
        </w:tc>
        <w:tc>
          <w:tcPr>
            <w:tcW w:w="1799" w:type="dxa"/>
            <w:vAlign w:val="center"/>
          </w:tcPr>
          <w:p w14:paraId="7901C176">
            <w:pPr>
              <w:widowControl/>
              <w:spacing w:line="360" w:lineRule="auto"/>
              <w:jc w:val="center"/>
            </w:pPr>
            <w:r>
              <w:rPr>
                <w:rFonts w:hint="eastAsia"/>
              </w:rPr>
              <w:t>0.006%</w:t>
            </w:r>
          </w:p>
        </w:tc>
      </w:tr>
      <w:tr w14:paraId="2B07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A24525">
            <w:pPr>
              <w:widowControl/>
              <w:spacing w:line="360" w:lineRule="auto"/>
              <w:jc w:val="center"/>
            </w:pPr>
            <w:r>
              <w:rPr>
                <w:rFonts w:hint="eastAsia"/>
              </w:rPr>
              <w:t>100亿元（含）以上</w:t>
            </w:r>
          </w:p>
        </w:tc>
        <w:tc>
          <w:tcPr>
            <w:tcW w:w="1799" w:type="dxa"/>
            <w:vAlign w:val="center"/>
          </w:tcPr>
          <w:p w14:paraId="1F4382CC">
            <w:pPr>
              <w:widowControl/>
              <w:spacing w:line="360" w:lineRule="auto"/>
              <w:jc w:val="center"/>
            </w:pPr>
            <w:r>
              <w:rPr>
                <w:rFonts w:hint="eastAsia"/>
              </w:rPr>
              <w:t>0.004%</w:t>
            </w:r>
          </w:p>
        </w:tc>
        <w:tc>
          <w:tcPr>
            <w:tcW w:w="1799" w:type="dxa"/>
            <w:vAlign w:val="center"/>
          </w:tcPr>
          <w:p w14:paraId="7BFD843A">
            <w:pPr>
              <w:widowControl/>
              <w:spacing w:line="360" w:lineRule="auto"/>
              <w:jc w:val="center"/>
            </w:pPr>
            <w:r>
              <w:rPr>
                <w:rFonts w:hint="eastAsia"/>
              </w:rPr>
              <w:t>0.004%</w:t>
            </w:r>
          </w:p>
        </w:tc>
        <w:tc>
          <w:tcPr>
            <w:tcW w:w="1799" w:type="dxa"/>
            <w:vAlign w:val="center"/>
          </w:tcPr>
          <w:p w14:paraId="47C6A725">
            <w:pPr>
              <w:widowControl/>
              <w:spacing w:line="360" w:lineRule="auto"/>
              <w:jc w:val="center"/>
            </w:pPr>
            <w:r>
              <w:rPr>
                <w:rFonts w:hint="eastAsia"/>
              </w:rPr>
              <w:t>0.004%</w:t>
            </w:r>
          </w:p>
        </w:tc>
      </w:tr>
    </w:tbl>
    <w:p w14:paraId="4AEB561A">
      <w:pPr>
        <w:ind w:firstLine="420" w:firstLineChars="200"/>
      </w:pPr>
      <w:r>
        <w:rPr>
          <w:rFonts w:hint="eastAsia"/>
        </w:rPr>
        <w:t>备注：1.每宗交易代理服务费不低于 5000 元；</w:t>
      </w:r>
    </w:p>
    <w:p w14:paraId="27756F13">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5F32E778">
      <w:pPr>
        <w:ind w:firstLine="420" w:firstLineChars="200"/>
      </w:pPr>
      <w:r>
        <w:rPr>
          <w:rFonts w:hint="eastAsia"/>
        </w:rPr>
        <w:t>如某货物采购项目，中标（成交）金额为600万元，总共交纳的代理服务费的具体计算过程如下：</w:t>
      </w:r>
    </w:p>
    <w:p w14:paraId="3EE6CFF1">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37C4393A">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14:paraId="7DD43664">
      <w:pPr>
        <w:pStyle w:val="19"/>
      </w:pPr>
      <w:r>
        <w:rPr>
          <w:rFonts w:hint="eastAsia"/>
        </w:rPr>
        <w:br w:type="page"/>
      </w:r>
    </w:p>
    <w:p w14:paraId="51378FBD">
      <w:pPr>
        <w:pStyle w:val="7"/>
        <w:rPr>
          <w:rFonts w:hint="eastAsia"/>
          <w:sz w:val="28"/>
          <w:szCs w:val="28"/>
        </w:rPr>
      </w:pPr>
      <w:bookmarkStart w:id="34" w:name="_Toc128884461"/>
      <w:r>
        <w:rPr>
          <w:rFonts w:hint="eastAsia"/>
          <w:sz w:val="28"/>
          <w:szCs w:val="28"/>
        </w:rPr>
        <w:t>第三章 用户需求书</w:t>
      </w:r>
    </w:p>
    <w:p w14:paraId="16F0AC57">
      <w:pPr>
        <w:pStyle w:val="7"/>
        <w:spacing w:before="120" w:beforeLines="50" w:after="120" w:afterLines="50"/>
        <w:rPr>
          <w:szCs w:val="24"/>
        </w:rPr>
      </w:pPr>
      <w:r>
        <w:rPr>
          <w:rFonts w:hint="eastAsia"/>
          <w:szCs w:val="24"/>
        </w:rPr>
        <w:t>一、项目基本信息</w:t>
      </w:r>
    </w:p>
    <w:p w14:paraId="4D502352">
      <w:pPr>
        <w:rPr>
          <w:rFonts w:ascii="宋体" w:hAnsi="宋体"/>
          <w:b/>
          <w:color w:val="FF0000"/>
          <w:szCs w:val="21"/>
        </w:rPr>
      </w:pPr>
    </w:p>
    <w:tbl>
      <w:tblPr>
        <w:tblStyle w:val="42"/>
        <w:tblpPr w:leftFromText="180" w:rightFromText="180" w:vertAnchor="text" w:horzAnchor="margin" w:tblpY="173"/>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5403"/>
        <w:gridCol w:w="2276"/>
      </w:tblGrid>
      <w:tr w14:paraId="4D70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pct"/>
            <w:vAlign w:val="center"/>
          </w:tcPr>
          <w:p w14:paraId="11D3DCC4">
            <w:pPr>
              <w:jc w:val="center"/>
              <w:rPr>
                <w:bCs/>
                <w:szCs w:val="21"/>
              </w:rPr>
            </w:pPr>
            <w:r>
              <w:rPr>
                <w:rFonts w:hint="eastAsia"/>
                <w:bCs/>
                <w:szCs w:val="21"/>
              </w:rPr>
              <w:t>序号</w:t>
            </w:r>
          </w:p>
        </w:tc>
        <w:tc>
          <w:tcPr>
            <w:tcW w:w="3209" w:type="pct"/>
            <w:vAlign w:val="center"/>
          </w:tcPr>
          <w:p w14:paraId="23EF4F5E">
            <w:pPr>
              <w:jc w:val="center"/>
              <w:rPr>
                <w:bCs/>
                <w:szCs w:val="21"/>
              </w:rPr>
            </w:pPr>
            <w:r>
              <w:rPr>
                <w:rFonts w:hint="eastAsia"/>
                <w:bCs/>
                <w:szCs w:val="21"/>
              </w:rPr>
              <w:t>采购项目名称</w:t>
            </w:r>
          </w:p>
        </w:tc>
        <w:tc>
          <w:tcPr>
            <w:tcW w:w="1352" w:type="pct"/>
            <w:vAlign w:val="center"/>
          </w:tcPr>
          <w:p w14:paraId="3BF64A01">
            <w:pPr>
              <w:jc w:val="center"/>
              <w:rPr>
                <w:b/>
                <w:bCs/>
                <w:color w:val="FF0000"/>
                <w:szCs w:val="21"/>
              </w:rPr>
            </w:pPr>
            <w:r>
              <w:rPr>
                <w:rFonts w:hint="eastAsia"/>
                <w:b/>
                <w:bCs/>
                <w:color w:val="FF0000"/>
                <w:szCs w:val="21"/>
              </w:rPr>
              <w:t>预算金额（元）</w:t>
            </w:r>
          </w:p>
        </w:tc>
      </w:tr>
      <w:tr w14:paraId="52C5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37" w:type="pct"/>
            <w:vAlign w:val="center"/>
          </w:tcPr>
          <w:p w14:paraId="30600E1E">
            <w:pPr>
              <w:jc w:val="center"/>
              <w:rPr>
                <w:bCs/>
                <w:szCs w:val="21"/>
              </w:rPr>
            </w:pPr>
            <w:r>
              <w:rPr>
                <w:rFonts w:hint="eastAsia"/>
                <w:bCs/>
                <w:szCs w:val="21"/>
              </w:rPr>
              <w:t>1</w:t>
            </w:r>
          </w:p>
        </w:tc>
        <w:tc>
          <w:tcPr>
            <w:tcW w:w="3209" w:type="pct"/>
            <w:vAlign w:val="center"/>
          </w:tcPr>
          <w:p w14:paraId="0109D46E">
            <w:pPr>
              <w:jc w:val="center"/>
              <w:rPr>
                <w:bCs/>
                <w:szCs w:val="21"/>
              </w:rPr>
            </w:pPr>
            <w:r>
              <w:rPr>
                <w:rFonts w:hint="eastAsia"/>
                <w:bCs/>
                <w:szCs w:val="21"/>
              </w:rPr>
              <w:t>深圳市中医院网络信息安全运营服务项目</w:t>
            </w:r>
          </w:p>
        </w:tc>
        <w:tc>
          <w:tcPr>
            <w:tcW w:w="1352" w:type="pct"/>
            <w:vAlign w:val="center"/>
          </w:tcPr>
          <w:p w14:paraId="0B89C7AE">
            <w:pPr>
              <w:jc w:val="center"/>
              <w:rPr>
                <w:b/>
                <w:bCs/>
                <w:color w:val="FF0000"/>
                <w:szCs w:val="21"/>
              </w:rPr>
            </w:pPr>
            <w:r>
              <w:rPr>
                <w:rFonts w:hint="eastAsia"/>
                <w:b/>
                <w:bCs/>
                <w:color w:val="FF0000"/>
                <w:szCs w:val="21"/>
              </w:rPr>
              <w:t>850,000.00</w:t>
            </w:r>
          </w:p>
        </w:tc>
      </w:tr>
    </w:tbl>
    <w:p w14:paraId="6C8A8C84">
      <w:pPr>
        <w:rPr>
          <w:rFonts w:ascii="宋体" w:hAnsi="宋体"/>
          <w:b/>
          <w:color w:val="FF0000"/>
          <w:szCs w:val="21"/>
        </w:rPr>
      </w:pPr>
    </w:p>
    <w:p w14:paraId="41E4E948">
      <w:pPr>
        <w:pStyle w:val="7"/>
        <w:spacing w:before="120" w:beforeLines="50" w:after="120" w:afterLines="50"/>
        <w:rPr>
          <w:szCs w:val="24"/>
        </w:rPr>
      </w:pPr>
      <w:r>
        <w:rPr>
          <w:rFonts w:hint="eastAsia"/>
          <w:szCs w:val="24"/>
        </w:rPr>
        <w:t>二、项目概况</w:t>
      </w:r>
    </w:p>
    <w:p w14:paraId="71AD92BB">
      <w:pPr>
        <w:ind w:firstLine="420" w:firstLineChars="200"/>
        <w:rPr>
          <w:sz w:val="21"/>
          <w:szCs w:val="21"/>
        </w:rPr>
      </w:pPr>
      <w:r>
        <w:rPr>
          <w:rFonts w:hint="eastAsia"/>
          <w:sz w:val="21"/>
          <w:szCs w:val="21"/>
        </w:rPr>
        <w:t>深圳市中医院信息化建设起步较早，历经十余年的建设，已经建立起来涵盖核心业务系统（HIS/EMR/LIS/PACS）以及护理、手麻、输血、腹透等医院临床服务系统。医院的医疗服务对信息系统的依赖程度非常高。从患者病历、收费、取药、诊断服务、检查服务、患者信息存储、社保报销等都都依赖信息系统，并且依赖程序较高，需要业务系统在工作时间保持99.99%的可用率。</w:t>
      </w:r>
    </w:p>
    <w:p w14:paraId="33687E20">
      <w:pPr>
        <w:ind w:firstLine="420" w:firstLineChars="200"/>
        <w:rPr>
          <w:sz w:val="21"/>
          <w:szCs w:val="21"/>
        </w:rPr>
      </w:pPr>
      <w:r>
        <w:rPr>
          <w:rFonts w:hint="eastAsia"/>
          <w:sz w:val="21"/>
          <w:szCs w:val="21"/>
        </w:rPr>
        <w:t>医院网络存储的信息有：医院管理信息、医疗资源信息和患者数据信息。其中患者信息数据具备相当的吸引力，如非法团队、恐怖组织和国外机构都渴望得到居民的个人信息，特别是高端技术人员和科技企业管理人员的信息数据，有效保障数据安全对保护患者利益、中国的科技利益均是必须的。依据《中国人民共和国网络安全法》第二十二条、第四十一条至第四十五条，《中华人民共和国民法典》第一千零三十四条，国家互联网信息办公室、工业和信息化部等四部委《App违法违规收集使用个人信息行为认定方法》等法律规定，本医院对采集的患者数据具备保密义务。</w:t>
      </w:r>
    </w:p>
    <w:p w14:paraId="080A894E">
      <w:pPr>
        <w:ind w:firstLine="420" w:firstLineChars="200"/>
        <w:rPr>
          <w:sz w:val="21"/>
          <w:szCs w:val="21"/>
        </w:rPr>
      </w:pPr>
      <w:r>
        <w:rPr>
          <w:rFonts w:hint="eastAsia"/>
          <w:sz w:val="21"/>
          <w:szCs w:val="21"/>
        </w:rPr>
        <w:t>随着互联网+战略的推进，我医院也正式运行了互联网医院，以更好为患者提供远程预约、远程诊断、远程支付和快递送药上门服务。原先的医院信息系统与互联网产生数据交换，内网与互联网开通连接通道，使得医院信息系统面临的威胁比以前大得多。从以前只面临内部威胁，到现在面临来自全世界网络的威胁。</w:t>
      </w:r>
    </w:p>
    <w:p w14:paraId="7335E550">
      <w:pPr>
        <w:ind w:firstLine="420" w:firstLineChars="200"/>
        <w:rPr>
          <w:sz w:val="21"/>
          <w:szCs w:val="21"/>
        </w:rPr>
      </w:pPr>
      <w:r>
        <w:rPr>
          <w:rFonts w:hint="eastAsia"/>
          <w:sz w:val="21"/>
          <w:szCs w:val="21"/>
        </w:rPr>
        <w:t>国外机构对中国的网络渗透无时不在，众多公共服务网络都查出国外非法木马文件。因此我院网络也面临来自恐怖组织和国外机构的安全威胁，急需要提升我院网络安全防护能力。</w:t>
      </w:r>
    </w:p>
    <w:p w14:paraId="5B7D64DD">
      <w:pPr>
        <w:ind w:firstLine="420" w:firstLineChars="200"/>
        <w:rPr>
          <w:sz w:val="21"/>
          <w:szCs w:val="21"/>
        </w:rPr>
      </w:pPr>
      <w:r>
        <w:rPr>
          <w:rFonts w:hint="eastAsia"/>
          <w:sz w:val="21"/>
          <w:szCs w:val="21"/>
        </w:rPr>
        <w:t>国内监管要求越来越高，来自公安、网信办、政数局和上级主管单位的监管要求，意味着我们国家对网络的安全防护能力重视程度越来越高。</w:t>
      </w:r>
    </w:p>
    <w:p w14:paraId="2E042CB1">
      <w:pPr>
        <w:ind w:firstLine="420" w:firstLineChars="200"/>
        <w:rPr>
          <w:sz w:val="21"/>
          <w:szCs w:val="21"/>
        </w:rPr>
      </w:pPr>
      <w:r>
        <w:rPr>
          <w:rFonts w:hint="eastAsia"/>
          <w:sz w:val="21"/>
          <w:szCs w:val="21"/>
        </w:rPr>
        <w:t>综上所述，医院对信息系统的依赖程度高，医院存储的数据对非法用户和机构有较大的吸引力，面临的威胁越来越大，威胁源的专业技术水平越来越高，甚至来自国家级的安全威胁，以及监控要求也越来越严格。我院自2020年通过招标采购引进专业的网络安全服务，对我院网络的安全防护能力进行了加强，效果也比较明显；充分保障医院、患者和公共服务的利益</w:t>
      </w:r>
    </w:p>
    <w:p w14:paraId="6325B8DE">
      <w:pPr>
        <w:ind w:firstLine="420" w:firstLineChars="200"/>
        <w:rPr>
          <w:sz w:val="24"/>
        </w:rPr>
      </w:pPr>
      <w:r>
        <w:rPr>
          <w:rFonts w:hint="eastAsia"/>
          <w:sz w:val="21"/>
          <w:szCs w:val="21"/>
        </w:rPr>
        <w:t>信息安全及数据安全保障工作是医院内部的一个重要工作，为满足上级主管部门以及各种信息安全类检查评审的要求，提升单位信息安全保障工作、业务可用性、数据可靠性、数据保密性，采购专业安全服务是非常有必要和迫切的。</w:t>
      </w:r>
    </w:p>
    <w:p w14:paraId="705BABED">
      <w:pPr>
        <w:rPr>
          <w:rFonts w:ascii="宋体" w:hAnsi="宋体"/>
          <w:b/>
          <w:color w:val="FF0000"/>
          <w:szCs w:val="21"/>
        </w:rPr>
      </w:pPr>
    </w:p>
    <w:p w14:paraId="128A18F4">
      <w:pPr>
        <w:pStyle w:val="7"/>
        <w:spacing w:before="120" w:beforeLines="50" w:after="120" w:afterLines="50"/>
        <w:rPr>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558"/>
        <w:gridCol w:w="1176"/>
        <w:gridCol w:w="1187"/>
      </w:tblGrid>
      <w:tr w14:paraId="7960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567C6966">
            <w:pPr>
              <w:jc w:val="center"/>
              <w:rPr>
                <w:bCs/>
                <w:szCs w:val="21"/>
              </w:rPr>
            </w:pPr>
            <w:r>
              <w:rPr>
                <w:rFonts w:hint="eastAsia"/>
                <w:bCs/>
                <w:szCs w:val="21"/>
              </w:rPr>
              <w:t>序号</w:t>
            </w:r>
          </w:p>
        </w:tc>
        <w:tc>
          <w:tcPr>
            <w:tcW w:w="5558" w:type="dxa"/>
            <w:vAlign w:val="center"/>
          </w:tcPr>
          <w:p w14:paraId="6E9C8C9D">
            <w:pPr>
              <w:jc w:val="center"/>
              <w:rPr>
                <w:bCs/>
                <w:szCs w:val="21"/>
              </w:rPr>
            </w:pPr>
            <w:r>
              <w:rPr>
                <w:rFonts w:hint="eastAsia"/>
                <w:bCs/>
                <w:szCs w:val="21"/>
              </w:rPr>
              <w:t>服务需求名称（标的名称）</w:t>
            </w:r>
          </w:p>
        </w:tc>
        <w:tc>
          <w:tcPr>
            <w:tcW w:w="1176" w:type="dxa"/>
            <w:vAlign w:val="center"/>
          </w:tcPr>
          <w:p w14:paraId="65CC1200">
            <w:pPr>
              <w:jc w:val="center"/>
              <w:rPr>
                <w:bCs/>
                <w:szCs w:val="21"/>
              </w:rPr>
            </w:pPr>
            <w:r>
              <w:rPr>
                <w:rFonts w:hint="eastAsia"/>
                <w:bCs/>
                <w:szCs w:val="21"/>
              </w:rPr>
              <w:t>数量</w:t>
            </w:r>
          </w:p>
        </w:tc>
        <w:tc>
          <w:tcPr>
            <w:tcW w:w="1187" w:type="dxa"/>
            <w:vAlign w:val="center"/>
          </w:tcPr>
          <w:p w14:paraId="429FCADE">
            <w:pPr>
              <w:jc w:val="center"/>
              <w:rPr>
                <w:bCs/>
                <w:szCs w:val="21"/>
              </w:rPr>
            </w:pPr>
            <w:r>
              <w:rPr>
                <w:rFonts w:hint="eastAsia"/>
                <w:bCs/>
                <w:szCs w:val="21"/>
              </w:rPr>
              <w:t>单位</w:t>
            </w:r>
          </w:p>
        </w:tc>
      </w:tr>
      <w:tr w14:paraId="79FB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349192AC">
            <w:pPr>
              <w:jc w:val="center"/>
              <w:rPr>
                <w:bCs/>
                <w:szCs w:val="21"/>
              </w:rPr>
            </w:pPr>
            <w:r>
              <w:rPr>
                <w:rFonts w:hint="eastAsia"/>
                <w:bCs/>
                <w:szCs w:val="21"/>
              </w:rPr>
              <w:t>1</w:t>
            </w:r>
          </w:p>
        </w:tc>
        <w:tc>
          <w:tcPr>
            <w:tcW w:w="5558" w:type="dxa"/>
            <w:vAlign w:val="center"/>
          </w:tcPr>
          <w:p w14:paraId="68D030B8">
            <w:pPr>
              <w:jc w:val="center"/>
              <w:rPr>
                <w:bCs/>
                <w:szCs w:val="21"/>
              </w:rPr>
            </w:pPr>
            <w:r>
              <w:rPr>
                <w:rFonts w:hint="eastAsia"/>
                <w:bCs/>
                <w:szCs w:val="21"/>
              </w:rPr>
              <w:t>深圳市中医院网络信息安全运营服务项目</w:t>
            </w:r>
          </w:p>
        </w:tc>
        <w:tc>
          <w:tcPr>
            <w:tcW w:w="1176" w:type="dxa"/>
            <w:vAlign w:val="center"/>
          </w:tcPr>
          <w:p w14:paraId="3B83E79F">
            <w:pPr>
              <w:jc w:val="center"/>
              <w:rPr>
                <w:bCs/>
                <w:szCs w:val="21"/>
              </w:rPr>
            </w:pPr>
            <w:r>
              <w:rPr>
                <w:rFonts w:hint="eastAsia"/>
              </w:rPr>
              <w:t>1</w:t>
            </w:r>
          </w:p>
        </w:tc>
        <w:tc>
          <w:tcPr>
            <w:tcW w:w="1187" w:type="dxa"/>
            <w:vAlign w:val="center"/>
          </w:tcPr>
          <w:p w14:paraId="237FCA0C">
            <w:pPr>
              <w:jc w:val="center"/>
              <w:rPr>
                <w:bCs/>
                <w:szCs w:val="21"/>
              </w:rPr>
            </w:pPr>
            <w:r>
              <w:rPr>
                <w:rFonts w:hint="eastAsia"/>
                <w:bCs/>
                <w:szCs w:val="21"/>
              </w:rPr>
              <w:t>项</w:t>
            </w:r>
          </w:p>
        </w:tc>
      </w:tr>
    </w:tbl>
    <w:p w14:paraId="6BAAFC81">
      <w:pPr>
        <w:rPr>
          <w:rFonts w:hint="eastAsia" w:ascii="宋体" w:hAnsi="宋体"/>
          <w:b/>
          <w:color w:val="FF0000"/>
          <w:szCs w:val="21"/>
        </w:rPr>
      </w:pPr>
    </w:p>
    <w:p w14:paraId="27ECB98C">
      <w:pPr>
        <w:pStyle w:val="7"/>
        <w:spacing w:before="120" w:beforeLines="50" w:after="120" w:afterLines="50"/>
        <w:rPr>
          <w:rFonts w:hint="eastAsia"/>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2329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FA3F1FA">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14:paraId="6F86D869">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0243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F346737">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14:paraId="1868A9B6">
            <w:pPr>
              <w:rPr>
                <w:rFonts w:hint="eastAsia" w:hAnsi="宋体" w:eastAsiaTheme="minorEastAsia"/>
                <w:kern w:val="0"/>
                <w:szCs w:val="21"/>
              </w:rPr>
            </w:pPr>
            <w:r>
              <w:rPr>
                <w:rFonts w:hint="eastAsia"/>
              </w:rPr>
              <w:t>满足本项目标★的条款要求</w:t>
            </w:r>
          </w:p>
        </w:tc>
      </w:tr>
      <w:bookmarkEnd w:id="34"/>
    </w:tbl>
    <w:p w14:paraId="6DECBAC0">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14:paraId="2DC546B9">
      <w:pPr>
        <w:pStyle w:val="19"/>
      </w:pPr>
    </w:p>
    <w:p w14:paraId="77EB673E">
      <w:pPr>
        <w:rPr>
          <w:b/>
          <w:szCs w:val="21"/>
        </w:rPr>
      </w:pPr>
      <w:r>
        <w:rPr>
          <w:b/>
          <w:szCs w:val="21"/>
        </w:rPr>
        <w:t>1</w:t>
      </w:r>
      <w:r>
        <w:rPr>
          <w:rFonts w:hint="eastAsia"/>
          <w:b/>
          <w:szCs w:val="21"/>
        </w:rPr>
        <w:t>、服务团队要求</w:t>
      </w:r>
    </w:p>
    <w:p w14:paraId="0540AB1B">
      <w:pPr>
        <w:rPr>
          <w:szCs w:val="21"/>
        </w:rPr>
      </w:pPr>
      <w:r>
        <w:rPr>
          <w:szCs w:val="21"/>
        </w:rPr>
        <w:t>1.1</w:t>
      </w:r>
      <w:r>
        <w:rPr>
          <w:rFonts w:hint="eastAsia"/>
          <w:szCs w:val="21"/>
        </w:rPr>
        <w:t>、团队组织架构</w:t>
      </w:r>
    </w:p>
    <w:p w14:paraId="4B36531A">
      <w:pPr>
        <w:rPr>
          <w:szCs w:val="21"/>
        </w:rPr>
      </w:pPr>
      <w:r>
        <w:drawing>
          <wp:inline distT="0" distB="0" distL="0" distR="0">
            <wp:extent cx="3081020" cy="2564130"/>
            <wp:effectExtent l="0" t="0" r="1270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119115" cy="2595774"/>
                    </a:xfrm>
                    <a:prstGeom prst="rect">
                      <a:avLst/>
                    </a:prstGeom>
                  </pic:spPr>
                </pic:pic>
              </a:graphicData>
            </a:graphic>
          </wp:inline>
        </w:drawing>
      </w:r>
    </w:p>
    <w:p w14:paraId="11DBCB63">
      <w:pPr>
        <w:ind w:firstLine="420" w:firstLineChars="200"/>
        <w:rPr>
          <w:szCs w:val="21"/>
        </w:rPr>
      </w:pPr>
      <w:r>
        <w:rPr>
          <w:szCs w:val="21"/>
        </w:rPr>
        <w:t>1</w:t>
      </w:r>
      <w:r>
        <w:rPr>
          <w:rFonts w:hint="eastAsia"/>
          <w:szCs w:val="21"/>
        </w:rPr>
        <w:t>.</w:t>
      </w:r>
      <w:r>
        <w:rPr>
          <w:szCs w:val="21"/>
        </w:rPr>
        <w:t>1.1</w:t>
      </w:r>
      <w:r>
        <w:rPr>
          <w:rFonts w:hint="eastAsia"/>
          <w:szCs w:val="21"/>
        </w:rPr>
        <w:t>、项目经理（1人）</w:t>
      </w:r>
    </w:p>
    <w:p w14:paraId="0A1CA13E">
      <w:pPr>
        <w:ind w:firstLine="420" w:firstLineChars="200"/>
        <w:rPr>
          <w:szCs w:val="21"/>
        </w:rPr>
      </w:pPr>
      <w:r>
        <w:rPr>
          <w:rFonts w:hint="eastAsia"/>
          <w:szCs w:val="21"/>
        </w:rPr>
        <w:t>主要岗位职责内容：</w:t>
      </w:r>
    </w:p>
    <w:p w14:paraId="1324AA8D">
      <w:pPr>
        <w:ind w:firstLine="420" w:firstLineChars="200"/>
        <w:rPr>
          <w:szCs w:val="21"/>
        </w:rPr>
      </w:pPr>
      <w:r>
        <w:rPr>
          <w:rFonts w:hint="eastAsia"/>
          <w:szCs w:val="21"/>
        </w:rPr>
        <w:t>负责项目进度计划定制与监督；</w:t>
      </w:r>
    </w:p>
    <w:p w14:paraId="18F41BBD">
      <w:pPr>
        <w:ind w:firstLine="420" w:firstLineChars="200"/>
        <w:rPr>
          <w:szCs w:val="21"/>
        </w:rPr>
      </w:pPr>
      <w:r>
        <w:rPr>
          <w:rFonts w:hint="eastAsia"/>
          <w:szCs w:val="21"/>
        </w:rPr>
        <w:t>负责项目质量的监督；</w:t>
      </w:r>
    </w:p>
    <w:p w14:paraId="33FFA3E4">
      <w:pPr>
        <w:ind w:firstLine="420" w:firstLineChars="200"/>
        <w:rPr>
          <w:szCs w:val="21"/>
        </w:rPr>
      </w:pPr>
      <w:r>
        <w:rPr>
          <w:rFonts w:hint="eastAsia"/>
          <w:szCs w:val="21"/>
        </w:rPr>
        <w:t>针对项目服务项，服务交付团队内部资源调配统筹；</w:t>
      </w:r>
    </w:p>
    <w:p w14:paraId="03A4588B">
      <w:pPr>
        <w:ind w:firstLine="420" w:firstLineChars="200"/>
        <w:rPr>
          <w:szCs w:val="21"/>
        </w:rPr>
      </w:pPr>
      <w:r>
        <w:rPr>
          <w:rFonts w:hint="eastAsia"/>
          <w:szCs w:val="21"/>
        </w:rPr>
        <w:t>项目风险识别与控制；</w:t>
      </w:r>
    </w:p>
    <w:p w14:paraId="49586A5F">
      <w:pPr>
        <w:ind w:firstLine="420" w:firstLineChars="200"/>
        <w:rPr>
          <w:szCs w:val="21"/>
        </w:rPr>
      </w:pPr>
      <w:r>
        <w:rPr>
          <w:rFonts w:hint="eastAsia"/>
          <w:szCs w:val="21"/>
        </w:rPr>
        <w:t>优化项目管理流程、制度等建立。</w:t>
      </w:r>
    </w:p>
    <w:p w14:paraId="5C697CE9">
      <w:pPr>
        <w:ind w:firstLine="420" w:firstLineChars="200"/>
        <w:rPr>
          <w:szCs w:val="21"/>
        </w:rPr>
      </w:pPr>
      <w:r>
        <w:rPr>
          <w:szCs w:val="21"/>
        </w:rPr>
        <w:t>1.1.2</w:t>
      </w:r>
      <w:r>
        <w:rPr>
          <w:rFonts w:hint="eastAsia"/>
          <w:szCs w:val="21"/>
        </w:rPr>
        <w:t>、一线服务经理（1人）</w:t>
      </w:r>
    </w:p>
    <w:p w14:paraId="6A792ED3">
      <w:pPr>
        <w:ind w:firstLine="420" w:firstLineChars="200"/>
        <w:rPr>
          <w:szCs w:val="21"/>
        </w:rPr>
      </w:pPr>
      <w:r>
        <w:rPr>
          <w:rFonts w:hint="eastAsia"/>
          <w:szCs w:val="21"/>
        </w:rPr>
        <w:t>主要岗位职责内容：</w:t>
      </w:r>
    </w:p>
    <w:p w14:paraId="302FD196">
      <w:pPr>
        <w:ind w:firstLine="420" w:firstLineChars="200"/>
        <w:rPr>
          <w:szCs w:val="21"/>
        </w:rPr>
      </w:pPr>
      <w:r>
        <w:rPr>
          <w:rFonts w:hint="eastAsia"/>
          <w:szCs w:val="21"/>
        </w:rPr>
        <w:t>定期跟踪项目进展情况，及时报告项目状态和关键问题，根据医院需求制定周期性项目计划并跟进落实执行情况；</w:t>
      </w:r>
    </w:p>
    <w:p w14:paraId="4F8E4F2F">
      <w:pPr>
        <w:ind w:firstLine="420" w:firstLineChars="200"/>
        <w:rPr>
          <w:szCs w:val="21"/>
        </w:rPr>
      </w:pPr>
      <w:r>
        <w:rPr>
          <w:rFonts w:hint="eastAsia"/>
          <w:szCs w:val="21"/>
        </w:rPr>
        <w:t>对服务团队交付材料质量进行执行控制工作，如审核安全巡检报告、系统加固方案、渗透测试方案、应急演练预案/脚本等；</w:t>
      </w:r>
    </w:p>
    <w:p w14:paraId="5225956C">
      <w:pPr>
        <w:ind w:firstLine="420" w:firstLineChars="200"/>
        <w:rPr>
          <w:szCs w:val="21"/>
        </w:rPr>
      </w:pPr>
      <w:r>
        <w:rPr>
          <w:rFonts w:hint="eastAsia"/>
          <w:szCs w:val="21"/>
        </w:rPr>
        <w:t>定期汇总项目工作情况，向医院汇报阶段性工作成果；</w:t>
      </w:r>
    </w:p>
    <w:p w14:paraId="56851C2C">
      <w:pPr>
        <w:ind w:firstLine="420" w:firstLineChars="200"/>
        <w:rPr>
          <w:szCs w:val="21"/>
        </w:rPr>
      </w:pPr>
      <w:r>
        <w:rPr>
          <w:rFonts w:hint="eastAsia"/>
          <w:szCs w:val="21"/>
        </w:rPr>
        <w:t>根据医院需求，组织团队成员开展网络安全自查、风险预警影响范围评估、攻防演练/重大节假日网络安全值守安排等工作；</w:t>
      </w:r>
    </w:p>
    <w:p w14:paraId="1D246FAB">
      <w:pPr>
        <w:ind w:firstLine="420" w:firstLineChars="200"/>
        <w:rPr>
          <w:szCs w:val="21"/>
        </w:rPr>
      </w:pPr>
      <w:r>
        <w:rPr>
          <w:rFonts w:hint="eastAsia"/>
          <w:szCs w:val="21"/>
        </w:rPr>
        <w:t>与项目各方进行有效的沟通和协调，包括医院和项目团队成员，确保项目信息流畅传递，解决沟通障碍；</w:t>
      </w:r>
    </w:p>
    <w:p w14:paraId="28FD830C">
      <w:pPr>
        <w:ind w:firstLine="420" w:firstLineChars="200"/>
        <w:rPr>
          <w:szCs w:val="21"/>
        </w:rPr>
      </w:pPr>
      <w:r>
        <w:rPr>
          <w:rFonts w:hint="eastAsia"/>
          <w:szCs w:val="21"/>
        </w:rPr>
        <w:t>制定和执行项目质量控制计划，监督项目交付物的质量,组织项目验收工作，确保项目符合客户要求和标准</w:t>
      </w:r>
    </w:p>
    <w:p w14:paraId="6247B88B">
      <w:pPr>
        <w:ind w:firstLine="420" w:firstLineChars="200"/>
        <w:rPr>
          <w:szCs w:val="21"/>
        </w:rPr>
      </w:pPr>
      <w:r>
        <w:rPr>
          <w:rFonts w:hint="eastAsia"/>
          <w:szCs w:val="21"/>
        </w:rPr>
        <w:t>负责甲方一线需求的听取、项目优化和改进具体措施落实；</w:t>
      </w:r>
    </w:p>
    <w:p w14:paraId="167147D1">
      <w:pPr>
        <w:ind w:firstLine="420" w:firstLineChars="200"/>
        <w:rPr>
          <w:szCs w:val="21"/>
        </w:rPr>
      </w:pPr>
      <w:r>
        <w:rPr>
          <w:rFonts w:hint="eastAsia"/>
          <w:szCs w:val="21"/>
        </w:rPr>
        <w:t>项目中提供一线咨询服务;</w:t>
      </w:r>
    </w:p>
    <w:p w14:paraId="39B9DAB7">
      <w:pPr>
        <w:ind w:firstLine="420" w:firstLineChars="200"/>
        <w:rPr>
          <w:szCs w:val="21"/>
        </w:rPr>
      </w:pPr>
      <w:r>
        <w:rPr>
          <w:rFonts w:hint="eastAsia"/>
          <w:szCs w:val="21"/>
        </w:rPr>
        <w:t>熟悉操作安全运营平台，通过安全运营平台严格落实项目服务交付。</w:t>
      </w:r>
    </w:p>
    <w:p w14:paraId="32858448">
      <w:pPr>
        <w:ind w:firstLine="420" w:firstLineChars="200"/>
        <w:rPr>
          <w:szCs w:val="21"/>
        </w:rPr>
      </w:pPr>
      <w:r>
        <w:rPr>
          <w:szCs w:val="21"/>
        </w:rPr>
        <w:t>1.1.3</w:t>
      </w:r>
      <w:r>
        <w:rPr>
          <w:rFonts w:hint="eastAsia"/>
          <w:szCs w:val="21"/>
        </w:rPr>
        <w:t>、一线服务组（2人</w:t>
      </w:r>
      <w:r>
        <w:rPr>
          <w:rFonts w:hint="eastAsia"/>
          <w:szCs w:val="21"/>
          <w:lang w:val="en-US" w:eastAsia="zh-CN"/>
        </w:rPr>
        <w:t>或</w:t>
      </w:r>
      <w:r>
        <w:rPr>
          <w:rFonts w:hint="eastAsia"/>
          <w:szCs w:val="21"/>
        </w:rPr>
        <w:t>以上）</w:t>
      </w:r>
    </w:p>
    <w:p w14:paraId="4844E344">
      <w:pPr>
        <w:ind w:firstLine="420" w:firstLineChars="200"/>
        <w:rPr>
          <w:szCs w:val="21"/>
        </w:rPr>
      </w:pPr>
      <w:r>
        <w:rPr>
          <w:rFonts w:hint="eastAsia"/>
          <w:szCs w:val="21"/>
        </w:rPr>
        <w:t>主要岗位职责内容：</w:t>
      </w:r>
    </w:p>
    <w:p w14:paraId="08F2E7CA">
      <w:pPr>
        <w:ind w:firstLine="420" w:firstLineChars="200"/>
        <w:rPr>
          <w:szCs w:val="21"/>
        </w:rPr>
      </w:pPr>
      <w:r>
        <w:rPr>
          <w:rFonts w:hint="eastAsia"/>
          <w:szCs w:val="21"/>
        </w:rPr>
        <w:t>定期统计、更新医院资产，维护医院数据资产台账；</w:t>
      </w:r>
    </w:p>
    <w:p w14:paraId="7C992363">
      <w:pPr>
        <w:ind w:firstLine="420" w:firstLineChars="200"/>
        <w:rPr>
          <w:szCs w:val="21"/>
        </w:rPr>
      </w:pPr>
      <w:r>
        <w:rPr>
          <w:rFonts w:hint="eastAsia"/>
          <w:szCs w:val="21"/>
        </w:rPr>
        <w:t>负责日常网络安全巡检，监测网络边界及医院内部风险情况，及时处置并记录相关信息；</w:t>
      </w:r>
    </w:p>
    <w:p w14:paraId="35D82C54">
      <w:pPr>
        <w:ind w:firstLine="420" w:firstLineChars="200"/>
        <w:rPr>
          <w:szCs w:val="21"/>
        </w:rPr>
      </w:pPr>
      <w:r>
        <w:rPr>
          <w:rFonts w:hint="eastAsia"/>
          <w:szCs w:val="21"/>
        </w:rPr>
        <w:t>负责攻防演练/重大节假日期间值班支持，确保重要保障时期网络安全设备7x24小时的监控和保障；</w:t>
      </w:r>
    </w:p>
    <w:p w14:paraId="5A3860A4">
      <w:pPr>
        <w:ind w:firstLine="420" w:firstLineChars="200"/>
        <w:rPr>
          <w:szCs w:val="21"/>
        </w:rPr>
      </w:pPr>
      <w:r>
        <w:rPr>
          <w:rFonts w:hint="eastAsia"/>
          <w:szCs w:val="21"/>
        </w:rPr>
        <w:t>协助二线服务专家完成系统安全配置核查及加固工作，完成相关工作交付材料的整理归档；</w:t>
      </w:r>
    </w:p>
    <w:p w14:paraId="078BB7E1">
      <w:pPr>
        <w:ind w:firstLine="420" w:firstLineChars="200"/>
        <w:rPr>
          <w:szCs w:val="21"/>
        </w:rPr>
      </w:pPr>
      <w:r>
        <w:rPr>
          <w:rFonts w:hint="eastAsia"/>
          <w:szCs w:val="21"/>
        </w:rPr>
        <w:t>协助完成上级主管单位检查，按要求整理材料提交计算机中心安全管理员进行反馈；</w:t>
      </w:r>
    </w:p>
    <w:p w14:paraId="1F5B71FA">
      <w:pPr>
        <w:ind w:firstLine="420" w:firstLineChars="200"/>
        <w:rPr>
          <w:szCs w:val="21"/>
        </w:rPr>
      </w:pPr>
      <w:r>
        <w:rPr>
          <w:rFonts w:hint="eastAsia"/>
          <w:szCs w:val="21"/>
        </w:rPr>
        <w:t>对接沟通应急演练、风险评估、网络安全培训等事宜，协助二线服务专家协调相关资源环境；</w:t>
      </w:r>
    </w:p>
    <w:p w14:paraId="1B880D25">
      <w:pPr>
        <w:ind w:firstLine="420" w:firstLineChars="200"/>
        <w:rPr>
          <w:szCs w:val="21"/>
        </w:rPr>
      </w:pPr>
      <w:r>
        <w:rPr>
          <w:rFonts w:hint="eastAsia"/>
          <w:szCs w:val="21"/>
        </w:rPr>
        <w:t>提供服务项的技术咨询和技术支持服务；</w:t>
      </w:r>
    </w:p>
    <w:p w14:paraId="2373BD39">
      <w:pPr>
        <w:ind w:firstLine="420" w:firstLineChars="200"/>
        <w:rPr>
          <w:szCs w:val="21"/>
        </w:rPr>
      </w:pPr>
      <w:r>
        <w:rPr>
          <w:rFonts w:hint="eastAsia"/>
          <w:szCs w:val="21"/>
        </w:rPr>
        <w:t>熟悉操作安全运营平台，负责培训医院相关项目干系人使用，通过安全运营平台严格执行项目服务交付。</w:t>
      </w:r>
    </w:p>
    <w:p w14:paraId="67660F46">
      <w:pPr>
        <w:ind w:firstLine="420" w:firstLineChars="200"/>
        <w:rPr>
          <w:szCs w:val="21"/>
        </w:rPr>
      </w:pPr>
      <w:r>
        <w:rPr>
          <w:szCs w:val="21"/>
        </w:rPr>
        <w:t>1.1.4</w:t>
      </w:r>
      <w:r>
        <w:rPr>
          <w:rFonts w:hint="eastAsia"/>
          <w:szCs w:val="21"/>
        </w:rPr>
        <w:t>、二线服务专家（15人</w:t>
      </w:r>
      <w:r>
        <w:rPr>
          <w:rFonts w:hint="eastAsia"/>
          <w:szCs w:val="21"/>
          <w:lang w:val="en-US" w:eastAsia="zh-CN"/>
        </w:rPr>
        <w:t>或</w:t>
      </w:r>
      <w:r>
        <w:rPr>
          <w:rFonts w:hint="eastAsia"/>
          <w:szCs w:val="21"/>
        </w:rPr>
        <w:t>以上）</w:t>
      </w:r>
    </w:p>
    <w:p w14:paraId="2CBF0A84">
      <w:pPr>
        <w:ind w:firstLine="420" w:firstLineChars="200"/>
        <w:rPr>
          <w:szCs w:val="21"/>
        </w:rPr>
      </w:pPr>
      <w:r>
        <w:rPr>
          <w:rFonts w:hint="eastAsia"/>
          <w:szCs w:val="21"/>
        </w:rPr>
        <w:t>主要岗位职责内容：</w:t>
      </w:r>
    </w:p>
    <w:p w14:paraId="7567AB5E">
      <w:pPr>
        <w:ind w:firstLine="420" w:firstLineChars="200"/>
        <w:rPr>
          <w:szCs w:val="21"/>
        </w:rPr>
      </w:pPr>
      <w:r>
        <w:rPr>
          <w:rFonts w:hint="eastAsia"/>
          <w:szCs w:val="21"/>
        </w:rPr>
        <w:t>按照项目服务项提供二线专家技术支持服务；</w:t>
      </w:r>
    </w:p>
    <w:p w14:paraId="75B40468">
      <w:pPr>
        <w:ind w:firstLine="420" w:firstLineChars="200"/>
        <w:rPr>
          <w:szCs w:val="21"/>
        </w:rPr>
      </w:pPr>
      <w:r>
        <w:rPr>
          <w:rFonts w:hint="eastAsia"/>
          <w:szCs w:val="21"/>
        </w:rPr>
        <w:t>协助一线工程师开展网络安全事件日志分析及处置工作；</w:t>
      </w:r>
    </w:p>
    <w:p w14:paraId="51F62018">
      <w:pPr>
        <w:ind w:firstLine="420" w:firstLineChars="200"/>
        <w:rPr>
          <w:szCs w:val="21"/>
        </w:rPr>
      </w:pPr>
      <w:r>
        <w:rPr>
          <w:rFonts w:hint="eastAsia"/>
          <w:szCs w:val="21"/>
        </w:rPr>
        <w:t>撰写相关操作手册、技术文档等，记录设备配置信息和故障处理过程，积累知识库；</w:t>
      </w:r>
    </w:p>
    <w:p w14:paraId="3776C9AA">
      <w:pPr>
        <w:ind w:firstLine="420" w:firstLineChars="200"/>
        <w:rPr>
          <w:szCs w:val="21"/>
        </w:rPr>
      </w:pPr>
      <w:r>
        <w:rPr>
          <w:rFonts w:hint="eastAsia"/>
          <w:szCs w:val="21"/>
        </w:rPr>
        <w:t>协助监控安全事件和警报，跟进安全事件分析和处置，保障系统和数据的安全；</w:t>
      </w:r>
    </w:p>
    <w:p w14:paraId="0BF219A3">
      <w:pPr>
        <w:ind w:firstLine="420" w:firstLineChars="200"/>
        <w:rPr>
          <w:szCs w:val="21"/>
        </w:rPr>
      </w:pPr>
      <w:r>
        <w:rPr>
          <w:rFonts w:hint="eastAsia"/>
          <w:szCs w:val="21"/>
        </w:rPr>
        <w:t>提供项目的网络安全应急演练、风险评估、网络安全培训等服务；</w:t>
      </w:r>
    </w:p>
    <w:p w14:paraId="60CF87AA">
      <w:pPr>
        <w:ind w:firstLine="420" w:firstLineChars="200"/>
        <w:rPr>
          <w:szCs w:val="21"/>
        </w:rPr>
      </w:pPr>
      <w:r>
        <w:rPr>
          <w:rFonts w:hint="eastAsia"/>
          <w:szCs w:val="21"/>
        </w:rPr>
        <w:t>提供网络安全应急响应服务和深入安全分析服务；</w:t>
      </w:r>
    </w:p>
    <w:p w14:paraId="649A4483">
      <w:pPr>
        <w:ind w:firstLine="420" w:firstLineChars="200"/>
        <w:rPr>
          <w:szCs w:val="21"/>
        </w:rPr>
      </w:pPr>
      <w:r>
        <w:rPr>
          <w:rFonts w:hint="eastAsia"/>
          <w:szCs w:val="21"/>
        </w:rPr>
        <w:t>提供项目的其他二线专家技术支持。</w:t>
      </w:r>
    </w:p>
    <w:p w14:paraId="602E518A">
      <w:pPr>
        <w:ind w:firstLine="420" w:firstLineChars="200"/>
        <w:rPr>
          <w:szCs w:val="21"/>
        </w:rPr>
      </w:pPr>
      <w:r>
        <w:rPr>
          <w:szCs w:val="21"/>
        </w:rPr>
        <w:t>1.1.5</w:t>
      </w:r>
      <w:r>
        <w:rPr>
          <w:rFonts w:hint="eastAsia"/>
          <w:szCs w:val="21"/>
        </w:rPr>
        <w:t>、渗透组（5人</w:t>
      </w:r>
      <w:r>
        <w:rPr>
          <w:rFonts w:hint="eastAsia"/>
          <w:szCs w:val="21"/>
          <w:lang w:val="en-US" w:eastAsia="zh-CN"/>
        </w:rPr>
        <w:t>或</w:t>
      </w:r>
      <w:r>
        <w:rPr>
          <w:rFonts w:hint="eastAsia"/>
          <w:szCs w:val="21"/>
        </w:rPr>
        <w:t>以上）</w:t>
      </w:r>
    </w:p>
    <w:p w14:paraId="2F1F13BA">
      <w:pPr>
        <w:ind w:firstLine="420" w:firstLineChars="200"/>
        <w:rPr>
          <w:szCs w:val="21"/>
        </w:rPr>
      </w:pPr>
      <w:r>
        <w:rPr>
          <w:rFonts w:hint="eastAsia"/>
          <w:szCs w:val="21"/>
        </w:rPr>
        <w:t>主要岗位职责内容：</w:t>
      </w:r>
    </w:p>
    <w:p w14:paraId="37DCD98F">
      <w:pPr>
        <w:ind w:firstLine="420" w:firstLineChars="200"/>
        <w:rPr>
          <w:szCs w:val="21"/>
        </w:rPr>
      </w:pPr>
      <w:r>
        <w:rPr>
          <w:rFonts w:hint="eastAsia"/>
          <w:szCs w:val="21"/>
        </w:rPr>
        <w:t>按照项目服务项提供渗透测试类服务；</w:t>
      </w:r>
    </w:p>
    <w:p w14:paraId="11A8EE71">
      <w:pPr>
        <w:ind w:firstLine="420" w:firstLineChars="200"/>
        <w:rPr>
          <w:szCs w:val="21"/>
        </w:rPr>
      </w:pPr>
      <w:r>
        <w:rPr>
          <w:rFonts w:hint="eastAsia"/>
          <w:szCs w:val="21"/>
        </w:rPr>
        <w:t>定期探测医院互联网资产，探测网络上与医院相关联的未知资产、僵尸资产等；</w:t>
      </w:r>
    </w:p>
    <w:p w14:paraId="3EAE9CBF">
      <w:pPr>
        <w:ind w:firstLine="420" w:firstLineChars="200"/>
        <w:rPr>
          <w:szCs w:val="21"/>
        </w:rPr>
      </w:pPr>
      <w:r>
        <w:rPr>
          <w:rFonts w:hint="eastAsia"/>
          <w:szCs w:val="21"/>
        </w:rPr>
        <w:t>协助一线工程师对新上线系统进行安全性检测，找出潜在的风险点；</w:t>
      </w:r>
    </w:p>
    <w:p w14:paraId="46358431">
      <w:pPr>
        <w:ind w:firstLine="420" w:firstLineChars="200"/>
        <w:rPr>
          <w:szCs w:val="21"/>
        </w:rPr>
      </w:pPr>
      <w:r>
        <w:rPr>
          <w:rFonts w:hint="eastAsia"/>
          <w:szCs w:val="21"/>
        </w:rPr>
        <w:t>提供漏洞的代码层分析工作；</w:t>
      </w:r>
    </w:p>
    <w:p w14:paraId="5F5EFBFC">
      <w:pPr>
        <w:ind w:firstLine="420" w:firstLineChars="200"/>
        <w:rPr>
          <w:szCs w:val="21"/>
        </w:rPr>
      </w:pPr>
      <w:r>
        <w:rPr>
          <w:rFonts w:hint="eastAsia"/>
          <w:szCs w:val="21"/>
        </w:rPr>
        <w:t>协助一线工程师对通报/已整改的漏洞开展验证工作。</w:t>
      </w:r>
    </w:p>
    <w:p w14:paraId="3E085070">
      <w:pPr>
        <w:ind w:firstLine="420" w:firstLineChars="200"/>
        <w:rPr>
          <w:szCs w:val="21"/>
        </w:rPr>
      </w:pPr>
      <w:r>
        <w:rPr>
          <w:szCs w:val="21"/>
        </w:rPr>
        <w:t>1.2</w:t>
      </w:r>
      <w:r>
        <w:rPr>
          <w:rFonts w:hint="eastAsia"/>
          <w:szCs w:val="21"/>
        </w:rPr>
        <w:t>、团队服务要求</w:t>
      </w:r>
    </w:p>
    <w:p w14:paraId="2190167E">
      <w:pPr>
        <w:ind w:firstLine="420" w:firstLineChars="200"/>
        <w:rPr>
          <w:szCs w:val="21"/>
        </w:rPr>
      </w:pPr>
      <w:r>
        <w:rPr>
          <w:rFonts w:hint="eastAsia"/>
          <w:szCs w:val="21"/>
        </w:rPr>
        <w:t>为了提高项目响应速度，服务团队在医院现场需要有常驻一线支持人员1名以上，医院所在地常驻二线人员15名以上，岗位包括备岗、网络工程师、信息安全专家等；</w:t>
      </w:r>
    </w:p>
    <w:p w14:paraId="72B024E0">
      <w:pPr>
        <w:ind w:firstLine="420" w:firstLineChars="200"/>
        <w:rPr>
          <w:szCs w:val="21"/>
        </w:rPr>
      </w:pPr>
      <w:r>
        <w:rPr>
          <w:rFonts w:hint="eastAsia"/>
          <w:szCs w:val="21"/>
        </w:rPr>
        <w:t>当遇紧急事件，项目组一线人员实时响应，二线支持人员到达事件现场的时间不能超过1小时。</w:t>
      </w:r>
    </w:p>
    <w:p w14:paraId="59E97EC2">
      <w:pPr>
        <w:ind w:firstLine="420" w:firstLineChars="200"/>
        <w:rPr>
          <w:szCs w:val="21"/>
        </w:rPr>
      </w:pPr>
      <w:r>
        <w:rPr>
          <w:rFonts w:hint="eastAsia"/>
          <w:szCs w:val="21"/>
        </w:rPr>
        <w:t>服务团队满足本项目所有服务要求（详见第六章）所提到的人员及人天要求，针对“迎检工作配合”、“重保值守服务”、“系统上线检测”服务，除了满足服务要求提供的人员及人天要求外，根据医院实际业务需求，提供必要的支撑（包括但不限于：远程人员、驻场人员、服务工具、其他支持等）。</w:t>
      </w:r>
    </w:p>
    <w:p w14:paraId="40546526">
      <w:pPr>
        <w:ind w:firstLine="422" w:firstLineChars="200"/>
        <w:rPr>
          <w:b/>
          <w:szCs w:val="21"/>
        </w:rPr>
      </w:pPr>
    </w:p>
    <w:p w14:paraId="7360A98C">
      <w:pPr>
        <w:ind w:firstLine="422" w:firstLineChars="200"/>
        <w:rPr>
          <w:b/>
          <w:szCs w:val="21"/>
        </w:rPr>
      </w:pPr>
      <w:r>
        <w:rPr>
          <w:b/>
          <w:szCs w:val="21"/>
        </w:rPr>
        <w:t>2</w:t>
      </w:r>
      <w:r>
        <w:rPr>
          <w:rFonts w:hint="eastAsia"/>
          <w:b/>
          <w:szCs w:val="21"/>
        </w:rPr>
        <w:t>、服务工具技术要求</w:t>
      </w:r>
    </w:p>
    <w:p w14:paraId="5D32AAE4">
      <w:pPr>
        <w:ind w:firstLine="420" w:firstLineChars="200"/>
        <w:rPr>
          <w:szCs w:val="21"/>
        </w:rPr>
      </w:pPr>
      <w:r>
        <w:rPr>
          <w:rFonts w:hint="eastAsia"/>
          <w:szCs w:val="21"/>
        </w:rPr>
        <w:t>为保证本项目服务质量，弥补院方现有在基础防护建设中的不足，在提供本项目相关服务过程中，中标方服务团队需要通过“服务工具+人工”的方式为招标人提供相应服务，服务工具主要包含：安全运营平台工具、信息系统动态应用保护系统工具、内网威胁检测系统工具等，为保证服务工具质量，投标人需提供具备如下技术要求的服务工具，具体参数要求如下所示：</w:t>
      </w:r>
    </w:p>
    <w:p w14:paraId="57527696">
      <w:pPr>
        <w:ind w:firstLine="422" w:firstLineChars="200"/>
        <w:rPr>
          <w:b/>
          <w:szCs w:val="21"/>
        </w:rPr>
      </w:pPr>
    </w:p>
    <w:p w14:paraId="74A3000C">
      <w:pPr>
        <w:ind w:firstLine="422" w:firstLineChars="200"/>
        <w:rPr>
          <w:b/>
          <w:szCs w:val="21"/>
        </w:rPr>
      </w:pPr>
      <w:r>
        <w:rPr>
          <w:b/>
          <w:szCs w:val="21"/>
        </w:rPr>
        <w:t>2.1、</w:t>
      </w:r>
      <w:r>
        <w:rPr>
          <w:rFonts w:hint="eastAsia"/>
          <w:b/>
          <w:szCs w:val="21"/>
        </w:rPr>
        <w:t>安全运营平台工具技术要求</w:t>
      </w:r>
    </w:p>
    <w:tbl>
      <w:tblPr>
        <w:tblStyle w:val="42"/>
        <w:tblW w:w="83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6300"/>
      </w:tblGrid>
      <w:tr w14:paraId="5005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shd w:val="clear" w:color="auto" w:fill="auto"/>
            <w:vAlign w:val="center"/>
          </w:tcPr>
          <w:p w14:paraId="7DEE8A53">
            <w:pPr>
              <w:widowControl/>
              <w:jc w:val="center"/>
              <w:rPr>
                <w:rFonts w:cs="宋体" w:asciiTheme="minorEastAsia" w:hAnsiTheme="minorEastAsia"/>
                <w:b/>
                <w:bCs/>
                <w:szCs w:val="21"/>
              </w:rPr>
            </w:pPr>
            <w:r>
              <w:rPr>
                <w:rFonts w:hint="eastAsia" w:cs="宋体" w:asciiTheme="minorEastAsia" w:hAnsiTheme="minorEastAsia"/>
                <w:b/>
                <w:bCs/>
                <w:szCs w:val="21"/>
              </w:rPr>
              <w:t>指标项</w:t>
            </w:r>
          </w:p>
        </w:tc>
        <w:tc>
          <w:tcPr>
            <w:tcW w:w="6300" w:type="dxa"/>
            <w:shd w:val="clear" w:color="auto" w:fill="auto"/>
            <w:vAlign w:val="center"/>
          </w:tcPr>
          <w:p w14:paraId="3CC21E45">
            <w:pPr>
              <w:widowControl/>
              <w:jc w:val="center"/>
              <w:rPr>
                <w:rFonts w:hint="eastAsia" w:eastAsia="宋体" w:cs="宋体" w:asciiTheme="minorEastAsia" w:hAnsiTheme="minorEastAsia"/>
                <w:b/>
                <w:bCs/>
                <w:szCs w:val="21"/>
                <w:lang w:eastAsia="zh-CN"/>
              </w:rPr>
            </w:pPr>
            <w:r>
              <w:rPr>
                <w:rFonts w:hint="eastAsia" w:cs="宋体" w:asciiTheme="minorEastAsia" w:hAnsiTheme="minorEastAsia"/>
                <w:b/>
                <w:bCs/>
                <w:szCs w:val="21"/>
              </w:rPr>
              <w:t>具体功能要求</w:t>
            </w:r>
            <w:r>
              <w:rPr>
                <w:rFonts w:hint="eastAsia"/>
                <w:b/>
                <w:bCs/>
                <w:lang w:eastAsia="zh-CN"/>
              </w:rPr>
              <w:t>（招标技术要求）</w:t>
            </w:r>
          </w:p>
        </w:tc>
      </w:tr>
      <w:tr w14:paraId="724D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5" w:type="dxa"/>
            <w:shd w:val="clear" w:color="auto" w:fill="auto"/>
            <w:noWrap/>
            <w:vAlign w:val="center"/>
          </w:tcPr>
          <w:p w14:paraId="6B3E85F2">
            <w:pPr>
              <w:widowControl/>
              <w:jc w:val="center"/>
              <w:rPr>
                <w:rFonts w:cs="宋体" w:asciiTheme="minorEastAsia" w:hAnsiTheme="minorEastAsia"/>
                <w:szCs w:val="21"/>
              </w:rPr>
            </w:pPr>
            <w:r>
              <w:rPr>
                <w:rFonts w:hint="eastAsia" w:cs="宋体" w:asciiTheme="minorEastAsia" w:hAnsiTheme="minorEastAsia"/>
                <w:szCs w:val="21"/>
              </w:rPr>
              <w:t>监控中心</w:t>
            </w:r>
          </w:p>
        </w:tc>
        <w:tc>
          <w:tcPr>
            <w:tcW w:w="6300" w:type="dxa"/>
            <w:shd w:val="clear" w:color="auto" w:fill="auto"/>
            <w:vAlign w:val="center"/>
          </w:tcPr>
          <w:p w14:paraId="0EB7939F">
            <w:pPr>
              <w:widowControl/>
              <w:rPr>
                <w:rFonts w:cs="宋体" w:asciiTheme="minorEastAsia" w:hAnsiTheme="minorEastAsia"/>
                <w:szCs w:val="21"/>
              </w:rPr>
            </w:pPr>
            <w:r>
              <w:rPr>
                <w:rFonts w:hint="eastAsia" w:cs="宋体" w:asciiTheme="minorEastAsia" w:hAnsiTheme="minorEastAsia"/>
                <w:b w:val="0"/>
                <w:bCs w:val="0"/>
                <w:color w:val="000000" w:themeColor="text1"/>
                <w:szCs w:val="21"/>
                <w14:textFill>
                  <w14:solidFill>
                    <w14:schemeClr w14:val="tx1"/>
                  </w14:solidFill>
                </w14:textFill>
              </w:rPr>
              <w:t>2.1.1</w:t>
            </w:r>
            <w:r>
              <w:rPr>
                <w:rFonts w:hint="eastAsia" w:cs="宋体" w:asciiTheme="minorEastAsia" w:hAnsiTheme="minorEastAsia"/>
                <w:b w:val="0"/>
                <w:bCs w:val="0"/>
                <w:color w:val="000000" w:themeColor="text1"/>
                <w:szCs w:val="21"/>
                <w:lang w:val="en-US" w:eastAsia="zh-CN"/>
                <w14:textFill>
                  <w14:solidFill>
                    <w14:schemeClr w14:val="tx1"/>
                  </w14:solidFill>
                </w14:textFill>
              </w:rPr>
              <w:t>系统具备</w:t>
            </w:r>
            <w:r>
              <w:rPr>
                <w:rFonts w:hint="eastAsia" w:cs="宋体" w:asciiTheme="minorEastAsia" w:hAnsiTheme="minorEastAsia"/>
                <w:b w:val="0"/>
                <w:bCs w:val="0"/>
                <w:color w:val="000000" w:themeColor="text1"/>
                <w:szCs w:val="21"/>
                <w14:textFill>
                  <w14:solidFill>
                    <w14:schemeClr w14:val="tx1"/>
                  </w14:solidFill>
                </w14:textFill>
              </w:rPr>
              <w:t>数据总览视图</w:t>
            </w:r>
            <w:r>
              <w:rPr>
                <w:rFonts w:hint="eastAsia" w:cs="宋体" w:asciiTheme="minorEastAsia" w:hAnsiTheme="minorEastAsia"/>
                <w:b w:val="0"/>
                <w:bCs w:val="0"/>
                <w:color w:val="000000" w:themeColor="text1"/>
                <w:szCs w:val="21"/>
                <w:lang w:val="en-US" w:eastAsia="zh-CN"/>
                <w14:textFill>
                  <w14:solidFill>
                    <w14:schemeClr w14:val="tx1"/>
                  </w14:solidFill>
                </w14:textFill>
              </w:rPr>
              <w:t>功能</w:t>
            </w:r>
            <w:r>
              <w:rPr>
                <w:rFonts w:hint="eastAsia" w:cs="宋体" w:asciiTheme="minorEastAsia" w:hAnsiTheme="minorEastAsia"/>
                <w:b w:val="0"/>
                <w:bCs w:val="0"/>
                <w:color w:val="000000" w:themeColor="text1"/>
                <w:szCs w:val="21"/>
                <w14:textFill>
                  <w14:solidFill>
                    <w14:schemeClr w14:val="tx1"/>
                  </w14:solidFill>
                </w14:textFill>
              </w:rPr>
              <w:t>，在一张图上至少包含当前异常服务信息统计、风险趋势图、</w:t>
            </w:r>
            <w:r>
              <w:rPr>
                <w:rFonts w:cs="宋体" w:asciiTheme="minorEastAsia" w:hAnsiTheme="minorEastAsia"/>
                <w:b w:val="0"/>
                <w:bCs w:val="0"/>
                <w:color w:val="000000" w:themeColor="text1"/>
                <w:szCs w:val="21"/>
                <w14:textFill>
                  <w14:solidFill>
                    <w14:schemeClr w14:val="tx1"/>
                  </w14:solidFill>
                </w14:textFill>
              </w:rPr>
              <w:t>IP分布概况、配置合规状况、漏洞数据汇总、风险提示等。</w:t>
            </w:r>
          </w:p>
        </w:tc>
      </w:tr>
      <w:tr w14:paraId="4107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shd w:val="clear" w:color="auto" w:fill="auto"/>
            <w:noWrap/>
            <w:vAlign w:val="center"/>
          </w:tcPr>
          <w:p w14:paraId="2F1FB5B9">
            <w:pPr>
              <w:widowControl/>
              <w:jc w:val="center"/>
              <w:rPr>
                <w:rFonts w:cs="宋体" w:asciiTheme="minorEastAsia" w:hAnsiTheme="minorEastAsia"/>
                <w:szCs w:val="21"/>
              </w:rPr>
            </w:pPr>
            <w:r>
              <w:rPr>
                <w:rFonts w:hint="eastAsia" w:cs="宋体" w:asciiTheme="minorEastAsia" w:hAnsiTheme="minorEastAsia"/>
                <w:szCs w:val="21"/>
              </w:rPr>
              <w:t>资产清单</w:t>
            </w:r>
          </w:p>
        </w:tc>
        <w:tc>
          <w:tcPr>
            <w:tcW w:w="6300" w:type="dxa"/>
            <w:shd w:val="clear" w:color="auto" w:fill="auto"/>
            <w:vAlign w:val="center"/>
          </w:tcPr>
          <w:p w14:paraId="33FF6E2B">
            <w:pPr>
              <w:widowControl/>
              <w:rPr>
                <w:rFonts w:cs="宋体" w:asciiTheme="minorEastAsia" w:hAnsiTheme="minorEastAsia"/>
                <w:szCs w:val="21"/>
              </w:rPr>
            </w:pPr>
            <w:r>
              <w:rPr>
                <w:rFonts w:hint="eastAsia" w:cs="宋体" w:asciiTheme="minorEastAsia" w:hAnsiTheme="minorEastAsia"/>
                <w:szCs w:val="21"/>
              </w:rPr>
              <w:t>2.1.2设备管理范围包括但不限于网络设备、安全设备、数据库、中间件、操作系统、应用系统、服务器、云服务器、虚拟化平台等</w:t>
            </w:r>
          </w:p>
        </w:tc>
      </w:tr>
      <w:tr w14:paraId="15D1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19B2AEDC">
            <w:pPr>
              <w:widowControl/>
              <w:rPr>
                <w:rFonts w:cs="宋体" w:asciiTheme="minorEastAsia" w:hAnsiTheme="minorEastAsia"/>
                <w:szCs w:val="21"/>
              </w:rPr>
            </w:pPr>
          </w:p>
        </w:tc>
        <w:tc>
          <w:tcPr>
            <w:tcW w:w="6300" w:type="dxa"/>
            <w:shd w:val="clear" w:color="auto" w:fill="auto"/>
            <w:vAlign w:val="center"/>
          </w:tcPr>
          <w:p w14:paraId="32E90878">
            <w:pPr>
              <w:widowControl/>
              <w:rPr>
                <w:rFonts w:cs="宋体" w:asciiTheme="minorEastAsia" w:hAnsiTheme="minorEastAsia"/>
                <w:szCs w:val="21"/>
              </w:rPr>
            </w:pPr>
            <w:r>
              <w:rPr>
                <w:rFonts w:hint="eastAsia" w:cs="宋体" w:asciiTheme="minorEastAsia" w:hAnsiTheme="minorEastAsia"/>
                <w:szCs w:val="21"/>
              </w:rPr>
              <w:t>2.1.3根据网络区域分别统计区域内的应用资产、数据资产、</w:t>
            </w:r>
            <w:r>
              <w:rPr>
                <w:rFonts w:cs="宋体" w:asciiTheme="minorEastAsia" w:hAnsiTheme="minorEastAsia"/>
                <w:szCs w:val="21"/>
              </w:rPr>
              <w:t>IT资产、非IT资产以列表形式进行展示。</w:t>
            </w:r>
          </w:p>
        </w:tc>
      </w:tr>
      <w:tr w14:paraId="0BFE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4E01673F">
            <w:pPr>
              <w:widowControl/>
              <w:rPr>
                <w:rFonts w:cs="宋体" w:asciiTheme="minorEastAsia" w:hAnsiTheme="minorEastAsia"/>
                <w:szCs w:val="21"/>
              </w:rPr>
            </w:pPr>
          </w:p>
        </w:tc>
        <w:tc>
          <w:tcPr>
            <w:tcW w:w="6300" w:type="dxa"/>
            <w:shd w:val="clear" w:color="auto" w:fill="auto"/>
            <w:vAlign w:val="center"/>
          </w:tcPr>
          <w:p w14:paraId="1813D416">
            <w:pPr>
              <w:widowControl/>
              <w:rPr>
                <w:rFonts w:cs="宋体" w:asciiTheme="minorEastAsia" w:hAnsiTheme="minorEastAsia"/>
                <w:szCs w:val="21"/>
              </w:rPr>
            </w:pPr>
            <w:r>
              <w:rPr>
                <w:rFonts w:hint="eastAsia" w:cs="宋体" w:asciiTheme="minorEastAsia" w:hAnsiTheme="minorEastAsia"/>
                <w:szCs w:val="21"/>
              </w:rPr>
              <w:t>2.1.4支持根据网络区域设置访问权限</w:t>
            </w:r>
          </w:p>
        </w:tc>
      </w:tr>
      <w:tr w14:paraId="4B92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2CF953FE">
            <w:pPr>
              <w:widowControl/>
              <w:rPr>
                <w:rFonts w:cs="宋体" w:asciiTheme="minorEastAsia" w:hAnsiTheme="minorEastAsia"/>
                <w:szCs w:val="21"/>
              </w:rPr>
            </w:pPr>
          </w:p>
        </w:tc>
        <w:tc>
          <w:tcPr>
            <w:tcW w:w="6300" w:type="dxa"/>
            <w:shd w:val="clear" w:color="auto" w:fill="auto"/>
            <w:vAlign w:val="center"/>
          </w:tcPr>
          <w:p w14:paraId="1D2ACACB">
            <w:pPr>
              <w:widowControl/>
              <w:rPr>
                <w:rFonts w:cs="宋体" w:asciiTheme="minorEastAsia" w:hAnsiTheme="minorEastAsia"/>
                <w:b/>
                <w:bCs/>
                <w:color w:val="FF0000"/>
                <w:szCs w:val="21"/>
              </w:rPr>
            </w:pPr>
            <w:r>
              <w:rPr>
                <w:rFonts w:hint="eastAsia" w:cs="宋体" w:asciiTheme="minorEastAsia" w:hAnsiTheme="minorEastAsia"/>
                <w:b/>
                <w:bCs/>
                <w:color w:val="FF0000"/>
                <w:szCs w:val="21"/>
              </w:rPr>
              <w:t>▲2.1.5支持创建、编辑、删除资产模板，用户可自定义模板的字段，字段类型包括文本框、单选框、多选框、时间选择框等，可设置字段的默认值、验证规则和是否为必选。（提供功能截图）</w:t>
            </w:r>
          </w:p>
        </w:tc>
      </w:tr>
      <w:tr w14:paraId="5B29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1ACD47BD">
            <w:pPr>
              <w:widowControl/>
              <w:rPr>
                <w:rFonts w:cs="宋体" w:asciiTheme="minorEastAsia" w:hAnsiTheme="minorEastAsia"/>
                <w:szCs w:val="21"/>
              </w:rPr>
            </w:pPr>
          </w:p>
        </w:tc>
        <w:tc>
          <w:tcPr>
            <w:tcW w:w="6300" w:type="dxa"/>
            <w:shd w:val="clear" w:color="auto" w:fill="auto"/>
            <w:vAlign w:val="center"/>
          </w:tcPr>
          <w:p w14:paraId="6DC20B40">
            <w:pPr>
              <w:widowControl/>
              <w:rPr>
                <w:rFonts w:cs="宋体" w:asciiTheme="minorEastAsia" w:hAnsiTheme="minorEastAsia"/>
                <w:b/>
                <w:bCs/>
                <w:color w:val="FF0000"/>
                <w:szCs w:val="21"/>
              </w:rPr>
            </w:pPr>
            <w:r>
              <w:rPr>
                <w:rFonts w:hint="eastAsia" w:cs="宋体" w:asciiTheme="minorEastAsia" w:hAnsiTheme="minorEastAsia"/>
                <w:b/>
                <w:bCs/>
                <w:color w:val="FF0000"/>
                <w:szCs w:val="21"/>
              </w:rPr>
              <w:t>▲2.1.6提供协同编辑功能，满足多用户同时对资产信息进行填写并同步填写内容，解决运维人员资产添加时信息不同步的问题。（提供功能截图）</w:t>
            </w:r>
          </w:p>
        </w:tc>
      </w:tr>
      <w:tr w14:paraId="7309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71FBDA81">
            <w:pPr>
              <w:widowControl/>
              <w:rPr>
                <w:rFonts w:cs="宋体" w:asciiTheme="minorEastAsia" w:hAnsiTheme="minorEastAsia"/>
                <w:szCs w:val="21"/>
              </w:rPr>
            </w:pPr>
          </w:p>
        </w:tc>
        <w:tc>
          <w:tcPr>
            <w:tcW w:w="6300" w:type="dxa"/>
            <w:shd w:val="clear" w:color="auto" w:fill="auto"/>
            <w:vAlign w:val="center"/>
          </w:tcPr>
          <w:p w14:paraId="602EB0A2">
            <w:pPr>
              <w:widowControl/>
              <w:rPr>
                <w:rFonts w:cs="宋体" w:asciiTheme="minorEastAsia" w:hAnsiTheme="minorEastAsia"/>
                <w:szCs w:val="21"/>
              </w:rPr>
            </w:pPr>
            <w:r>
              <w:rPr>
                <w:rFonts w:hint="eastAsia" w:cs="宋体" w:asciiTheme="minorEastAsia" w:hAnsiTheme="minorEastAsia"/>
                <w:szCs w:val="21"/>
              </w:rPr>
              <w:t>2.1.7支持通过选择资产类型、使用组织、使用人、自定义字段等检索相关资产。</w:t>
            </w:r>
          </w:p>
        </w:tc>
      </w:tr>
      <w:tr w14:paraId="2A41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6ADD5506">
            <w:pPr>
              <w:widowControl/>
              <w:rPr>
                <w:rFonts w:cs="宋体" w:asciiTheme="minorEastAsia" w:hAnsiTheme="minorEastAsia"/>
                <w:szCs w:val="21"/>
              </w:rPr>
            </w:pPr>
          </w:p>
        </w:tc>
        <w:tc>
          <w:tcPr>
            <w:tcW w:w="6300" w:type="dxa"/>
            <w:shd w:val="clear" w:color="auto" w:fill="auto"/>
            <w:vAlign w:val="center"/>
          </w:tcPr>
          <w:p w14:paraId="2ECE287B">
            <w:pPr>
              <w:widowControl/>
              <w:rPr>
                <w:rFonts w:cs="宋体" w:asciiTheme="minorEastAsia" w:hAnsiTheme="minorEastAsia"/>
                <w:szCs w:val="21"/>
              </w:rPr>
            </w:pPr>
            <w:r>
              <w:rPr>
                <w:rFonts w:hint="eastAsia" w:cs="宋体" w:asciiTheme="minorEastAsia" w:hAnsiTheme="minorEastAsia"/>
                <w:szCs w:val="21"/>
              </w:rPr>
              <w:t>2.1.8支持录入业务资产，业务资产可与主机、数据资产、</w:t>
            </w:r>
            <w:r>
              <w:rPr>
                <w:rFonts w:cs="宋体" w:asciiTheme="minorEastAsia" w:hAnsiTheme="minorEastAsia"/>
                <w:szCs w:val="21"/>
              </w:rPr>
              <w:t>IP资产进行关联。业务资产包含基础信息：访问地址、应用名称、等级保护级别、注册时间、责任主体等信息。</w:t>
            </w:r>
          </w:p>
        </w:tc>
      </w:tr>
      <w:tr w14:paraId="7471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653FC1BD">
            <w:pPr>
              <w:widowControl/>
              <w:rPr>
                <w:rFonts w:cs="宋体" w:asciiTheme="minorEastAsia" w:hAnsiTheme="minorEastAsia"/>
                <w:szCs w:val="21"/>
              </w:rPr>
            </w:pPr>
          </w:p>
        </w:tc>
        <w:tc>
          <w:tcPr>
            <w:tcW w:w="6300" w:type="dxa"/>
            <w:shd w:val="clear" w:color="auto" w:fill="auto"/>
            <w:vAlign w:val="center"/>
          </w:tcPr>
          <w:p w14:paraId="2342CFBD">
            <w:pPr>
              <w:widowControl/>
              <w:rPr>
                <w:rFonts w:cs="宋体" w:asciiTheme="minorEastAsia" w:hAnsiTheme="minorEastAsia"/>
                <w:szCs w:val="21"/>
              </w:rPr>
            </w:pPr>
            <w:r>
              <w:rPr>
                <w:rFonts w:hint="eastAsia" w:cs="宋体" w:asciiTheme="minorEastAsia" w:hAnsiTheme="minorEastAsia"/>
                <w:szCs w:val="21"/>
              </w:rPr>
              <w:t>2.1.9支持录入数据资产，可以对数据资产按照数据敏感级别与安全级别进行分级分类，数据资产录入时应可以与</w:t>
            </w:r>
            <w:r>
              <w:rPr>
                <w:rFonts w:cs="宋体" w:asciiTheme="minorEastAsia" w:hAnsiTheme="minorEastAsia"/>
                <w:szCs w:val="21"/>
              </w:rPr>
              <w:t>IP、承载环境相互关联。</w:t>
            </w:r>
          </w:p>
        </w:tc>
      </w:tr>
      <w:tr w14:paraId="186D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shd w:val="clear" w:color="auto" w:fill="auto"/>
            <w:vAlign w:val="center"/>
          </w:tcPr>
          <w:p w14:paraId="59FC85C5">
            <w:pPr>
              <w:widowControl/>
              <w:jc w:val="center"/>
              <w:rPr>
                <w:rFonts w:cs="宋体" w:asciiTheme="minorEastAsia" w:hAnsiTheme="minorEastAsia"/>
                <w:szCs w:val="21"/>
              </w:rPr>
            </w:pPr>
            <w:r>
              <w:rPr>
                <w:rFonts w:hint="eastAsia" w:cs="宋体" w:asciiTheme="minorEastAsia" w:hAnsiTheme="minorEastAsia"/>
                <w:szCs w:val="21"/>
              </w:rPr>
              <w:t>资产基线</w:t>
            </w:r>
          </w:p>
        </w:tc>
        <w:tc>
          <w:tcPr>
            <w:tcW w:w="6300" w:type="dxa"/>
            <w:shd w:val="clear" w:color="auto" w:fill="auto"/>
            <w:vAlign w:val="center"/>
          </w:tcPr>
          <w:p w14:paraId="05CB2661">
            <w:pPr>
              <w:widowControl/>
              <w:rPr>
                <w:rFonts w:cs="宋体" w:asciiTheme="minorEastAsia" w:hAnsiTheme="minorEastAsia"/>
                <w:szCs w:val="21"/>
              </w:rPr>
            </w:pPr>
            <w:r>
              <w:rPr>
                <w:rFonts w:hint="eastAsia" w:cs="宋体" w:asciiTheme="minorEastAsia" w:hAnsiTheme="minorEastAsia"/>
                <w:b/>
                <w:bCs/>
                <w:color w:val="FF0000"/>
                <w:szCs w:val="21"/>
              </w:rPr>
              <w:t>▲2.1.10提供WMIC、SSH、SNMP、RDP、telnet等方式对资产基线数据进行采集，采集数据包括服务、软件、端口、账号、操作系统、进程、补丁等。（提供功能截图）</w:t>
            </w:r>
          </w:p>
        </w:tc>
      </w:tr>
      <w:tr w14:paraId="0D0E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3285E454">
            <w:pPr>
              <w:widowControl/>
              <w:rPr>
                <w:rFonts w:cs="宋体" w:asciiTheme="minorEastAsia" w:hAnsiTheme="minorEastAsia"/>
                <w:szCs w:val="21"/>
              </w:rPr>
            </w:pPr>
          </w:p>
        </w:tc>
        <w:tc>
          <w:tcPr>
            <w:tcW w:w="6300" w:type="dxa"/>
            <w:shd w:val="clear" w:color="auto" w:fill="auto"/>
            <w:vAlign w:val="center"/>
          </w:tcPr>
          <w:p w14:paraId="65243086">
            <w:pPr>
              <w:widowControl/>
              <w:rPr>
                <w:rFonts w:cs="宋体" w:asciiTheme="minorEastAsia" w:hAnsiTheme="minorEastAsia"/>
                <w:szCs w:val="21"/>
              </w:rPr>
            </w:pPr>
            <w:r>
              <w:rPr>
                <w:rFonts w:hint="eastAsia" w:cs="宋体" w:asciiTheme="minorEastAsia" w:hAnsiTheme="minorEastAsia"/>
                <w:szCs w:val="21"/>
              </w:rPr>
              <w:t>2.1.11支持创建核查模板、设置核查项内容。</w:t>
            </w:r>
          </w:p>
        </w:tc>
      </w:tr>
      <w:tr w14:paraId="1C56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shd w:val="clear" w:color="auto" w:fill="auto"/>
            <w:noWrap/>
            <w:vAlign w:val="center"/>
          </w:tcPr>
          <w:p w14:paraId="3E340060">
            <w:pPr>
              <w:widowControl/>
              <w:jc w:val="center"/>
              <w:rPr>
                <w:rFonts w:cs="宋体" w:asciiTheme="minorEastAsia" w:hAnsiTheme="minorEastAsia"/>
                <w:szCs w:val="21"/>
              </w:rPr>
            </w:pPr>
            <w:r>
              <w:rPr>
                <w:rFonts w:hint="eastAsia" w:cs="宋体" w:asciiTheme="minorEastAsia" w:hAnsiTheme="minorEastAsia"/>
                <w:szCs w:val="21"/>
              </w:rPr>
              <w:t>资产详情</w:t>
            </w:r>
          </w:p>
        </w:tc>
        <w:tc>
          <w:tcPr>
            <w:tcW w:w="6300" w:type="dxa"/>
            <w:shd w:val="clear" w:color="auto" w:fill="auto"/>
            <w:vAlign w:val="center"/>
          </w:tcPr>
          <w:p w14:paraId="308DCDC7">
            <w:pPr>
              <w:widowControl/>
              <w:rPr>
                <w:rFonts w:cs="宋体" w:asciiTheme="minorEastAsia" w:hAnsiTheme="minorEastAsia"/>
                <w:szCs w:val="21"/>
              </w:rPr>
            </w:pPr>
            <w:r>
              <w:rPr>
                <w:rFonts w:hint="eastAsia" w:cs="宋体" w:asciiTheme="minorEastAsia" w:hAnsiTheme="minorEastAsia"/>
                <w:szCs w:val="21"/>
              </w:rPr>
              <w:t>2.1.12展示单个资产的基本信息、基线配置、风险列表、异常告警。</w:t>
            </w:r>
          </w:p>
        </w:tc>
      </w:tr>
      <w:tr w14:paraId="42BF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shd w:val="clear" w:color="auto" w:fill="auto"/>
            <w:vAlign w:val="center"/>
          </w:tcPr>
          <w:p w14:paraId="2C01DC86">
            <w:pPr>
              <w:widowControl/>
              <w:jc w:val="center"/>
              <w:rPr>
                <w:rFonts w:cs="宋体" w:asciiTheme="minorEastAsia" w:hAnsiTheme="minorEastAsia"/>
                <w:szCs w:val="21"/>
              </w:rPr>
            </w:pPr>
            <w:r>
              <w:rPr>
                <w:rFonts w:hint="eastAsia" w:cs="宋体" w:asciiTheme="minorEastAsia" w:hAnsiTheme="minorEastAsia"/>
                <w:szCs w:val="21"/>
              </w:rPr>
              <w:t>资产处置</w:t>
            </w:r>
          </w:p>
        </w:tc>
        <w:tc>
          <w:tcPr>
            <w:tcW w:w="6300" w:type="dxa"/>
            <w:shd w:val="clear" w:color="auto" w:fill="auto"/>
            <w:vAlign w:val="center"/>
          </w:tcPr>
          <w:p w14:paraId="45BA475D">
            <w:pPr>
              <w:widowControl/>
              <w:rPr>
                <w:rFonts w:cs="宋体" w:asciiTheme="minorEastAsia" w:hAnsiTheme="minorEastAsia"/>
                <w:szCs w:val="21"/>
              </w:rPr>
            </w:pPr>
            <w:r>
              <w:rPr>
                <w:rFonts w:hint="eastAsia" w:cs="宋体" w:asciiTheme="minorEastAsia" w:hAnsiTheme="minorEastAsia"/>
                <w:szCs w:val="21"/>
              </w:rPr>
              <w:t>2.2.13</w:t>
            </w:r>
            <w:r>
              <w:rPr>
                <w:rFonts w:cs="宋体" w:asciiTheme="minorEastAsia" w:hAnsiTheme="minorEastAsia"/>
                <w:szCs w:val="21"/>
              </w:rPr>
              <w:t>支持对资产的变更、维修、报废、调拨、领用&amp;退还、借用&amp;归还操作的单据申请，管理员可对申请单据进行审批并保留记录，单据审批通过后与资产进行关联，满足资产处置的闭环.</w:t>
            </w:r>
          </w:p>
        </w:tc>
      </w:tr>
      <w:tr w14:paraId="0074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shd w:val="clear" w:color="auto" w:fill="auto"/>
            <w:vAlign w:val="center"/>
          </w:tcPr>
          <w:p w14:paraId="39024D64">
            <w:pPr>
              <w:widowControl/>
              <w:jc w:val="center"/>
              <w:rPr>
                <w:rFonts w:cs="宋体" w:asciiTheme="minorEastAsia" w:hAnsiTheme="minorEastAsia"/>
                <w:szCs w:val="21"/>
              </w:rPr>
            </w:pPr>
            <w:r>
              <w:rPr>
                <w:rFonts w:cs="宋体" w:asciiTheme="minorEastAsia" w:hAnsiTheme="minorEastAsia"/>
                <w:szCs w:val="21"/>
              </w:rPr>
              <w:t>IP管理</w:t>
            </w:r>
          </w:p>
        </w:tc>
        <w:tc>
          <w:tcPr>
            <w:tcW w:w="6300" w:type="dxa"/>
            <w:shd w:val="clear" w:color="auto" w:fill="auto"/>
            <w:vAlign w:val="center"/>
          </w:tcPr>
          <w:p w14:paraId="72CE20D0">
            <w:pPr>
              <w:widowControl/>
              <w:rPr>
                <w:rFonts w:cs="宋体" w:asciiTheme="minorEastAsia" w:hAnsiTheme="minorEastAsia"/>
                <w:szCs w:val="21"/>
              </w:rPr>
            </w:pPr>
            <w:r>
              <w:rPr>
                <w:rFonts w:hint="eastAsia" w:cs="宋体" w:asciiTheme="minorEastAsia" w:hAnsiTheme="minorEastAsia"/>
                <w:szCs w:val="21"/>
              </w:rPr>
              <w:t>2.1.14根据</w:t>
            </w:r>
            <w:r>
              <w:rPr>
                <w:rFonts w:cs="宋体" w:asciiTheme="minorEastAsia" w:hAnsiTheme="minorEastAsia"/>
                <w:szCs w:val="21"/>
              </w:rPr>
              <w:t>IP的存活状态、标识信息、使用状态、资源分布情况进行汇总展示，还可选择指定网段，查看网段内IP的使用</w:t>
            </w:r>
            <w:r>
              <w:rPr>
                <w:rFonts w:hint="eastAsia" w:cs="宋体" w:asciiTheme="minorEastAsia" w:hAnsiTheme="minorEastAsia"/>
                <w:szCs w:val="21"/>
              </w:rPr>
              <w:t>情况。</w:t>
            </w:r>
          </w:p>
        </w:tc>
      </w:tr>
      <w:tr w14:paraId="3662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6D280272">
            <w:pPr>
              <w:widowControl/>
              <w:rPr>
                <w:rFonts w:cs="宋体" w:asciiTheme="minorEastAsia" w:hAnsiTheme="minorEastAsia"/>
                <w:szCs w:val="21"/>
              </w:rPr>
            </w:pPr>
          </w:p>
        </w:tc>
        <w:tc>
          <w:tcPr>
            <w:tcW w:w="6300" w:type="dxa"/>
            <w:shd w:val="clear" w:color="auto" w:fill="auto"/>
            <w:vAlign w:val="center"/>
          </w:tcPr>
          <w:p w14:paraId="6437573C">
            <w:pPr>
              <w:widowControl/>
              <w:rPr>
                <w:rFonts w:cs="宋体" w:asciiTheme="minorEastAsia" w:hAnsiTheme="minorEastAsia"/>
                <w:szCs w:val="21"/>
              </w:rPr>
            </w:pPr>
            <w:r>
              <w:rPr>
                <w:rFonts w:hint="eastAsia" w:cs="宋体" w:asciiTheme="minorEastAsia" w:hAnsiTheme="minorEastAsia"/>
                <w:szCs w:val="21"/>
              </w:rPr>
              <w:t>2.1.15支持定义</w:t>
            </w:r>
            <w:r>
              <w:rPr>
                <w:rFonts w:cs="宋体" w:asciiTheme="minorEastAsia" w:hAnsiTheme="minorEastAsia"/>
                <w:szCs w:val="21"/>
              </w:rPr>
              <w:t>IP状态，状态分为未标识、来宾、信任。</w:t>
            </w:r>
          </w:p>
        </w:tc>
      </w:tr>
      <w:tr w14:paraId="170E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510EE2F2">
            <w:pPr>
              <w:widowControl/>
              <w:rPr>
                <w:rFonts w:cs="宋体" w:asciiTheme="minorEastAsia" w:hAnsiTheme="minorEastAsia"/>
                <w:szCs w:val="21"/>
              </w:rPr>
            </w:pPr>
          </w:p>
        </w:tc>
        <w:tc>
          <w:tcPr>
            <w:tcW w:w="6300" w:type="dxa"/>
            <w:shd w:val="clear" w:color="auto" w:fill="auto"/>
            <w:vAlign w:val="center"/>
          </w:tcPr>
          <w:p w14:paraId="629679DC">
            <w:pPr>
              <w:widowControl/>
              <w:rPr>
                <w:rFonts w:cs="宋体" w:asciiTheme="minorEastAsia" w:hAnsiTheme="minorEastAsia"/>
                <w:szCs w:val="21"/>
              </w:rPr>
            </w:pPr>
            <w:r>
              <w:rPr>
                <w:rFonts w:hint="eastAsia" w:cs="宋体" w:asciiTheme="minorEastAsia" w:hAnsiTheme="minorEastAsia"/>
                <w:szCs w:val="21"/>
              </w:rPr>
              <w:t>2.1.16支持根据状态、响应情况、</w:t>
            </w:r>
            <w:r>
              <w:rPr>
                <w:rFonts w:cs="宋体" w:asciiTheme="minorEastAsia" w:hAnsiTheme="minorEastAsia"/>
                <w:szCs w:val="21"/>
              </w:rPr>
              <w:t>MAC、IP对数据进行检索。</w:t>
            </w:r>
          </w:p>
        </w:tc>
      </w:tr>
      <w:tr w14:paraId="7E4E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32B5AFE3">
            <w:pPr>
              <w:widowControl/>
              <w:rPr>
                <w:rFonts w:cs="宋体" w:asciiTheme="minorEastAsia" w:hAnsiTheme="minorEastAsia"/>
                <w:szCs w:val="21"/>
              </w:rPr>
            </w:pPr>
          </w:p>
        </w:tc>
        <w:tc>
          <w:tcPr>
            <w:tcW w:w="6300" w:type="dxa"/>
            <w:shd w:val="clear" w:color="auto" w:fill="auto"/>
            <w:vAlign w:val="center"/>
          </w:tcPr>
          <w:p w14:paraId="6551A918">
            <w:pPr>
              <w:widowControl/>
              <w:rPr>
                <w:rFonts w:cs="宋体" w:asciiTheme="minorEastAsia" w:hAnsiTheme="minorEastAsia"/>
                <w:szCs w:val="21"/>
              </w:rPr>
            </w:pPr>
            <w:r>
              <w:rPr>
                <w:rFonts w:hint="eastAsia" w:cs="宋体" w:asciiTheme="minorEastAsia" w:hAnsiTheme="minorEastAsia"/>
                <w:szCs w:val="21"/>
              </w:rPr>
              <w:t>2.1.17支持创建扫描策略，可配置策略的扫描时间、扫描方式以及扫描范围，扫描方式包括</w:t>
            </w:r>
            <w:r>
              <w:rPr>
                <w:rFonts w:cs="宋体" w:asciiTheme="minorEastAsia" w:hAnsiTheme="minorEastAsia"/>
                <w:szCs w:val="21"/>
              </w:rPr>
              <w:t>IPScan、SNMP v1\v2\V3。</w:t>
            </w:r>
          </w:p>
        </w:tc>
      </w:tr>
      <w:tr w14:paraId="78C2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10B4D5A8">
            <w:pPr>
              <w:widowControl/>
              <w:rPr>
                <w:rFonts w:cs="宋体" w:asciiTheme="minorEastAsia" w:hAnsiTheme="minorEastAsia"/>
                <w:szCs w:val="21"/>
              </w:rPr>
            </w:pPr>
          </w:p>
        </w:tc>
        <w:tc>
          <w:tcPr>
            <w:tcW w:w="6300" w:type="dxa"/>
            <w:shd w:val="clear" w:color="auto" w:fill="auto"/>
            <w:vAlign w:val="center"/>
          </w:tcPr>
          <w:p w14:paraId="5E080E5E">
            <w:pPr>
              <w:widowControl/>
              <w:rPr>
                <w:rFonts w:cs="宋体" w:asciiTheme="minorEastAsia" w:hAnsiTheme="minorEastAsia"/>
                <w:szCs w:val="21"/>
              </w:rPr>
            </w:pPr>
            <w:r>
              <w:rPr>
                <w:rFonts w:hint="eastAsia" w:cs="宋体" w:asciiTheme="minorEastAsia" w:hAnsiTheme="minorEastAsia"/>
                <w:szCs w:val="21"/>
              </w:rPr>
              <w:t>2.1.18根据扫描任务展示扫描到的</w:t>
            </w:r>
            <w:r>
              <w:rPr>
                <w:rFonts w:cs="宋体" w:asciiTheme="minorEastAsia" w:hAnsiTheme="minorEastAsia"/>
                <w:szCs w:val="21"/>
              </w:rPr>
              <w:t>IP信息，支持查看单个IP历史变化记录。</w:t>
            </w:r>
          </w:p>
        </w:tc>
      </w:tr>
      <w:tr w14:paraId="1109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shd w:val="clear" w:color="auto" w:fill="auto"/>
            <w:noWrap/>
            <w:vAlign w:val="center"/>
          </w:tcPr>
          <w:p w14:paraId="7EE4CC7D">
            <w:pPr>
              <w:widowControl/>
              <w:jc w:val="center"/>
              <w:rPr>
                <w:rFonts w:cs="宋体" w:asciiTheme="minorEastAsia" w:hAnsiTheme="minorEastAsia"/>
                <w:szCs w:val="21"/>
              </w:rPr>
            </w:pPr>
            <w:r>
              <w:rPr>
                <w:rFonts w:hint="eastAsia" w:cs="宋体" w:asciiTheme="minorEastAsia" w:hAnsiTheme="minorEastAsia"/>
                <w:szCs w:val="21"/>
              </w:rPr>
              <w:t>基线告警</w:t>
            </w:r>
          </w:p>
        </w:tc>
        <w:tc>
          <w:tcPr>
            <w:tcW w:w="6300" w:type="dxa"/>
            <w:shd w:val="clear" w:color="auto" w:fill="auto"/>
            <w:vAlign w:val="center"/>
          </w:tcPr>
          <w:p w14:paraId="4C1F0D67">
            <w:pPr>
              <w:widowControl/>
              <w:rPr>
                <w:rFonts w:cs="宋体" w:asciiTheme="minorEastAsia" w:hAnsiTheme="minorEastAsia"/>
                <w:szCs w:val="21"/>
              </w:rPr>
            </w:pPr>
            <w:r>
              <w:rPr>
                <w:rFonts w:hint="eastAsia" w:cs="宋体" w:asciiTheme="minorEastAsia" w:hAnsiTheme="minorEastAsia"/>
                <w:szCs w:val="21"/>
              </w:rPr>
              <w:t>2.1.19汇总展示所有资产的基线异常数据，提供检索功能。</w:t>
            </w:r>
          </w:p>
        </w:tc>
      </w:tr>
      <w:tr w14:paraId="6612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shd w:val="clear" w:color="auto" w:fill="auto"/>
            <w:noWrap/>
            <w:vAlign w:val="center"/>
          </w:tcPr>
          <w:p w14:paraId="25E3A393">
            <w:pPr>
              <w:widowControl/>
              <w:jc w:val="center"/>
              <w:rPr>
                <w:rFonts w:cs="宋体" w:asciiTheme="minorEastAsia" w:hAnsiTheme="minorEastAsia"/>
                <w:szCs w:val="21"/>
              </w:rPr>
            </w:pPr>
            <w:r>
              <w:rPr>
                <w:rFonts w:hint="eastAsia" w:cs="宋体" w:asciiTheme="minorEastAsia" w:hAnsiTheme="minorEastAsia"/>
                <w:szCs w:val="21"/>
              </w:rPr>
              <w:t>配置中心</w:t>
            </w:r>
          </w:p>
        </w:tc>
        <w:tc>
          <w:tcPr>
            <w:tcW w:w="6300" w:type="dxa"/>
            <w:shd w:val="clear" w:color="auto" w:fill="auto"/>
            <w:vAlign w:val="center"/>
          </w:tcPr>
          <w:p w14:paraId="55440080">
            <w:pPr>
              <w:widowControl/>
              <w:rPr>
                <w:rFonts w:cs="宋体" w:asciiTheme="minorEastAsia" w:hAnsiTheme="minorEastAsia"/>
                <w:szCs w:val="21"/>
              </w:rPr>
            </w:pPr>
            <w:r>
              <w:rPr>
                <w:rFonts w:hint="eastAsia" w:cs="宋体" w:asciiTheme="minorEastAsia" w:hAnsiTheme="minorEastAsia"/>
                <w:szCs w:val="21"/>
              </w:rPr>
              <w:t>2.1.20支持预设核查模板，基线核查模板包括</w:t>
            </w:r>
            <w:r>
              <w:rPr>
                <w:rFonts w:cs="宋体" w:asciiTheme="minorEastAsia" w:hAnsiTheme="minorEastAsia"/>
                <w:szCs w:val="21"/>
              </w:rPr>
              <w:t>Windows、Linux、Unix、中间件、数据库。可对已设置的模板进行复制、编辑、删除操作</w:t>
            </w:r>
          </w:p>
        </w:tc>
      </w:tr>
      <w:tr w14:paraId="2DBF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0A9BEECF">
            <w:pPr>
              <w:widowControl/>
              <w:rPr>
                <w:rFonts w:cs="宋体" w:asciiTheme="minorEastAsia" w:hAnsiTheme="minorEastAsia"/>
                <w:szCs w:val="21"/>
              </w:rPr>
            </w:pPr>
          </w:p>
        </w:tc>
        <w:tc>
          <w:tcPr>
            <w:tcW w:w="6300" w:type="dxa"/>
            <w:shd w:val="clear" w:color="auto" w:fill="auto"/>
            <w:vAlign w:val="center"/>
          </w:tcPr>
          <w:p w14:paraId="6EAE4703">
            <w:pPr>
              <w:widowControl/>
              <w:rPr>
                <w:rFonts w:cs="宋体" w:asciiTheme="minorEastAsia" w:hAnsiTheme="minorEastAsia"/>
                <w:szCs w:val="21"/>
              </w:rPr>
            </w:pPr>
            <w:r>
              <w:rPr>
                <w:rFonts w:hint="eastAsia" w:cs="宋体" w:asciiTheme="minorEastAsia" w:hAnsiTheme="minorEastAsia"/>
                <w:szCs w:val="21"/>
              </w:rPr>
              <w:t>2.1.21支持对资产的区域信息进行新增、编辑、删除、检索、导入、导出操作。</w:t>
            </w:r>
          </w:p>
        </w:tc>
      </w:tr>
      <w:tr w14:paraId="7DED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6965728C">
            <w:pPr>
              <w:widowControl/>
              <w:rPr>
                <w:rFonts w:cs="宋体" w:asciiTheme="minorEastAsia" w:hAnsiTheme="minorEastAsia"/>
                <w:szCs w:val="21"/>
              </w:rPr>
            </w:pPr>
          </w:p>
        </w:tc>
        <w:tc>
          <w:tcPr>
            <w:tcW w:w="6300" w:type="dxa"/>
            <w:shd w:val="clear" w:color="auto" w:fill="auto"/>
            <w:vAlign w:val="center"/>
          </w:tcPr>
          <w:p w14:paraId="1E300818">
            <w:pPr>
              <w:widowControl/>
              <w:rPr>
                <w:rFonts w:cs="宋体" w:asciiTheme="minorEastAsia" w:hAnsiTheme="minorEastAsia"/>
                <w:szCs w:val="21"/>
              </w:rPr>
            </w:pPr>
            <w:r>
              <w:rPr>
                <w:rFonts w:hint="eastAsia" w:cs="宋体" w:asciiTheme="minorEastAsia" w:hAnsiTheme="minorEastAsia"/>
                <w:szCs w:val="21"/>
              </w:rPr>
              <w:t>2.1.22支持对资产的重要等级信息进行新增、编辑、删除、检索、导入、导出操作。</w:t>
            </w:r>
          </w:p>
        </w:tc>
      </w:tr>
      <w:tr w14:paraId="6550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417CE367">
            <w:pPr>
              <w:widowControl/>
              <w:rPr>
                <w:rFonts w:cs="宋体" w:asciiTheme="minorEastAsia" w:hAnsiTheme="minorEastAsia"/>
                <w:szCs w:val="21"/>
              </w:rPr>
            </w:pPr>
          </w:p>
        </w:tc>
        <w:tc>
          <w:tcPr>
            <w:tcW w:w="6300" w:type="dxa"/>
            <w:shd w:val="clear" w:color="auto" w:fill="auto"/>
            <w:vAlign w:val="center"/>
          </w:tcPr>
          <w:p w14:paraId="005A3D91">
            <w:pPr>
              <w:widowControl/>
              <w:rPr>
                <w:rFonts w:cs="宋体" w:asciiTheme="minorEastAsia" w:hAnsiTheme="minorEastAsia"/>
                <w:szCs w:val="21"/>
              </w:rPr>
            </w:pPr>
            <w:r>
              <w:rPr>
                <w:rFonts w:hint="eastAsia" w:cs="宋体" w:asciiTheme="minorEastAsia" w:hAnsiTheme="minorEastAsia"/>
                <w:szCs w:val="21"/>
              </w:rPr>
              <w:t>2.1.23支持配置资产处置审计权限，来对资产处置模块中的功能进行审计管理。</w:t>
            </w:r>
          </w:p>
        </w:tc>
      </w:tr>
      <w:tr w14:paraId="61F5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5E8EF792">
            <w:pPr>
              <w:widowControl/>
              <w:rPr>
                <w:rFonts w:cs="宋体" w:asciiTheme="minorEastAsia" w:hAnsiTheme="minorEastAsia"/>
                <w:szCs w:val="21"/>
              </w:rPr>
            </w:pPr>
          </w:p>
        </w:tc>
        <w:tc>
          <w:tcPr>
            <w:tcW w:w="6300" w:type="dxa"/>
            <w:shd w:val="clear" w:color="auto" w:fill="auto"/>
            <w:vAlign w:val="center"/>
          </w:tcPr>
          <w:p w14:paraId="75ADBEA1">
            <w:pPr>
              <w:widowControl/>
              <w:rPr>
                <w:rFonts w:cs="宋体" w:asciiTheme="minorEastAsia" w:hAnsiTheme="minorEastAsia"/>
                <w:szCs w:val="21"/>
              </w:rPr>
            </w:pPr>
            <w:r>
              <w:rPr>
                <w:rFonts w:hint="eastAsia" w:cs="宋体" w:asciiTheme="minorEastAsia" w:hAnsiTheme="minorEastAsia"/>
                <w:szCs w:val="21"/>
              </w:rPr>
              <w:t>2.1.24系统根据业务场景预设多套资产模板，可直接选择使用，支持自定义资产模板。</w:t>
            </w:r>
          </w:p>
        </w:tc>
      </w:tr>
      <w:tr w14:paraId="076B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3AFCF090">
            <w:pPr>
              <w:widowControl/>
              <w:rPr>
                <w:rFonts w:cs="宋体" w:asciiTheme="minorEastAsia" w:hAnsiTheme="minorEastAsia"/>
                <w:szCs w:val="21"/>
              </w:rPr>
            </w:pPr>
          </w:p>
        </w:tc>
        <w:tc>
          <w:tcPr>
            <w:tcW w:w="6300" w:type="dxa"/>
            <w:shd w:val="clear" w:color="auto" w:fill="auto"/>
            <w:vAlign w:val="center"/>
          </w:tcPr>
          <w:p w14:paraId="5F8EFEB0">
            <w:pPr>
              <w:widowControl/>
              <w:rPr>
                <w:rFonts w:cs="宋体" w:asciiTheme="minorEastAsia" w:hAnsiTheme="minorEastAsia"/>
                <w:szCs w:val="21"/>
              </w:rPr>
            </w:pPr>
            <w:r>
              <w:rPr>
                <w:rFonts w:hint="eastAsia" w:cs="宋体" w:asciiTheme="minorEastAsia" w:hAnsiTheme="minorEastAsia"/>
                <w:szCs w:val="21"/>
              </w:rPr>
              <w:t>2.1.25支持自定义角色以及对应权限，可对现有角色进行编辑、删除操作。</w:t>
            </w:r>
          </w:p>
        </w:tc>
      </w:tr>
      <w:tr w14:paraId="0862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2D40A422">
            <w:pPr>
              <w:widowControl/>
              <w:rPr>
                <w:rFonts w:cs="宋体" w:asciiTheme="minorEastAsia" w:hAnsiTheme="minorEastAsia"/>
                <w:szCs w:val="21"/>
              </w:rPr>
            </w:pPr>
          </w:p>
        </w:tc>
        <w:tc>
          <w:tcPr>
            <w:tcW w:w="6300" w:type="dxa"/>
            <w:shd w:val="clear" w:color="auto" w:fill="auto"/>
            <w:vAlign w:val="center"/>
          </w:tcPr>
          <w:p w14:paraId="4D12DF63">
            <w:pPr>
              <w:widowControl/>
              <w:rPr>
                <w:rFonts w:cs="宋体" w:asciiTheme="minorEastAsia" w:hAnsiTheme="minorEastAsia"/>
                <w:szCs w:val="21"/>
              </w:rPr>
            </w:pPr>
            <w:r>
              <w:rPr>
                <w:rFonts w:hint="eastAsia" w:cs="宋体" w:asciiTheme="minorEastAsia" w:hAnsiTheme="minorEastAsia"/>
                <w:szCs w:val="21"/>
              </w:rPr>
              <w:t>2.1.26支持根据业务场景配置组织信息，以及对成员分组及配置。</w:t>
            </w:r>
          </w:p>
        </w:tc>
      </w:tr>
      <w:tr w14:paraId="374B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restart"/>
            <w:shd w:val="clear" w:color="auto" w:fill="auto"/>
            <w:noWrap/>
            <w:vAlign w:val="center"/>
          </w:tcPr>
          <w:p w14:paraId="70930603">
            <w:pPr>
              <w:widowControl/>
              <w:jc w:val="center"/>
              <w:rPr>
                <w:rFonts w:cs="宋体" w:asciiTheme="minorEastAsia" w:hAnsiTheme="minorEastAsia"/>
                <w:szCs w:val="21"/>
              </w:rPr>
            </w:pPr>
            <w:r>
              <w:rPr>
                <w:rFonts w:hint="eastAsia" w:cs="宋体" w:asciiTheme="minorEastAsia" w:hAnsiTheme="minorEastAsia"/>
                <w:szCs w:val="21"/>
              </w:rPr>
              <w:t>系统中心</w:t>
            </w:r>
          </w:p>
        </w:tc>
        <w:tc>
          <w:tcPr>
            <w:tcW w:w="6300" w:type="dxa"/>
            <w:shd w:val="clear" w:color="auto" w:fill="auto"/>
            <w:noWrap/>
            <w:vAlign w:val="center"/>
          </w:tcPr>
          <w:p w14:paraId="0C3FC602">
            <w:pPr>
              <w:widowControl/>
              <w:rPr>
                <w:rFonts w:cs="宋体" w:asciiTheme="minorEastAsia" w:hAnsiTheme="minorEastAsia"/>
                <w:szCs w:val="21"/>
              </w:rPr>
            </w:pPr>
            <w:r>
              <w:rPr>
                <w:rFonts w:hint="eastAsia" w:cs="宋体" w:asciiTheme="minorEastAsia" w:hAnsiTheme="minorEastAsia"/>
                <w:szCs w:val="21"/>
              </w:rPr>
              <w:t>2.1.27支持通过系统界面与配置邮件服务器信息。</w:t>
            </w:r>
          </w:p>
        </w:tc>
      </w:tr>
      <w:tr w14:paraId="10FF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5" w:type="dxa"/>
            <w:vMerge w:val="continue"/>
            <w:shd w:val="clear" w:color="auto" w:fill="auto"/>
            <w:vAlign w:val="center"/>
          </w:tcPr>
          <w:p w14:paraId="08AAE30C">
            <w:pPr>
              <w:widowControl/>
              <w:rPr>
                <w:rFonts w:cs="宋体" w:asciiTheme="minorEastAsia" w:hAnsiTheme="minorEastAsia"/>
                <w:szCs w:val="21"/>
              </w:rPr>
            </w:pPr>
          </w:p>
        </w:tc>
        <w:tc>
          <w:tcPr>
            <w:tcW w:w="6300" w:type="dxa"/>
            <w:shd w:val="clear" w:color="auto" w:fill="auto"/>
            <w:noWrap/>
            <w:vAlign w:val="center"/>
          </w:tcPr>
          <w:p w14:paraId="1E81FD15">
            <w:pPr>
              <w:widowControl/>
              <w:rPr>
                <w:rFonts w:cs="宋体" w:asciiTheme="minorEastAsia" w:hAnsiTheme="minorEastAsia"/>
                <w:szCs w:val="21"/>
              </w:rPr>
            </w:pPr>
            <w:r>
              <w:rPr>
                <w:rFonts w:hint="eastAsia" w:cs="宋体" w:asciiTheme="minorEastAsia" w:hAnsiTheme="minorEastAsia"/>
                <w:szCs w:val="21"/>
              </w:rPr>
              <w:t>2.1.28支持保存用户对平台的所有操作日志。</w:t>
            </w:r>
          </w:p>
        </w:tc>
      </w:tr>
    </w:tbl>
    <w:p w14:paraId="3520D066">
      <w:pPr>
        <w:rPr>
          <w:b/>
          <w:szCs w:val="21"/>
        </w:rPr>
      </w:pPr>
    </w:p>
    <w:p w14:paraId="4AF6EA98">
      <w:pPr>
        <w:rPr>
          <w:b/>
          <w:szCs w:val="21"/>
        </w:rPr>
      </w:pPr>
      <w:r>
        <w:rPr>
          <w:b/>
          <w:szCs w:val="21"/>
        </w:rPr>
        <w:t>2.2</w:t>
      </w:r>
      <w:r>
        <w:rPr>
          <w:rFonts w:hint="eastAsia"/>
          <w:b/>
          <w:szCs w:val="21"/>
        </w:rPr>
        <w:t>、信息系统动态应用保护系统工具技术要求</w:t>
      </w:r>
    </w:p>
    <w:tbl>
      <w:tblPr>
        <w:tblStyle w:val="42"/>
        <w:tblW w:w="8349" w:type="dxa"/>
        <w:tblInd w:w="89" w:type="dxa"/>
        <w:tblLayout w:type="fixed"/>
        <w:tblCellMar>
          <w:top w:w="0" w:type="dxa"/>
          <w:left w:w="108" w:type="dxa"/>
          <w:bottom w:w="0" w:type="dxa"/>
          <w:right w:w="108" w:type="dxa"/>
        </w:tblCellMar>
      </w:tblPr>
      <w:tblGrid>
        <w:gridCol w:w="2042"/>
        <w:gridCol w:w="6307"/>
      </w:tblGrid>
      <w:tr w14:paraId="4FC31D7A">
        <w:tblPrEx>
          <w:tblCellMar>
            <w:top w:w="0" w:type="dxa"/>
            <w:left w:w="108" w:type="dxa"/>
            <w:bottom w:w="0" w:type="dxa"/>
            <w:right w:w="108" w:type="dxa"/>
          </w:tblCellMar>
        </w:tblPrEx>
        <w:trPr>
          <w:trHeight w:val="300" w:hRule="atLeast"/>
        </w:trPr>
        <w:tc>
          <w:tcPr>
            <w:tcW w:w="2042" w:type="dxa"/>
            <w:tcBorders>
              <w:top w:val="single" w:color="auto" w:sz="8" w:space="0"/>
              <w:left w:val="single" w:color="auto" w:sz="8" w:space="0"/>
              <w:bottom w:val="single" w:color="auto" w:sz="8" w:space="0"/>
              <w:right w:val="single" w:color="auto" w:sz="8" w:space="0"/>
            </w:tcBorders>
            <w:shd w:val="clear" w:color="auto" w:fill="auto"/>
            <w:vAlign w:val="center"/>
          </w:tcPr>
          <w:p w14:paraId="66494B9E">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6307" w:type="dxa"/>
            <w:tcBorders>
              <w:top w:val="single" w:color="auto" w:sz="8" w:space="0"/>
              <w:left w:val="nil"/>
              <w:bottom w:val="single" w:color="auto" w:sz="8" w:space="0"/>
              <w:right w:val="single" w:color="auto" w:sz="8" w:space="0"/>
            </w:tcBorders>
            <w:shd w:val="clear" w:color="auto" w:fill="auto"/>
            <w:vAlign w:val="center"/>
          </w:tcPr>
          <w:p w14:paraId="2E45271E">
            <w:pPr>
              <w:widowControl/>
              <w:jc w:val="center"/>
              <w:rPr>
                <w:rFonts w:ascii="宋体" w:hAnsi="宋体" w:cs="宋体"/>
                <w:b/>
                <w:bCs/>
                <w:color w:val="000000"/>
                <w:kern w:val="0"/>
                <w:szCs w:val="21"/>
              </w:rPr>
            </w:pPr>
            <w:r>
              <w:rPr>
                <w:rFonts w:hint="eastAsia" w:ascii="宋体" w:hAnsi="宋体" w:cs="宋体"/>
                <w:b/>
                <w:bCs/>
                <w:color w:val="000000"/>
                <w:kern w:val="0"/>
                <w:szCs w:val="21"/>
              </w:rPr>
              <w:t>具体功能要求（招标技术要求）</w:t>
            </w:r>
          </w:p>
        </w:tc>
      </w:tr>
      <w:tr w14:paraId="409D1B09">
        <w:tblPrEx>
          <w:tblCellMar>
            <w:top w:w="0" w:type="dxa"/>
            <w:left w:w="108" w:type="dxa"/>
            <w:bottom w:w="0" w:type="dxa"/>
            <w:right w:w="108" w:type="dxa"/>
          </w:tblCellMar>
        </w:tblPrEx>
        <w:trPr>
          <w:trHeight w:val="1440" w:hRule="atLeast"/>
        </w:trPr>
        <w:tc>
          <w:tcPr>
            <w:tcW w:w="2042" w:type="dxa"/>
            <w:vMerge w:val="restart"/>
            <w:tcBorders>
              <w:top w:val="nil"/>
              <w:left w:val="single" w:color="auto" w:sz="8" w:space="0"/>
              <w:bottom w:val="single" w:color="000000" w:sz="8" w:space="0"/>
              <w:right w:val="single" w:color="auto" w:sz="8" w:space="0"/>
            </w:tcBorders>
            <w:shd w:val="clear" w:color="auto" w:fill="auto"/>
            <w:vAlign w:val="center"/>
          </w:tcPr>
          <w:p w14:paraId="0DEFF678">
            <w:pPr>
              <w:widowControl/>
              <w:jc w:val="center"/>
              <w:rPr>
                <w:rFonts w:ascii="宋体" w:hAnsi="宋体" w:cs="宋体"/>
                <w:color w:val="000000"/>
                <w:kern w:val="0"/>
                <w:szCs w:val="21"/>
              </w:rPr>
            </w:pPr>
            <w:r>
              <w:rPr>
                <w:rFonts w:hint="eastAsia" w:ascii="宋体" w:hAnsi="宋体" w:cs="宋体"/>
                <w:color w:val="000000"/>
                <w:kern w:val="0"/>
                <w:szCs w:val="21"/>
              </w:rPr>
              <w:t>动态应用保护</w:t>
            </w:r>
          </w:p>
        </w:tc>
        <w:tc>
          <w:tcPr>
            <w:tcW w:w="6307" w:type="dxa"/>
            <w:tcBorders>
              <w:top w:val="nil"/>
              <w:left w:val="nil"/>
              <w:bottom w:val="single" w:color="auto" w:sz="8" w:space="0"/>
              <w:right w:val="single" w:color="auto" w:sz="8" w:space="0"/>
            </w:tcBorders>
            <w:shd w:val="clear" w:color="auto" w:fill="auto"/>
            <w:vAlign w:val="center"/>
          </w:tcPr>
          <w:p w14:paraId="4ADD961A">
            <w:pPr>
              <w:widowControl/>
              <w:rPr>
                <w:rFonts w:ascii="宋体" w:hAnsi="宋体" w:cs="宋体"/>
                <w:b/>
                <w:bCs/>
                <w:color w:val="FF0000"/>
                <w:kern w:val="0"/>
                <w:szCs w:val="21"/>
              </w:rPr>
            </w:pPr>
            <w:r>
              <w:rPr>
                <w:rFonts w:hint="eastAsia" w:ascii="宋体" w:hAnsi="宋体" w:cs="宋体"/>
                <w:b/>
                <w:bCs/>
                <w:color w:val="FF0000"/>
                <w:kern w:val="0"/>
                <w:szCs w:val="21"/>
              </w:rPr>
              <w:t>▲2.2.1对网页中的URL地址、表单及Javascript做动态封装，每次封装后的内容均不相同，让攻击者无法直接通过查看网页源代码获取URL地址等内容，无法预测服务器的行为，大幅提升攻击难度。再者，自动化工具因为无法通过分析HTML页面获取攻击入口，无法发动攻击，可有效避免成为网络上容易被攻击的目标。（需提供功能截图</w:t>
            </w:r>
            <w:r>
              <w:rPr>
                <w:rFonts w:hint="eastAsia" w:ascii="宋体" w:hAnsi="宋体" w:cs="宋体"/>
                <w:b/>
                <w:bCs/>
                <w:color w:val="FF0000"/>
                <w:kern w:val="0"/>
                <w:szCs w:val="21"/>
                <w:lang w:val="en-US" w:eastAsia="zh-CN"/>
              </w:rPr>
              <w:t>或</w:t>
            </w:r>
            <w:r>
              <w:rPr>
                <w:rFonts w:hint="eastAsia" w:ascii="宋体" w:hAnsi="宋体" w:cs="宋体"/>
                <w:b/>
                <w:bCs/>
                <w:color w:val="FF0000"/>
                <w:kern w:val="0"/>
                <w:szCs w:val="21"/>
              </w:rPr>
              <w:t>第三方机构出具的测试报告扫描件）</w:t>
            </w:r>
          </w:p>
        </w:tc>
      </w:tr>
      <w:tr w14:paraId="0367BA90">
        <w:tblPrEx>
          <w:tblCellMar>
            <w:top w:w="0" w:type="dxa"/>
            <w:left w:w="108" w:type="dxa"/>
            <w:bottom w:w="0" w:type="dxa"/>
            <w:right w:w="108" w:type="dxa"/>
          </w:tblCellMar>
        </w:tblPrEx>
        <w:trPr>
          <w:trHeight w:val="870" w:hRule="atLeast"/>
        </w:trPr>
        <w:tc>
          <w:tcPr>
            <w:tcW w:w="2042" w:type="dxa"/>
            <w:vMerge w:val="continue"/>
            <w:tcBorders>
              <w:top w:val="nil"/>
              <w:left w:val="single" w:color="auto" w:sz="8" w:space="0"/>
              <w:bottom w:val="single" w:color="000000" w:sz="8" w:space="0"/>
              <w:right w:val="single" w:color="auto" w:sz="8" w:space="0"/>
            </w:tcBorders>
            <w:vAlign w:val="center"/>
          </w:tcPr>
          <w:p w14:paraId="75AE5DA5">
            <w:pPr>
              <w:widowControl/>
              <w:jc w:val="left"/>
              <w:rPr>
                <w:rFonts w:ascii="宋体" w:hAnsi="宋体" w:cs="宋体"/>
                <w:color w:val="000000"/>
                <w:kern w:val="0"/>
                <w:szCs w:val="21"/>
              </w:rPr>
            </w:pPr>
          </w:p>
        </w:tc>
        <w:tc>
          <w:tcPr>
            <w:tcW w:w="6307" w:type="dxa"/>
            <w:tcBorders>
              <w:top w:val="nil"/>
              <w:left w:val="nil"/>
              <w:bottom w:val="single" w:color="auto" w:sz="8" w:space="0"/>
              <w:right w:val="single" w:color="auto" w:sz="8" w:space="0"/>
            </w:tcBorders>
            <w:shd w:val="clear" w:color="auto" w:fill="auto"/>
            <w:vAlign w:val="center"/>
          </w:tcPr>
          <w:p w14:paraId="378707BA">
            <w:pPr>
              <w:widowControl/>
              <w:rPr>
                <w:rFonts w:ascii="宋体" w:hAnsi="宋体" w:cs="宋体"/>
                <w:b/>
                <w:bCs/>
                <w:color w:val="FF0000"/>
                <w:kern w:val="0"/>
                <w:szCs w:val="21"/>
              </w:rPr>
            </w:pPr>
            <w:r>
              <w:rPr>
                <w:rFonts w:hint="eastAsia" w:ascii="宋体" w:hAnsi="宋体" w:cs="宋体"/>
                <w:b/>
                <w:bCs/>
                <w:color w:val="FF0000"/>
                <w:kern w:val="0"/>
                <w:szCs w:val="21"/>
              </w:rPr>
              <w:t>▲2.2.2系统需自动识别需要封装的URL、表单及Javascript，不需要用户手动指定要封装的对象，以降低配置的复杂度和避免可能的安全隐患。（需提供功能截图或第三方机构出具的测试报告扫描件）</w:t>
            </w:r>
          </w:p>
        </w:tc>
      </w:tr>
      <w:tr w14:paraId="3469465D">
        <w:tblPrEx>
          <w:tblCellMar>
            <w:top w:w="0" w:type="dxa"/>
            <w:left w:w="108" w:type="dxa"/>
            <w:bottom w:w="0" w:type="dxa"/>
            <w:right w:w="108" w:type="dxa"/>
          </w:tblCellMar>
        </w:tblPrEx>
        <w:trPr>
          <w:trHeight w:val="870" w:hRule="atLeast"/>
        </w:trPr>
        <w:tc>
          <w:tcPr>
            <w:tcW w:w="2042" w:type="dxa"/>
            <w:vMerge w:val="continue"/>
            <w:tcBorders>
              <w:top w:val="nil"/>
              <w:left w:val="single" w:color="auto" w:sz="8" w:space="0"/>
              <w:bottom w:val="single" w:color="000000" w:sz="8" w:space="0"/>
              <w:right w:val="single" w:color="auto" w:sz="8" w:space="0"/>
            </w:tcBorders>
            <w:vAlign w:val="center"/>
          </w:tcPr>
          <w:p w14:paraId="0ABF92E4">
            <w:pPr>
              <w:widowControl/>
              <w:jc w:val="left"/>
              <w:rPr>
                <w:rFonts w:ascii="宋体" w:hAnsi="宋体" w:cs="宋体"/>
                <w:color w:val="000000"/>
                <w:kern w:val="0"/>
                <w:szCs w:val="21"/>
              </w:rPr>
            </w:pPr>
          </w:p>
        </w:tc>
        <w:tc>
          <w:tcPr>
            <w:tcW w:w="6307" w:type="dxa"/>
            <w:tcBorders>
              <w:top w:val="nil"/>
              <w:left w:val="nil"/>
              <w:bottom w:val="single" w:color="auto" w:sz="8" w:space="0"/>
              <w:right w:val="single" w:color="auto" w:sz="8" w:space="0"/>
            </w:tcBorders>
            <w:shd w:val="clear" w:color="auto" w:fill="auto"/>
            <w:vAlign w:val="center"/>
          </w:tcPr>
          <w:p w14:paraId="035D6648">
            <w:pPr>
              <w:widowControl/>
              <w:rPr>
                <w:rFonts w:ascii="宋体" w:hAnsi="宋体" w:cs="宋体"/>
                <w:b/>
                <w:bCs/>
                <w:color w:val="FF0000"/>
                <w:kern w:val="0"/>
                <w:szCs w:val="21"/>
              </w:rPr>
            </w:pPr>
            <w:r>
              <w:rPr>
                <w:rFonts w:hint="eastAsia" w:ascii="宋体" w:hAnsi="宋体" w:cs="宋体"/>
                <w:b/>
                <w:bCs/>
                <w:color w:val="FF0000"/>
                <w:kern w:val="0"/>
                <w:szCs w:val="21"/>
              </w:rPr>
              <w:t>▲2.2.3在网页内插入对客户端环境的动态检查代码，且每次均随机选取检测项目与数量，以增加应用的不可预测性，提升攻击者或自动化工具假冒合法客户端的难度。（需提供功能截图或第三方机构出具的测试报告扫描件）</w:t>
            </w:r>
          </w:p>
        </w:tc>
      </w:tr>
      <w:tr w14:paraId="53903E3D">
        <w:tblPrEx>
          <w:tblCellMar>
            <w:top w:w="0" w:type="dxa"/>
            <w:left w:w="108" w:type="dxa"/>
            <w:bottom w:w="0" w:type="dxa"/>
            <w:right w:w="108" w:type="dxa"/>
          </w:tblCellMar>
        </w:tblPrEx>
        <w:trPr>
          <w:trHeight w:val="870" w:hRule="atLeast"/>
        </w:trPr>
        <w:tc>
          <w:tcPr>
            <w:tcW w:w="2042" w:type="dxa"/>
            <w:vMerge w:val="continue"/>
            <w:tcBorders>
              <w:top w:val="nil"/>
              <w:left w:val="single" w:color="auto" w:sz="8" w:space="0"/>
              <w:bottom w:val="single" w:color="000000" w:sz="8" w:space="0"/>
              <w:right w:val="single" w:color="auto" w:sz="8" w:space="0"/>
            </w:tcBorders>
            <w:vAlign w:val="center"/>
          </w:tcPr>
          <w:p w14:paraId="12F35356">
            <w:pPr>
              <w:widowControl/>
              <w:jc w:val="left"/>
              <w:rPr>
                <w:rFonts w:ascii="宋体" w:hAnsi="宋体" w:cs="宋体"/>
                <w:color w:val="000000"/>
                <w:kern w:val="0"/>
                <w:szCs w:val="21"/>
              </w:rPr>
            </w:pPr>
          </w:p>
        </w:tc>
        <w:tc>
          <w:tcPr>
            <w:tcW w:w="6307" w:type="dxa"/>
            <w:tcBorders>
              <w:top w:val="nil"/>
              <w:left w:val="nil"/>
              <w:bottom w:val="single" w:color="auto" w:sz="8" w:space="0"/>
              <w:right w:val="single" w:color="auto" w:sz="8" w:space="0"/>
            </w:tcBorders>
            <w:shd w:val="clear" w:color="auto" w:fill="auto"/>
            <w:vAlign w:val="center"/>
          </w:tcPr>
          <w:p w14:paraId="13FD70A1">
            <w:pPr>
              <w:widowControl/>
              <w:rPr>
                <w:rFonts w:ascii="宋体" w:hAnsi="宋体" w:cs="宋体"/>
                <w:b/>
                <w:bCs/>
                <w:color w:val="FF0000"/>
                <w:kern w:val="0"/>
                <w:szCs w:val="21"/>
              </w:rPr>
            </w:pPr>
            <w:r>
              <w:rPr>
                <w:rFonts w:hint="eastAsia" w:ascii="宋体" w:hAnsi="宋体" w:cs="宋体"/>
                <w:b/>
                <w:bCs/>
                <w:color w:val="FF0000"/>
                <w:kern w:val="0"/>
                <w:szCs w:val="21"/>
              </w:rPr>
              <w:t>▲2.2.4使用动态的混淆算法对终端用户请求的内容进行保护，提升中间人攻击的难度，有效防止伪造请求、代码注入、窃听或篡改交易内容等攻击行为。（需提供功能截图或第三方机构出具的测试报告扫描件）</w:t>
            </w:r>
          </w:p>
        </w:tc>
      </w:tr>
      <w:tr w14:paraId="0C540B03">
        <w:tblPrEx>
          <w:tblCellMar>
            <w:top w:w="0" w:type="dxa"/>
            <w:left w:w="108" w:type="dxa"/>
            <w:bottom w:w="0" w:type="dxa"/>
            <w:right w:w="108" w:type="dxa"/>
          </w:tblCellMar>
        </w:tblPrEx>
        <w:trPr>
          <w:trHeight w:val="1155" w:hRule="atLeast"/>
        </w:trPr>
        <w:tc>
          <w:tcPr>
            <w:tcW w:w="2042" w:type="dxa"/>
            <w:vMerge w:val="continue"/>
            <w:tcBorders>
              <w:top w:val="nil"/>
              <w:left w:val="single" w:color="auto" w:sz="8" w:space="0"/>
              <w:bottom w:val="single" w:color="000000" w:sz="8" w:space="0"/>
              <w:right w:val="single" w:color="auto" w:sz="8" w:space="0"/>
            </w:tcBorders>
            <w:vAlign w:val="center"/>
          </w:tcPr>
          <w:p w14:paraId="26C668C2">
            <w:pPr>
              <w:widowControl/>
              <w:jc w:val="left"/>
              <w:rPr>
                <w:rFonts w:ascii="宋体" w:hAnsi="宋体" w:cs="宋体"/>
                <w:color w:val="000000"/>
                <w:kern w:val="0"/>
                <w:szCs w:val="21"/>
              </w:rPr>
            </w:pPr>
          </w:p>
        </w:tc>
        <w:tc>
          <w:tcPr>
            <w:tcW w:w="6307" w:type="dxa"/>
            <w:tcBorders>
              <w:top w:val="nil"/>
              <w:left w:val="nil"/>
              <w:bottom w:val="single" w:color="auto" w:sz="8" w:space="0"/>
              <w:right w:val="single" w:color="auto" w:sz="8" w:space="0"/>
            </w:tcBorders>
            <w:shd w:val="clear" w:color="auto" w:fill="auto"/>
            <w:vAlign w:val="center"/>
          </w:tcPr>
          <w:p w14:paraId="442FF5BD">
            <w:pPr>
              <w:widowControl/>
              <w:rPr>
                <w:rFonts w:ascii="宋体" w:hAnsi="宋体" w:cs="宋体"/>
                <w:b/>
                <w:bCs/>
                <w:color w:val="FF0000"/>
                <w:kern w:val="0"/>
                <w:szCs w:val="21"/>
              </w:rPr>
            </w:pPr>
            <w:r>
              <w:rPr>
                <w:rFonts w:hint="eastAsia" w:ascii="宋体" w:hAnsi="宋体" w:cs="宋体"/>
                <w:b/>
                <w:bCs/>
                <w:color w:val="FF0000"/>
                <w:kern w:val="0"/>
                <w:szCs w:val="21"/>
              </w:rPr>
              <w:t>▲2.2.5对于受保护的请求内容，需对请求的整体内容进行保护，除对参数名称及参数值均需要进行保护外，不可只对个别参数进行保护，以避免攻击者通过对请求的部分内容进行修改，篡改交易内容或注入恶意代码。（需提供功能截图或第三方机构出具的测试报告扫描件）</w:t>
            </w:r>
          </w:p>
        </w:tc>
      </w:tr>
      <w:tr w14:paraId="2F54CCC9">
        <w:tblPrEx>
          <w:tblCellMar>
            <w:top w:w="0" w:type="dxa"/>
            <w:left w:w="108" w:type="dxa"/>
            <w:bottom w:w="0" w:type="dxa"/>
            <w:right w:w="108" w:type="dxa"/>
          </w:tblCellMar>
        </w:tblPrEx>
        <w:trPr>
          <w:trHeight w:val="585" w:hRule="atLeast"/>
        </w:trPr>
        <w:tc>
          <w:tcPr>
            <w:tcW w:w="2042" w:type="dxa"/>
            <w:vMerge w:val="continue"/>
            <w:tcBorders>
              <w:top w:val="nil"/>
              <w:left w:val="single" w:color="auto" w:sz="8" w:space="0"/>
              <w:bottom w:val="single" w:color="000000" w:sz="8" w:space="0"/>
              <w:right w:val="single" w:color="auto" w:sz="8" w:space="0"/>
            </w:tcBorders>
            <w:vAlign w:val="center"/>
          </w:tcPr>
          <w:p w14:paraId="182ED98A">
            <w:pPr>
              <w:widowControl/>
              <w:jc w:val="left"/>
              <w:rPr>
                <w:rFonts w:ascii="宋体" w:hAnsi="宋体" w:cs="宋体"/>
                <w:color w:val="000000"/>
                <w:kern w:val="0"/>
                <w:szCs w:val="21"/>
              </w:rPr>
            </w:pPr>
          </w:p>
        </w:tc>
        <w:tc>
          <w:tcPr>
            <w:tcW w:w="6307" w:type="dxa"/>
            <w:tcBorders>
              <w:top w:val="nil"/>
              <w:left w:val="nil"/>
              <w:bottom w:val="single" w:color="auto" w:sz="8" w:space="0"/>
              <w:right w:val="single" w:color="auto" w:sz="8" w:space="0"/>
            </w:tcBorders>
            <w:shd w:val="clear" w:color="auto" w:fill="auto"/>
            <w:vAlign w:val="center"/>
          </w:tcPr>
          <w:p w14:paraId="5F05782D">
            <w:pPr>
              <w:widowControl/>
              <w:rPr>
                <w:rFonts w:ascii="宋体" w:hAnsi="宋体" w:cs="宋体"/>
                <w:color w:val="000000"/>
                <w:kern w:val="0"/>
                <w:szCs w:val="21"/>
              </w:rPr>
            </w:pPr>
            <w:r>
              <w:rPr>
                <w:rFonts w:hint="eastAsia" w:ascii="宋体" w:hAnsi="宋体" w:cs="宋体"/>
                <w:b w:val="0"/>
                <w:bCs w:val="0"/>
                <w:color w:val="000000"/>
                <w:kern w:val="0"/>
                <w:szCs w:val="21"/>
              </w:rPr>
              <w:t>2.2.6</w:t>
            </w:r>
            <w:r>
              <w:rPr>
                <w:rFonts w:hint="eastAsia" w:ascii="宋体" w:hAnsi="宋体" w:cs="宋体"/>
                <w:color w:val="000000"/>
                <w:kern w:val="0"/>
                <w:szCs w:val="21"/>
              </w:rPr>
              <w:t>管理员不需要手动配置策略指定需要保护的参数，以降低配置的复杂度和避免可能的安全隐患。</w:t>
            </w:r>
          </w:p>
        </w:tc>
      </w:tr>
      <w:tr w14:paraId="79830A07">
        <w:tblPrEx>
          <w:tblCellMar>
            <w:top w:w="0" w:type="dxa"/>
            <w:left w:w="108" w:type="dxa"/>
            <w:bottom w:w="0" w:type="dxa"/>
            <w:right w:w="108" w:type="dxa"/>
          </w:tblCellMar>
        </w:tblPrEx>
        <w:trPr>
          <w:trHeight w:val="870" w:hRule="atLeast"/>
        </w:trPr>
        <w:tc>
          <w:tcPr>
            <w:tcW w:w="2042" w:type="dxa"/>
            <w:vMerge w:val="continue"/>
            <w:tcBorders>
              <w:top w:val="nil"/>
              <w:left w:val="single" w:color="auto" w:sz="8" w:space="0"/>
              <w:bottom w:val="single" w:color="000000" w:sz="8" w:space="0"/>
              <w:right w:val="single" w:color="auto" w:sz="8" w:space="0"/>
            </w:tcBorders>
            <w:vAlign w:val="center"/>
          </w:tcPr>
          <w:p w14:paraId="25D507C6">
            <w:pPr>
              <w:widowControl/>
              <w:jc w:val="left"/>
              <w:rPr>
                <w:rFonts w:ascii="宋体" w:hAnsi="宋体" w:cs="宋体"/>
                <w:color w:val="000000"/>
                <w:kern w:val="0"/>
                <w:szCs w:val="21"/>
              </w:rPr>
            </w:pPr>
          </w:p>
        </w:tc>
        <w:tc>
          <w:tcPr>
            <w:tcW w:w="6307" w:type="dxa"/>
            <w:tcBorders>
              <w:top w:val="nil"/>
              <w:left w:val="nil"/>
              <w:bottom w:val="single" w:color="auto" w:sz="8" w:space="0"/>
              <w:right w:val="single" w:color="auto" w:sz="8" w:space="0"/>
            </w:tcBorders>
            <w:shd w:val="clear" w:color="auto" w:fill="auto"/>
            <w:vAlign w:val="center"/>
          </w:tcPr>
          <w:p w14:paraId="77D0CF92">
            <w:pPr>
              <w:widowControl/>
              <w:rPr>
                <w:rFonts w:ascii="宋体" w:hAnsi="宋体" w:cs="宋体"/>
                <w:color w:val="000000"/>
                <w:kern w:val="0"/>
                <w:szCs w:val="21"/>
              </w:rPr>
            </w:pPr>
            <w:r>
              <w:rPr>
                <w:rFonts w:hint="eastAsia" w:ascii="宋体" w:hAnsi="宋体" w:cs="宋体"/>
                <w:b/>
                <w:bCs/>
                <w:color w:val="FF0000"/>
                <w:kern w:val="0"/>
                <w:szCs w:val="21"/>
              </w:rPr>
              <w:t>▲2.2.7通过对当前访问页面内的合法请求授予在一定时间内有效的一次性令牌，可防止攻击者发出非法请求，有效抵御越权访问、网页后门及重放攻击等恶意行为。（需提供功能截图或第三方机构出具的测试报告扫描件）</w:t>
            </w:r>
          </w:p>
        </w:tc>
      </w:tr>
      <w:tr w14:paraId="07BBAA90">
        <w:tblPrEx>
          <w:tblCellMar>
            <w:top w:w="0" w:type="dxa"/>
            <w:left w:w="108" w:type="dxa"/>
            <w:bottom w:w="0" w:type="dxa"/>
            <w:right w:w="108" w:type="dxa"/>
          </w:tblCellMar>
        </w:tblPrEx>
        <w:trPr>
          <w:trHeight w:val="300" w:hRule="atLeast"/>
        </w:trPr>
        <w:tc>
          <w:tcPr>
            <w:tcW w:w="2042" w:type="dxa"/>
            <w:vMerge w:val="continue"/>
            <w:tcBorders>
              <w:top w:val="nil"/>
              <w:left w:val="single" w:color="auto" w:sz="8" w:space="0"/>
              <w:bottom w:val="single" w:color="000000" w:sz="8" w:space="0"/>
              <w:right w:val="single" w:color="auto" w:sz="8" w:space="0"/>
            </w:tcBorders>
            <w:vAlign w:val="center"/>
          </w:tcPr>
          <w:p w14:paraId="74D88A42">
            <w:pPr>
              <w:widowControl/>
              <w:jc w:val="left"/>
              <w:rPr>
                <w:rFonts w:ascii="宋体" w:hAnsi="宋体" w:cs="宋体"/>
                <w:color w:val="000000"/>
                <w:kern w:val="0"/>
                <w:szCs w:val="21"/>
              </w:rPr>
            </w:pPr>
          </w:p>
        </w:tc>
        <w:tc>
          <w:tcPr>
            <w:tcW w:w="6307" w:type="dxa"/>
            <w:tcBorders>
              <w:top w:val="nil"/>
              <w:left w:val="nil"/>
              <w:bottom w:val="single" w:color="auto" w:sz="8" w:space="0"/>
              <w:right w:val="single" w:color="auto" w:sz="8" w:space="0"/>
            </w:tcBorders>
            <w:shd w:val="clear" w:color="auto" w:fill="auto"/>
            <w:vAlign w:val="center"/>
          </w:tcPr>
          <w:p w14:paraId="4C2AE2CD">
            <w:pPr>
              <w:widowControl/>
              <w:rPr>
                <w:rFonts w:hint="eastAsia" w:ascii="宋体" w:hAnsi="宋体" w:cs="宋体"/>
                <w:color w:val="000000"/>
                <w:kern w:val="0"/>
                <w:szCs w:val="21"/>
              </w:rPr>
            </w:pPr>
            <w:r>
              <w:rPr>
                <w:rFonts w:hint="eastAsia" w:ascii="宋体" w:hAnsi="宋体" w:cs="宋体"/>
                <w:color w:val="000000"/>
                <w:kern w:val="0"/>
                <w:szCs w:val="21"/>
              </w:rPr>
              <w:t>2.2.8能够阻止开发者工具对网页代码进行调试。</w:t>
            </w:r>
          </w:p>
        </w:tc>
      </w:tr>
      <w:tr w14:paraId="5C420F24">
        <w:tblPrEx>
          <w:tblCellMar>
            <w:top w:w="0" w:type="dxa"/>
            <w:left w:w="108" w:type="dxa"/>
            <w:bottom w:w="0" w:type="dxa"/>
            <w:right w:w="108" w:type="dxa"/>
          </w:tblCellMar>
        </w:tblPrEx>
        <w:trPr>
          <w:trHeight w:val="870"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21EDE31B">
            <w:pPr>
              <w:widowControl/>
              <w:jc w:val="center"/>
              <w:rPr>
                <w:rFonts w:ascii="宋体" w:hAnsi="宋体" w:cs="宋体"/>
                <w:color w:val="000000"/>
                <w:kern w:val="0"/>
                <w:szCs w:val="21"/>
              </w:rPr>
            </w:pPr>
            <w:r>
              <w:rPr>
                <w:rFonts w:hint="eastAsia" w:ascii="宋体" w:hAnsi="宋体" w:cs="宋体"/>
                <w:color w:val="000000"/>
                <w:kern w:val="0"/>
                <w:szCs w:val="21"/>
              </w:rPr>
              <w:t>API资产列表展现</w:t>
            </w:r>
          </w:p>
        </w:tc>
        <w:tc>
          <w:tcPr>
            <w:tcW w:w="6307" w:type="dxa"/>
            <w:tcBorders>
              <w:top w:val="nil"/>
              <w:left w:val="nil"/>
              <w:bottom w:val="single" w:color="auto" w:sz="8" w:space="0"/>
              <w:right w:val="single" w:color="auto" w:sz="8" w:space="0"/>
            </w:tcBorders>
            <w:shd w:val="clear" w:color="auto" w:fill="auto"/>
            <w:vAlign w:val="center"/>
          </w:tcPr>
          <w:p w14:paraId="13CB1F91">
            <w:pPr>
              <w:widowControl/>
              <w:rPr>
                <w:rFonts w:hint="eastAsia" w:ascii="宋体" w:hAnsi="宋体" w:cs="宋体"/>
                <w:color w:val="000000"/>
                <w:kern w:val="0"/>
                <w:szCs w:val="21"/>
              </w:rPr>
            </w:pPr>
            <w:r>
              <w:rPr>
                <w:rFonts w:hint="eastAsia" w:ascii="宋体" w:hAnsi="宋体" w:cs="宋体"/>
                <w:color w:val="000000"/>
                <w:kern w:val="0"/>
                <w:szCs w:val="21"/>
              </w:rPr>
              <w:t>2.2.9自动展现已确认API及其详细信息，包括路径、域名、方法、名称、分组、状态、敏感信息类型、参数检测、操作等；支持根据路径、域名、方法、名称、分组进行升序、降序排列。</w:t>
            </w:r>
          </w:p>
        </w:tc>
      </w:tr>
      <w:tr w14:paraId="0081287C">
        <w:tblPrEx>
          <w:tblCellMar>
            <w:top w:w="0" w:type="dxa"/>
            <w:left w:w="108" w:type="dxa"/>
            <w:bottom w:w="0" w:type="dxa"/>
            <w:right w:w="108" w:type="dxa"/>
          </w:tblCellMar>
        </w:tblPrEx>
        <w:trPr>
          <w:trHeight w:val="870"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0B696095">
            <w:pPr>
              <w:widowControl/>
              <w:jc w:val="center"/>
              <w:rPr>
                <w:rFonts w:ascii="宋体" w:hAnsi="宋体" w:cs="宋体"/>
                <w:color w:val="000000"/>
                <w:kern w:val="0"/>
                <w:szCs w:val="21"/>
              </w:rPr>
            </w:pPr>
            <w:r>
              <w:rPr>
                <w:rFonts w:hint="eastAsia" w:ascii="宋体" w:hAnsi="宋体" w:cs="宋体"/>
                <w:color w:val="000000"/>
                <w:kern w:val="0"/>
                <w:szCs w:val="21"/>
              </w:rPr>
              <w:t>API列表信息配置</w:t>
            </w:r>
          </w:p>
        </w:tc>
        <w:tc>
          <w:tcPr>
            <w:tcW w:w="6307" w:type="dxa"/>
            <w:tcBorders>
              <w:top w:val="nil"/>
              <w:left w:val="nil"/>
              <w:bottom w:val="single" w:color="auto" w:sz="8" w:space="0"/>
              <w:right w:val="single" w:color="auto" w:sz="8" w:space="0"/>
            </w:tcBorders>
            <w:shd w:val="clear" w:color="auto" w:fill="auto"/>
            <w:vAlign w:val="center"/>
          </w:tcPr>
          <w:p w14:paraId="1DF773DE">
            <w:pPr>
              <w:widowControl/>
              <w:rPr>
                <w:rFonts w:hint="eastAsia" w:ascii="宋体" w:hAnsi="宋体" w:cs="宋体"/>
                <w:color w:val="000000"/>
                <w:kern w:val="0"/>
                <w:szCs w:val="21"/>
              </w:rPr>
            </w:pPr>
            <w:r>
              <w:rPr>
                <w:rFonts w:hint="eastAsia" w:ascii="宋体" w:hAnsi="宋体" w:cs="宋体"/>
                <w:color w:val="000000"/>
                <w:kern w:val="0"/>
                <w:szCs w:val="21"/>
              </w:rPr>
              <w:t>2.2.10能够对API信息进行添加、编辑、删除、忽略等操作；支持批量对API信息进行移动、删除、忽略等操作；支持对API信息进行批量导入和全部导出操作；支持对API信息进行上线、下线操作，支持批量上下线操作。</w:t>
            </w:r>
          </w:p>
        </w:tc>
      </w:tr>
      <w:tr w14:paraId="1B2DB4C1">
        <w:tblPrEx>
          <w:tblCellMar>
            <w:top w:w="0" w:type="dxa"/>
            <w:left w:w="108" w:type="dxa"/>
            <w:bottom w:w="0" w:type="dxa"/>
            <w:right w:w="108" w:type="dxa"/>
          </w:tblCellMar>
        </w:tblPrEx>
        <w:trPr>
          <w:trHeight w:val="2295"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3BF7B054">
            <w:pPr>
              <w:widowControl/>
              <w:jc w:val="center"/>
              <w:rPr>
                <w:rFonts w:ascii="宋体" w:hAnsi="宋体" w:cs="宋体"/>
                <w:color w:val="000000"/>
                <w:kern w:val="0"/>
                <w:szCs w:val="21"/>
              </w:rPr>
            </w:pPr>
            <w:r>
              <w:rPr>
                <w:rFonts w:hint="eastAsia" w:ascii="宋体" w:hAnsi="宋体" w:cs="宋体"/>
                <w:color w:val="000000"/>
                <w:kern w:val="0"/>
                <w:szCs w:val="21"/>
              </w:rPr>
              <w:t>API资产监控总览</w:t>
            </w:r>
          </w:p>
        </w:tc>
        <w:tc>
          <w:tcPr>
            <w:tcW w:w="6307" w:type="dxa"/>
            <w:tcBorders>
              <w:top w:val="nil"/>
              <w:left w:val="nil"/>
              <w:bottom w:val="single" w:color="auto" w:sz="8" w:space="0"/>
              <w:right w:val="single" w:color="auto" w:sz="8" w:space="0"/>
            </w:tcBorders>
            <w:shd w:val="clear" w:color="auto" w:fill="auto"/>
            <w:vAlign w:val="center"/>
          </w:tcPr>
          <w:p w14:paraId="2930BD48">
            <w:pPr>
              <w:widowControl/>
              <w:rPr>
                <w:rFonts w:ascii="宋体" w:hAnsi="宋体" w:cs="宋体"/>
                <w:b/>
                <w:bCs/>
                <w:color w:val="FF0000"/>
                <w:kern w:val="0"/>
                <w:szCs w:val="21"/>
              </w:rPr>
            </w:pPr>
            <w:r>
              <w:rPr>
                <w:rFonts w:hint="eastAsia" w:ascii="宋体" w:hAnsi="宋体" w:cs="宋体"/>
                <w:b/>
                <w:bCs/>
                <w:color w:val="FF0000"/>
                <w:kern w:val="0"/>
                <w:szCs w:val="21"/>
              </w:rPr>
              <w:t>▲2.2.11支持API异常事件监控，支持展示的监控信息包括API平均响应时间、API调用成功率、API峰值TPS、API峰值并发量、API接口数、API访问量、高危路径数、高危路径涉及请求数、已下线API访问量、API 资产风险等级、API路径评分分布、API 路径异常原因分布、API 站点调用TOP 10、API 路径调用TOP 10、API 来源IP TOP 10、路径访问量基线图、路径总流量基线、路径调取成功率基线图、路径响应时间基线图、API 路径异常事件；支持基于时间和自定义字段过滤API异常监控信息对API访问行为管控。（需提供功能截图或第三方机构出具的测试报告扫描件）</w:t>
            </w:r>
          </w:p>
        </w:tc>
      </w:tr>
      <w:tr w14:paraId="0F18214B">
        <w:tblPrEx>
          <w:tblCellMar>
            <w:top w:w="0" w:type="dxa"/>
            <w:left w:w="108" w:type="dxa"/>
            <w:bottom w:w="0" w:type="dxa"/>
            <w:right w:w="108" w:type="dxa"/>
          </w:tblCellMar>
        </w:tblPrEx>
        <w:trPr>
          <w:trHeight w:val="585"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563377F9">
            <w:pPr>
              <w:widowControl/>
              <w:jc w:val="center"/>
              <w:rPr>
                <w:rFonts w:ascii="宋体" w:hAnsi="宋体" w:cs="宋体"/>
                <w:color w:val="000000"/>
                <w:kern w:val="0"/>
                <w:szCs w:val="21"/>
              </w:rPr>
            </w:pPr>
            <w:r>
              <w:rPr>
                <w:rFonts w:hint="eastAsia" w:ascii="宋体" w:hAnsi="宋体" w:cs="宋体"/>
                <w:color w:val="000000"/>
                <w:kern w:val="0"/>
                <w:szCs w:val="21"/>
              </w:rPr>
              <w:t>API自动发现功能</w:t>
            </w:r>
          </w:p>
        </w:tc>
        <w:tc>
          <w:tcPr>
            <w:tcW w:w="6307" w:type="dxa"/>
            <w:tcBorders>
              <w:top w:val="nil"/>
              <w:left w:val="nil"/>
              <w:bottom w:val="single" w:color="auto" w:sz="8" w:space="0"/>
              <w:right w:val="single" w:color="auto" w:sz="8" w:space="0"/>
            </w:tcBorders>
            <w:shd w:val="clear" w:color="auto" w:fill="auto"/>
            <w:vAlign w:val="center"/>
          </w:tcPr>
          <w:p w14:paraId="149D3707">
            <w:pPr>
              <w:widowControl/>
              <w:rPr>
                <w:rFonts w:ascii="宋体" w:hAnsi="宋体" w:cs="宋体"/>
                <w:b/>
                <w:bCs/>
                <w:color w:val="FF0000"/>
                <w:kern w:val="0"/>
                <w:szCs w:val="21"/>
              </w:rPr>
            </w:pPr>
            <w:r>
              <w:rPr>
                <w:rFonts w:hint="eastAsia" w:ascii="宋体" w:hAnsi="宋体" w:cs="宋体"/>
                <w:b/>
                <w:bCs/>
                <w:color w:val="FF0000"/>
                <w:kern w:val="0"/>
                <w:szCs w:val="21"/>
              </w:rPr>
              <w:t>▲2.2.12自动发现所保护应用的API请求，支持API自动发现监控。（需提供功能截图或第三方机构出具的测试报告扫描件）</w:t>
            </w:r>
          </w:p>
        </w:tc>
      </w:tr>
      <w:tr w14:paraId="2A084CA9">
        <w:tblPrEx>
          <w:tblCellMar>
            <w:top w:w="0" w:type="dxa"/>
            <w:left w:w="108" w:type="dxa"/>
            <w:bottom w:w="0" w:type="dxa"/>
            <w:right w:w="108" w:type="dxa"/>
          </w:tblCellMar>
        </w:tblPrEx>
        <w:trPr>
          <w:trHeight w:val="1155"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481014A8">
            <w:pPr>
              <w:widowControl/>
              <w:jc w:val="center"/>
              <w:rPr>
                <w:rFonts w:ascii="宋体" w:hAnsi="宋体" w:cs="宋体"/>
                <w:color w:val="000000"/>
                <w:kern w:val="0"/>
                <w:szCs w:val="21"/>
              </w:rPr>
            </w:pPr>
            <w:r>
              <w:rPr>
                <w:rFonts w:hint="eastAsia" w:ascii="宋体" w:hAnsi="宋体" w:cs="宋体"/>
                <w:color w:val="000000"/>
                <w:kern w:val="0"/>
                <w:szCs w:val="21"/>
              </w:rPr>
              <w:t>支持对API运行情况进行监控与告警</w:t>
            </w:r>
          </w:p>
        </w:tc>
        <w:tc>
          <w:tcPr>
            <w:tcW w:w="6307" w:type="dxa"/>
            <w:tcBorders>
              <w:top w:val="nil"/>
              <w:left w:val="nil"/>
              <w:bottom w:val="single" w:color="auto" w:sz="8" w:space="0"/>
              <w:right w:val="single" w:color="auto" w:sz="8" w:space="0"/>
            </w:tcBorders>
            <w:shd w:val="clear" w:color="auto" w:fill="auto"/>
            <w:vAlign w:val="center"/>
          </w:tcPr>
          <w:p w14:paraId="6E92306E">
            <w:pPr>
              <w:widowControl/>
              <w:rPr>
                <w:rFonts w:ascii="宋体" w:hAnsi="宋体" w:cs="宋体"/>
                <w:b/>
                <w:bCs/>
                <w:color w:val="FF0000"/>
                <w:kern w:val="0"/>
                <w:szCs w:val="21"/>
              </w:rPr>
            </w:pPr>
            <w:r>
              <w:rPr>
                <w:rFonts w:hint="eastAsia" w:ascii="宋体" w:hAnsi="宋体" w:cs="宋体"/>
                <w:b/>
                <w:bCs/>
                <w:color w:val="FF0000"/>
                <w:kern w:val="0"/>
                <w:szCs w:val="21"/>
              </w:rPr>
              <w:t>▲2.2.13支持展示API统计信息，包括API访问量、API接口数高位路径数、API WAF事件数、API来源异常告警数、API敏感信息泄露事件数、API非法参数请求数、API来源IP TOP 10、API路径调用TOP 10等；支持基于时间和自定义字段过滤API统计信息。（需提供功能截图或第三方机构出具的测试报告扫描件）</w:t>
            </w:r>
          </w:p>
        </w:tc>
      </w:tr>
      <w:tr w14:paraId="13C57F63">
        <w:tblPrEx>
          <w:tblCellMar>
            <w:top w:w="0" w:type="dxa"/>
            <w:left w:w="108" w:type="dxa"/>
            <w:bottom w:w="0" w:type="dxa"/>
            <w:right w:w="108" w:type="dxa"/>
          </w:tblCellMar>
        </w:tblPrEx>
        <w:trPr>
          <w:trHeight w:val="1440"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0AF0615C">
            <w:pPr>
              <w:widowControl/>
              <w:jc w:val="center"/>
              <w:rPr>
                <w:rFonts w:ascii="宋体" w:hAnsi="宋体" w:cs="宋体"/>
                <w:color w:val="000000"/>
                <w:kern w:val="0"/>
                <w:szCs w:val="21"/>
              </w:rPr>
            </w:pPr>
            <w:r>
              <w:rPr>
                <w:rFonts w:hint="eastAsia" w:ascii="宋体" w:hAnsi="宋体" w:cs="宋体"/>
                <w:color w:val="000000"/>
                <w:kern w:val="0"/>
                <w:szCs w:val="21"/>
              </w:rPr>
              <w:t>具备API敏感数据识别功能</w:t>
            </w:r>
          </w:p>
        </w:tc>
        <w:tc>
          <w:tcPr>
            <w:tcW w:w="6307" w:type="dxa"/>
            <w:tcBorders>
              <w:top w:val="nil"/>
              <w:left w:val="nil"/>
              <w:bottom w:val="single" w:color="auto" w:sz="8" w:space="0"/>
              <w:right w:val="single" w:color="auto" w:sz="8" w:space="0"/>
            </w:tcBorders>
            <w:shd w:val="clear" w:color="auto" w:fill="auto"/>
            <w:vAlign w:val="center"/>
          </w:tcPr>
          <w:p w14:paraId="007F6C7F">
            <w:pPr>
              <w:widowControl/>
              <w:rPr>
                <w:rFonts w:ascii="宋体" w:hAnsi="宋体" w:cs="宋体"/>
                <w:b/>
                <w:bCs/>
                <w:color w:val="FF0000"/>
                <w:kern w:val="0"/>
                <w:szCs w:val="21"/>
              </w:rPr>
            </w:pPr>
            <w:r>
              <w:rPr>
                <w:rFonts w:hint="eastAsia" w:ascii="宋体" w:hAnsi="宋体" w:cs="宋体"/>
                <w:b/>
                <w:bCs/>
                <w:color w:val="FF0000"/>
                <w:kern w:val="0"/>
                <w:szCs w:val="21"/>
              </w:rPr>
              <w:t>▲2.2.14监测API接口的响应中是否存在隐私泄露的风险，支持API敏感信息监控。支持敏感信息类型：支持内置敏感信息类型库，内置常见的敏感信息类型，包括姓名、身份证、地址、手机号、座机号、银行卡号、信用卡号、电子邮箱、IPV4、IPV6、MAC地址、IMEI、等，支持新建自定义敏感信息类型。（需提供功能截图或第三方机构出具的测试报告扫描件）</w:t>
            </w:r>
          </w:p>
        </w:tc>
      </w:tr>
      <w:tr w14:paraId="43ADD6B7">
        <w:tblPrEx>
          <w:tblCellMar>
            <w:top w:w="0" w:type="dxa"/>
            <w:left w:w="108" w:type="dxa"/>
            <w:bottom w:w="0" w:type="dxa"/>
            <w:right w:w="108" w:type="dxa"/>
          </w:tblCellMar>
        </w:tblPrEx>
        <w:trPr>
          <w:trHeight w:val="870"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5BCD0E86">
            <w:pPr>
              <w:widowControl/>
              <w:jc w:val="center"/>
              <w:rPr>
                <w:rFonts w:ascii="宋体" w:hAnsi="宋体" w:cs="宋体"/>
                <w:color w:val="000000"/>
                <w:kern w:val="0"/>
                <w:szCs w:val="21"/>
              </w:rPr>
            </w:pPr>
            <w:r>
              <w:rPr>
                <w:rFonts w:hint="eastAsia" w:ascii="宋体" w:hAnsi="宋体" w:cs="宋体"/>
                <w:color w:val="000000"/>
                <w:kern w:val="0"/>
                <w:szCs w:val="21"/>
              </w:rPr>
              <w:t>具备API敏感数据过滤和防护功能</w:t>
            </w:r>
          </w:p>
        </w:tc>
        <w:tc>
          <w:tcPr>
            <w:tcW w:w="6307" w:type="dxa"/>
            <w:tcBorders>
              <w:top w:val="nil"/>
              <w:left w:val="nil"/>
              <w:bottom w:val="single" w:color="auto" w:sz="8" w:space="0"/>
              <w:right w:val="single" w:color="auto" w:sz="8" w:space="0"/>
            </w:tcBorders>
            <w:shd w:val="clear" w:color="auto" w:fill="auto"/>
            <w:vAlign w:val="center"/>
          </w:tcPr>
          <w:p w14:paraId="633C111D">
            <w:pPr>
              <w:widowControl/>
              <w:rPr>
                <w:rFonts w:hint="eastAsia" w:ascii="宋体" w:hAnsi="宋体" w:cs="宋体"/>
                <w:color w:val="000000"/>
                <w:kern w:val="0"/>
                <w:szCs w:val="21"/>
              </w:rPr>
            </w:pPr>
            <w:r>
              <w:rPr>
                <w:rFonts w:hint="eastAsia" w:ascii="宋体" w:hAnsi="宋体" w:cs="宋体"/>
                <w:color w:val="000000"/>
                <w:kern w:val="0"/>
                <w:szCs w:val="21"/>
              </w:rPr>
              <w:t>2.2.15监测API接口的响应中是否存在隐私泄露的风险，并可对敏感信息做脱敏处理。支持脱敏策略：内置初始化脱敏策略，支持依据场景自定义脱敏策略，支持设置脱敏信息位数。</w:t>
            </w:r>
          </w:p>
        </w:tc>
      </w:tr>
      <w:tr w14:paraId="0DD3D672">
        <w:tblPrEx>
          <w:tblCellMar>
            <w:top w:w="0" w:type="dxa"/>
            <w:left w:w="108" w:type="dxa"/>
            <w:bottom w:w="0" w:type="dxa"/>
            <w:right w:w="108" w:type="dxa"/>
          </w:tblCellMar>
        </w:tblPrEx>
        <w:trPr>
          <w:trHeight w:val="90"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48FB1A20">
            <w:pPr>
              <w:widowControl/>
              <w:jc w:val="center"/>
              <w:rPr>
                <w:rFonts w:ascii="宋体" w:hAnsi="宋体" w:cs="宋体"/>
                <w:color w:val="000000"/>
                <w:kern w:val="0"/>
                <w:szCs w:val="21"/>
              </w:rPr>
            </w:pPr>
            <w:r>
              <w:rPr>
                <w:rFonts w:hint="eastAsia" w:ascii="宋体" w:hAnsi="宋体" w:cs="宋体"/>
                <w:color w:val="000000"/>
                <w:kern w:val="0"/>
                <w:szCs w:val="21"/>
              </w:rPr>
              <w:t>支持API敏感信息监控</w:t>
            </w:r>
          </w:p>
        </w:tc>
        <w:tc>
          <w:tcPr>
            <w:tcW w:w="6307" w:type="dxa"/>
            <w:tcBorders>
              <w:top w:val="nil"/>
              <w:left w:val="nil"/>
              <w:bottom w:val="single" w:color="auto" w:sz="8" w:space="0"/>
              <w:right w:val="single" w:color="auto" w:sz="8" w:space="0"/>
            </w:tcBorders>
            <w:shd w:val="clear" w:color="auto" w:fill="auto"/>
            <w:vAlign w:val="center"/>
          </w:tcPr>
          <w:p w14:paraId="548218A6">
            <w:pPr>
              <w:widowControl/>
              <w:rPr>
                <w:rFonts w:hint="eastAsia" w:ascii="宋体" w:hAnsi="宋体" w:cs="宋体"/>
                <w:color w:val="000000"/>
                <w:kern w:val="0"/>
                <w:szCs w:val="21"/>
              </w:rPr>
            </w:pPr>
            <w:r>
              <w:rPr>
                <w:rFonts w:hint="eastAsia" w:ascii="宋体" w:hAnsi="宋体" w:cs="宋体"/>
                <w:color w:val="000000"/>
                <w:kern w:val="0"/>
                <w:szCs w:val="21"/>
              </w:rPr>
              <w:t>2.2.16支持展示的监控信息包括API 敏感信息泄露事件数、API 敏感信息泄露相关路径数、API 敏感信息泄露已脱敏事件数、API 敏感信息泄露来源数、API 敏感信息泄露来源城市、API 信息泄露时间趋势图、API 敏感信息泄露类型、API 敏感信息泄露站点分布、API敏感信息泄露相关路径TOP 10、API敏感信息状态码分布、API 敏感信息泄露来源IP TOP 10、API 敏感信息泄露来源指纹 TOP 10、API 敏感信息泄露来源账号 TOP 10、API 敏感信息泄露来源浏览器分布、API 敏感信息泄露详情；支持基于时间和自定义字段过滤API敏感信息监控内容。</w:t>
            </w:r>
          </w:p>
        </w:tc>
      </w:tr>
      <w:tr w14:paraId="6F89B47F">
        <w:tblPrEx>
          <w:tblCellMar>
            <w:top w:w="0" w:type="dxa"/>
            <w:left w:w="108" w:type="dxa"/>
            <w:bottom w:w="0" w:type="dxa"/>
            <w:right w:w="108" w:type="dxa"/>
          </w:tblCellMar>
        </w:tblPrEx>
        <w:trPr>
          <w:trHeight w:val="870"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7A3FF08A">
            <w:pPr>
              <w:widowControl/>
              <w:jc w:val="center"/>
              <w:rPr>
                <w:rFonts w:ascii="宋体" w:hAnsi="宋体" w:cs="宋体"/>
                <w:color w:val="000000"/>
                <w:kern w:val="0"/>
                <w:szCs w:val="21"/>
              </w:rPr>
            </w:pPr>
            <w:r>
              <w:rPr>
                <w:rFonts w:hint="eastAsia" w:ascii="宋体" w:hAnsi="宋体" w:cs="宋体"/>
                <w:color w:val="000000"/>
                <w:kern w:val="0"/>
                <w:szCs w:val="21"/>
              </w:rPr>
              <w:t>API安全防护</w:t>
            </w:r>
          </w:p>
        </w:tc>
        <w:tc>
          <w:tcPr>
            <w:tcW w:w="6307" w:type="dxa"/>
            <w:tcBorders>
              <w:top w:val="nil"/>
              <w:left w:val="nil"/>
              <w:bottom w:val="single" w:color="auto" w:sz="8" w:space="0"/>
              <w:right w:val="single" w:color="auto" w:sz="8" w:space="0"/>
            </w:tcBorders>
            <w:shd w:val="clear" w:color="auto" w:fill="auto"/>
            <w:vAlign w:val="center"/>
          </w:tcPr>
          <w:p w14:paraId="7B54AFC3">
            <w:pPr>
              <w:widowControl/>
              <w:rPr>
                <w:rFonts w:ascii="宋体" w:hAnsi="宋体" w:cs="宋体"/>
                <w:color w:val="000000"/>
                <w:kern w:val="0"/>
                <w:szCs w:val="21"/>
              </w:rPr>
            </w:pPr>
            <w:r>
              <w:rPr>
                <w:rFonts w:hint="eastAsia" w:ascii="宋体" w:hAnsi="宋体" w:cs="宋体"/>
                <w:b/>
                <w:bCs/>
                <w:color w:val="FF0000"/>
                <w:kern w:val="0"/>
                <w:szCs w:val="21"/>
              </w:rPr>
              <w:t>▲2.2.17支持防护API攻击，支持攻击类型包括跨站监本攻击、SQL注入攻击、命令注入攻击、扫描工具和爬虫攻击等。（需提供功能截图或第三方机构出具的测试报告扫描件）</w:t>
            </w:r>
          </w:p>
        </w:tc>
      </w:tr>
      <w:tr w14:paraId="001C3471">
        <w:tblPrEx>
          <w:tblCellMar>
            <w:top w:w="0" w:type="dxa"/>
            <w:left w:w="108" w:type="dxa"/>
            <w:bottom w:w="0" w:type="dxa"/>
            <w:right w:w="108" w:type="dxa"/>
          </w:tblCellMar>
        </w:tblPrEx>
        <w:trPr>
          <w:trHeight w:val="90"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1E7BA4F7">
            <w:pPr>
              <w:widowControl/>
              <w:jc w:val="center"/>
              <w:rPr>
                <w:rFonts w:ascii="宋体" w:hAnsi="宋体" w:cs="宋体"/>
                <w:color w:val="000000"/>
                <w:kern w:val="0"/>
                <w:szCs w:val="21"/>
              </w:rPr>
            </w:pPr>
            <w:r>
              <w:rPr>
                <w:rFonts w:hint="eastAsia" w:ascii="宋体" w:hAnsi="宋体" w:cs="宋体"/>
                <w:color w:val="000000"/>
                <w:kern w:val="0"/>
                <w:szCs w:val="21"/>
              </w:rPr>
              <w:t>API WAF事件监控</w:t>
            </w:r>
          </w:p>
        </w:tc>
        <w:tc>
          <w:tcPr>
            <w:tcW w:w="6307" w:type="dxa"/>
            <w:tcBorders>
              <w:top w:val="nil"/>
              <w:left w:val="nil"/>
              <w:bottom w:val="single" w:color="auto" w:sz="8" w:space="0"/>
              <w:right w:val="single" w:color="auto" w:sz="8" w:space="0"/>
            </w:tcBorders>
            <w:shd w:val="clear" w:color="auto" w:fill="auto"/>
            <w:vAlign w:val="center"/>
          </w:tcPr>
          <w:p w14:paraId="4B735856">
            <w:pPr>
              <w:widowControl/>
              <w:rPr>
                <w:rFonts w:hint="eastAsia" w:ascii="宋体" w:hAnsi="宋体" w:cs="宋体"/>
                <w:color w:val="000000"/>
                <w:kern w:val="0"/>
                <w:szCs w:val="21"/>
              </w:rPr>
            </w:pPr>
            <w:r>
              <w:rPr>
                <w:rFonts w:hint="eastAsia" w:ascii="宋体" w:hAnsi="宋体" w:cs="宋体"/>
                <w:color w:val="000000"/>
                <w:kern w:val="0"/>
                <w:szCs w:val="21"/>
              </w:rPr>
              <w:t>2.2.18支持API WAF事件监控，支持展示的监控信息包括API WAF事件数、API WAF事件来源数、API WAF事件风险等级分布、API WAF事件时间趋势、API WAF事件TOP 10 IP、API WAF事件TOP 10 路径、API WAF事件站点分布、API WAF事件详情等；支持基于时间和自定义字段过滤API WAF事件信息。</w:t>
            </w:r>
          </w:p>
        </w:tc>
      </w:tr>
      <w:tr w14:paraId="3465E818">
        <w:tblPrEx>
          <w:tblCellMar>
            <w:top w:w="0" w:type="dxa"/>
            <w:left w:w="108" w:type="dxa"/>
            <w:bottom w:w="0" w:type="dxa"/>
            <w:right w:w="108" w:type="dxa"/>
          </w:tblCellMar>
        </w:tblPrEx>
        <w:trPr>
          <w:trHeight w:val="585"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374FC460">
            <w:pPr>
              <w:widowControl/>
              <w:jc w:val="center"/>
              <w:rPr>
                <w:rFonts w:ascii="宋体" w:hAnsi="宋体" w:cs="宋体"/>
                <w:color w:val="000000"/>
                <w:kern w:val="0"/>
                <w:szCs w:val="21"/>
              </w:rPr>
            </w:pPr>
            <w:r>
              <w:rPr>
                <w:rFonts w:hint="eastAsia" w:ascii="宋体" w:hAnsi="宋体" w:cs="宋体"/>
                <w:color w:val="000000"/>
                <w:kern w:val="0"/>
                <w:szCs w:val="21"/>
              </w:rPr>
              <w:t>自动化漏洞扫描</w:t>
            </w:r>
          </w:p>
        </w:tc>
        <w:tc>
          <w:tcPr>
            <w:tcW w:w="6307" w:type="dxa"/>
            <w:tcBorders>
              <w:top w:val="nil"/>
              <w:left w:val="nil"/>
              <w:bottom w:val="single" w:color="auto" w:sz="8" w:space="0"/>
              <w:right w:val="single" w:color="auto" w:sz="8" w:space="0"/>
            </w:tcBorders>
            <w:shd w:val="clear" w:color="auto" w:fill="auto"/>
            <w:vAlign w:val="center"/>
          </w:tcPr>
          <w:p w14:paraId="2F3C181E">
            <w:pPr>
              <w:widowControl/>
              <w:rPr>
                <w:rFonts w:hint="eastAsia" w:ascii="宋体" w:hAnsi="宋体" w:cs="宋体"/>
                <w:color w:val="000000"/>
                <w:kern w:val="0"/>
                <w:szCs w:val="21"/>
              </w:rPr>
            </w:pPr>
            <w:r>
              <w:rPr>
                <w:rFonts w:hint="eastAsia" w:ascii="宋体" w:hAnsi="宋体" w:cs="宋体"/>
                <w:color w:val="000000"/>
                <w:kern w:val="0"/>
                <w:szCs w:val="21"/>
              </w:rPr>
              <w:t>2.2.19通过对可攻击点的动态隐藏，自动化工具无法获得攻击入口，可有效防止各类已知与未知漏洞的自动化扫描工具。</w:t>
            </w:r>
          </w:p>
        </w:tc>
      </w:tr>
      <w:tr w14:paraId="6D2236D9">
        <w:tblPrEx>
          <w:tblCellMar>
            <w:top w:w="0" w:type="dxa"/>
            <w:left w:w="108" w:type="dxa"/>
            <w:bottom w:w="0" w:type="dxa"/>
            <w:right w:w="108" w:type="dxa"/>
          </w:tblCellMar>
        </w:tblPrEx>
        <w:trPr>
          <w:trHeight w:val="870"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75E0FBB5">
            <w:pPr>
              <w:widowControl/>
              <w:jc w:val="center"/>
              <w:rPr>
                <w:rFonts w:ascii="宋体" w:hAnsi="宋体" w:cs="宋体"/>
                <w:color w:val="000000"/>
                <w:kern w:val="0"/>
                <w:szCs w:val="21"/>
              </w:rPr>
            </w:pPr>
            <w:r>
              <w:rPr>
                <w:rFonts w:hint="eastAsia" w:ascii="宋体" w:hAnsi="宋体" w:cs="宋体"/>
                <w:color w:val="000000"/>
                <w:kern w:val="0"/>
                <w:szCs w:val="21"/>
              </w:rPr>
              <w:t>自动化模拟操作</w:t>
            </w:r>
          </w:p>
        </w:tc>
        <w:tc>
          <w:tcPr>
            <w:tcW w:w="6307" w:type="dxa"/>
            <w:tcBorders>
              <w:top w:val="nil"/>
              <w:left w:val="nil"/>
              <w:bottom w:val="single" w:color="auto" w:sz="8" w:space="0"/>
              <w:right w:val="single" w:color="auto" w:sz="8" w:space="0"/>
            </w:tcBorders>
            <w:shd w:val="clear" w:color="auto" w:fill="auto"/>
            <w:vAlign w:val="center"/>
          </w:tcPr>
          <w:p w14:paraId="7ED991F6">
            <w:pPr>
              <w:widowControl/>
              <w:rPr>
                <w:rFonts w:hint="eastAsia" w:ascii="宋体" w:hAnsi="宋体" w:cs="宋体"/>
                <w:color w:val="000000"/>
                <w:kern w:val="0"/>
                <w:szCs w:val="21"/>
              </w:rPr>
            </w:pPr>
            <w:r>
              <w:rPr>
                <w:rFonts w:hint="eastAsia" w:ascii="宋体" w:hAnsi="宋体" w:cs="宋体"/>
                <w:color w:val="000000"/>
                <w:kern w:val="0"/>
                <w:szCs w:val="21"/>
              </w:rPr>
              <w:t>2.2.20可防止攻击者通过自动化模拟操作，进行批量建立虚假帐号、盗用帐号、交易欺诈、操纵评价或其它恶意操作行为，不论是单一来源的高频请求或是多来源的低频请求均需能防护。</w:t>
            </w:r>
          </w:p>
        </w:tc>
      </w:tr>
      <w:tr w14:paraId="40AE8CDF">
        <w:tblPrEx>
          <w:tblCellMar>
            <w:top w:w="0" w:type="dxa"/>
            <w:left w:w="108" w:type="dxa"/>
            <w:bottom w:w="0" w:type="dxa"/>
            <w:right w:w="108" w:type="dxa"/>
          </w:tblCellMar>
        </w:tblPrEx>
        <w:trPr>
          <w:trHeight w:val="585"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553D6C20">
            <w:pPr>
              <w:widowControl/>
              <w:jc w:val="center"/>
              <w:rPr>
                <w:rFonts w:ascii="宋体" w:hAnsi="宋体" w:cs="宋体"/>
                <w:color w:val="000000"/>
                <w:kern w:val="0"/>
                <w:szCs w:val="21"/>
              </w:rPr>
            </w:pPr>
            <w:r>
              <w:rPr>
                <w:rFonts w:hint="eastAsia" w:ascii="宋体" w:hAnsi="宋体" w:cs="宋体"/>
                <w:color w:val="000000"/>
                <w:kern w:val="0"/>
                <w:szCs w:val="21"/>
              </w:rPr>
              <w:t>自动化内容搜刮</w:t>
            </w:r>
          </w:p>
        </w:tc>
        <w:tc>
          <w:tcPr>
            <w:tcW w:w="6307" w:type="dxa"/>
            <w:tcBorders>
              <w:top w:val="nil"/>
              <w:left w:val="nil"/>
              <w:bottom w:val="single" w:color="auto" w:sz="8" w:space="0"/>
              <w:right w:val="single" w:color="auto" w:sz="8" w:space="0"/>
            </w:tcBorders>
            <w:shd w:val="clear" w:color="auto" w:fill="auto"/>
            <w:vAlign w:val="center"/>
          </w:tcPr>
          <w:p w14:paraId="1E8993A2">
            <w:pPr>
              <w:widowControl/>
              <w:rPr>
                <w:rFonts w:hint="eastAsia" w:ascii="宋体" w:hAnsi="宋体" w:cs="宋体"/>
                <w:color w:val="000000"/>
                <w:kern w:val="0"/>
                <w:szCs w:val="21"/>
              </w:rPr>
            </w:pPr>
            <w:r>
              <w:rPr>
                <w:rFonts w:hint="eastAsia" w:ascii="宋体" w:hAnsi="宋体" w:cs="宋体"/>
                <w:color w:val="000000"/>
                <w:kern w:val="0"/>
                <w:szCs w:val="21"/>
              </w:rPr>
              <w:t>2.2.21防止攻击者通过爬虫或自动化工具，搜刮服务器上的数据或敏感信息，不论是单一来源的高频请求或是多来源的低频请求均需能防护。</w:t>
            </w:r>
          </w:p>
        </w:tc>
      </w:tr>
      <w:tr w14:paraId="64762DB3">
        <w:tblPrEx>
          <w:tblCellMar>
            <w:top w:w="0" w:type="dxa"/>
            <w:left w:w="108" w:type="dxa"/>
            <w:bottom w:w="0" w:type="dxa"/>
            <w:right w:w="108" w:type="dxa"/>
          </w:tblCellMar>
        </w:tblPrEx>
        <w:trPr>
          <w:trHeight w:val="585"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51C3BC9D">
            <w:pPr>
              <w:widowControl/>
              <w:jc w:val="center"/>
              <w:rPr>
                <w:rFonts w:ascii="宋体" w:hAnsi="宋体" w:cs="宋体"/>
                <w:color w:val="000000"/>
                <w:kern w:val="0"/>
                <w:szCs w:val="21"/>
              </w:rPr>
            </w:pPr>
            <w:r>
              <w:rPr>
                <w:rFonts w:hint="eastAsia" w:ascii="宋体" w:hAnsi="宋体" w:cs="宋体"/>
                <w:color w:val="000000"/>
                <w:kern w:val="0"/>
                <w:szCs w:val="21"/>
              </w:rPr>
              <w:t>自动化暴力破解</w:t>
            </w:r>
          </w:p>
        </w:tc>
        <w:tc>
          <w:tcPr>
            <w:tcW w:w="6307" w:type="dxa"/>
            <w:tcBorders>
              <w:top w:val="nil"/>
              <w:left w:val="nil"/>
              <w:bottom w:val="single" w:color="auto" w:sz="8" w:space="0"/>
              <w:right w:val="single" w:color="auto" w:sz="8" w:space="0"/>
            </w:tcBorders>
            <w:shd w:val="clear" w:color="auto" w:fill="auto"/>
            <w:vAlign w:val="center"/>
          </w:tcPr>
          <w:p w14:paraId="109FA9C9">
            <w:pPr>
              <w:widowControl/>
              <w:rPr>
                <w:rFonts w:hint="eastAsia" w:ascii="宋体" w:hAnsi="宋体" w:cs="宋体"/>
                <w:color w:val="000000"/>
                <w:kern w:val="0"/>
                <w:szCs w:val="21"/>
              </w:rPr>
            </w:pPr>
            <w:r>
              <w:rPr>
                <w:rFonts w:hint="eastAsia" w:ascii="宋体" w:hAnsi="宋体" w:cs="宋体"/>
                <w:color w:val="000000"/>
                <w:kern w:val="0"/>
                <w:szCs w:val="21"/>
              </w:rPr>
              <w:t>2.2.22可防止攻击者通过自动化程序，暴力破解或猜测敏感数据，不论是单一来源的高频请求或是多来源的低频请求均需能防护。</w:t>
            </w:r>
          </w:p>
        </w:tc>
      </w:tr>
      <w:tr w14:paraId="50A97011">
        <w:tblPrEx>
          <w:tblCellMar>
            <w:top w:w="0" w:type="dxa"/>
            <w:left w:w="108" w:type="dxa"/>
            <w:bottom w:w="0" w:type="dxa"/>
            <w:right w:w="108" w:type="dxa"/>
          </w:tblCellMar>
        </w:tblPrEx>
        <w:trPr>
          <w:trHeight w:val="300"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0E17DDC4">
            <w:pPr>
              <w:widowControl/>
              <w:jc w:val="center"/>
              <w:rPr>
                <w:rFonts w:ascii="宋体" w:hAnsi="宋体" w:cs="宋体"/>
                <w:color w:val="000000"/>
                <w:kern w:val="0"/>
                <w:szCs w:val="21"/>
              </w:rPr>
            </w:pPr>
            <w:r>
              <w:rPr>
                <w:rFonts w:hint="eastAsia" w:ascii="宋体" w:hAnsi="宋体" w:cs="宋体"/>
                <w:color w:val="000000"/>
                <w:kern w:val="0"/>
                <w:szCs w:val="21"/>
              </w:rPr>
              <w:t>重放攻击</w:t>
            </w:r>
          </w:p>
        </w:tc>
        <w:tc>
          <w:tcPr>
            <w:tcW w:w="6307" w:type="dxa"/>
            <w:tcBorders>
              <w:top w:val="nil"/>
              <w:left w:val="nil"/>
              <w:bottom w:val="single" w:color="auto" w:sz="8" w:space="0"/>
              <w:right w:val="single" w:color="auto" w:sz="8" w:space="0"/>
            </w:tcBorders>
            <w:shd w:val="clear" w:color="auto" w:fill="auto"/>
            <w:vAlign w:val="center"/>
          </w:tcPr>
          <w:p w14:paraId="4B2CCF75">
            <w:pPr>
              <w:widowControl/>
              <w:rPr>
                <w:rFonts w:hint="eastAsia" w:ascii="宋体" w:hAnsi="宋体" w:cs="宋体"/>
                <w:color w:val="000000"/>
                <w:kern w:val="0"/>
                <w:szCs w:val="21"/>
              </w:rPr>
            </w:pPr>
            <w:r>
              <w:rPr>
                <w:rFonts w:hint="eastAsia" w:ascii="宋体" w:hAnsi="宋体" w:cs="宋体"/>
                <w:color w:val="000000"/>
                <w:kern w:val="0"/>
                <w:szCs w:val="21"/>
              </w:rPr>
              <w:t>2.2.23可防止攻击者重放先前的交易内容，形成虚假交易或破坏后台数据的完整性。</w:t>
            </w:r>
          </w:p>
        </w:tc>
      </w:tr>
      <w:tr w14:paraId="0B033F16">
        <w:tblPrEx>
          <w:tblCellMar>
            <w:top w:w="0" w:type="dxa"/>
            <w:left w:w="108" w:type="dxa"/>
            <w:bottom w:w="0" w:type="dxa"/>
            <w:right w:w="108" w:type="dxa"/>
          </w:tblCellMar>
        </w:tblPrEx>
        <w:trPr>
          <w:trHeight w:val="585" w:hRule="atLeast"/>
        </w:trPr>
        <w:tc>
          <w:tcPr>
            <w:tcW w:w="2042" w:type="dxa"/>
            <w:tcBorders>
              <w:top w:val="nil"/>
              <w:left w:val="single" w:color="auto" w:sz="8" w:space="0"/>
              <w:bottom w:val="single" w:color="auto" w:sz="8" w:space="0"/>
              <w:right w:val="single" w:color="auto" w:sz="8" w:space="0"/>
            </w:tcBorders>
            <w:shd w:val="clear" w:color="auto" w:fill="auto"/>
            <w:vAlign w:val="center"/>
          </w:tcPr>
          <w:p w14:paraId="6A27684B">
            <w:pPr>
              <w:widowControl/>
              <w:jc w:val="center"/>
              <w:rPr>
                <w:rFonts w:ascii="宋体" w:hAnsi="宋体" w:cs="宋体"/>
                <w:color w:val="000000"/>
                <w:kern w:val="0"/>
                <w:szCs w:val="21"/>
              </w:rPr>
            </w:pPr>
            <w:r>
              <w:rPr>
                <w:rFonts w:hint="eastAsia" w:ascii="宋体" w:hAnsi="宋体" w:cs="宋体"/>
                <w:color w:val="000000"/>
                <w:kern w:val="0"/>
                <w:szCs w:val="21"/>
              </w:rPr>
              <w:t>集群和高可用</w:t>
            </w:r>
          </w:p>
        </w:tc>
        <w:tc>
          <w:tcPr>
            <w:tcW w:w="6307" w:type="dxa"/>
            <w:tcBorders>
              <w:top w:val="nil"/>
              <w:left w:val="nil"/>
              <w:bottom w:val="single" w:color="auto" w:sz="8" w:space="0"/>
              <w:right w:val="single" w:color="auto" w:sz="8" w:space="0"/>
            </w:tcBorders>
            <w:shd w:val="clear" w:color="auto" w:fill="auto"/>
            <w:vAlign w:val="center"/>
          </w:tcPr>
          <w:p w14:paraId="693F89C7">
            <w:pPr>
              <w:widowControl/>
              <w:rPr>
                <w:rFonts w:hint="eastAsia" w:ascii="宋体" w:hAnsi="宋体" w:cs="宋体"/>
                <w:color w:val="000000"/>
                <w:kern w:val="0"/>
                <w:szCs w:val="21"/>
              </w:rPr>
            </w:pPr>
            <w:r>
              <w:rPr>
                <w:rFonts w:hint="eastAsia" w:ascii="宋体" w:hAnsi="宋体" w:cs="宋体"/>
                <w:color w:val="000000"/>
                <w:kern w:val="0"/>
                <w:szCs w:val="21"/>
              </w:rPr>
              <w:t>2.2.24支持集群架构，可以实现高可用，具体要求如下：弹性扩展：集群中所有代理服务器为全活模式，可以根据需求进行横向扩展。</w:t>
            </w:r>
          </w:p>
        </w:tc>
      </w:tr>
    </w:tbl>
    <w:p w14:paraId="0531FE42">
      <w:pPr>
        <w:rPr>
          <w:b/>
          <w:szCs w:val="21"/>
        </w:rPr>
      </w:pPr>
    </w:p>
    <w:p w14:paraId="599D8CFD">
      <w:pPr>
        <w:rPr>
          <w:b/>
          <w:szCs w:val="21"/>
        </w:rPr>
      </w:pPr>
      <w:r>
        <w:rPr>
          <w:rFonts w:hint="eastAsia"/>
          <w:b/>
          <w:szCs w:val="21"/>
        </w:rPr>
        <w:t>2</w:t>
      </w:r>
      <w:r>
        <w:rPr>
          <w:b/>
          <w:szCs w:val="21"/>
        </w:rPr>
        <w:t>.3</w:t>
      </w:r>
      <w:r>
        <w:rPr>
          <w:rFonts w:hint="eastAsia"/>
          <w:b/>
          <w:szCs w:val="21"/>
        </w:rPr>
        <w:t>、内网威胁检测系统工具技术要求</w:t>
      </w:r>
    </w:p>
    <w:tbl>
      <w:tblPr>
        <w:tblStyle w:val="42"/>
        <w:tblW w:w="8344" w:type="dxa"/>
        <w:tblInd w:w="94" w:type="dxa"/>
        <w:tblLayout w:type="fixed"/>
        <w:tblCellMar>
          <w:top w:w="0" w:type="dxa"/>
          <w:left w:w="108" w:type="dxa"/>
          <w:bottom w:w="0" w:type="dxa"/>
          <w:right w:w="108" w:type="dxa"/>
        </w:tblCellMar>
      </w:tblPr>
      <w:tblGrid>
        <w:gridCol w:w="2037"/>
        <w:gridCol w:w="6307"/>
      </w:tblGrid>
      <w:tr w14:paraId="1A52C672">
        <w:tblPrEx>
          <w:tblCellMar>
            <w:top w:w="0" w:type="dxa"/>
            <w:left w:w="108" w:type="dxa"/>
            <w:bottom w:w="0" w:type="dxa"/>
            <w:right w:w="108" w:type="dxa"/>
          </w:tblCellMar>
        </w:tblPrEx>
        <w:trPr>
          <w:trHeight w:val="300" w:hRule="atLeast"/>
        </w:trPr>
        <w:tc>
          <w:tcPr>
            <w:tcW w:w="2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33D59">
            <w:pPr>
              <w:widowControl/>
              <w:jc w:val="center"/>
              <w:rPr>
                <w:rFonts w:ascii="宋体" w:hAnsi="宋体" w:cs="宋体"/>
                <w:b/>
                <w:bCs/>
                <w:color w:val="000000"/>
                <w:kern w:val="0"/>
                <w:szCs w:val="21"/>
              </w:rPr>
            </w:pPr>
            <w:r>
              <w:rPr>
                <w:rFonts w:hint="eastAsia" w:ascii="宋体" w:hAnsi="宋体" w:cs="宋体"/>
                <w:b/>
                <w:bCs/>
                <w:color w:val="000000"/>
                <w:kern w:val="0"/>
                <w:szCs w:val="21"/>
              </w:rPr>
              <w:t>指标项</w:t>
            </w:r>
          </w:p>
        </w:tc>
        <w:tc>
          <w:tcPr>
            <w:tcW w:w="6307" w:type="dxa"/>
            <w:tcBorders>
              <w:top w:val="single" w:color="auto" w:sz="4" w:space="0"/>
              <w:left w:val="nil"/>
              <w:bottom w:val="single" w:color="auto" w:sz="4" w:space="0"/>
              <w:right w:val="single" w:color="auto" w:sz="4" w:space="0"/>
            </w:tcBorders>
            <w:shd w:val="clear" w:color="auto" w:fill="auto"/>
            <w:vAlign w:val="center"/>
          </w:tcPr>
          <w:p w14:paraId="4C1959C3">
            <w:pPr>
              <w:widowControl/>
              <w:jc w:val="center"/>
              <w:rPr>
                <w:rFonts w:ascii="宋体" w:hAnsi="宋体" w:cs="宋体"/>
                <w:b/>
                <w:bCs/>
                <w:color w:val="000000"/>
                <w:kern w:val="0"/>
                <w:szCs w:val="21"/>
              </w:rPr>
            </w:pPr>
            <w:r>
              <w:rPr>
                <w:rFonts w:hint="eastAsia" w:ascii="宋体" w:hAnsi="宋体" w:cs="宋体"/>
                <w:b/>
                <w:bCs/>
                <w:color w:val="000000"/>
                <w:kern w:val="0"/>
                <w:szCs w:val="21"/>
              </w:rPr>
              <w:t>具体功能要求（招标技术要求）</w:t>
            </w:r>
          </w:p>
        </w:tc>
      </w:tr>
      <w:tr w14:paraId="3B71CF4A">
        <w:tblPrEx>
          <w:tblCellMar>
            <w:top w:w="0" w:type="dxa"/>
            <w:left w:w="108" w:type="dxa"/>
            <w:bottom w:w="0" w:type="dxa"/>
            <w:right w:w="108" w:type="dxa"/>
          </w:tblCellMar>
        </w:tblPrEx>
        <w:trPr>
          <w:trHeight w:val="300" w:hRule="atLeast"/>
        </w:trPr>
        <w:tc>
          <w:tcPr>
            <w:tcW w:w="2037" w:type="dxa"/>
            <w:vMerge w:val="restart"/>
            <w:tcBorders>
              <w:top w:val="nil"/>
              <w:left w:val="single" w:color="auto" w:sz="4" w:space="0"/>
              <w:bottom w:val="single" w:color="auto" w:sz="4" w:space="0"/>
              <w:right w:val="single" w:color="auto" w:sz="4" w:space="0"/>
            </w:tcBorders>
            <w:shd w:val="clear" w:color="auto" w:fill="auto"/>
            <w:noWrap/>
            <w:vAlign w:val="center"/>
          </w:tcPr>
          <w:p w14:paraId="6CC8990D">
            <w:pPr>
              <w:widowControl/>
              <w:jc w:val="center"/>
              <w:rPr>
                <w:rFonts w:ascii="宋体" w:hAnsi="宋体" w:cs="宋体"/>
                <w:color w:val="000000"/>
                <w:kern w:val="0"/>
                <w:szCs w:val="21"/>
              </w:rPr>
            </w:pPr>
            <w:r>
              <w:rPr>
                <w:rFonts w:hint="eastAsia" w:ascii="宋体" w:hAnsi="宋体" w:cs="宋体"/>
                <w:color w:val="000000"/>
                <w:kern w:val="0"/>
                <w:szCs w:val="21"/>
              </w:rPr>
              <w:t>解析能力</w:t>
            </w:r>
          </w:p>
        </w:tc>
        <w:tc>
          <w:tcPr>
            <w:tcW w:w="6307" w:type="dxa"/>
            <w:tcBorders>
              <w:top w:val="nil"/>
              <w:left w:val="nil"/>
              <w:bottom w:val="single" w:color="auto" w:sz="4" w:space="0"/>
              <w:right w:val="single" w:color="auto" w:sz="4" w:space="0"/>
            </w:tcBorders>
            <w:shd w:val="clear" w:color="auto" w:fill="auto"/>
            <w:vAlign w:val="center"/>
          </w:tcPr>
          <w:p w14:paraId="1132F732">
            <w:pPr>
              <w:widowControl/>
              <w:jc w:val="left"/>
              <w:rPr>
                <w:rFonts w:ascii="宋体" w:hAnsi="宋体" w:cs="宋体"/>
                <w:color w:val="000000"/>
                <w:kern w:val="0"/>
                <w:szCs w:val="21"/>
              </w:rPr>
            </w:pPr>
            <w:r>
              <w:rPr>
                <w:rFonts w:hint="eastAsia" w:ascii="宋体" w:hAnsi="宋体" w:cs="宋体"/>
                <w:color w:val="000000"/>
                <w:kern w:val="0"/>
                <w:szCs w:val="21"/>
              </w:rPr>
              <w:t>2.3.1支持流量解析能力≥1Gbps</w:t>
            </w:r>
          </w:p>
        </w:tc>
      </w:tr>
      <w:tr w14:paraId="256CA8B5">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50EB1B40">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21A58ACC">
            <w:pPr>
              <w:widowControl/>
              <w:jc w:val="left"/>
              <w:rPr>
                <w:rFonts w:ascii="宋体" w:hAnsi="宋体" w:cs="宋体"/>
                <w:color w:val="000000"/>
                <w:kern w:val="0"/>
                <w:szCs w:val="21"/>
              </w:rPr>
            </w:pPr>
            <w:r>
              <w:rPr>
                <w:rFonts w:hint="eastAsia" w:ascii="宋体" w:hAnsi="宋体" w:cs="宋体"/>
                <w:color w:val="000000"/>
                <w:kern w:val="0"/>
                <w:szCs w:val="21"/>
              </w:rPr>
              <w:t>2.3.2支持解析的协议类型有：HTTP、FTP、SMTP、POP3、IMAP、HTTPS</w:t>
            </w:r>
          </w:p>
        </w:tc>
      </w:tr>
      <w:tr w14:paraId="17F0D7EF">
        <w:tblPrEx>
          <w:tblCellMar>
            <w:top w:w="0" w:type="dxa"/>
            <w:left w:w="108" w:type="dxa"/>
            <w:bottom w:w="0" w:type="dxa"/>
            <w:right w:w="108" w:type="dxa"/>
          </w:tblCellMar>
        </w:tblPrEx>
        <w:trPr>
          <w:trHeight w:val="300" w:hRule="atLeast"/>
        </w:trPr>
        <w:tc>
          <w:tcPr>
            <w:tcW w:w="2037" w:type="dxa"/>
            <w:vMerge w:val="restart"/>
            <w:tcBorders>
              <w:top w:val="nil"/>
              <w:left w:val="single" w:color="auto" w:sz="4" w:space="0"/>
              <w:bottom w:val="single" w:color="auto" w:sz="4" w:space="0"/>
              <w:right w:val="single" w:color="auto" w:sz="4" w:space="0"/>
            </w:tcBorders>
            <w:shd w:val="clear" w:color="auto" w:fill="auto"/>
            <w:noWrap/>
            <w:vAlign w:val="center"/>
          </w:tcPr>
          <w:p w14:paraId="47F6D8C0">
            <w:pPr>
              <w:widowControl/>
              <w:jc w:val="center"/>
              <w:rPr>
                <w:rFonts w:ascii="宋体" w:hAnsi="宋体" w:cs="宋体"/>
                <w:color w:val="000000"/>
                <w:kern w:val="0"/>
                <w:szCs w:val="21"/>
              </w:rPr>
            </w:pPr>
            <w:r>
              <w:rPr>
                <w:rFonts w:hint="eastAsia" w:ascii="宋体" w:hAnsi="宋体" w:cs="宋体"/>
                <w:color w:val="000000"/>
                <w:kern w:val="0"/>
                <w:szCs w:val="21"/>
              </w:rPr>
              <w:t>任务中心</w:t>
            </w:r>
          </w:p>
        </w:tc>
        <w:tc>
          <w:tcPr>
            <w:tcW w:w="6307" w:type="dxa"/>
            <w:tcBorders>
              <w:top w:val="nil"/>
              <w:left w:val="nil"/>
              <w:bottom w:val="single" w:color="auto" w:sz="4" w:space="0"/>
              <w:right w:val="single" w:color="auto" w:sz="4" w:space="0"/>
            </w:tcBorders>
            <w:shd w:val="clear" w:color="auto" w:fill="auto"/>
            <w:vAlign w:val="center"/>
          </w:tcPr>
          <w:p w14:paraId="140D20BF">
            <w:pPr>
              <w:widowControl/>
              <w:jc w:val="left"/>
              <w:rPr>
                <w:rFonts w:ascii="宋体" w:hAnsi="宋体" w:cs="宋体"/>
                <w:color w:val="000000"/>
                <w:kern w:val="0"/>
                <w:szCs w:val="21"/>
              </w:rPr>
            </w:pPr>
            <w:r>
              <w:rPr>
                <w:rFonts w:hint="eastAsia" w:ascii="宋体" w:hAnsi="宋体" w:cs="宋体"/>
                <w:color w:val="000000"/>
                <w:kern w:val="0"/>
                <w:szCs w:val="21"/>
              </w:rPr>
              <w:t>2.3.3支持任务的管理，包括任务创建、编辑、预览、删除、筛选</w:t>
            </w:r>
          </w:p>
        </w:tc>
      </w:tr>
      <w:tr w14:paraId="4844001F">
        <w:tblPrEx>
          <w:tblCellMar>
            <w:top w:w="0" w:type="dxa"/>
            <w:left w:w="108" w:type="dxa"/>
            <w:bottom w:w="0" w:type="dxa"/>
            <w:right w:w="108" w:type="dxa"/>
          </w:tblCellMar>
        </w:tblPrEx>
        <w:trPr>
          <w:trHeight w:val="456" w:hRule="atLeast"/>
        </w:trPr>
        <w:tc>
          <w:tcPr>
            <w:tcW w:w="2037" w:type="dxa"/>
            <w:vMerge w:val="continue"/>
            <w:tcBorders>
              <w:top w:val="nil"/>
              <w:left w:val="single" w:color="auto" w:sz="4" w:space="0"/>
              <w:bottom w:val="single" w:color="auto" w:sz="4" w:space="0"/>
              <w:right w:val="single" w:color="auto" w:sz="4" w:space="0"/>
            </w:tcBorders>
            <w:vAlign w:val="center"/>
          </w:tcPr>
          <w:p w14:paraId="46B2772E">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4D893665">
            <w:pPr>
              <w:widowControl/>
              <w:jc w:val="left"/>
              <w:rPr>
                <w:rFonts w:ascii="宋体" w:hAnsi="宋体" w:cs="宋体"/>
                <w:color w:val="000000"/>
                <w:kern w:val="0"/>
                <w:szCs w:val="21"/>
              </w:rPr>
            </w:pPr>
            <w:r>
              <w:rPr>
                <w:rFonts w:hint="eastAsia" w:ascii="宋体" w:hAnsi="宋体" w:cs="宋体"/>
                <w:b/>
                <w:bCs/>
                <w:color w:val="FF0000"/>
                <w:kern w:val="0"/>
                <w:szCs w:val="21"/>
              </w:rPr>
              <w:t>▲2.3.4支持流量检测和主动扫描，支持的检测流量来源有镜像的实时流量和离线的流量包（提供截图证明）</w:t>
            </w:r>
          </w:p>
        </w:tc>
      </w:tr>
      <w:tr w14:paraId="1DE16307">
        <w:tblPrEx>
          <w:tblCellMar>
            <w:top w:w="0" w:type="dxa"/>
            <w:left w:w="108" w:type="dxa"/>
            <w:bottom w:w="0" w:type="dxa"/>
            <w:right w:w="108" w:type="dxa"/>
          </w:tblCellMar>
        </w:tblPrEx>
        <w:trPr>
          <w:trHeight w:val="300" w:hRule="atLeast"/>
        </w:trPr>
        <w:tc>
          <w:tcPr>
            <w:tcW w:w="2037" w:type="dxa"/>
            <w:vMerge w:val="restart"/>
            <w:tcBorders>
              <w:top w:val="nil"/>
              <w:left w:val="single" w:color="auto" w:sz="4" w:space="0"/>
              <w:bottom w:val="single" w:color="auto" w:sz="4" w:space="0"/>
              <w:right w:val="single" w:color="auto" w:sz="4" w:space="0"/>
            </w:tcBorders>
            <w:shd w:val="clear" w:color="auto" w:fill="auto"/>
            <w:noWrap/>
            <w:vAlign w:val="center"/>
          </w:tcPr>
          <w:p w14:paraId="45324038">
            <w:pPr>
              <w:widowControl/>
              <w:jc w:val="center"/>
              <w:rPr>
                <w:rFonts w:ascii="宋体" w:hAnsi="宋体" w:cs="宋体"/>
                <w:color w:val="000000"/>
                <w:kern w:val="0"/>
                <w:szCs w:val="21"/>
              </w:rPr>
            </w:pPr>
            <w:r>
              <w:rPr>
                <w:rFonts w:hint="eastAsia" w:ascii="宋体" w:hAnsi="宋体" w:cs="宋体"/>
                <w:color w:val="000000"/>
                <w:kern w:val="0"/>
                <w:szCs w:val="21"/>
              </w:rPr>
              <w:t>数据库资产梳理</w:t>
            </w:r>
          </w:p>
        </w:tc>
        <w:tc>
          <w:tcPr>
            <w:tcW w:w="6307" w:type="dxa"/>
            <w:tcBorders>
              <w:top w:val="nil"/>
              <w:left w:val="nil"/>
              <w:bottom w:val="single" w:color="auto" w:sz="4" w:space="0"/>
              <w:right w:val="single" w:color="auto" w:sz="4" w:space="0"/>
            </w:tcBorders>
            <w:shd w:val="clear" w:color="auto" w:fill="auto"/>
            <w:vAlign w:val="center"/>
          </w:tcPr>
          <w:p w14:paraId="3B807D12">
            <w:pPr>
              <w:widowControl/>
              <w:jc w:val="left"/>
              <w:rPr>
                <w:rFonts w:ascii="宋体" w:hAnsi="宋体" w:cs="宋体"/>
                <w:color w:val="000000"/>
                <w:kern w:val="0"/>
                <w:szCs w:val="21"/>
              </w:rPr>
            </w:pPr>
            <w:r>
              <w:rPr>
                <w:rFonts w:hint="eastAsia" w:ascii="宋体" w:hAnsi="宋体" w:cs="宋体"/>
                <w:color w:val="000000"/>
                <w:kern w:val="0"/>
                <w:szCs w:val="21"/>
              </w:rPr>
              <w:t>2.3.5支持自动扫描网段内存在的数据库实例的IP地址、端口、类型等，并识别出个人信息字段</w:t>
            </w:r>
          </w:p>
        </w:tc>
      </w:tr>
      <w:tr w14:paraId="46D3EB96">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484C4619">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394590B5">
            <w:pPr>
              <w:widowControl/>
              <w:jc w:val="left"/>
              <w:rPr>
                <w:rFonts w:ascii="宋体" w:hAnsi="宋体" w:cs="宋体"/>
                <w:color w:val="000000"/>
                <w:kern w:val="0"/>
                <w:szCs w:val="21"/>
              </w:rPr>
            </w:pPr>
            <w:r>
              <w:rPr>
                <w:rFonts w:hint="eastAsia" w:ascii="宋体" w:hAnsi="宋体" w:cs="宋体"/>
                <w:color w:val="000000"/>
                <w:kern w:val="0"/>
                <w:szCs w:val="21"/>
              </w:rPr>
              <w:t>2.3.6支持提供数据库个人信息的资产清单，展示内容包括字段名称、字段类别、字段描述、所属表、所属实例、字段样例等信息</w:t>
            </w:r>
          </w:p>
        </w:tc>
      </w:tr>
      <w:tr w14:paraId="7920B9E3">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3A55047B">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6B9FED86">
            <w:pPr>
              <w:widowControl/>
              <w:jc w:val="left"/>
              <w:rPr>
                <w:rFonts w:ascii="宋体" w:hAnsi="宋体" w:cs="宋体"/>
                <w:color w:val="000000"/>
                <w:kern w:val="0"/>
                <w:szCs w:val="21"/>
              </w:rPr>
            </w:pPr>
            <w:r>
              <w:rPr>
                <w:rFonts w:hint="eastAsia" w:ascii="宋体" w:hAnsi="宋体" w:cs="宋体"/>
                <w:color w:val="000000"/>
                <w:kern w:val="0"/>
                <w:szCs w:val="21"/>
              </w:rPr>
              <w:t>2.3.7支持展示此次检测发现的数据库实例数量、个人信息字段数量、数据量、类别分布等信息</w:t>
            </w:r>
          </w:p>
        </w:tc>
      </w:tr>
      <w:tr w14:paraId="5BA54541">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25A3759A">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1DFF98A1">
            <w:pPr>
              <w:widowControl/>
              <w:jc w:val="left"/>
              <w:rPr>
                <w:rFonts w:ascii="宋体" w:hAnsi="宋体" w:cs="宋体"/>
                <w:color w:val="000000"/>
                <w:kern w:val="0"/>
                <w:szCs w:val="21"/>
              </w:rPr>
            </w:pPr>
            <w:r>
              <w:rPr>
                <w:rFonts w:hint="eastAsia" w:ascii="宋体" w:hAnsi="宋体" w:cs="宋体"/>
                <w:b/>
                <w:bCs/>
                <w:color w:val="FF0000"/>
                <w:kern w:val="0"/>
                <w:szCs w:val="21"/>
              </w:rPr>
              <w:t>▲2.3.8支持结构化、非结构化以及国产数据库的检测，种类≥30种包括：oracle,sqlserver,mysql,db2,postgresql,mariadb,tidb,greenplum,oceanbase,redshift,kudu,informix,impala,azuresql,hive,hbase,dm,kingbase,gbase,gaussdb,gbase8s,mongodb,redis,elasticsearch,dynamodb,druid,couchbase,scylla,clickhouse,gaussdb_for_cassandra（提供截图证明）</w:t>
            </w:r>
          </w:p>
        </w:tc>
      </w:tr>
      <w:tr w14:paraId="788275E0">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046A6837">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24FED969">
            <w:pPr>
              <w:widowControl/>
              <w:jc w:val="left"/>
              <w:rPr>
                <w:rFonts w:ascii="宋体" w:hAnsi="宋体" w:cs="宋体"/>
                <w:color w:val="000000"/>
                <w:kern w:val="0"/>
                <w:szCs w:val="21"/>
              </w:rPr>
            </w:pPr>
            <w:r>
              <w:rPr>
                <w:rFonts w:hint="eastAsia" w:ascii="宋体" w:hAnsi="宋体" w:cs="宋体"/>
                <w:color w:val="000000"/>
                <w:kern w:val="0"/>
                <w:szCs w:val="21"/>
              </w:rPr>
              <w:t>2.3.9支持导出word格式的检测报告</w:t>
            </w:r>
          </w:p>
        </w:tc>
      </w:tr>
      <w:tr w14:paraId="3BB00C43">
        <w:tblPrEx>
          <w:tblCellMar>
            <w:top w:w="0" w:type="dxa"/>
            <w:left w:w="108" w:type="dxa"/>
            <w:bottom w:w="0" w:type="dxa"/>
            <w:right w:w="108" w:type="dxa"/>
          </w:tblCellMar>
        </w:tblPrEx>
        <w:trPr>
          <w:trHeight w:val="300" w:hRule="atLeast"/>
        </w:trPr>
        <w:tc>
          <w:tcPr>
            <w:tcW w:w="2037" w:type="dxa"/>
            <w:vMerge w:val="restart"/>
            <w:tcBorders>
              <w:top w:val="nil"/>
              <w:left w:val="single" w:color="auto" w:sz="4" w:space="0"/>
              <w:bottom w:val="single" w:color="auto" w:sz="4" w:space="0"/>
              <w:right w:val="single" w:color="auto" w:sz="4" w:space="0"/>
            </w:tcBorders>
            <w:shd w:val="clear" w:color="auto" w:fill="auto"/>
            <w:noWrap/>
            <w:vAlign w:val="center"/>
          </w:tcPr>
          <w:p w14:paraId="38446038">
            <w:pPr>
              <w:widowControl/>
              <w:jc w:val="center"/>
              <w:rPr>
                <w:rFonts w:ascii="宋体" w:hAnsi="宋体" w:cs="宋体"/>
                <w:color w:val="000000"/>
                <w:kern w:val="0"/>
                <w:szCs w:val="21"/>
              </w:rPr>
            </w:pPr>
            <w:r>
              <w:rPr>
                <w:rFonts w:hint="eastAsia" w:ascii="宋体" w:hAnsi="宋体" w:cs="宋体"/>
                <w:color w:val="000000"/>
                <w:kern w:val="0"/>
                <w:szCs w:val="21"/>
              </w:rPr>
              <w:t>流动数据资产梳理</w:t>
            </w:r>
          </w:p>
        </w:tc>
        <w:tc>
          <w:tcPr>
            <w:tcW w:w="6307" w:type="dxa"/>
            <w:tcBorders>
              <w:top w:val="nil"/>
              <w:left w:val="nil"/>
              <w:bottom w:val="single" w:color="auto" w:sz="4" w:space="0"/>
              <w:right w:val="single" w:color="auto" w:sz="4" w:space="0"/>
            </w:tcBorders>
            <w:shd w:val="clear" w:color="auto" w:fill="auto"/>
            <w:vAlign w:val="center"/>
          </w:tcPr>
          <w:p w14:paraId="7817BC87">
            <w:pPr>
              <w:widowControl/>
              <w:jc w:val="left"/>
              <w:rPr>
                <w:rFonts w:ascii="宋体" w:hAnsi="宋体" w:cs="宋体"/>
                <w:color w:val="000000"/>
                <w:kern w:val="0"/>
                <w:szCs w:val="21"/>
              </w:rPr>
            </w:pPr>
            <w:r>
              <w:rPr>
                <w:rFonts w:hint="eastAsia" w:ascii="宋体" w:hAnsi="宋体" w:cs="宋体"/>
                <w:color w:val="000000"/>
                <w:kern w:val="0"/>
                <w:szCs w:val="21"/>
              </w:rPr>
              <w:t>2.3.10支持展示此次检测发现的所有资产的数量：应用系统、敏感应用、API接口、敏感API和敏感数据量级</w:t>
            </w:r>
          </w:p>
        </w:tc>
      </w:tr>
      <w:tr w14:paraId="2065A2BB">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06B25E49">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0A09E976">
            <w:pPr>
              <w:widowControl/>
              <w:jc w:val="left"/>
              <w:rPr>
                <w:rFonts w:ascii="宋体" w:hAnsi="宋体" w:cs="宋体"/>
                <w:color w:val="000000"/>
                <w:kern w:val="0"/>
                <w:szCs w:val="21"/>
              </w:rPr>
            </w:pPr>
            <w:r>
              <w:rPr>
                <w:rFonts w:hint="eastAsia" w:ascii="宋体" w:hAnsi="宋体" w:cs="宋体"/>
                <w:color w:val="000000"/>
                <w:kern w:val="0"/>
                <w:szCs w:val="21"/>
              </w:rPr>
              <w:t>2.3.11支持展示敏感数据类型、应用资产类型、API接口类型等分布情况</w:t>
            </w:r>
          </w:p>
        </w:tc>
      </w:tr>
      <w:tr w14:paraId="5003F72A">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74605346">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0B2C2018">
            <w:pPr>
              <w:widowControl/>
              <w:jc w:val="left"/>
              <w:rPr>
                <w:rFonts w:hint="eastAsia" w:ascii="宋体" w:hAnsi="宋体" w:cs="宋体"/>
                <w:b/>
                <w:bCs/>
                <w:color w:val="FF0000"/>
                <w:kern w:val="0"/>
                <w:szCs w:val="21"/>
              </w:rPr>
            </w:pPr>
            <w:r>
              <w:rPr>
                <w:rFonts w:hint="eastAsia" w:ascii="宋体" w:hAnsi="宋体" w:cs="宋体"/>
                <w:b/>
                <w:bCs/>
                <w:color w:val="FF0000"/>
                <w:kern w:val="0"/>
                <w:szCs w:val="21"/>
              </w:rPr>
              <w:t>▲2.3.12支持提供应用系统资产清单，展示内容包括域名、接口数量、敏感数据量、访问分布、请求返回数据标签、是否敏感（提供截图证明）</w:t>
            </w:r>
          </w:p>
        </w:tc>
      </w:tr>
      <w:tr w14:paraId="4BC71F4B">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1B825582">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6BA5825C">
            <w:pPr>
              <w:widowControl/>
              <w:jc w:val="left"/>
              <w:rPr>
                <w:rFonts w:hint="eastAsia" w:ascii="宋体" w:hAnsi="宋体" w:cs="宋体"/>
                <w:b/>
                <w:bCs/>
                <w:color w:val="FF0000"/>
                <w:kern w:val="0"/>
                <w:szCs w:val="21"/>
              </w:rPr>
            </w:pPr>
            <w:r>
              <w:rPr>
                <w:rFonts w:hint="eastAsia" w:ascii="宋体" w:hAnsi="宋体" w:cs="宋体"/>
                <w:b/>
                <w:bCs/>
                <w:color w:val="FF0000"/>
                <w:kern w:val="0"/>
                <w:szCs w:val="21"/>
              </w:rPr>
              <w:t>▲2.3.13支持提供API资产清单，展示内容包括URL、API类型、敏感数据量、访问分布、请求返回数据标签、是否敏感，支持提供API样例信息（提供截图证明）</w:t>
            </w:r>
          </w:p>
        </w:tc>
      </w:tr>
      <w:tr w14:paraId="0597AE65">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32E94BF9">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393E64D1">
            <w:pPr>
              <w:widowControl/>
              <w:jc w:val="left"/>
              <w:rPr>
                <w:rFonts w:ascii="宋体" w:hAnsi="宋体" w:cs="宋体"/>
                <w:color w:val="000000"/>
                <w:kern w:val="0"/>
                <w:szCs w:val="21"/>
              </w:rPr>
            </w:pPr>
            <w:r>
              <w:rPr>
                <w:rFonts w:hint="eastAsia" w:ascii="宋体" w:hAnsi="宋体" w:cs="宋体"/>
                <w:color w:val="000000"/>
                <w:kern w:val="0"/>
                <w:szCs w:val="21"/>
              </w:rPr>
              <w:t>2.3.14支持导出word格式的检测报告</w:t>
            </w:r>
          </w:p>
        </w:tc>
      </w:tr>
      <w:tr w14:paraId="0990E905">
        <w:tblPrEx>
          <w:tblCellMar>
            <w:top w:w="0" w:type="dxa"/>
            <w:left w:w="108" w:type="dxa"/>
            <w:bottom w:w="0" w:type="dxa"/>
            <w:right w:w="108" w:type="dxa"/>
          </w:tblCellMar>
        </w:tblPrEx>
        <w:trPr>
          <w:trHeight w:val="300" w:hRule="atLeast"/>
        </w:trPr>
        <w:tc>
          <w:tcPr>
            <w:tcW w:w="2037" w:type="dxa"/>
            <w:vMerge w:val="restart"/>
            <w:tcBorders>
              <w:top w:val="nil"/>
              <w:left w:val="single" w:color="auto" w:sz="4" w:space="0"/>
              <w:bottom w:val="single" w:color="auto" w:sz="4" w:space="0"/>
              <w:right w:val="single" w:color="auto" w:sz="4" w:space="0"/>
            </w:tcBorders>
            <w:shd w:val="clear" w:color="auto" w:fill="auto"/>
            <w:noWrap/>
            <w:vAlign w:val="center"/>
          </w:tcPr>
          <w:p w14:paraId="49E6D7F3">
            <w:pPr>
              <w:widowControl/>
              <w:jc w:val="center"/>
              <w:rPr>
                <w:rFonts w:ascii="宋体" w:hAnsi="宋体" w:cs="宋体"/>
                <w:color w:val="000000"/>
                <w:kern w:val="0"/>
                <w:szCs w:val="21"/>
              </w:rPr>
            </w:pPr>
            <w:r>
              <w:rPr>
                <w:rFonts w:hint="eastAsia" w:ascii="宋体" w:hAnsi="宋体" w:cs="宋体"/>
                <w:color w:val="000000"/>
                <w:kern w:val="0"/>
                <w:szCs w:val="21"/>
              </w:rPr>
              <w:t>API安全评估</w:t>
            </w:r>
          </w:p>
        </w:tc>
        <w:tc>
          <w:tcPr>
            <w:tcW w:w="6307" w:type="dxa"/>
            <w:tcBorders>
              <w:top w:val="nil"/>
              <w:left w:val="nil"/>
              <w:bottom w:val="single" w:color="auto" w:sz="4" w:space="0"/>
              <w:right w:val="single" w:color="auto" w:sz="4" w:space="0"/>
            </w:tcBorders>
            <w:shd w:val="clear" w:color="auto" w:fill="auto"/>
            <w:vAlign w:val="center"/>
          </w:tcPr>
          <w:p w14:paraId="2168C711">
            <w:pPr>
              <w:widowControl/>
              <w:jc w:val="left"/>
              <w:rPr>
                <w:rFonts w:ascii="宋体" w:hAnsi="宋体" w:cs="宋体"/>
                <w:color w:val="000000"/>
                <w:kern w:val="0"/>
                <w:szCs w:val="21"/>
              </w:rPr>
            </w:pPr>
            <w:r>
              <w:rPr>
                <w:rFonts w:hint="eastAsia" w:ascii="宋体" w:hAnsi="宋体" w:cs="宋体"/>
                <w:color w:val="000000"/>
                <w:kern w:val="0"/>
                <w:szCs w:val="21"/>
              </w:rPr>
              <w:t>2.3.15支持展示此次检测发现的所有资产的个数：应用资产、API资产、接口弱点数量</w:t>
            </w:r>
          </w:p>
        </w:tc>
      </w:tr>
      <w:tr w14:paraId="4E84D01E">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49596291">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1C3DD005">
            <w:pPr>
              <w:widowControl/>
              <w:jc w:val="left"/>
              <w:rPr>
                <w:rFonts w:ascii="宋体" w:hAnsi="宋体" w:cs="宋体"/>
                <w:color w:val="000000"/>
                <w:kern w:val="0"/>
                <w:szCs w:val="21"/>
              </w:rPr>
            </w:pPr>
            <w:r>
              <w:rPr>
                <w:rFonts w:hint="eastAsia" w:ascii="宋体" w:hAnsi="宋体" w:cs="宋体"/>
                <w:color w:val="000000"/>
                <w:kern w:val="0"/>
                <w:szCs w:val="21"/>
              </w:rPr>
              <w:t>2.3.16支持展示检测的问题应用对应的问题分布情况，包括类别和数量</w:t>
            </w:r>
          </w:p>
        </w:tc>
      </w:tr>
      <w:tr w14:paraId="7E303F69">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0FDA5B90">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1C6C020A">
            <w:pPr>
              <w:widowControl/>
              <w:jc w:val="left"/>
              <w:rPr>
                <w:rFonts w:ascii="宋体" w:hAnsi="宋体" w:cs="宋体"/>
                <w:color w:val="000000"/>
                <w:kern w:val="0"/>
                <w:szCs w:val="21"/>
              </w:rPr>
            </w:pPr>
            <w:r>
              <w:rPr>
                <w:rFonts w:hint="eastAsia" w:ascii="宋体" w:hAnsi="宋体" w:cs="宋体"/>
                <w:b/>
                <w:bCs/>
                <w:color w:val="FF0000"/>
                <w:kern w:val="0"/>
                <w:szCs w:val="21"/>
              </w:rPr>
              <w:t>▲2.3.17支持展示此次检测涉及到的所有检查类别，每个类别下检测到的风险点，以及对应的证据（提供截图证明）：</w:t>
            </w:r>
            <w:r>
              <w:rPr>
                <w:rFonts w:hint="eastAsia" w:ascii="宋体" w:hAnsi="宋体" w:cs="宋体"/>
                <w:b/>
                <w:bCs/>
                <w:color w:val="FF0000"/>
                <w:kern w:val="0"/>
                <w:szCs w:val="21"/>
              </w:rPr>
              <w:br w:type="textWrapping"/>
            </w:r>
            <w:r>
              <w:rPr>
                <w:rFonts w:hint="eastAsia" w:ascii="宋体" w:hAnsi="宋体" w:cs="宋体"/>
                <w:b/>
                <w:bCs/>
                <w:color w:val="FF0000"/>
                <w:kern w:val="0"/>
                <w:szCs w:val="21"/>
              </w:rPr>
              <w:t>口令认证类：检测是否存在“明文密码传输、登录弱密码、明文密码透出、密码透出、登录认证不合理、登录错误提示不合理”的API</w:t>
            </w:r>
            <w:r>
              <w:rPr>
                <w:rFonts w:hint="eastAsia" w:ascii="宋体" w:hAnsi="宋体" w:cs="宋体"/>
                <w:b/>
                <w:bCs/>
                <w:color w:val="FF0000"/>
                <w:kern w:val="0"/>
                <w:szCs w:val="21"/>
              </w:rPr>
              <w:br w:type="textWrapping"/>
            </w:r>
            <w:r>
              <w:rPr>
                <w:rFonts w:hint="eastAsia" w:ascii="宋体" w:hAnsi="宋体" w:cs="宋体"/>
                <w:b/>
                <w:bCs/>
                <w:color w:val="FF0000"/>
                <w:kern w:val="0"/>
                <w:szCs w:val="21"/>
              </w:rPr>
              <w:t>安全规范类：检测是否存在“鉴权信息在URL中、在Cookie中保存密码、未禁用目录浏览、脆弱应用在公网暴露、敏感信息在URL中”的API</w:t>
            </w:r>
            <w:r>
              <w:rPr>
                <w:rFonts w:hint="eastAsia" w:ascii="宋体" w:hAnsi="宋体" w:cs="宋体"/>
                <w:b/>
                <w:bCs/>
                <w:color w:val="FF0000"/>
                <w:kern w:val="0"/>
                <w:szCs w:val="21"/>
              </w:rPr>
              <w:br w:type="textWrapping"/>
            </w:r>
            <w:r>
              <w:rPr>
                <w:rFonts w:hint="eastAsia" w:ascii="宋体" w:hAnsi="宋体" w:cs="宋体"/>
                <w:b/>
                <w:bCs/>
                <w:color w:val="FF0000"/>
                <w:kern w:val="0"/>
                <w:szCs w:val="21"/>
              </w:rPr>
              <w:t>高危接口类：检测是否存在“命令执行API、数据库查询API、任意短信发送、指定文件下载API”的API，并提供对应的证据说明</w:t>
            </w:r>
            <w:r>
              <w:rPr>
                <w:rFonts w:hint="eastAsia" w:ascii="宋体" w:hAnsi="宋体" w:cs="宋体"/>
                <w:b/>
                <w:bCs/>
                <w:color w:val="FF0000"/>
                <w:kern w:val="0"/>
                <w:szCs w:val="21"/>
              </w:rPr>
              <w:br w:type="textWrapping"/>
            </w:r>
            <w:r>
              <w:rPr>
                <w:rFonts w:hint="eastAsia" w:ascii="宋体" w:hAnsi="宋体" w:cs="宋体"/>
                <w:b/>
                <w:bCs/>
                <w:color w:val="FF0000"/>
                <w:kern w:val="0"/>
                <w:szCs w:val="21"/>
              </w:rPr>
              <w:t>数据暴露类：检测是否存在“脱敏策略不一致、返回数据量可修改、单次返回类型过多、单次返回数据量过大、调试信息泄漏接口”的API</w:t>
            </w:r>
            <w:r>
              <w:rPr>
                <w:rFonts w:hint="eastAsia" w:ascii="宋体" w:hAnsi="宋体" w:cs="宋体"/>
                <w:b/>
                <w:bCs/>
                <w:color w:val="FF0000"/>
                <w:kern w:val="0"/>
                <w:szCs w:val="21"/>
              </w:rPr>
              <w:br w:type="textWrapping"/>
            </w:r>
            <w:r>
              <w:rPr>
                <w:rFonts w:hint="eastAsia" w:ascii="宋体" w:hAnsi="宋体" w:cs="宋体"/>
                <w:b/>
                <w:bCs/>
                <w:color w:val="FF0000"/>
                <w:kern w:val="0"/>
                <w:szCs w:val="21"/>
              </w:rPr>
              <w:t>访问权限类：检测是否存在“接口未鉴权、接口参数可遍历”的API</w:t>
            </w:r>
          </w:p>
        </w:tc>
      </w:tr>
      <w:tr w14:paraId="49304B96">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7512891B">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0E939827">
            <w:pPr>
              <w:widowControl/>
              <w:jc w:val="left"/>
              <w:rPr>
                <w:rFonts w:ascii="宋体" w:hAnsi="宋体" w:cs="宋体"/>
                <w:color w:val="000000"/>
                <w:kern w:val="0"/>
                <w:szCs w:val="21"/>
              </w:rPr>
            </w:pPr>
            <w:r>
              <w:rPr>
                <w:rFonts w:hint="eastAsia" w:ascii="宋体" w:hAnsi="宋体" w:cs="宋体"/>
                <w:color w:val="000000"/>
                <w:kern w:val="0"/>
                <w:szCs w:val="21"/>
              </w:rPr>
              <w:t>2.3.18支持查看每类风险的详情并提供风险的证据样例展示</w:t>
            </w:r>
          </w:p>
        </w:tc>
      </w:tr>
      <w:tr w14:paraId="31EA1DB5">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67C3631F">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524D1810">
            <w:pPr>
              <w:widowControl/>
              <w:jc w:val="left"/>
              <w:rPr>
                <w:rFonts w:ascii="宋体" w:hAnsi="宋体" w:cs="宋体"/>
                <w:color w:val="000000"/>
                <w:kern w:val="0"/>
                <w:szCs w:val="21"/>
              </w:rPr>
            </w:pPr>
            <w:r>
              <w:rPr>
                <w:rFonts w:hint="eastAsia" w:ascii="宋体" w:hAnsi="宋体" w:cs="宋体"/>
                <w:color w:val="000000"/>
                <w:kern w:val="0"/>
                <w:szCs w:val="21"/>
              </w:rPr>
              <w:t>2.3.19支持动态调整检测策略的状态</w:t>
            </w:r>
          </w:p>
        </w:tc>
      </w:tr>
      <w:tr w14:paraId="269D281C">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21C9F486">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76ADCF34">
            <w:pPr>
              <w:widowControl/>
              <w:jc w:val="left"/>
              <w:rPr>
                <w:rFonts w:ascii="宋体" w:hAnsi="宋体" w:cs="宋体"/>
                <w:color w:val="000000"/>
                <w:kern w:val="0"/>
                <w:szCs w:val="21"/>
              </w:rPr>
            </w:pPr>
            <w:r>
              <w:rPr>
                <w:rFonts w:hint="eastAsia" w:ascii="宋体" w:hAnsi="宋体" w:cs="宋体"/>
                <w:color w:val="000000"/>
                <w:kern w:val="0"/>
                <w:szCs w:val="21"/>
              </w:rPr>
              <w:t>2.3.20支持导出word格式的检测报告</w:t>
            </w:r>
          </w:p>
        </w:tc>
      </w:tr>
      <w:tr w14:paraId="27FAEFF9">
        <w:tblPrEx>
          <w:tblCellMar>
            <w:top w:w="0" w:type="dxa"/>
            <w:left w:w="108" w:type="dxa"/>
            <w:bottom w:w="0" w:type="dxa"/>
            <w:right w:w="108" w:type="dxa"/>
          </w:tblCellMar>
        </w:tblPrEx>
        <w:trPr>
          <w:trHeight w:val="300" w:hRule="atLeast"/>
        </w:trPr>
        <w:tc>
          <w:tcPr>
            <w:tcW w:w="2037" w:type="dxa"/>
            <w:vMerge w:val="restart"/>
            <w:tcBorders>
              <w:top w:val="nil"/>
              <w:left w:val="single" w:color="auto" w:sz="4" w:space="0"/>
              <w:bottom w:val="single" w:color="auto" w:sz="4" w:space="0"/>
              <w:right w:val="single" w:color="auto" w:sz="4" w:space="0"/>
            </w:tcBorders>
            <w:shd w:val="clear" w:color="auto" w:fill="auto"/>
            <w:noWrap/>
            <w:vAlign w:val="center"/>
          </w:tcPr>
          <w:p w14:paraId="3573CC49">
            <w:pPr>
              <w:widowControl/>
              <w:jc w:val="center"/>
              <w:rPr>
                <w:rFonts w:ascii="宋体" w:hAnsi="宋体" w:cs="宋体"/>
                <w:color w:val="000000"/>
                <w:kern w:val="0"/>
                <w:szCs w:val="21"/>
              </w:rPr>
            </w:pPr>
            <w:r>
              <w:rPr>
                <w:rFonts w:hint="eastAsia" w:ascii="宋体" w:hAnsi="宋体" w:cs="宋体"/>
                <w:color w:val="000000"/>
                <w:kern w:val="0"/>
                <w:szCs w:val="21"/>
              </w:rPr>
              <w:t>数据行为异常评估</w:t>
            </w:r>
          </w:p>
        </w:tc>
        <w:tc>
          <w:tcPr>
            <w:tcW w:w="6307" w:type="dxa"/>
            <w:tcBorders>
              <w:top w:val="nil"/>
              <w:left w:val="nil"/>
              <w:bottom w:val="single" w:color="auto" w:sz="4" w:space="0"/>
              <w:right w:val="single" w:color="auto" w:sz="4" w:space="0"/>
            </w:tcBorders>
            <w:shd w:val="clear" w:color="auto" w:fill="auto"/>
            <w:vAlign w:val="center"/>
          </w:tcPr>
          <w:p w14:paraId="16BA51A7">
            <w:pPr>
              <w:widowControl/>
              <w:jc w:val="left"/>
              <w:rPr>
                <w:rFonts w:ascii="宋体" w:hAnsi="宋体" w:cs="宋体"/>
                <w:color w:val="000000"/>
                <w:kern w:val="0"/>
                <w:szCs w:val="21"/>
              </w:rPr>
            </w:pPr>
            <w:r>
              <w:rPr>
                <w:rFonts w:hint="eastAsia" w:ascii="宋体" w:hAnsi="宋体" w:cs="宋体"/>
                <w:color w:val="000000"/>
                <w:kern w:val="0"/>
                <w:szCs w:val="21"/>
              </w:rPr>
              <w:t>2.3.21支持展示此次检测发现敏感数据占比</w:t>
            </w:r>
          </w:p>
        </w:tc>
      </w:tr>
      <w:tr w14:paraId="030FB4DC">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2F2518B5">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5066F433">
            <w:pPr>
              <w:widowControl/>
              <w:jc w:val="left"/>
              <w:rPr>
                <w:rFonts w:ascii="宋体" w:hAnsi="宋体" w:cs="宋体"/>
                <w:color w:val="000000"/>
                <w:kern w:val="0"/>
                <w:szCs w:val="21"/>
              </w:rPr>
            </w:pPr>
            <w:r>
              <w:rPr>
                <w:rFonts w:hint="eastAsia" w:ascii="宋体" w:hAnsi="宋体" w:cs="宋体"/>
                <w:color w:val="000000"/>
                <w:kern w:val="0"/>
                <w:szCs w:val="21"/>
              </w:rPr>
              <w:t>2.3.22支持展示检测的问题IP top10预计对应的问题分布情况</w:t>
            </w:r>
          </w:p>
        </w:tc>
      </w:tr>
      <w:tr w14:paraId="4213A413">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5CDB0203">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08709290">
            <w:pPr>
              <w:widowControl/>
              <w:jc w:val="left"/>
              <w:rPr>
                <w:rFonts w:ascii="宋体" w:hAnsi="宋体" w:cs="宋体"/>
                <w:color w:val="000000"/>
                <w:kern w:val="0"/>
                <w:szCs w:val="21"/>
              </w:rPr>
            </w:pPr>
            <w:r>
              <w:rPr>
                <w:rFonts w:hint="eastAsia" w:ascii="宋体" w:hAnsi="宋体" w:cs="宋体"/>
                <w:b/>
                <w:bCs/>
                <w:color w:val="FF0000"/>
                <w:kern w:val="0"/>
                <w:szCs w:val="21"/>
              </w:rPr>
              <w:t>▲2.3.23数据行为异常（提供截图证明）：</w:t>
            </w:r>
            <w:r>
              <w:rPr>
                <w:rFonts w:hint="eastAsia" w:ascii="宋体" w:hAnsi="宋体" w:cs="宋体"/>
                <w:b/>
                <w:bCs/>
                <w:color w:val="FF0000"/>
                <w:kern w:val="0"/>
                <w:szCs w:val="21"/>
              </w:rPr>
              <w:br w:type="textWrapping"/>
            </w:r>
            <w:r>
              <w:rPr>
                <w:rFonts w:hint="eastAsia" w:ascii="宋体" w:hAnsi="宋体" w:cs="宋体"/>
                <w:b/>
                <w:bCs/>
                <w:color w:val="FF0000"/>
                <w:kern w:val="0"/>
                <w:szCs w:val="21"/>
              </w:rPr>
              <w:t>支持检测IP获取数据量异常、IP访问频次异常、IP非工作时间访问、IP非工作时间获取大量数据、机器自动大量拉取、爬虫行为</w:t>
            </w:r>
            <w:r>
              <w:rPr>
                <w:rFonts w:hint="eastAsia" w:ascii="宋体" w:hAnsi="宋体" w:cs="宋体"/>
                <w:b/>
                <w:bCs/>
                <w:color w:val="FF0000"/>
                <w:kern w:val="0"/>
                <w:szCs w:val="21"/>
              </w:rPr>
              <w:br w:type="textWrapping"/>
            </w:r>
            <w:r>
              <w:rPr>
                <w:rFonts w:hint="eastAsia" w:ascii="宋体" w:hAnsi="宋体" w:cs="宋体"/>
                <w:b/>
                <w:bCs/>
                <w:color w:val="FF0000"/>
                <w:kern w:val="0"/>
                <w:szCs w:val="21"/>
              </w:rPr>
              <w:t>支持提供异常事件列表和证据说明</w:t>
            </w:r>
          </w:p>
        </w:tc>
      </w:tr>
      <w:tr w14:paraId="24604EA2">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57DE0F42">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64F75053">
            <w:pPr>
              <w:widowControl/>
              <w:jc w:val="left"/>
              <w:rPr>
                <w:rFonts w:ascii="宋体" w:hAnsi="宋体" w:cs="宋体"/>
                <w:color w:val="000000"/>
                <w:kern w:val="0"/>
                <w:szCs w:val="21"/>
              </w:rPr>
            </w:pPr>
            <w:r>
              <w:rPr>
                <w:rFonts w:hint="eastAsia" w:ascii="宋体" w:hAnsi="宋体" w:cs="宋体"/>
                <w:color w:val="000000"/>
                <w:kern w:val="0"/>
                <w:szCs w:val="21"/>
              </w:rPr>
              <w:t>2.3.24支持动态调整检测策略，包括调整策略阈值、策略状态</w:t>
            </w:r>
          </w:p>
        </w:tc>
      </w:tr>
      <w:tr w14:paraId="34F14425">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5D49127A">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61457159">
            <w:pPr>
              <w:widowControl/>
              <w:jc w:val="left"/>
              <w:rPr>
                <w:rFonts w:ascii="宋体" w:hAnsi="宋体" w:cs="宋体"/>
                <w:color w:val="000000"/>
                <w:kern w:val="0"/>
                <w:szCs w:val="21"/>
              </w:rPr>
            </w:pPr>
            <w:r>
              <w:rPr>
                <w:rFonts w:hint="eastAsia" w:ascii="宋体" w:hAnsi="宋体" w:cs="宋体"/>
                <w:color w:val="000000"/>
                <w:kern w:val="0"/>
                <w:szCs w:val="21"/>
              </w:rPr>
              <w:t>2.3.25支持导出word格式的检测报告</w:t>
            </w:r>
          </w:p>
        </w:tc>
      </w:tr>
      <w:tr w14:paraId="1F366431">
        <w:tblPrEx>
          <w:tblCellMar>
            <w:top w:w="0" w:type="dxa"/>
            <w:left w:w="108" w:type="dxa"/>
            <w:bottom w:w="0" w:type="dxa"/>
            <w:right w:w="108" w:type="dxa"/>
          </w:tblCellMar>
        </w:tblPrEx>
        <w:trPr>
          <w:trHeight w:val="300" w:hRule="atLeast"/>
        </w:trPr>
        <w:tc>
          <w:tcPr>
            <w:tcW w:w="2037" w:type="dxa"/>
            <w:vMerge w:val="restart"/>
            <w:tcBorders>
              <w:top w:val="nil"/>
              <w:left w:val="single" w:color="auto" w:sz="4" w:space="0"/>
              <w:bottom w:val="single" w:color="auto" w:sz="4" w:space="0"/>
              <w:right w:val="single" w:color="auto" w:sz="4" w:space="0"/>
            </w:tcBorders>
            <w:shd w:val="clear" w:color="auto" w:fill="auto"/>
            <w:noWrap/>
            <w:vAlign w:val="center"/>
          </w:tcPr>
          <w:p w14:paraId="70E5A13D">
            <w:pPr>
              <w:widowControl/>
              <w:jc w:val="center"/>
              <w:rPr>
                <w:rFonts w:ascii="宋体" w:hAnsi="宋体" w:cs="宋体"/>
                <w:color w:val="000000"/>
                <w:kern w:val="0"/>
                <w:szCs w:val="21"/>
              </w:rPr>
            </w:pPr>
            <w:r>
              <w:rPr>
                <w:rFonts w:hint="eastAsia" w:ascii="宋体" w:hAnsi="宋体" w:cs="宋体"/>
                <w:color w:val="000000"/>
                <w:kern w:val="0"/>
                <w:szCs w:val="21"/>
              </w:rPr>
              <w:t>数据出境检测</w:t>
            </w:r>
          </w:p>
        </w:tc>
        <w:tc>
          <w:tcPr>
            <w:tcW w:w="6307" w:type="dxa"/>
            <w:tcBorders>
              <w:top w:val="nil"/>
              <w:left w:val="nil"/>
              <w:bottom w:val="single" w:color="auto" w:sz="4" w:space="0"/>
              <w:right w:val="single" w:color="auto" w:sz="4" w:space="0"/>
            </w:tcBorders>
            <w:shd w:val="clear" w:color="auto" w:fill="auto"/>
            <w:vAlign w:val="center"/>
          </w:tcPr>
          <w:p w14:paraId="45D3E2D4">
            <w:pPr>
              <w:widowControl/>
              <w:jc w:val="left"/>
              <w:rPr>
                <w:rFonts w:ascii="宋体" w:hAnsi="宋体" w:cs="宋体"/>
                <w:color w:val="000000"/>
                <w:kern w:val="0"/>
                <w:szCs w:val="21"/>
              </w:rPr>
            </w:pPr>
            <w:r>
              <w:rPr>
                <w:rFonts w:hint="eastAsia" w:ascii="宋体" w:hAnsi="宋体" w:cs="宋体"/>
                <w:color w:val="000000"/>
                <w:kern w:val="0"/>
                <w:szCs w:val="21"/>
              </w:rPr>
              <w:t>2.3.26支持展示此次检测发现的所有资产的个数：web应用资产、文件服务资产、邮件服务资产、SSL事件</w:t>
            </w:r>
          </w:p>
        </w:tc>
      </w:tr>
      <w:tr w14:paraId="6D992CF2">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0463185E">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493D5FA9">
            <w:pPr>
              <w:widowControl/>
              <w:jc w:val="left"/>
              <w:rPr>
                <w:rFonts w:ascii="宋体" w:hAnsi="宋体" w:cs="宋体"/>
                <w:color w:val="000000"/>
                <w:kern w:val="0"/>
                <w:szCs w:val="21"/>
              </w:rPr>
            </w:pPr>
            <w:r>
              <w:rPr>
                <w:rFonts w:hint="eastAsia" w:ascii="宋体" w:hAnsi="宋体" w:cs="宋体"/>
                <w:color w:val="000000"/>
                <w:kern w:val="0"/>
                <w:szCs w:val="21"/>
              </w:rPr>
              <w:t>2.3.27支持展示总的出境数据量和对应的数据标签的分布情况，以及出境数据在不同国家的地域分布情况</w:t>
            </w:r>
          </w:p>
        </w:tc>
      </w:tr>
      <w:tr w14:paraId="11ECE409">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2C7FE24D">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42D0ED82">
            <w:pPr>
              <w:widowControl/>
              <w:jc w:val="left"/>
              <w:rPr>
                <w:rFonts w:ascii="宋体" w:hAnsi="宋体" w:cs="宋体"/>
                <w:color w:val="000000"/>
                <w:kern w:val="0"/>
                <w:szCs w:val="21"/>
              </w:rPr>
            </w:pPr>
            <w:r>
              <w:rPr>
                <w:rFonts w:hint="eastAsia" w:ascii="宋体" w:hAnsi="宋体" w:cs="宋体"/>
                <w:color w:val="000000"/>
                <w:kern w:val="0"/>
                <w:szCs w:val="21"/>
              </w:rPr>
              <w:t>2.3.28支持展示检查到的出境事件top10的应用系统、FTP服务以及邮件服务，并支持展示检测项的分布情况</w:t>
            </w:r>
          </w:p>
        </w:tc>
      </w:tr>
      <w:tr w14:paraId="64F9B8E9">
        <w:tblPrEx>
          <w:tblCellMar>
            <w:top w:w="0" w:type="dxa"/>
            <w:left w:w="108" w:type="dxa"/>
            <w:bottom w:w="0" w:type="dxa"/>
            <w:right w:w="108" w:type="dxa"/>
          </w:tblCellMar>
        </w:tblPrEx>
        <w:trPr>
          <w:trHeight w:val="300" w:hRule="atLeast"/>
        </w:trPr>
        <w:tc>
          <w:tcPr>
            <w:tcW w:w="2037" w:type="dxa"/>
            <w:vMerge w:val="continue"/>
            <w:tcBorders>
              <w:top w:val="nil"/>
              <w:left w:val="single" w:color="auto" w:sz="4" w:space="0"/>
              <w:bottom w:val="single" w:color="auto" w:sz="4" w:space="0"/>
              <w:right w:val="single" w:color="auto" w:sz="4" w:space="0"/>
            </w:tcBorders>
            <w:vAlign w:val="center"/>
          </w:tcPr>
          <w:p w14:paraId="694481E0">
            <w:pPr>
              <w:widowControl/>
              <w:jc w:val="center"/>
              <w:rPr>
                <w:rFonts w:ascii="宋体" w:hAnsi="宋体" w:cs="宋体"/>
                <w:color w:val="000000"/>
                <w:kern w:val="0"/>
                <w:szCs w:val="21"/>
              </w:rPr>
            </w:pPr>
          </w:p>
        </w:tc>
        <w:tc>
          <w:tcPr>
            <w:tcW w:w="6307" w:type="dxa"/>
            <w:tcBorders>
              <w:top w:val="nil"/>
              <w:left w:val="nil"/>
              <w:bottom w:val="single" w:color="auto" w:sz="4" w:space="0"/>
              <w:right w:val="single" w:color="auto" w:sz="4" w:space="0"/>
            </w:tcBorders>
            <w:shd w:val="clear" w:color="auto" w:fill="auto"/>
            <w:vAlign w:val="center"/>
          </w:tcPr>
          <w:p w14:paraId="410A4F24">
            <w:pPr>
              <w:widowControl/>
              <w:jc w:val="left"/>
              <w:rPr>
                <w:rFonts w:ascii="宋体" w:hAnsi="宋体" w:cs="宋体"/>
                <w:color w:val="000000"/>
                <w:kern w:val="0"/>
                <w:szCs w:val="21"/>
              </w:rPr>
            </w:pPr>
            <w:r>
              <w:rPr>
                <w:rFonts w:hint="eastAsia" w:ascii="宋体" w:hAnsi="宋体" w:cs="宋体"/>
                <w:color w:val="000000"/>
                <w:kern w:val="0"/>
                <w:szCs w:val="21"/>
              </w:rPr>
              <w:t>2.3.29支持展示了出境检测结果的资产清单，包括web应用、文件服务以及邮件服务，展示内容至少包含应用域名/服务地址、访问IP（部署IP）、出境数据总量、出境事件个数、出境数据标签等，并支持清单的导出</w:t>
            </w:r>
          </w:p>
        </w:tc>
      </w:tr>
    </w:tbl>
    <w:p w14:paraId="17DE3181">
      <w:pPr>
        <w:ind w:firstLine="422" w:firstLineChars="200"/>
        <w:rPr>
          <w:b/>
          <w:szCs w:val="21"/>
        </w:rPr>
      </w:pPr>
      <w:r>
        <w:rPr>
          <w:rFonts w:hint="eastAsia"/>
          <w:b/>
          <w:szCs w:val="21"/>
        </w:rPr>
        <w:t xml:space="preserve">对以上三个技术要求表的说明： </w:t>
      </w:r>
    </w:p>
    <w:p w14:paraId="61C30D87">
      <w:pPr>
        <w:ind w:firstLine="422" w:firstLineChars="200"/>
        <w:rPr>
          <w:b/>
          <w:szCs w:val="21"/>
        </w:rPr>
      </w:pPr>
      <w:r>
        <w:rPr>
          <w:rFonts w:hint="eastAsia"/>
          <w:b/>
          <w:szCs w:val="21"/>
        </w:rPr>
        <w:t>1.评分时，如对一项招标技术要求（以划分框为准）中的内容存在两处（或以上）负偏离的，在评分时只作一项负偏离扣分。</w:t>
      </w:r>
    </w:p>
    <w:p w14:paraId="4E135583">
      <w:pPr>
        <w:ind w:firstLine="422" w:firstLineChars="200"/>
        <w:rPr>
          <w:b/>
          <w:szCs w:val="21"/>
        </w:rPr>
      </w:pPr>
      <w:r>
        <w:rPr>
          <w:rFonts w:hint="eastAsia"/>
          <w:b/>
          <w:szCs w:val="21"/>
        </w:rPr>
        <w:t>2.带★号条款为不可负偏离条款，不作为评分准则中的评分内容，如未响应或出现负偏离的，将作投标无效处理；带“▲”指标项为重要参数条款，负偏离时依相关评分准则内容作重点扣分处理。</w:t>
      </w:r>
    </w:p>
    <w:p w14:paraId="1BF96921">
      <w:pPr>
        <w:ind w:firstLine="422" w:firstLineChars="200"/>
        <w:rPr>
          <w:b/>
          <w:szCs w:val="21"/>
        </w:rPr>
      </w:pPr>
      <w:r>
        <w:rPr>
          <w:rFonts w:hint="eastAsia"/>
          <w:b/>
          <w:szCs w:val="21"/>
        </w:rPr>
        <w:t>3.招标技术要求中，用红色加粗字体标注的指标项均要求提供证明资料；其余指标项未要求提供证明资料，无需提供相关证明资料。</w:t>
      </w:r>
    </w:p>
    <w:p w14:paraId="68D7127E">
      <w:pPr>
        <w:pStyle w:val="7"/>
        <w:spacing w:before="120" w:beforeLines="50" w:after="120" w:afterLines="50"/>
        <w:rPr>
          <w:rFonts w:hint="eastAsia"/>
          <w:szCs w:val="24"/>
        </w:rPr>
      </w:pPr>
    </w:p>
    <w:p w14:paraId="72F7EFE3">
      <w:pPr>
        <w:pStyle w:val="7"/>
        <w:spacing w:before="120" w:beforeLines="50" w:after="120" w:afterLines="50"/>
        <w:rPr>
          <w:szCs w:val="24"/>
        </w:rPr>
      </w:pPr>
      <w:r>
        <w:rPr>
          <w:rFonts w:hint="eastAsia"/>
          <w:szCs w:val="24"/>
        </w:rPr>
        <w:t>六、商务要求</w:t>
      </w:r>
    </w:p>
    <w:p w14:paraId="220B57D9">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1.项目服务期：自合同签订之日起一年。本项目为长期服务项目，合同累计履行期限最长不得超过三十六个月。服务期满后采购人可根据项目需求和中标人履约情况选择是否续签合同，最多续签两次，合同一年一签。</w:t>
      </w:r>
    </w:p>
    <w:p w14:paraId="6EE9E38F">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2.项目所在地点：采购人指定地点。</w:t>
      </w:r>
    </w:p>
    <w:p w14:paraId="2F35B3AB">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3.付款方式：合同签订之日起支付合同总金额</w:t>
      </w:r>
      <w:r>
        <w:rPr>
          <w:rFonts w:hint="eastAsia" w:ascii="宋体" w:hAnsi="宋体" w:cs="宋体"/>
          <w:color w:val="000000"/>
          <w:kern w:val="0"/>
          <w:szCs w:val="21"/>
          <w:lang w:val="en-US" w:eastAsia="zh-CN"/>
        </w:rPr>
        <w:t>50</w:t>
      </w:r>
      <w:r>
        <w:rPr>
          <w:rFonts w:hint="eastAsia" w:ascii="宋体" w:hAnsi="宋体" w:cs="宋体"/>
          <w:color w:val="000000"/>
          <w:kern w:val="0"/>
          <w:szCs w:val="21"/>
        </w:rPr>
        <w:t>%；项目服务期结束根据考核要求达到服务验收要求后支付合同总金额</w:t>
      </w:r>
      <w:r>
        <w:rPr>
          <w:rFonts w:hint="eastAsia" w:ascii="宋体" w:hAnsi="宋体" w:cs="宋体"/>
          <w:color w:val="000000"/>
          <w:kern w:val="0"/>
          <w:szCs w:val="21"/>
          <w:lang w:val="en-US" w:eastAsia="zh-CN"/>
        </w:rPr>
        <w:t>50</w:t>
      </w:r>
      <w:r>
        <w:rPr>
          <w:rFonts w:hint="eastAsia" w:ascii="宋体" w:hAnsi="宋体" w:cs="宋体"/>
          <w:color w:val="000000"/>
          <w:kern w:val="0"/>
          <w:szCs w:val="21"/>
        </w:rPr>
        <w:t>%。</w:t>
      </w:r>
    </w:p>
    <w:p w14:paraId="6F5F14EC">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4.报价内容：报价应包含服务的购置费；服务工具使用费、安装调试费；人工服务费；保险费；各种税费；资料费；合同实施过程中的不可预见费用等全部费用。</w:t>
      </w:r>
    </w:p>
    <w:p w14:paraId="4176A40C">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.项目验收要求</w:t>
      </w:r>
    </w:p>
    <w:p w14:paraId="6B08BDB1">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.1验收标准：按照本项目合同的有关要求进行验收。</w:t>
      </w:r>
    </w:p>
    <w:p w14:paraId="0EDFEBE9">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.2验收文件的签署：服务期满后，由成交供应商撰写服务完成报告总结，经采购人确认验收通过后签署项目验收报告，并交付服务中所产生的资料文档。</w:t>
      </w:r>
    </w:p>
    <w:p w14:paraId="4580835C"/>
    <w:p w14:paraId="0E07C1C4">
      <w:pPr>
        <w:pStyle w:val="7"/>
        <w:spacing w:before="120" w:beforeLines="50" w:after="120" w:afterLines="50"/>
        <w:rPr>
          <w:rFonts w:hint="eastAsia"/>
          <w:szCs w:val="24"/>
        </w:rPr>
      </w:pPr>
    </w:p>
    <w:p w14:paraId="78C96A44">
      <w:pPr>
        <w:pStyle w:val="7"/>
        <w:spacing w:before="120" w:beforeLines="50" w:after="120" w:afterLines="50"/>
        <w:rPr>
          <w:rFonts w:hint="eastAsia"/>
          <w:szCs w:val="24"/>
        </w:rPr>
      </w:pPr>
      <w:r>
        <w:rPr>
          <w:rFonts w:hint="eastAsia"/>
          <w:szCs w:val="24"/>
          <w:lang w:val="en-US" w:eastAsia="zh-CN"/>
        </w:rPr>
        <w:t>七</w:t>
      </w:r>
      <w:r>
        <w:rPr>
          <w:rFonts w:hint="eastAsia"/>
          <w:szCs w:val="24"/>
        </w:rPr>
        <w:t>、其他重要条款</w:t>
      </w:r>
    </w:p>
    <w:p w14:paraId="61FEA69E">
      <w:pPr>
        <w:ind w:firstLine="420" w:firstLineChars="200"/>
        <w:rPr>
          <w:bCs/>
          <w:szCs w:val="21"/>
        </w:rPr>
      </w:pPr>
      <w:bookmarkStart w:id="36" w:name="_Hlk72257111"/>
      <w:r>
        <w:rPr>
          <w:rFonts w:hint="eastAsia"/>
          <w:bCs/>
          <w:szCs w:val="21"/>
        </w:rPr>
        <w:t>1</w:t>
      </w:r>
      <w:r>
        <w:rPr>
          <w:rFonts w:hint="eastAsia"/>
          <w:bCs/>
          <w:szCs w:val="21"/>
          <w:lang w:val="en-US" w:eastAsia="zh-CN"/>
        </w:rPr>
        <w:t>.</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14AD53E">
      <w:pPr>
        <w:pStyle w:val="2"/>
        <w:spacing w:before="60" w:beforeLines="25" w:after="60" w:afterLines="25"/>
        <w:ind w:firstLine="392" w:firstLineChars="187"/>
        <w:rPr>
          <w:rFonts w:hint="eastAsia" w:ascii="宋体" w:hAnsi="宋体"/>
          <w:szCs w:val="21"/>
        </w:rPr>
      </w:pPr>
      <w:r>
        <w:rPr>
          <w:bCs/>
          <w:szCs w:val="21"/>
        </w:rPr>
        <w:t>2</w:t>
      </w:r>
      <w:r>
        <w:rPr>
          <w:rFonts w:hint="eastAsia"/>
          <w:bCs/>
          <w:szCs w:val="21"/>
          <w:lang w:val="en-US" w:eastAsia="zh-CN"/>
        </w:rPr>
        <w:t>.</w:t>
      </w:r>
      <w:r>
        <w:rPr>
          <w:rFonts w:hint="eastAsia"/>
          <w:bCs/>
          <w:szCs w:val="21"/>
        </w:rPr>
        <w:t>投标人应充分了解项目的位置、情况、道路及任何其他足以影响投标报价的情况，任何因忽视或误解项目情况而导致的索赔或服务期限延长申请将不获批准。</w:t>
      </w:r>
    </w:p>
    <w:p w14:paraId="2EE356D5">
      <w:pPr>
        <w:ind w:firstLine="420" w:firstLineChars="200"/>
        <w:rPr>
          <w:bCs/>
          <w:szCs w:val="21"/>
        </w:rPr>
      </w:pPr>
      <w:r>
        <w:rPr>
          <w:bCs/>
          <w:szCs w:val="21"/>
        </w:rPr>
        <w:t>3</w:t>
      </w:r>
      <w:r>
        <w:rPr>
          <w:rFonts w:hint="eastAsia"/>
          <w:bCs/>
          <w:szCs w:val="21"/>
          <w:lang w:val="en-US" w:eastAsia="zh-CN"/>
        </w:rPr>
        <w:t>.</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28702C5">
      <w:pPr>
        <w:ind w:firstLine="420" w:firstLineChars="200"/>
        <w:rPr>
          <w:bCs/>
          <w:szCs w:val="21"/>
        </w:rPr>
      </w:pPr>
      <w:r>
        <w:rPr>
          <w:bCs/>
          <w:szCs w:val="21"/>
        </w:rPr>
        <w:t>4</w:t>
      </w:r>
      <w:r>
        <w:rPr>
          <w:rFonts w:hint="eastAsia"/>
          <w:bCs/>
          <w:szCs w:val="21"/>
          <w:lang w:val="en-US" w:eastAsia="zh-CN"/>
        </w:rPr>
        <w:t>.</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7082194A">
      <w:pPr>
        <w:widowControl/>
        <w:ind w:firstLine="420" w:firstLineChars="200"/>
        <w:jc w:val="left"/>
        <w:rPr>
          <w:rFonts w:hint="eastAsia" w:ascii="宋体" w:hAnsi="宋体"/>
          <w:b/>
          <w:bCs/>
          <w:sz w:val="24"/>
          <w:szCs w:val="20"/>
        </w:rPr>
      </w:pPr>
      <w:r>
        <w:rPr>
          <w:bCs/>
          <w:szCs w:val="21"/>
        </w:rPr>
        <w:t>5</w:t>
      </w:r>
      <w:r>
        <w:rPr>
          <w:rFonts w:hint="eastAsia"/>
          <w:bCs/>
          <w:szCs w:val="21"/>
          <w:lang w:val="en-US" w:eastAsia="zh-CN"/>
        </w:rPr>
        <w:t>.</w:t>
      </w:r>
      <w:r>
        <w:rPr>
          <w:rFonts w:hint="eastAsia"/>
          <w:bCs/>
          <w:szCs w:val="21"/>
        </w:rPr>
        <w:t>除采购合同继续履行将损害国家利益和社会公共利益外，双方当事人不得擅自变更、中止或者终止合同。</w:t>
      </w:r>
      <w:bookmarkEnd w:id="36"/>
      <w:r>
        <w:br w:type="page"/>
      </w:r>
    </w:p>
    <w:p w14:paraId="4A112C9C">
      <w:pPr>
        <w:pStyle w:val="7"/>
        <w:rPr>
          <w:rFonts w:hint="eastAsia"/>
          <w:sz w:val="28"/>
          <w:szCs w:val="28"/>
        </w:rPr>
      </w:pPr>
      <w:r>
        <w:rPr>
          <w:rFonts w:hint="eastAsia"/>
          <w:sz w:val="28"/>
          <w:szCs w:val="28"/>
        </w:rPr>
        <w:t>第四章 投标文件组成要求及格式</w:t>
      </w:r>
    </w:p>
    <w:p w14:paraId="0FE938E9">
      <w:pPr>
        <w:widowControl/>
        <w:jc w:val="left"/>
        <w:rPr>
          <w:rFonts w:hint="eastAsia" w:ascii="宋体" w:hAnsi="宋体"/>
          <w:sz w:val="24"/>
        </w:rPr>
      </w:pPr>
    </w:p>
    <w:p w14:paraId="01390D21">
      <w:pPr>
        <w:rPr>
          <w:rFonts w:hint="eastAsia" w:ascii="宋体" w:hAnsi="宋体"/>
          <w:b/>
          <w:bCs/>
          <w:sz w:val="24"/>
        </w:rPr>
      </w:pPr>
      <w:r>
        <w:rPr>
          <w:rFonts w:hint="eastAsia" w:ascii="宋体" w:hAnsi="宋体"/>
          <w:b/>
          <w:bCs/>
          <w:sz w:val="24"/>
        </w:rPr>
        <w:t>投标文件组成主要包括以下内容：</w:t>
      </w:r>
    </w:p>
    <w:p w14:paraId="04B94D3C">
      <w:pPr>
        <w:ind w:firstLine="420" w:firstLineChars="200"/>
        <w:rPr>
          <w:szCs w:val="21"/>
        </w:rPr>
      </w:pPr>
    </w:p>
    <w:p w14:paraId="53D4AAA6">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（1）</w:t>
      </w:r>
      <w:bookmarkStart w:id="37" w:name="_Hlk72070784"/>
      <w:r>
        <w:rPr>
          <w:rFonts w:hint="eastAsia" w:ascii="Times New Roman" w:hAnsi="Times New Roman" w:eastAsia="宋体" w:cs="Times New Roman"/>
          <w:szCs w:val="21"/>
        </w:rPr>
        <w:t>投标函</w:t>
      </w:r>
      <w:bookmarkEnd w:id="37"/>
    </w:p>
    <w:p w14:paraId="20A37BF4">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（2）采购投标及履约承诺函</w:t>
      </w:r>
    </w:p>
    <w:p w14:paraId="3AD70B78">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（3）投标人情况及资格证明文件</w:t>
      </w:r>
    </w:p>
    <w:p w14:paraId="66DFCD8A">
      <w:pPr>
        <w:ind w:firstLine="420" w:firstLineChars="200"/>
        <w:rPr>
          <w:rFonts w:hint="eastAsia" w:ascii="Times New Roman" w:hAnsi="Times New Roman" w:eastAsia="宋体" w:cs="Times New Roman"/>
          <w:szCs w:val="21"/>
        </w:rPr>
      </w:pPr>
      <w:bookmarkStart w:id="38" w:name="_Hlk72257201"/>
      <w:r>
        <w:rPr>
          <w:rFonts w:hint="eastAsia" w:ascii="Times New Roman" w:hAnsi="Times New Roman" w:eastAsia="宋体" w:cs="Times New Roman"/>
          <w:szCs w:val="21"/>
        </w:rPr>
        <w:t>（4）项目详细报价</w:t>
      </w:r>
      <w:bookmarkEnd w:id="38"/>
    </w:p>
    <w:p w14:paraId="32DD03E5">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（5）法定代表人（负责人）证明书</w:t>
      </w:r>
    </w:p>
    <w:p w14:paraId="63EB3D15">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（6）投标文件签署授权委托书</w:t>
      </w:r>
    </w:p>
    <w:p w14:paraId="5293471D">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（7）实质性条款响应情况表</w:t>
      </w:r>
    </w:p>
    <w:p w14:paraId="771C005E">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（8）项目总体服务方案（格式自定）</w:t>
      </w:r>
    </w:p>
    <w:p w14:paraId="08471861">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（9）技术要求响应情况</w:t>
      </w:r>
    </w:p>
    <w:p w14:paraId="74890327">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（10）拟投入的项目技术人员情况</w:t>
      </w:r>
    </w:p>
    <w:p w14:paraId="235C06A4">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供应商认证情况</w:t>
      </w:r>
    </w:p>
    <w:p w14:paraId="793D7E9F">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供应商同类项目业绩情况</w:t>
      </w:r>
    </w:p>
    <w:p w14:paraId="1838CB46">
      <w:pPr>
        <w:ind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投标人认为需要加以说明的其他内容（格式自定）</w:t>
      </w:r>
    </w:p>
    <w:p w14:paraId="474AF5AA">
      <w:pPr>
        <w:rPr>
          <w:rFonts w:ascii="仿宋_GB2312" w:eastAsia="仿宋_GB2312"/>
          <w:sz w:val="24"/>
        </w:rPr>
      </w:pPr>
    </w:p>
    <w:p w14:paraId="21BF5666">
      <w:pPr>
        <w:ind w:firstLine="426" w:firstLineChars="202"/>
        <w:rPr>
          <w:rFonts w:hint="eastAsia" w:ascii="宋体" w:hAnsi="宋体"/>
          <w:b/>
          <w:szCs w:val="21"/>
        </w:rPr>
      </w:pPr>
      <w:r>
        <w:rPr>
          <w:rFonts w:hint="eastAsia" w:ascii="宋体" w:hAnsi="宋体"/>
          <w:b/>
          <w:szCs w:val="21"/>
        </w:rPr>
        <w:t>备注：</w:t>
      </w:r>
    </w:p>
    <w:p w14:paraId="44624026">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14:paraId="0843DB62">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14:paraId="2E43EF75">
      <w:pPr>
        <w:pStyle w:val="19"/>
      </w:pPr>
      <w:r>
        <w:rPr>
          <w:rFonts w:hint="eastAsia"/>
        </w:rPr>
        <w:br w:type="page"/>
      </w:r>
    </w:p>
    <w:p w14:paraId="7F461F76">
      <w:pPr>
        <w:pStyle w:val="5"/>
        <w:jc w:val="center"/>
        <w:rPr>
          <w:rFonts w:hint="eastAsia" w:ascii="黑体" w:eastAsia="黑体"/>
          <w:b w:val="0"/>
          <w:kern w:val="0"/>
          <w:sz w:val="24"/>
        </w:rPr>
      </w:pPr>
      <w:r>
        <w:rPr>
          <w:rFonts w:hint="eastAsia" w:ascii="黑体" w:eastAsia="黑体"/>
          <w:b w:val="0"/>
          <w:kern w:val="0"/>
          <w:sz w:val="24"/>
        </w:rPr>
        <w:t>一、投标函</w:t>
      </w:r>
    </w:p>
    <w:p w14:paraId="4031E86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color w:val="000000" w:themeColor="text1"/>
          <w:szCs w:val="21"/>
          <w:u w:val="single"/>
          <w14:textFill>
            <w14:solidFill>
              <w14:schemeClr w14:val="tx1"/>
            </w14:solidFill>
          </w14:textFill>
        </w:rPr>
        <w:t>深圳公共资源交易中心</w:t>
      </w:r>
    </w:p>
    <w:p w14:paraId="55AD9F0B">
      <w:pPr>
        <w:ind w:firstLine="420" w:firstLineChars="200"/>
        <w:rPr>
          <w:rFonts w:hint="eastAsia" w:ascii="宋体" w:hAnsi="宋体"/>
          <w:szCs w:val="21"/>
        </w:rPr>
      </w:pPr>
      <w:bookmarkStart w:id="39" w:name="_Hlk73818812"/>
      <w:r>
        <w:rPr>
          <w:rFonts w:hint="eastAsia"/>
          <w:szCs w:val="21"/>
        </w:rPr>
        <w:t>1</w:t>
      </w:r>
      <w:r>
        <w:rPr>
          <w:rFonts w:hint="eastAsia"/>
          <w:szCs w:val="21"/>
          <w:lang w:val="en-US" w:eastAsia="zh-CN"/>
        </w:rPr>
        <w:t>.</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14:paraId="00BB4ADB">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投标价格见投标书编制软件中《开标一览表》中填写的投标报价。</w:t>
      </w:r>
    </w:p>
    <w:p w14:paraId="2C336F94">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如果我单位中标，我单位将按照招标文件的要求提交履约担保。</w:t>
      </w:r>
    </w:p>
    <w:p w14:paraId="4C4C4733">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我单位同意所递交的投标文件在“对通用条款的补充内容”中明确的投标有效期内有效，在此期间内我单位的投标有可能中标，我方将受此约束。</w:t>
      </w:r>
    </w:p>
    <w:p w14:paraId="25544AFB">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除非另外达成协议并生效，贵单位的中标通知书和本投标文件将构成合同的重要内容。</w:t>
      </w:r>
    </w:p>
    <w:p w14:paraId="2DCD3A14">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我单位理解贵单位将不受必须接受所收到的最低报价或其他任何投标文件的约束。</w:t>
      </w:r>
      <w:bookmarkEnd w:id="39"/>
    </w:p>
    <w:p w14:paraId="3539E244">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如我单位按项目要求提供样品，且未在规定时间内取回样品的，视同放弃取回，同意深圳公共资源交易中心对样品进行清理。</w:t>
      </w:r>
    </w:p>
    <w:p w14:paraId="08AA0BBF">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7E9144F9">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260FF334">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4CF1D759">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4DF59C7">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7842F70">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651CB72C">
      <w:pPr>
        <w:rPr>
          <w:rFonts w:hint="eastAsia" w:ascii="黑体" w:hAnsi="宋体" w:eastAsia="黑体"/>
        </w:rPr>
      </w:pPr>
    </w:p>
    <w:p w14:paraId="19AC0ADF">
      <w:pPr>
        <w:rPr>
          <w:rFonts w:hint="eastAsia" w:ascii="黑体" w:hAnsi="宋体" w:eastAsia="黑体"/>
        </w:rPr>
      </w:pPr>
    </w:p>
    <w:p w14:paraId="7829D876">
      <w:pPr>
        <w:pStyle w:val="5"/>
        <w:jc w:val="center"/>
        <w:rPr>
          <w:rFonts w:hint="eastAsia" w:ascii="黑体" w:eastAsia="黑体"/>
          <w:b w:val="0"/>
          <w:kern w:val="0"/>
          <w:sz w:val="24"/>
        </w:rPr>
      </w:pPr>
      <w:r>
        <w:rPr>
          <w:rFonts w:hint="eastAsia" w:ascii="黑体" w:eastAsia="黑体"/>
          <w:b w:val="0"/>
          <w:kern w:val="0"/>
          <w:sz w:val="24"/>
        </w:rPr>
        <w:t>二、采购投标及履约承诺函</w:t>
      </w:r>
    </w:p>
    <w:p w14:paraId="786223B2">
      <w:pPr>
        <w:rPr>
          <w:rFonts w:hint="eastAsia" w:ascii="宋体" w:hAnsi="宋体"/>
          <w:sz w:val="24"/>
        </w:rPr>
      </w:pPr>
    </w:p>
    <w:p w14:paraId="6800552E">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6FD0A6BE">
      <w:pPr>
        <w:ind w:right="-815" w:firstLine="420" w:firstLineChars="200"/>
        <w:rPr>
          <w:rFonts w:hint="eastAsia" w:ascii="宋体" w:hAnsi="宋体"/>
          <w:szCs w:val="21"/>
        </w:rPr>
      </w:pPr>
      <w:r>
        <w:rPr>
          <w:rFonts w:hint="eastAsia" w:ascii="宋体" w:hAnsi="宋体"/>
          <w:szCs w:val="21"/>
        </w:rPr>
        <w:t>我单位承诺：</w:t>
      </w:r>
    </w:p>
    <w:p w14:paraId="3299A97B">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4C07A13C">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采购活动时不存在被有关部门禁止参与政府采购活动且在有效期内的情况。符合招标文件关于联合体及进口产品的相关资格要求。</w:t>
      </w:r>
    </w:p>
    <w:p w14:paraId="5BC1548F">
      <w:pPr>
        <w:ind w:firstLine="420" w:firstLineChars="200"/>
        <w:rPr>
          <w:rFonts w:hint="eastAsia" w:ascii="宋体" w:hAnsi="宋体" w:eastAsia="宋体" w:cs="Times New Roman"/>
          <w:szCs w:val="21"/>
        </w:rPr>
      </w:pPr>
      <w:r>
        <w:rPr>
          <w:rFonts w:hint="eastAsia" w:ascii="宋体" w:hAnsi="宋体"/>
          <w:szCs w:val="21"/>
        </w:rPr>
        <w:t>3.我单</w:t>
      </w:r>
      <w:r>
        <w:rPr>
          <w:rFonts w:hint="eastAsia" w:ascii="宋体" w:hAnsi="宋体" w:eastAsia="宋体" w:cs="Times New Roman"/>
          <w:szCs w:val="21"/>
        </w:rPr>
        <w:t>位具备《中华人民共和国政府采购法》第二十二条第一款的条件。</w:t>
      </w:r>
    </w:p>
    <w:p w14:paraId="22D5E305">
      <w:pPr>
        <w:ind w:firstLine="420" w:firstLineChars="200"/>
        <w:rPr>
          <w:rFonts w:hint="eastAsia" w:ascii="宋体" w:hAnsi="宋体" w:eastAsia="宋体" w:cs="Times New Roman"/>
          <w:szCs w:val="21"/>
        </w:rPr>
      </w:pPr>
      <w:r>
        <w:rPr>
          <w:rFonts w:hint="eastAsia" w:ascii="宋体" w:hAnsi="宋体" w:eastAsia="宋体" w:cs="Times New Roman"/>
          <w:szCs w:val="21"/>
        </w:rPr>
        <w:t>4.我单位未被列入失信被执行人、重大税收违法案件当事人名单、政府采购严重违法失信行为记录名单。</w:t>
      </w:r>
    </w:p>
    <w:p w14:paraId="0272EDF8">
      <w:pPr>
        <w:ind w:firstLine="420" w:firstLineChars="200"/>
        <w:rPr>
          <w:rFonts w:hint="eastAsia" w:ascii="宋体" w:hAnsi="宋体" w:eastAsia="宋体" w:cs="Times New Roman"/>
          <w:szCs w:val="21"/>
        </w:rPr>
      </w:pPr>
      <w:r>
        <w:rPr>
          <w:rFonts w:hint="eastAsia" w:ascii="宋体" w:hAnsi="宋体" w:eastAsia="宋体" w:cs="Times New Roman"/>
          <w:szCs w:val="21"/>
        </w:rPr>
        <w:t>5.我单位不存在《深圳市财政局政府采购供应商信用信息管理办法》（深财规〔2023〕3号）列明的严重违法失信行为。</w:t>
      </w:r>
    </w:p>
    <w:p w14:paraId="0E1FEA96">
      <w:pPr>
        <w:ind w:firstLine="420" w:firstLineChars="200"/>
        <w:rPr>
          <w:rFonts w:hint="eastAsia" w:ascii="宋体" w:hAnsi="宋体" w:eastAsia="宋体" w:cs="Times New Roman"/>
          <w:szCs w:val="21"/>
        </w:rPr>
      </w:pPr>
      <w:r>
        <w:rPr>
          <w:rFonts w:hint="eastAsia" w:ascii="宋体" w:hAnsi="宋体" w:eastAsia="宋体" w:cs="Times New Roman"/>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9772567">
      <w:pPr>
        <w:ind w:firstLine="420" w:firstLineChars="200"/>
        <w:rPr>
          <w:rFonts w:hint="eastAsia" w:ascii="宋体" w:hAnsi="宋体"/>
          <w:szCs w:val="21"/>
        </w:rPr>
      </w:pPr>
      <w:r>
        <w:rPr>
          <w:rFonts w:hint="eastAsia" w:ascii="宋体" w:hAnsi="宋体" w:eastAsia="宋体" w:cs="Times New Roman"/>
          <w:szCs w:val="21"/>
        </w:rPr>
        <w:t>7.我单位如果中标，做到守信，</w:t>
      </w:r>
      <w:r>
        <w:rPr>
          <w:rFonts w:hint="eastAsia" w:ascii="宋体" w:hAnsi="宋体"/>
          <w:szCs w:val="21"/>
        </w:rPr>
        <w:t>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E2D800">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B85744F">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9CBBB5C">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47DFAF42">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B5353F6">
      <w:pPr>
        <w:ind w:firstLine="420" w:firstLineChars="200"/>
        <w:rPr>
          <w:rFonts w:hint="eastAsia" w:ascii="宋体" w:hAnsi="宋体" w:eastAsia="宋体" w:cs="Times New Roman"/>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w:t>
      </w:r>
      <w:r>
        <w:rPr>
          <w:rFonts w:hint="eastAsia" w:ascii="宋体" w:hAnsi="宋体" w:eastAsia="宋体" w:cs="Times New Roman"/>
        </w:rPr>
        <w:t>国家强制性标准的，所投产品应符合国家强制性标准相关要求。</w:t>
      </w:r>
    </w:p>
    <w:p w14:paraId="76C8EE2A">
      <w:pPr>
        <w:ind w:firstLine="420" w:firstLineChars="200"/>
        <w:rPr>
          <w:rFonts w:hint="eastAsia" w:ascii="宋体" w:hAnsi="宋体" w:eastAsia="宋体" w:cs="Times New Roman"/>
        </w:rPr>
      </w:pPr>
      <w:r>
        <w:rPr>
          <w:rFonts w:hint="eastAsia" w:ascii="宋体" w:hAnsi="宋体" w:eastAsia="宋体" w:cs="Times New Roman"/>
        </w:rPr>
        <w:t>12.我单位已知悉并同意中标（成交）结果信息公示的内容。</w:t>
      </w:r>
    </w:p>
    <w:p w14:paraId="1565AD62">
      <w:pPr>
        <w:ind w:firstLine="420" w:firstLineChars="200"/>
        <w:rPr>
          <w:rFonts w:hint="eastAsia" w:ascii="宋体" w:hAnsi="宋体" w:eastAsia="宋体" w:cs="Times New Roman"/>
        </w:rPr>
      </w:pPr>
      <w:r>
        <w:rPr>
          <w:rFonts w:hint="eastAsia" w:ascii="宋体" w:hAnsi="宋体" w:eastAsia="宋体" w:cs="Times New Roman"/>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75E395B1">
      <w:pPr>
        <w:ind w:firstLine="420" w:firstLineChars="200"/>
        <w:rPr>
          <w:rFonts w:hint="eastAsia" w:ascii="宋体" w:hAnsi="宋体" w:eastAsia="宋体" w:cs="Times New Roman"/>
        </w:rPr>
      </w:pPr>
      <w:r>
        <w:rPr>
          <w:rFonts w:hint="eastAsia" w:ascii="宋体" w:hAnsi="宋体" w:eastAsia="宋体" w:cs="Times New Roman"/>
        </w:rPr>
        <w:t>14.我单位清楚，如存在违反投标承诺行为情节严重的，将根据《深圳市财政局关于印发&lt;深圳市财政局政府采购供应商信用信息管理办法&gt;的通知》，依法被列入失信信息。</w:t>
      </w:r>
    </w:p>
    <w:p w14:paraId="36F2A69B">
      <w:pPr>
        <w:ind w:firstLine="420" w:firstLineChars="200"/>
        <w:rPr>
          <w:rFonts w:hint="eastAsia" w:ascii="宋体" w:hAnsi="宋体"/>
          <w:bCs/>
        </w:rPr>
      </w:pPr>
      <w:r>
        <w:rPr>
          <w:rFonts w:hint="eastAsia" w:ascii="宋体" w:hAnsi="宋体" w:eastAsia="宋体" w:cs="Times New Roman"/>
        </w:rPr>
        <w:t>15.我单位保证，若所投产品列入强制性产品认证目录的，则所投该产品须获得强制性产品认证证书（即CCC认证）；其中适用自我声明评</w:t>
      </w:r>
      <w:r>
        <w:rPr>
          <w:rFonts w:hint="eastAsia" w:ascii="宋体" w:hAnsi="宋体"/>
          <w:bCs/>
        </w:rPr>
        <w:t>价方式的产品，则所投该产品须具有“强制性认证产品符合性自我声明”；若所投产品列入工业产品生产许可证管理的产品目录的，则所投该产品生产者（制造商）须获得《全国工业产品生产许可证》。</w:t>
      </w:r>
    </w:p>
    <w:p w14:paraId="15EE532A">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72F93757">
      <w:pPr>
        <w:ind w:firstLine="420" w:firstLineChars="200"/>
        <w:rPr>
          <w:rFonts w:hint="eastAsia" w:ascii="宋体" w:hAnsi="宋体"/>
          <w:szCs w:val="21"/>
        </w:rPr>
      </w:pPr>
    </w:p>
    <w:p w14:paraId="5DCCF093">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1A362DDE">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2B8A57CB">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7556DEC9"/>
    <w:p w14:paraId="20ADAF45"/>
    <w:p w14:paraId="4229B36C">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54D50967">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0BD6A616">
      <w:pPr>
        <w:ind w:firstLine="420" w:firstLineChars="200"/>
        <w:outlineLvl w:val="3"/>
        <w:rPr>
          <w:rFonts w:hint="eastAsia" w:ascii="黑体" w:hAnsi="黑体" w:eastAsia="黑体" w:cs="Times New Roman"/>
          <w:color w:val="FF0000"/>
          <w:szCs w:val="21"/>
        </w:rPr>
      </w:pPr>
      <w:r>
        <w:rPr>
          <w:rFonts w:hint="eastAsia" w:ascii="黑体" w:hAnsi="黑体" w:eastAsia="黑体" w:cs="Times New Roman"/>
          <w:color w:val="FF0000"/>
          <w:szCs w:val="21"/>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44AE6286"/>
    <w:p w14:paraId="710681EC">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21B3335F">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14:paraId="72C68811">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55EFC19">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67FA11BD">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7F876483">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1"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1"/>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0827E22A">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7D1C205F">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3B12E8C7">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5F78F55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3E688BF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4BCDF3D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370F938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14:paraId="6B9AC25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B1F1EF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3F4822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363340B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67462E5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14:paraId="0A6D214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17A2F19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11C1D2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14:paraId="0E974A72">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14:paraId="5D0FB2C1">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49369758">
      <w:pPr>
        <w:ind w:firstLine="420" w:firstLineChars="200"/>
        <w:rPr>
          <w:rFonts w:hint="eastAsia" w:ascii="黑体" w:hAnsi="黑体" w:eastAsia="黑体" w:cs="黑体"/>
          <w:color w:val="FF0000"/>
        </w:rPr>
      </w:pPr>
    </w:p>
    <w:p w14:paraId="4E58E495">
      <w:pPr>
        <w:ind w:firstLine="420" w:firstLineChars="200"/>
        <w:rPr>
          <w:rFonts w:hint="eastAsia" w:ascii="黑体" w:hAnsi="黑体" w:eastAsia="黑体" w:cs="黑体"/>
          <w:color w:val="FF0000"/>
        </w:rPr>
      </w:pPr>
    </w:p>
    <w:p w14:paraId="43460B42">
      <w:pPr>
        <w:ind w:firstLine="420" w:firstLineChars="200"/>
      </w:pPr>
    </w:p>
    <w:p w14:paraId="712AC8BA">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11637B0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3073DEA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6831E3C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5CFCB9E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66741CD1">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0F827896">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1B58D33C">
      <w:pPr>
        <w:ind w:firstLine="420" w:firstLineChars="200"/>
        <w:rPr>
          <w:rFonts w:hint="eastAsia" w:asciiTheme="minorEastAsia" w:hAnsiTheme="minorEastAsia" w:eastAsiaTheme="minorEastAsia" w:cstheme="minorEastAsia"/>
          <w:szCs w:val="21"/>
        </w:rPr>
      </w:pPr>
      <w:bookmarkStart w:id="42"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14:paraId="39AC55E0">
      <w:pPr>
        <w:ind w:firstLine="420" w:firstLineChars="200"/>
      </w:pPr>
    </w:p>
    <w:p w14:paraId="23674B3E">
      <w:pPr>
        <w:jc w:val="center"/>
        <w:outlineLvl w:val="3"/>
        <w:rPr>
          <w:b/>
          <w:sz w:val="24"/>
        </w:rPr>
      </w:pPr>
      <w:r>
        <w:rPr>
          <w:rFonts w:hint="eastAsia"/>
          <w:b/>
          <w:sz w:val="24"/>
        </w:rPr>
        <w:t>2、残疾人福利性单位声明函（服务类）</w:t>
      </w:r>
    </w:p>
    <w:p w14:paraId="4CBE4D55">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3BA99E7B">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75319E09">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0B88B8CF">
      <w:pPr>
        <w:ind w:firstLine="420" w:firstLineChars="200"/>
        <w:rPr>
          <w:rFonts w:hint="eastAsia" w:ascii="宋体" w:hAnsi="宋体"/>
          <w:szCs w:val="21"/>
        </w:rPr>
      </w:pPr>
    </w:p>
    <w:p w14:paraId="1726824B">
      <w:pPr>
        <w:ind w:firstLine="420" w:firstLineChars="200"/>
        <w:rPr>
          <w:rFonts w:hint="eastAsia" w:ascii="宋体" w:hAnsi="宋体"/>
          <w:szCs w:val="21"/>
        </w:rPr>
      </w:pPr>
    </w:p>
    <w:p w14:paraId="3B61275A">
      <w:pPr>
        <w:ind w:firstLine="420" w:firstLineChars="200"/>
        <w:rPr>
          <w:rFonts w:hint="eastAsia" w:ascii="宋体" w:hAnsi="宋体"/>
          <w:szCs w:val="21"/>
        </w:rPr>
      </w:pPr>
    </w:p>
    <w:p w14:paraId="192F72B4">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4C50100C">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36848017">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1432C322">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7A749B7B">
      <w:pPr>
        <w:ind w:firstLine="420" w:firstLineChars="200"/>
        <w:rPr>
          <w:rFonts w:hint="eastAsia" w:ascii="宋体" w:hAnsi="宋体"/>
          <w:szCs w:val="21"/>
        </w:rPr>
      </w:pPr>
      <w:r>
        <w:rPr>
          <w:rFonts w:ascii="宋体" w:hAnsi="宋体"/>
          <w:szCs w:val="21"/>
        </w:rPr>
        <w:t xml:space="preserve">…… </w:t>
      </w:r>
    </w:p>
    <w:p w14:paraId="667DBD5C">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00D6600C">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0444C859">
      <w:pPr>
        <w:rPr>
          <w:rFonts w:hint="eastAsia" w:ascii="黑体" w:hAnsi="宋体" w:eastAsia="黑体"/>
          <w:bCs/>
          <w:kern w:val="0"/>
          <w:sz w:val="24"/>
          <w:szCs w:val="32"/>
        </w:rPr>
      </w:pPr>
      <w:r>
        <w:rPr>
          <w:rFonts w:hint="eastAsia" w:ascii="黑体" w:hAnsi="宋体" w:eastAsia="黑体"/>
          <w:bCs/>
          <w:kern w:val="0"/>
          <w:sz w:val="24"/>
          <w:szCs w:val="32"/>
        </w:rPr>
        <w:br w:type="page"/>
      </w:r>
    </w:p>
    <w:p w14:paraId="3B2F55DF">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14:paraId="21FE179E">
      <w:pPr>
        <w:jc w:val="left"/>
        <w:rPr>
          <w:szCs w:val="21"/>
        </w:rPr>
      </w:pPr>
    </w:p>
    <w:p w14:paraId="2BDCD1E8">
      <w:pPr>
        <w:jc w:val="left"/>
        <w:rPr>
          <w:szCs w:val="21"/>
        </w:rPr>
      </w:pPr>
      <w:r>
        <w:rPr>
          <w:rFonts w:hint="eastAsia"/>
          <w:szCs w:val="21"/>
        </w:rPr>
        <w:t>填表单位：</w:t>
      </w:r>
    </w:p>
    <w:p w14:paraId="516D6C06">
      <w:pPr>
        <w:jc w:val="left"/>
        <w:rPr>
          <w:szCs w:val="21"/>
        </w:rPr>
      </w:pPr>
      <w:r>
        <w:rPr>
          <w:rFonts w:hint="eastAsia"/>
          <w:szCs w:val="21"/>
        </w:rPr>
        <w:t>填表日期：        年     月      日</w:t>
      </w:r>
    </w:p>
    <w:p w14:paraId="6DD60B9A">
      <w:pPr>
        <w:spacing w:line="75" w:lineRule="exact"/>
        <w:rPr>
          <w:rFonts w:hint="eastAsia" w:ascii="宋体" w:hAnsi="宋体" w:cs="宋体"/>
          <w:szCs w:val="21"/>
        </w:rPr>
      </w:pPr>
    </w:p>
    <w:tbl>
      <w:tblPr>
        <w:tblStyle w:val="20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14:paraId="424C6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89" w:type="pct"/>
            <w:gridSpan w:val="2"/>
            <w:vAlign w:val="center"/>
          </w:tcPr>
          <w:p w14:paraId="47D82735">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采购人</w:t>
            </w:r>
          </w:p>
        </w:tc>
        <w:tc>
          <w:tcPr>
            <w:tcW w:w="1422" w:type="pct"/>
            <w:gridSpan w:val="2"/>
            <w:vAlign w:val="center"/>
          </w:tcPr>
          <w:p w14:paraId="4A64F99D">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1B9EEE95">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项目名称</w:t>
            </w:r>
          </w:p>
        </w:tc>
        <w:tc>
          <w:tcPr>
            <w:tcW w:w="1678" w:type="pct"/>
            <w:gridSpan w:val="2"/>
            <w:vAlign w:val="center"/>
          </w:tcPr>
          <w:p w14:paraId="3B338399">
            <w:pPr>
              <w:rPr>
                <w:rFonts w:hint="eastAsia" w:ascii="宋体" w:hAnsi="宋体" w:cs="宋体"/>
                <w:szCs w:val="21"/>
              </w:rPr>
            </w:pPr>
          </w:p>
        </w:tc>
      </w:tr>
      <w:tr w14:paraId="28525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14:paraId="0AE9D7DA">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投标（响应）供应商</w:t>
            </w:r>
          </w:p>
        </w:tc>
        <w:tc>
          <w:tcPr>
            <w:tcW w:w="1422" w:type="pct"/>
            <w:gridSpan w:val="2"/>
            <w:vAlign w:val="center"/>
          </w:tcPr>
          <w:p w14:paraId="480A84C3">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05EB48BE">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供应商统一社会信用代码</w:t>
            </w:r>
          </w:p>
        </w:tc>
        <w:tc>
          <w:tcPr>
            <w:tcW w:w="1678" w:type="pct"/>
            <w:gridSpan w:val="2"/>
            <w:vAlign w:val="center"/>
          </w:tcPr>
          <w:p w14:paraId="2E5259F8">
            <w:pPr>
              <w:rPr>
                <w:rFonts w:hint="eastAsia" w:ascii="宋体" w:hAnsi="宋体" w:cs="宋体"/>
                <w:szCs w:val="21"/>
              </w:rPr>
            </w:pPr>
          </w:p>
        </w:tc>
      </w:tr>
      <w:tr w14:paraId="260FC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7A6F9764">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2F9CA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45683536">
            <w:pPr>
              <w:pStyle w:val="203"/>
              <w:spacing w:line="202" w:lineRule="auto"/>
              <w:ind w:left="145"/>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14:paraId="49CE238C">
            <w:pPr>
              <w:pStyle w:val="203"/>
              <w:spacing w:line="202" w:lineRule="auto"/>
              <w:ind w:left="916"/>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14:paraId="04367DEA">
            <w:pPr>
              <w:pStyle w:val="203"/>
              <w:spacing w:line="203" w:lineRule="auto"/>
              <w:ind w:left="245"/>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14:paraId="39893B7F">
            <w:pPr>
              <w:pStyle w:val="203"/>
              <w:spacing w:line="203" w:lineRule="auto"/>
              <w:ind w:left="41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14:paraId="60BC4788">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14:paraId="321128CA">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14:paraId="575694F0">
            <w:pPr>
              <w:pStyle w:val="203"/>
              <w:spacing w:line="191" w:lineRule="auto"/>
              <w:ind w:left="271" w:right="262" w:firstLine="8"/>
              <w:rPr>
                <w:rFonts w:hint="eastAsia"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14:paraId="49EAE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14:paraId="27BD004F">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14:paraId="18C1963E">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法定代表人/单位负责人/主要经营负责人</w:t>
            </w:r>
          </w:p>
        </w:tc>
        <w:tc>
          <w:tcPr>
            <w:tcW w:w="528" w:type="pct"/>
            <w:vAlign w:val="center"/>
          </w:tcPr>
          <w:p w14:paraId="55AD7D32">
            <w:pPr>
              <w:rPr>
                <w:rFonts w:hint="eastAsia" w:ascii="宋体" w:hAnsi="宋体" w:cs="宋体"/>
                <w:szCs w:val="21"/>
              </w:rPr>
            </w:pPr>
          </w:p>
        </w:tc>
        <w:tc>
          <w:tcPr>
            <w:tcW w:w="1109" w:type="pct"/>
            <w:gridSpan w:val="2"/>
            <w:vAlign w:val="center"/>
          </w:tcPr>
          <w:p w14:paraId="7BA8DB99">
            <w:pPr>
              <w:rPr>
                <w:rFonts w:hint="eastAsia" w:ascii="宋体" w:hAnsi="宋体" w:cs="宋体"/>
                <w:szCs w:val="21"/>
              </w:rPr>
            </w:pPr>
          </w:p>
        </w:tc>
        <w:tc>
          <w:tcPr>
            <w:tcW w:w="837" w:type="pct"/>
            <w:vAlign w:val="center"/>
          </w:tcPr>
          <w:p w14:paraId="17FD8721">
            <w:pPr>
              <w:rPr>
                <w:rFonts w:hint="eastAsia" w:ascii="宋体" w:hAnsi="宋体" w:cs="宋体"/>
                <w:szCs w:val="21"/>
              </w:rPr>
            </w:pPr>
          </w:p>
        </w:tc>
        <w:tc>
          <w:tcPr>
            <w:tcW w:w="840" w:type="pct"/>
            <w:vAlign w:val="center"/>
          </w:tcPr>
          <w:p w14:paraId="7435AAEB">
            <w:pPr>
              <w:rPr>
                <w:rFonts w:hint="eastAsia" w:ascii="宋体" w:hAnsi="宋体" w:cs="宋体"/>
                <w:szCs w:val="21"/>
              </w:rPr>
            </w:pPr>
          </w:p>
        </w:tc>
      </w:tr>
      <w:tr w14:paraId="0837B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52B25966">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14:paraId="1F1C76EC">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项目投标授权代表人</w:t>
            </w:r>
          </w:p>
        </w:tc>
        <w:tc>
          <w:tcPr>
            <w:tcW w:w="528" w:type="pct"/>
            <w:vAlign w:val="center"/>
          </w:tcPr>
          <w:p w14:paraId="220AFF8C">
            <w:pPr>
              <w:rPr>
                <w:rFonts w:hint="eastAsia" w:ascii="宋体" w:hAnsi="宋体" w:cs="宋体"/>
                <w:szCs w:val="21"/>
              </w:rPr>
            </w:pPr>
          </w:p>
        </w:tc>
        <w:tc>
          <w:tcPr>
            <w:tcW w:w="1109" w:type="pct"/>
            <w:gridSpan w:val="2"/>
            <w:vAlign w:val="center"/>
          </w:tcPr>
          <w:p w14:paraId="1AFA6019">
            <w:pPr>
              <w:rPr>
                <w:rFonts w:hint="eastAsia" w:ascii="宋体" w:hAnsi="宋体" w:cs="宋体"/>
                <w:szCs w:val="21"/>
              </w:rPr>
            </w:pPr>
          </w:p>
        </w:tc>
        <w:tc>
          <w:tcPr>
            <w:tcW w:w="837" w:type="pct"/>
            <w:vAlign w:val="center"/>
          </w:tcPr>
          <w:p w14:paraId="12456871">
            <w:pPr>
              <w:rPr>
                <w:rFonts w:hint="eastAsia" w:ascii="宋体" w:hAnsi="宋体" w:cs="宋体"/>
                <w:szCs w:val="21"/>
              </w:rPr>
            </w:pPr>
          </w:p>
        </w:tc>
        <w:tc>
          <w:tcPr>
            <w:tcW w:w="840" w:type="pct"/>
            <w:vAlign w:val="center"/>
          </w:tcPr>
          <w:p w14:paraId="0BC463DD">
            <w:pPr>
              <w:rPr>
                <w:rFonts w:hint="eastAsia" w:ascii="宋体" w:hAnsi="宋体" w:cs="宋体"/>
                <w:szCs w:val="21"/>
              </w:rPr>
            </w:pPr>
          </w:p>
        </w:tc>
      </w:tr>
      <w:tr w14:paraId="7EAF6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5CF00B99">
            <w:pPr>
              <w:pStyle w:val="203"/>
              <w:spacing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14:paraId="7FF9E630">
            <w:pPr>
              <w:pStyle w:val="203"/>
              <w:spacing w:line="201"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项目负责人</w:t>
            </w:r>
          </w:p>
        </w:tc>
        <w:tc>
          <w:tcPr>
            <w:tcW w:w="528" w:type="pct"/>
            <w:vAlign w:val="center"/>
          </w:tcPr>
          <w:p w14:paraId="3100B813">
            <w:pPr>
              <w:rPr>
                <w:rFonts w:hint="eastAsia" w:ascii="宋体" w:hAnsi="宋体" w:cs="宋体"/>
                <w:szCs w:val="21"/>
              </w:rPr>
            </w:pPr>
          </w:p>
        </w:tc>
        <w:tc>
          <w:tcPr>
            <w:tcW w:w="1109" w:type="pct"/>
            <w:gridSpan w:val="2"/>
            <w:vAlign w:val="center"/>
          </w:tcPr>
          <w:p w14:paraId="03A27577">
            <w:pPr>
              <w:rPr>
                <w:rFonts w:hint="eastAsia" w:ascii="宋体" w:hAnsi="宋体" w:cs="宋体"/>
                <w:szCs w:val="21"/>
              </w:rPr>
            </w:pPr>
          </w:p>
        </w:tc>
        <w:tc>
          <w:tcPr>
            <w:tcW w:w="837" w:type="pct"/>
            <w:vAlign w:val="center"/>
          </w:tcPr>
          <w:p w14:paraId="0A81116D">
            <w:pPr>
              <w:rPr>
                <w:rFonts w:hint="eastAsia" w:ascii="宋体" w:hAnsi="宋体" w:cs="宋体"/>
                <w:szCs w:val="21"/>
              </w:rPr>
            </w:pPr>
          </w:p>
        </w:tc>
        <w:tc>
          <w:tcPr>
            <w:tcW w:w="840" w:type="pct"/>
            <w:vAlign w:val="center"/>
          </w:tcPr>
          <w:p w14:paraId="1486491C">
            <w:pPr>
              <w:rPr>
                <w:rFonts w:hint="eastAsia" w:ascii="宋体" w:hAnsi="宋体" w:cs="宋体"/>
                <w:szCs w:val="21"/>
              </w:rPr>
            </w:pPr>
          </w:p>
        </w:tc>
      </w:tr>
      <w:tr w14:paraId="22401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2A2B1906">
            <w:pPr>
              <w:pStyle w:val="203"/>
              <w:spacing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14:paraId="526BB58C">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主要技术人员</w:t>
            </w:r>
          </w:p>
        </w:tc>
        <w:tc>
          <w:tcPr>
            <w:tcW w:w="528" w:type="pct"/>
            <w:vAlign w:val="center"/>
          </w:tcPr>
          <w:p w14:paraId="0920A8CF">
            <w:pPr>
              <w:rPr>
                <w:rFonts w:hint="eastAsia" w:ascii="宋体" w:hAnsi="宋体" w:cs="宋体"/>
                <w:szCs w:val="21"/>
              </w:rPr>
            </w:pPr>
          </w:p>
        </w:tc>
        <w:tc>
          <w:tcPr>
            <w:tcW w:w="1109" w:type="pct"/>
            <w:gridSpan w:val="2"/>
            <w:vAlign w:val="center"/>
          </w:tcPr>
          <w:p w14:paraId="44F8C4B9">
            <w:pPr>
              <w:rPr>
                <w:rFonts w:hint="eastAsia" w:ascii="宋体" w:hAnsi="宋体" w:cs="宋体"/>
                <w:szCs w:val="21"/>
              </w:rPr>
            </w:pPr>
          </w:p>
        </w:tc>
        <w:tc>
          <w:tcPr>
            <w:tcW w:w="837" w:type="pct"/>
            <w:vAlign w:val="center"/>
          </w:tcPr>
          <w:p w14:paraId="169FB78A">
            <w:pPr>
              <w:rPr>
                <w:rFonts w:hint="eastAsia" w:ascii="宋体" w:hAnsi="宋体" w:cs="宋体"/>
                <w:szCs w:val="21"/>
              </w:rPr>
            </w:pPr>
          </w:p>
        </w:tc>
        <w:tc>
          <w:tcPr>
            <w:tcW w:w="840" w:type="pct"/>
            <w:vAlign w:val="center"/>
          </w:tcPr>
          <w:p w14:paraId="0850E3CE">
            <w:pPr>
              <w:rPr>
                <w:rFonts w:hint="eastAsia" w:ascii="宋体" w:hAnsi="宋体" w:cs="宋体"/>
                <w:szCs w:val="21"/>
              </w:rPr>
            </w:pPr>
          </w:p>
        </w:tc>
      </w:tr>
      <w:tr w14:paraId="78A8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0EFCA4DD">
            <w:pPr>
              <w:pStyle w:val="203"/>
              <w:spacing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14:paraId="0D4D7E1E">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投标文件编制人员</w:t>
            </w:r>
          </w:p>
        </w:tc>
        <w:tc>
          <w:tcPr>
            <w:tcW w:w="528" w:type="pct"/>
            <w:vAlign w:val="center"/>
          </w:tcPr>
          <w:p w14:paraId="70EBF17A">
            <w:pPr>
              <w:rPr>
                <w:rFonts w:hint="eastAsia" w:ascii="宋体" w:hAnsi="宋体" w:cs="宋体"/>
                <w:szCs w:val="21"/>
              </w:rPr>
            </w:pPr>
          </w:p>
        </w:tc>
        <w:tc>
          <w:tcPr>
            <w:tcW w:w="1109" w:type="pct"/>
            <w:gridSpan w:val="2"/>
            <w:vAlign w:val="center"/>
          </w:tcPr>
          <w:p w14:paraId="269BD872">
            <w:pPr>
              <w:rPr>
                <w:rFonts w:hint="eastAsia" w:ascii="宋体" w:hAnsi="宋体" w:cs="宋体"/>
                <w:szCs w:val="21"/>
              </w:rPr>
            </w:pPr>
          </w:p>
        </w:tc>
        <w:tc>
          <w:tcPr>
            <w:tcW w:w="837" w:type="pct"/>
            <w:vAlign w:val="center"/>
          </w:tcPr>
          <w:p w14:paraId="43CB6275">
            <w:pPr>
              <w:rPr>
                <w:rFonts w:hint="eastAsia" w:ascii="宋体" w:hAnsi="宋体" w:cs="宋体"/>
                <w:szCs w:val="21"/>
              </w:rPr>
            </w:pPr>
          </w:p>
        </w:tc>
        <w:tc>
          <w:tcPr>
            <w:tcW w:w="840" w:type="pct"/>
            <w:vAlign w:val="center"/>
          </w:tcPr>
          <w:p w14:paraId="6C8D028F">
            <w:pPr>
              <w:rPr>
                <w:rFonts w:hint="eastAsia" w:ascii="宋体" w:hAnsi="宋体" w:cs="宋体"/>
                <w:szCs w:val="21"/>
              </w:rPr>
            </w:pPr>
          </w:p>
        </w:tc>
      </w:tr>
      <w:tr w14:paraId="0464D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654FFAF7">
            <w:pPr>
              <w:pStyle w:val="203"/>
              <w:spacing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14:paraId="485BCA18">
            <w:pPr>
              <w:pStyle w:val="203"/>
              <w:spacing w:line="198"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14:paraId="7DFEA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2BBC9DCE">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375B7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2C7C3385">
            <w:pPr>
              <w:pStyle w:val="203"/>
              <w:spacing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14:paraId="33D13C20">
            <w:pPr>
              <w:pStyle w:val="203"/>
              <w:spacing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14:paraId="7CFC640C">
            <w:pPr>
              <w:pStyle w:val="203"/>
              <w:spacing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14:paraId="79972B0C">
            <w:pPr>
              <w:pStyle w:val="203"/>
              <w:spacing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1F3A6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14:paraId="4A7C3693">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14:paraId="1A468490">
            <w:pPr>
              <w:pStyle w:val="203"/>
              <w:spacing w:line="203" w:lineRule="auto"/>
              <w:jc w:val="center"/>
              <w:rPr>
                <w:rFonts w:hint="eastAsia" w:ascii="宋体" w:hAnsi="宋体" w:eastAsia="宋体" w:cs="宋体"/>
                <w:sz w:val="21"/>
                <w:szCs w:val="21"/>
              </w:rPr>
            </w:pPr>
            <w:r>
              <w:rPr>
                <w:rFonts w:hint="eastAsia" w:ascii="宋体" w:hAnsi="宋体" w:eastAsia="宋体" w:cs="宋体"/>
                <w:spacing w:val="-5"/>
                <w:sz w:val="21"/>
                <w:szCs w:val="21"/>
                <w:lang w:eastAsia="zh-CN"/>
              </w:rPr>
              <w:t>控股股东</w:t>
            </w:r>
          </w:p>
        </w:tc>
        <w:tc>
          <w:tcPr>
            <w:tcW w:w="970" w:type="pct"/>
            <w:gridSpan w:val="2"/>
            <w:vAlign w:val="center"/>
          </w:tcPr>
          <w:p w14:paraId="1E585604">
            <w:pPr>
              <w:rPr>
                <w:rFonts w:hint="eastAsia" w:ascii="宋体" w:hAnsi="宋体" w:cs="宋体"/>
                <w:szCs w:val="21"/>
              </w:rPr>
            </w:pPr>
          </w:p>
        </w:tc>
        <w:tc>
          <w:tcPr>
            <w:tcW w:w="2346" w:type="pct"/>
            <w:gridSpan w:val="3"/>
            <w:vAlign w:val="center"/>
          </w:tcPr>
          <w:p w14:paraId="3DE898CB">
            <w:pPr>
              <w:pStyle w:val="203"/>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6"/>
                <w:sz w:val="21"/>
                <w:szCs w:val="21"/>
                <w:lang w:eastAsia="zh-CN"/>
              </w:rPr>
              <w:t xml:space="preserve"> </w:t>
            </w:r>
            <w:r>
              <w:rPr>
                <w:rFonts w:hint="eastAsia" w:ascii="宋体" w:hAnsi="宋体" w:eastAsia="宋体" w:cs="宋体"/>
                <w:spacing w:val="-2"/>
                <w:sz w:val="21"/>
                <w:szCs w:val="21"/>
                <w:lang w:eastAsia="zh-CN"/>
              </w:rPr>
              <w:t>影响的股东。</w:t>
            </w:r>
          </w:p>
        </w:tc>
      </w:tr>
      <w:tr w14:paraId="700ED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1E6FDD84">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14:paraId="4491D7C3">
            <w:pPr>
              <w:pStyle w:val="203"/>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w:t>
            </w:r>
          </w:p>
        </w:tc>
        <w:tc>
          <w:tcPr>
            <w:tcW w:w="970" w:type="pct"/>
            <w:gridSpan w:val="2"/>
            <w:vAlign w:val="center"/>
          </w:tcPr>
          <w:p w14:paraId="2A0F2045">
            <w:pPr>
              <w:rPr>
                <w:rFonts w:hint="eastAsia" w:ascii="宋体" w:hAnsi="宋体" w:cs="宋体"/>
                <w:szCs w:val="21"/>
              </w:rPr>
            </w:pPr>
          </w:p>
        </w:tc>
        <w:tc>
          <w:tcPr>
            <w:tcW w:w="2346" w:type="pct"/>
            <w:gridSpan w:val="3"/>
            <w:vAlign w:val="center"/>
          </w:tcPr>
          <w:p w14:paraId="2155B509">
            <w:pPr>
              <w:pStyle w:val="203"/>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4C63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000" w:type="pct"/>
            <w:gridSpan w:val="8"/>
            <w:vAlign w:val="center"/>
          </w:tcPr>
          <w:p w14:paraId="0436FBB5">
            <w:pPr>
              <w:pStyle w:val="203"/>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5E95EC7B">
      <w:pPr>
        <w:ind w:left="723" w:hanging="723" w:hangingChars="300"/>
        <w:rPr>
          <w:b/>
          <w:sz w:val="24"/>
        </w:rPr>
      </w:pPr>
    </w:p>
    <w:p w14:paraId="7694C6D5">
      <w:pPr>
        <w:rPr>
          <w:rFonts w:hint="eastAsia" w:ascii="黑体" w:eastAsia="黑体"/>
          <w:b w:val="0"/>
          <w:sz w:val="24"/>
          <w:szCs w:val="24"/>
        </w:rPr>
      </w:pPr>
      <w:r>
        <w:rPr>
          <w:rFonts w:hint="eastAsia" w:ascii="黑体" w:eastAsia="黑体"/>
          <w:b w:val="0"/>
          <w:sz w:val="24"/>
          <w:szCs w:val="24"/>
        </w:rPr>
        <w:br w:type="page"/>
      </w:r>
    </w:p>
    <w:p w14:paraId="389E05A6">
      <w:pPr>
        <w:pStyle w:val="5"/>
        <w:jc w:val="center"/>
        <w:rPr>
          <w:rFonts w:hint="eastAsia" w:ascii="黑体" w:eastAsia="黑体"/>
          <w:b w:val="0"/>
          <w:sz w:val="24"/>
          <w:szCs w:val="24"/>
        </w:rPr>
      </w:pPr>
      <w:r>
        <w:rPr>
          <w:rFonts w:hint="eastAsia" w:ascii="黑体" w:eastAsia="黑体"/>
          <w:b w:val="0"/>
          <w:sz w:val="24"/>
          <w:szCs w:val="24"/>
        </w:rPr>
        <w:t>四、项目详细报价</w:t>
      </w:r>
    </w:p>
    <w:p w14:paraId="054A5634">
      <w:pPr>
        <w:pStyle w:val="20"/>
        <w:jc w:val="center"/>
      </w:pPr>
      <w:r>
        <w:rPr>
          <w:rFonts w:hint="eastAsia"/>
          <w:b/>
          <w:bCs/>
        </w:rPr>
        <w:t>（一）</w:t>
      </w:r>
      <w:r>
        <w:rPr>
          <w:rFonts w:hint="eastAsia"/>
          <w:b/>
        </w:rPr>
        <w:t>分项报价表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4"/>
        <w:gridCol w:w="2212"/>
        <w:gridCol w:w="1019"/>
      </w:tblGrid>
      <w:tr w14:paraId="6F905F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74" w:type="dxa"/>
            <w:tcBorders>
              <w:top w:val="double" w:color="auto" w:sz="4" w:space="0"/>
              <w:bottom w:val="single" w:color="auto" w:sz="4" w:space="0"/>
            </w:tcBorders>
            <w:vAlign w:val="center"/>
          </w:tcPr>
          <w:p w14:paraId="603A7E21">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项目名称</w:t>
            </w:r>
          </w:p>
        </w:tc>
        <w:tc>
          <w:tcPr>
            <w:tcW w:w="2212" w:type="dxa"/>
            <w:tcBorders>
              <w:top w:val="double" w:color="auto" w:sz="4" w:space="0"/>
              <w:bottom w:val="single" w:color="auto" w:sz="4" w:space="0"/>
            </w:tcBorders>
            <w:vAlign w:val="center"/>
          </w:tcPr>
          <w:p w14:paraId="53879D0B">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1019" w:type="dxa"/>
            <w:tcBorders>
              <w:top w:val="double" w:color="auto" w:sz="4" w:space="0"/>
              <w:bottom w:val="single" w:color="auto" w:sz="4" w:space="0"/>
            </w:tcBorders>
            <w:vAlign w:val="center"/>
          </w:tcPr>
          <w:p w14:paraId="1DA5EDEC">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14:paraId="41F542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74" w:type="dxa"/>
            <w:tcBorders>
              <w:top w:val="single" w:color="auto" w:sz="4" w:space="0"/>
            </w:tcBorders>
            <w:vAlign w:val="center"/>
          </w:tcPr>
          <w:p w14:paraId="15C9B679">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深圳市中医院网络信息安全运营服务项目</w:t>
            </w:r>
          </w:p>
        </w:tc>
        <w:tc>
          <w:tcPr>
            <w:tcW w:w="2212" w:type="dxa"/>
            <w:tcBorders>
              <w:top w:val="single" w:color="auto" w:sz="4" w:space="0"/>
            </w:tcBorders>
            <w:vAlign w:val="center"/>
          </w:tcPr>
          <w:p w14:paraId="0239096B">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14:paraId="03D21015">
            <w:pPr>
              <w:widowControl/>
              <w:adjustRightInd w:val="0"/>
              <w:snapToGrid w:val="0"/>
              <w:spacing w:line="300" w:lineRule="auto"/>
              <w:jc w:val="left"/>
            </w:pPr>
            <w:r>
              <w:rPr>
                <w:rFonts w:hint="eastAsia" w:ascii="宋体" w:hAnsi="宋体"/>
                <w:snapToGrid w:val="0"/>
                <w:kern w:val="0"/>
                <w:sz w:val="24"/>
                <w:szCs w:val="21"/>
              </w:rPr>
              <w:t>小写：</w:t>
            </w:r>
          </w:p>
        </w:tc>
        <w:tc>
          <w:tcPr>
            <w:tcW w:w="1019" w:type="dxa"/>
            <w:tcBorders>
              <w:top w:val="single" w:color="auto" w:sz="4" w:space="0"/>
            </w:tcBorders>
            <w:vAlign w:val="center"/>
          </w:tcPr>
          <w:p w14:paraId="45941936">
            <w:pPr>
              <w:widowControl/>
              <w:adjustRightInd w:val="0"/>
              <w:snapToGrid w:val="0"/>
              <w:spacing w:line="300" w:lineRule="auto"/>
              <w:jc w:val="center"/>
              <w:rPr>
                <w:rFonts w:ascii="宋体" w:hAnsi="宋体"/>
                <w:snapToGrid w:val="0"/>
                <w:kern w:val="0"/>
                <w:sz w:val="24"/>
                <w:szCs w:val="21"/>
              </w:rPr>
            </w:pPr>
          </w:p>
        </w:tc>
      </w:tr>
    </w:tbl>
    <w:p w14:paraId="3D24EC8D">
      <w:pPr>
        <w:ind w:left="632" w:hanging="630" w:hangingChars="300"/>
        <w:rPr>
          <w:rFonts w:ascii="宋体" w:hAnsi="宋体"/>
          <w:b w:val="0"/>
          <w:bCs/>
          <w:color w:val="FF0000"/>
          <w:kern w:val="0"/>
          <w:szCs w:val="21"/>
        </w:rPr>
      </w:pPr>
      <w:r>
        <w:rPr>
          <w:rFonts w:hint="eastAsia"/>
          <w:b w:val="0"/>
          <w:bCs/>
          <w:color w:val="FF0000"/>
          <w:szCs w:val="21"/>
        </w:rPr>
        <w:t>注：</w:t>
      </w:r>
      <w:r>
        <w:rPr>
          <w:rFonts w:hint="eastAsia" w:ascii="宋体" w:hAnsi="宋体"/>
          <w:b w:val="0"/>
          <w:bCs/>
          <w:color w:val="FF0000"/>
          <w:kern w:val="0"/>
          <w:szCs w:val="21"/>
        </w:rPr>
        <w:t>投标人的投标报价不得超过预算金额，否则将导致投标无效。</w:t>
      </w:r>
    </w:p>
    <w:p w14:paraId="5B6F92BF">
      <w:pPr>
        <w:tabs>
          <w:tab w:val="left" w:pos="720"/>
        </w:tabs>
        <w:jc w:val="center"/>
        <w:rPr>
          <w:b/>
          <w:sz w:val="24"/>
        </w:rPr>
      </w:pPr>
    </w:p>
    <w:p w14:paraId="081E8D74">
      <w:pPr>
        <w:tabs>
          <w:tab w:val="left" w:pos="720"/>
        </w:tabs>
        <w:jc w:val="center"/>
        <w:rPr>
          <w:b/>
          <w:sz w:val="24"/>
        </w:rPr>
      </w:pPr>
    </w:p>
    <w:p w14:paraId="17254B2C">
      <w:pPr>
        <w:tabs>
          <w:tab w:val="left" w:pos="720"/>
        </w:tabs>
        <w:jc w:val="center"/>
        <w:rPr>
          <w:b/>
          <w:sz w:val="24"/>
        </w:rPr>
      </w:pPr>
      <w:r>
        <w:rPr>
          <w:rFonts w:hint="eastAsia"/>
          <w:b/>
          <w:sz w:val="24"/>
        </w:rPr>
        <w:t>（二）</w:t>
      </w:r>
      <w:bookmarkStart w:id="43" w:name="_Hlk72073235"/>
      <w:r>
        <w:rPr>
          <w:rFonts w:hint="eastAsia"/>
          <w:b/>
          <w:sz w:val="24"/>
        </w:rPr>
        <w:t>投标人认为需要涉及的其他内容报价清单</w:t>
      </w:r>
      <w:bookmarkEnd w:id="43"/>
    </w:p>
    <w:p w14:paraId="0CC19B06">
      <w:pPr>
        <w:rPr>
          <w:b/>
          <w:bCs/>
        </w:rPr>
      </w:pPr>
    </w:p>
    <w:p w14:paraId="7A64E5F4">
      <w:pPr>
        <w:pStyle w:val="5"/>
        <w:jc w:val="center"/>
        <w:rPr>
          <w:rFonts w:hint="eastAsia" w:ascii="黑体" w:eastAsia="黑体"/>
          <w:b w:val="0"/>
          <w:sz w:val="24"/>
        </w:rPr>
      </w:pPr>
      <w:r>
        <w:rPr>
          <w:rFonts w:hint="eastAsia" w:ascii="黑体" w:eastAsia="黑体"/>
          <w:b w:val="0"/>
          <w:sz w:val="24"/>
        </w:rPr>
        <w:t>五、</w:t>
      </w:r>
      <w:bookmarkStart w:id="44" w:name="_Hlk72092499"/>
      <w:r>
        <w:rPr>
          <w:rFonts w:hint="eastAsia" w:ascii="黑体" w:eastAsia="黑体"/>
          <w:b w:val="0"/>
          <w:sz w:val="24"/>
        </w:rPr>
        <w:t>法定代表人（负责人）证明书</w:t>
      </w:r>
      <w:bookmarkEnd w:id="44"/>
    </w:p>
    <w:p w14:paraId="0BD6CB5D">
      <w:pPr>
        <w:rPr>
          <w:sz w:val="24"/>
        </w:rPr>
      </w:pPr>
    </w:p>
    <w:p w14:paraId="4A445CDE">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3BAB7F53">
      <w:pPr>
        <w:ind w:firstLine="420" w:firstLineChars="200"/>
        <w:rPr>
          <w:szCs w:val="21"/>
        </w:rPr>
      </w:pPr>
      <w:r>
        <w:rPr>
          <w:rFonts w:hint="eastAsia"/>
          <w:szCs w:val="21"/>
        </w:rPr>
        <w:t>特此证明。</w:t>
      </w:r>
    </w:p>
    <w:p w14:paraId="3D40625A">
      <w:pPr>
        <w:ind w:firstLine="420" w:firstLineChars="200"/>
        <w:rPr>
          <w:rFonts w:hint="eastAsia" w:ascii="Times New Roman" w:hAnsi="Times New Roman" w:eastAsia="宋体" w:cs="Times New Roman"/>
          <w:szCs w:val="21"/>
        </w:rPr>
      </w:pPr>
      <w:r>
        <w:rPr>
          <w:rFonts w:hint="eastAsia"/>
          <w:szCs w:val="21"/>
        </w:rPr>
        <w:t>说明：1</w:t>
      </w:r>
      <w:r>
        <w:rPr>
          <w:rFonts w:hint="eastAsia"/>
          <w:szCs w:val="21"/>
          <w:lang w:val="en-US" w:eastAsia="zh-CN"/>
        </w:rPr>
        <w:t>.</w:t>
      </w:r>
      <w:r>
        <w:rPr>
          <w:rFonts w:hint="eastAsia"/>
          <w:szCs w:val="21"/>
        </w:rPr>
        <w:t>法定代表人为</w:t>
      </w:r>
      <w:r>
        <w:rPr>
          <w:rFonts w:hint="eastAsia" w:ascii="Times New Roman" w:hAnsi="Times New Roman" w:eastAsia="宋体" w:cs="Times New Roman"/>
          <w:szCs w:val="21"/>
        </w:rPr>
        <w:t>投标人（企业事业单位、国家机关、社会团体）的主要行政负责人。</w:t>
      </w:r>
    </w:p>
    <w:p w14:paraId="6A09F04F">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Hans"/>
        </w:rPr>
        <w:t>本证明书要供法定代表人（负责人）</w:t>
      </w:r>
      <w:r>
        <w:rPr>
          <w:rFonts w:hint="eastAsia" w:ascii="Times New Roman" w:hAnsi="Times New Roman" w:eastAsia="宋体" w:cs="Times New Roman"/>
          <w:szCs w:val="21"/>
        </w:rPr>
        <w:t>相关身份证明文件：身份证扫描件（正反两面）；港澳台居民可提供来往通行证扫描件；非中国国籍管辖范围人员，可提供公安部门认可的身份证明材料扫描件。</w:t>
      </w:r>
    </w:p>
    <w:p w14:paraId="1A54E9D5">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lang w:eastAsia="zh-Hans"/>
        </w:rPr>
        <w:t>本项目投标授权代表为法定代表人（负责人）的，无需提供</w:t>
      </w:r>
      <w:r>
        <w:rPr>
          <w:rFonts w:hint="eastAsia" w:ascii="Times New Roman" w:hAnsi="Times New Roman" w:eastAsia="宋体" w:cs="Times New Roman"/>
          <w:szCs w:val="21"/>
        </w:rPr>
        <w:t>《投标文件签署授权委托书》</w:t>
      </w:r>
      <w:r>
        <w:rPr>
          <w:rFonts w:hint="eastAsia" w:ascii="Times New Roman" w:hAnsi="Times New Roman" w:eastAsia="宋体" w:cs="Times New Roman"/>
          <w:szCs w:val="21"/>
          <w:lang w:eastAsia="zh-Hans"/>
        </w:rPr>
        <w:t>。</w:t>
      </w:r>
    </w:p>
    <w:p w14:paraId="469B4FC5">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DD9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F5005AB">
            <w:pPr>
              <w:jc w:val="center"/>
            </w:pPr>
            <w:r>
              <w:rPr>
                <w:rFonts w:hint="eastAsia"/>
              </w:rPr>
              <w:t>证件扫描件正面</w:t>
            </w:r>
          </w:p>
          <w:p w14:paraId="4BF64770">
            <w:pPr>
              <w:pStyle w:val="19"/>
              <w:spacing w:line="240" w:lineRule="auto"/>
              <w:jc w:val="center"/>
            </w:pPr>
          </w:p>
          <w:p w14:paraId="421F771E">
            <w:pPr>
              <w:pStyle w:val="20"/>
              <w:spacing w:line="240" w:lineRule="auto"/>
              <w:jc w:val="center"/>
            </w:pPr>
          </w:p>
        </w:tc>
        <w:tc>
          <w:tcPr>
            <w:tcW w:w="4265" w:type="dxa"/>
          </w:tcPr>
          <w:p w14:paraId="4C299529">
            <w:pPr>
              <w:jc w:val="center"/>
            </w:pPr>
            <w:r>
              <w:rPr>
                <w:rFonts w:hint="eastAsia"/>
              </w:rPr>
              <w:t>证件扫描件反面</w:t>
            </w:r>
          </w:p>
          <w:p w14:paraId="724C28DF">
            <w:pPr>
              <w:pStyle w:val="19"/>
              <w:spacing w:line="240" w:lineRule="auto"/>
              <w:jc w:val="center"/>
            </w:pPr>
          </w:p>
          <w:p w14:paraId="6EC8F130">
            <w:pPr>
              <w:pStyle w:val="20"/>
              <w:spacing w:line="240" w:lineRule="auto"/>
              <w:jc w:val="center"/>
            </w:pPr>
          </w:p>
        </w:tc>
      </w:tr>
    </w:tbl>
    <w:p w14:paraId="14C6F316">
      <w:pPr>
        <w:ind w:firstLine="480" w:firstLineChars="200"/>
        <w:rPr>
          <w:sz w:val="24"/>
        </w:rPr>
      </w:pPr>
    </w:p>
    <w:p w14:paraId="2F685E12">
      <w:pPr>
        <w:rPr>
          <w:b/>
          <w:bCs/>
          <w:sz w:val="24"/>
        </w:rPr>
      </w:pPr>
    </w:p>
    <w:p w14:paraId="6F638125">
      <w:pPr>
        <w:rPr>
          <w:rFonts w:hint="eastAsia" w:ascii="黑体" w:eastAsia="黑体"/>
          <w:b w:val="0"/>
          <w:sz w:val="24"/>
        </w:rPr>
      </w:pPr>
      <w:r>
        <w:rPr>
          <w:rFonts w:hint="eastAsia" w:ascii="黑体" w:eastAsia="黑体"/>
          <w:b w:val="0"/>
          <w:sz w:val="24"/>
        </w:rPr>
        <w:br w:type="page"/>
      </w:r>
    </w:p>
    <w:p w14:paraId="51EDB287">
      <w:pPr>
        <w:pStyle w:val="5"/>
        <w:spacing w:before="120" w:after="120"/>
        <w:jc w:val="center"/>
        <w:rPr>
          <w:rFonts w:hint="eastAsia" w:ascii="黑体" w:eastAsia="黑体"/>
          <w:b w:val="0"/>
          <w:sz w:val="24"/>
        </w:rPr>
      </w:pPr>
      <w:r>
        <w:rPr>
          <w:rFonts w:hint="eastAsia" w:ascii="黑体" w:eastAsia="黑体"/>
          <w:b w:val="0"/>
          <w:sz w:val="24"/>
        </w:rPr>
        <w:t>六、投标文件签署授权委托书</w:t>
      </w:r>
    </w:p>
    <w:p w14:paraId="26E6C4A7">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E130BD0">
      <w:pPr>
        <w:ind w:firstLine="420" w:firstLineChars="200"/>
        <w:rPr>
          <w:szCs w:val="21"/>
        </w:rPr>
      </w:pPr>
      <w:r>
        <w:rPr>
          <w:rFonts w:hint="eastAsia"/>
          <w:szCs w:val="21"/>
        </w:rPr>
        <w:t>代理人无转委托权，特此委托。</w:t>
      </w:r>
    </w:p>
    <w:p w14:paraId="3BB91FE7">
      <w:pPr>
        <w:ind w:firstLine="420" w:firstLineChars="200"/>
        <w:rPr>
          <w:szCs w:val="21"/>
        </w:rPr>
      </w:pPr>
    </w:p>
    <w:p w14:paraId="4809A5C7">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35299A5C">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181397D0">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42B3B89D">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03BE45C4">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AA0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14:paraId="358724CE">
            <w:pPr>
              <w:jc w:val="center"/>
            </w:pPr>
            <w:r>
              <w:rPr>
                <w:rFonts w:hint="eastAsia"/>
              </w:rPr>
              <w:t>证件扫描件正面</w:t>
            </w:r>
          </w:p>
          <w:p w14:paraId="1C9BB9F2">
            <w:pPr>
              <w:pStyle w:val="19"/>
              <w:spacing w:line="240" w:lineRule="auto"/>
              <w:jc w:val="center"/>
            </w:pPr>
          </w:p>
          <w:p w14:paraId="1D393ADA">
            <w:pPr>
              <w:pStyle w:val="20"/>
              <w:spacing w:line="240" w:lineRule="auto"/>
              <w:jc w:val="center"/>
            </w:pPr>
          </w:p>
        </w:tc>
        <w:tc>
          <w:tcPr>
            <w:tcW w:w="4265" w:type="dxa"/>
          </w:tcPr>
          <w:p w14:paraId="3793910A">
            <w:pPr>
              <w:jc w:val="center"/>
            </w:pPr>
            <w:r>
              <w:rPr>
                <w:rFonts w:hint="eastAsia"/>
              </w:rPr>
              <w:t>证件扫描件反面</w:t>
            </w:r>
          </w:p>
          <w:p w14:paraId="3330104A">
            <w:pPr>
              <w:pStyle w:val="19"/>
              <w:spacing w:line="240" w:lineRule="auto"/>
              <w:jc w:val="center"/>
            </w:pPr>
          </w:p>
          <w:p w14:paraId="55EDB0B0">
            <w:pPr>
              <w:pStyle w:val="20"/>
              <w:spacing w:line="240" w:lineRule="auto"/>
              <w:jc w:val="center"/>
            </w:pPr>
          </w:p>
        </w:tc>
      </w:tr>
    </w:tbl>
    <w:p w14:paraId="5F6D27FA">
      <w:pPr>
        <w:pStyle w:val="5"/>
        <w:jc w:val="center"/>
        <w:rPr>
          <w:rFonts w:hint="eastAsia" w:ascii="黑体" w:eastAsia="黑体"/>
          <w:b w:val="0"/>
          <w:kern w:val="0"/>
          <w:sz w:val="24"/>
          <w:szCs w:val="24"/>
        </w:rPr>
      </w:pPr>
    </w:p>
    <w:p w14:paraId="0CF3EE87">
      <w:pPr>
        <w:pStyle w:val="5"/>
        <w:jc w:val="center"/>
        <w:rPr>
          <w:rFonts w:hint="eastAsia" w:ascii="黑体" w:eastAsia="黑体"/>
          <w:b w:val="0"/>
          <w:kern w:val="0"/>
          <w:sz w:val="24"/>
          <w:szCs w:val="24"/>
        </w:rPr>
      </w:pPr>
      <w:r>
        <w:rPr>
          <w:rFonts w:hint="eastAsia" w:ascii="黑体" w:eastAsia="黑体"/>
          <w:b w:val="0"/>
          <w:kern w:val="0"/>
          <w:sz w:val="24"/>
          <w:szCs w:val="24"/>
        </w:rPr>
        <w:t>七、</w:t>
      </w:r>
      <w:bookmarkStart w:id="45" w:name="_Hlk72092634"/>
      <w:r>
        <w:rPr>
          <w:rFonts w:hint="eastAsia" w:ascii="黑体" w:eastAsia="黑体"/>
          <w:b w:val="0"/>
          <w:kern w:val="0"/>
          <w:sz w:val="24"/>
          <w:szCs w:val="24"/>
        </w:rPr>
        <w:t>实质性条款响应情况表</w:t>
      </w:r>
      <w:bookmarkEnd w:id="45"/>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45D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31250BC5">
            <w:pPr>
              <w:jc w:val="center"/>
              <w:rPr>
                <w:rFonts w:hint="eastAsia" w:ascii="Times New Roman" w:hAnsi="Times New Roman" w:eastAsia="宋体" w:cs="Times New Roman"/>
              </w:rPr>
            </w:pPr>
            <w:bookmarkStart w:id="46" w:name="_Hlk72092651"/>
            <w:r>
              <w:rPr>
                <w:rFonts w:hint="eastAsia" w:ascii="Times New Roman" w:hAnsi="Times New Roman" w:eastAsia="宋体" w:cs="Times New Roman"/>
              </w:rPr>
              <w:t>序号</w:t>
            </w:r>
          </w:p>
        </w:tc>
        <w:tc>
          <w:tcPr>
            <w:tcW w:w="3514" w:type="dxa"/>
            <w:vAlign w:val="center"/>
          </w:tcPr>
          <w:p w14:paraId="75414E4B">
            <w:pPr>
              <w:jc w:val="center"/>
              <w:rPr>
                <w:rFonts w:hint="eastAsia" w:ascii="Times New Roman" w:hAnsi="Times New Roman" w:eastAsia="宋体" w:cs="Times New Roman"/>
              </w:rPr>
            </w:pPr>
            <w:r>
              <w:rPr>
                <w:rFonts w:hint="eastAsia" w:ascii="Times New Roman" w:hAnsi="Times New Roman" w:eastAsia="宋体" w:cs="Times New Roman"/>
              </w:rPr>
              <w:t>实质性条款具体内容</w:t>
            </w:r>
          </w:p>
        </w:tc>
        <w:tc>
          <w:tcPr>
            <w:tcW w:w="1559" w:type="dxa"/>
            <w:vAlign w:val="center"/>
          </w:tcPr>
          <w:p w14:paraId="65658942">
            <w:pPr>
              <w:jc w:val="center"/>
              <w:rPr>
                <w:rFonts w:hint="eastAsia" w:ascii="Times New Roman" w:hAnsi="Times New Roman" w:eastAsia="宋体" w:cs="Times New Roman"/>
              </w:rPr>
            </w:pPr>
            <w:r>
              <w:rPr>
                <w:rFonts w:hint="eastAsia" w:ascii="Times New Roman" w:hAnsi="Times New Roman" w:eastAsia="宋体" w:cs="Times New Roman"/>
              </w:rPr>
              <w:t>投标响应</w:t>
            </w:r>
          </w:p>
        </w:tc>
        <w:tc>
          <w:tcPr>
            <w:tcW w:w="1276" w:type="dxa"/>
            <w:vAlign w:val="center"/>
          </w:tcPr>
          <w:p w14:paraId="034F861E">
            <w:pPr>
              <w:jc w:val="center"/>
              <w:rPr>
                <w:rFonts w:hint="eastAsia" w:ascii="Times New Roman" w:hAnsi="Times New Roman" w:eastAsia="宋体" w:cs="Times New Roman"/>
              </w:rPr>
            </w:pPr>
            <w:r>
              <w:rPr>
                <w:rFonts w:hint="eastAsia" w:ascii="Times New Roman" w:hAnsi="Times New Roman" w:eastAsia="宋体" w:cs="Times New Roman"/>
              </w:rPr>
              <w:t>偏离情况</w:t>
            </w:r>
          </w:p>
        </w:tc>
        <w:tc>
          <w:tcPr>
            <w:tcW w:w="1163" w:type="dxa"/>
            <w:vAlign w:val="center"/>
          </w:tcPr>
          <w:p w14:paraId="1CD8D7E9">
            <w:pPr>
              <w:jc w:val="center"/>
              <w:rPr>
                <w:rFonts w:hint="eastAsia" w:ascii="Times New Roman" w:hAnsi="Times New Roman" w:eastAsia="宋体" w:cs="Times New Roman"/>
              </w:rPr>
            </w:pPr>
            <w:r>
              <w:rPr>
                <w:rFonts w:hint="eastAsia" w:ascii="Times New Roman" w:hAnsi="Times New Roman" w:eastAsia="宋体" w:cs="Times New Roman"/>
              </w:rPr>
              <w:t>说明</w:t>
            </w:r>
          </w:p>
        </w:tc>
      </w:tr>
      <w:bookmarkEnd w:id="46"/>
      <w:tr w14:paraId="65AF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44EF19C">
            <w:pPr>
              <w:jc w:val="center"/>
              <w:rPr>
                <w:rFonts w:hint="eastAsia" w:ascii="Times New Roman" w:hAnsi="Times New Roman" w:eastAsia="宋体" w:cs="Times New Roman"/>
              </w:rPr>
            </w:pPr>
            <w:r>
              <w:rPr>
                <w:rFonts w:hint="eastAsia" w:ascii="Times New Roman" w:hAnsi="Times New Roman" w:eastAsia="宋体" w:cs="Times New Roman"/>
              </w:rPr>
              <w:t>1</w:t>
            </w:r>
          </w:p>
        </w:tc>
        <w:tc>
          <w:tcPr>
            <w:tcW w:w="3514" w:type="dxa"/>
          </w:tcPr>
          <w:p w14:paraId="5397AEDC">
            <w:pPr>
              <w:jc w:val="center"/>
              <w:rPr>
                <w:rFonts w:hint="eastAsia" w:ascii="Times New Roman" w:hAnsi="Times New Roman" w:eastAsia="宋体" w:cs="Times New Roman"/>
              </w:rPr>
            </w:pPr>
            <w:r>
              <w:rPr>
                <w:rFonts w:hint="eastAsia" w:ascii="Times New Roman" w:hAnsi="Times New Roman" w:eastAsia="宋体" w:cs="Times New Roman"/>
              </w:rPr>
              <w:t>满足本项目标★的条款要求</w:t>
            </w:r>
          </w:p>
        </w:tc>
        <w:tc>
          <w:tcPr>
            <w:tcW w:w="1559" w:type="dxa"/>
          </w:tcPr>
          <w:p w14:paraId="7D1C08CE">
            <w:pPr>
              <w:jc w:val="center"/>
              <w:rPr>
                <w:rFonts w:hint="eastAsia" w:ascii="Times New Roman" w:hAnsi="Times New Roman" w:eastAsia="宋体" w:cs="Times New Roman"/>
              </w:rPr>
            </w:pPr>
          </w:p>
        </w:tc>
        <w:tc>
          <w:tcPr>
            <w:tcW w:w="1276" w:type="dxa"/>
          </w:tcPr>
          <w:p w14:paraId="378AD3B4">
            <w:pPr>
              <w:jc w:val="center"/>
              <w:rPr>
                <w:rFonts w:hint="eastAsia" w:ascii="Times New Roman" w:hAnsi="Times New Roman" w:eastAsia="宋体" w:cs="Times New Roman"/>
              </w:rPr>
            </w:pPr>
          </w:p>
        </w:tc>
        <w:tc>
          <w:tcPr>
            <w:tcW w:w="1163" w:type="dxa"/>
          </w:tcPr>
          <w:p w14:paraId="63E86672">
            <w:pPr>
              <w:jc w:val="center"/>
              <w:rPr>
                <w:rFonts w:hint="eastAsia" w:ascii="Times New Roman" w:hAnsi="Times New Roman" w:eastAsia="宋体" w:cs="Times New Roman"/>
              </w:rPr>
            </w:pPr>
          </w:p>
        </w:tc>
      </w:tr>
    </w:tbl>
    <w:p w14:paraId="0A01E111">
      <w:pPr>
        <w:ind w:firstLine="482" w:firstLineChars="200"/>
        <w:rPr>
          <w:b/>
          <w:sz w:val="24"/>
          <w:szCs w:val="22"/>
        </w:rPr>
      </w:pPr>
      <w:r>
        <w:rPr>
          <w:rFonts w:hint="eastAsia"/>
          <w:b/>
          <w:sz w:val="24"/>
          <w:szCs w:val="22"/>
        </w:rPr>
        <w:t>注：1.上表所列各项均为不可负偏离条款。</w:t>
      </w:r>
    </w:p>
    <w:p w14:paraId="0524013A">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514FBC73">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7AFD7252">
      <w:pPr>
        <w:ind w:firstLine="482" w:firstLineChars="200"/>
        <w:rPr>
          <w:b/>
          <w:sz w:val="24"/>
          <w:szCs w:val="22"/>
        </w:rPr>
      </w:pPr>
      <w:r>
        <w:rPr>
          <w:rFonts w:hint="eastAsia"/>
          <w:b/>
          <w:sz w:val="24"/>
          <w:szCs w:val="22"/>
        </w:rPr>
        <w:t>4.评审委员会有权对投标响应情况作出判断（作出评审结论）。</w:t>
      </w:r>
    </w:p>
    <w:p w14:paraId="6817BF3A">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14:paraId="7210159E">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6E1A50C5">
      <w:pPr>
        <w:rPr>
          <w:b/>
          <w:bCs/>
          <w:sz w:val="24"/>
        </w:rPr>
      </w:pPr>
    </w:p>
    <w:p w14:paraId="029997DF">
      <w:pPr>
        <w:pStyle w:val="5"/>
        <w:jc w:val="center"/>
        <w:rPr>
          <w:rFonts w:hint="eastAsia" w:ascii="黑体" w:hAnsi="宋体" w:eastAsia="黑体" w:cs="Times New Roman"/>
          <w:b w:val="0"/>
          <w:kern w:val="0"/>
          <w:sz w:val="24"/>
          <w:szCs w:val="24"/>
        </w:rPr>
      </w:pPr>
      <w:r>
        <w:rPr>
          <w:rFonts w:hint="eastAsia" w:ascii="黑体" w:hAnsi="宋体" w:eastAsia="黑体" w:cs="Times New Roman"/>
          <w:b w:val="0"/>
          <w:kern w:val="0"/>
          <w:sz w:val="24"/>
          <w:szCs w:val="24"/>
        </w:rPr>
        <w:t>八、项目总体服务方案（格式自定）</w:t>
      </w:r>
    </w:p>
    <w:p w14:paraId="5963F4B1">
      <w:pPr>
        <w:ind w:firstLine="420" w:firstLineChars="200"/>
        <w:rPr>
          <w:rFonts w:hint="eastAsia" w:ascii="黑体" w:hAnsi="宋体" w:eastAsia="黑体" w:cs="Times New Roman"/>
          <w:bCs/>
          <w:color w:val="FF0000"/>
          <w:kern w:val="0"/>
          <w:szCs w:val="21"/>
        </w:rPr>
      </w:pPr>
      <w:r>
        <w:rPr>
          <w:rFonts w:hint="eastAsia" w:ascii="黑体" w:hAnsi="宋体" w:eastAsia="黑体" w:cs="Times New Roman"/>
          <w:bCs/>
          <w:color w:val="FF0000"/>
          <w:kern w:val="0"/>
          <w:szCs w:val="21"/>
        </w:rPr>
        <w:t>（特别提示：投标人须按本招标文件评标信息中这一评审因素要求，提供证明资料）</w:t>
      </w:r>
    </w:p>
    <w:p w14:paraId="6AAF0A5C">
      <w:pPr>
        <w:pStyle w:val="2"/>
        <w:ind w:firstLine="0"/>
        <w:rPr>
          <w:rFonts w:hint="eastAsia" w:asciiTheme="minorEastAsia" w:hAnsiTheme="minorEastAsia" w:eastAsiaTheme="minorEastAsia" w:cstheme="minorEastAsia"/>
          <w:sz w:val="24"/>
        </w:rPr>
      </w:pPr>
    </w:p>
    <w:p w14:paraId="6EF663AA">
      <w:pPr>
        <w:pStyle w:val="2"/>
        <w:ind w:firstLine="0"/>
        <w:jc w:val="center"/>
        <w:rPr>
          <w:rFonts w:hint="default" w:ascii="黑体" w:hAnsi="宋体" w:eastAsia="黑体"/>
          <w:sz w:val="24"/>
          <w:lang w:val="en-US" w:eastAsia="zh-CN"/>
        </w:rPr>
      </w:pPr>
      <w:r>
        <w:rPr>
          <w:rFonts w:hint="eastAsia" w:ascii="黑体" w:hAnsi="宋体" w:eastAsia="黑体"/>
          <w:sz w:val="24"/>
          <w:lang w:val="en-US" w:eastAsia="zh-CN"/>
        </w:rPr>
        <w:t>九</w:t>
      </w:r>
      <w:r>
        <w:rPr>
          <w:rFonts w:hint="eastAsia" w:ascii="黑体" w:hAnsi="宋体" w:eastAsia="黑体"/>
          <w:sz w:val="24"/>
        </w:rPr>
        <w:t>、</w:t>
      </w:r>
      <w:r>
        <w:rPr>
          <w:rFonts w:hint="eastAsia" w:ascii="黑体" w:hAnsi="宋体" w:eastAsia="黑体"/>
          <w:sz w:val="24"/>
          <w:lang w:val="en-US" w:eastAsia="zh-CN"/>
        </w:rPr>
        <w:t>技术要求偏离表</w:t>
      </w:r>
    </w:p>
    <w:p w14:paraId="1FC01F3A">
      <w:pPr>
        <w:rPr>
          <w:rFonts w:hint="eastAsia"/>
          <w:b/>
          <w:szCs w:val="21"/>
          <w:lang w:val="en-US" w:eastAsia="zh-CN"/>
        </w:rPr>
      </w:pPr>
    </w:p>
    <w:p w14:paraId="1FDFA49C">
      <w:pPr>
        <w:rPr>
          <w:rFonts w:hint="eastAsia"/>
          <w:b/>
          <w:szCs w:val="21"/>
          <w:lang w:val="en-US" w:eastAsia="zh-CN"/>
        </w:rPr>
      </w:pPr>
      <w:r>
        <w:rPr>
          <w:rFonts w:hint="eastAsia"/>
          <w:b/>
          <w:szCs w:val="21"/>
          <w:lang w:val="en-US" w:eastAsia="zh-CN"/>
        </w:rPr>
        <w:t>（一）</w:t>
      </w:r>
      <w:r>
        <w:rPr>
          <w:rFonts w:hint="eastAsia"/>
          <w:b/>
          <w:szCs w:val="21"/>
        </w:rPr>
        <w:t>安全运营平台工具技术要求</w:t>
      </w:r>
    </w:p>
    <w:tbl>
      <w:tblPr>
        <w:tblStyle w:val="42"/>
        <w:tblW w:w="87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3990"/>
        <w:gridCol w:w="1575"/>
        <w:gridCol w:w="1095"/>
        <w:gridCol w:w="690"/>
      </w:tblGrid>
      <w:tr w14:paraId="24DC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shd w:val="clear" w:color="auto" w:fill="auto"/>
            <w:vAlign w:val="center"/>
          </w:tcPr>
          <w:p w14:paraId="09A69A36">
            <w:pPr>
              <w:widowControl/>
              <w:jc w:val="center"/>
              <w:rPr>
                <w:rFonts w:cs="宋体" w:asciiTheme="minorEastAsia" w:hAnsiTheme="minorEastAsia"/>
                <w:b/>
                <w:bCs/>
                <w:szCs w:val="21"/>
              </w:rPr>
            </w:pPr>
            <w:r>
              <w:rPr>
                <w:rFonts w:hint="eastAsia" w:cs="宋体" w:asciiTheme="minorEastAsia" w:hAnsiTheme="minorEastAsia"/>
                <w:b/>
                <w:bCs/>
                <w:szCs w:val="21"/>
                <w:lang w:val="en-US" w:eastAsia="zh-CN"/>
              </w:rPr>
              <w:t>技术要求</w:t>
            </w:r>
            <w:r>
              <w:rPr>
                <w:rFonts w:hint="eastAsia" w:cs="宋体" w:asciiTheme="minorEastAsia" w:hAnsiTheme="minorEastAsia"/>
                <w:b/>
                <w:bCs/>
                <w:szCs w:val="21"/>
              </w:rPr>
              <w:t>项</w:t>
            </w:r>
          </w:p>
        </w:tc>
        <w:tc>
          <w:tcPr>
            <w:tcW w:w="3990" w:type="dxa"/>
            <w:shd w:val="clear" w:color="auto" w:fill="auto"/>
            <w:vAlign w:val="center"/>
          </w:tcPr>
          <w:p w14:paraId="482B99B2">
            <w:pPr>
              <w:widowControl/>
              <w:jc w:val="center"/>
              <w:rPr>
                <w:rFonts w:hint="eastAsia" w:eastAsia="宋体" w:cs="宋体" w:asciiTheme="minorEastAsia" w:hAnsiTheme="minorEastAsia"/>
                <w:b/>
                <w:bCs/>
                <w:szCs w:val="21"/>
                <w:lang w:eastAsia="zh-CN"/>
              </w:rPr>
            </w:pPr>
            <w:r>
              <w:rPr>
                <w:rFonts w:hint="eastAsia" w:cs="宋体" w:asciiTheme="minorEastAsia" w:hAnsiTheme="minorEastAsia"/>
                <w:b/>
                <w:bCs/>
                <w:szCs w:val="21"/>
              </w:rPr>
              <w:t>具体功能要求</w:t>
            </w:r>
            <w:r>
              <w:rPr>
                <w:rFonts w:hint="eastAsia"/>
                <w:b/>
                <w:bCs/>
                <w:lang w:eastAsia="zh-CN"/>
              </w:rPr>
              <w:t>（招标技术要求）</w:t>
            </w:r>
          </w:p>
        </w:tc>
        <w:tc>
          <w:tcPr>
            <w:tcW w:w="1575" w:type="dxa"/>
            <w:shd w:val="clear" w:color="auto" w:fill="auto"/>
            <w:vAlign w:val="center"/>
          </w:tcPr>
          <w:p w14:paraId="683F0459">
            <w:pPr>
              <w:widowControl/>
              <w:jc w:val="center"/>
              <w:rPr>
                <w:rFonts w:hint="default" w:eastAsia="宋体" w:cs="宋体" w:asciiTheme="minorEastAsia" w:hAnsiTheme="minorEastAsia"/>
                <w:b/>
                <w:bCs/>
                <w:szCs w:val="21"/>
                <w:lang w:val="en-US" w:eastAsia="zh-CN"/>
              </w:rPr>
            </w:pPr>
            <w:r>
              <w:rPr>
                <w:rFonts w:hint="eastAsia" w:cs="宋体" w:asciiTheme="minorEastAsia" w:hAnsiTheme="minorEastAsia"/>
                <w:b/>
                <w:bCs/>
                <w:szCs w:val="21"/>
                <w:lang w:val="en-US" w:eastAsia="zh-CN"/>
              </w:rPr>
              <w:t>投标技术响应</w:t>
            </w:r>
          </w:p>
        </w:tc>
        <w:tc>
          <w:tcPr>
            <w:tcW w:w="1095" w:type="dxa"/>
            <w:shd w:val="clear" w:color="auto" w:fill="auto"/>
            <w:vAlign w:val="center"/>
          </w:tcPr>
          <w:p w14:paraId="76706F5E">
            <w:pPr>
              <w:widowControl/>
              <w:jc w:val="center"/>
              <w:rPr>
                <w:rFonts w:hint="default" w:cs="宋体" w:asciiTheme="minorEastAsia" w:hAnsiTheme="minorEastAsia"/>
                <w:b/>
                <w:bCs/>
                <w:szCs w:val="21"/>
                <w:lang w:val="en-US" w:eastAsia="zh-CN"/>
              </w:rPr>
            </w:pPr>
            <w:r>
              <w:rPr>
                <w:rFonts w:hint="eastAsia" w:cs="宋体" w:asciiTheme="minorEastAsia" w:hAnsiTheme="minorEastAsia"/>
                <w:b/>
                <w:bCs/>
                <w:szCs w:val="21"/>
                <w:lang w:val="en-US" w:eastAsia="zh-CN"/>
              </w:rPr>
              <w:t>偏离情况</w:t>
            </w:r>
          </w:p>
        </w:tc>
        <w:tc>
          <w:tcPr>
            <w:tcW w:w="690" w:type="dxa"/>
            <w:shd w:val="clear" w:color="auto" w:fill="auto"/>
            <w:vAlign w:val="center"/>
          </w:tcPr>
          <w:p w14:paraId="76CD7924">
            <w:pPr>
              <w:widowControl/>
              <w:jc w:val="center"/>
              <w:rPr>
                <w:rFonts w:hint="default" w:cs="宋体" w:asciiTheme="minorEastAsia" w:hAnsiTheme="minorEastAsia"/>
                <w:b/>
                <w:bCs/>
                <w:szCs w:val="21"/>
                <w:lang w:val="en-US" w:eastAsia="zh-CN"/>
              </w:rPr>
            </w:pPr>
            <w:r>
              <w:rPr>
                <w:rFonts w:hint="eastAsia" w:cs="宋体" w:asciiTheme="minorEastAsia" w:hAnsiTheme="minorEastAsia"/>
                <w:b/>
                <w:bCs/>
                <w:szCs w:val="21"/>
                <w:lang w:val="en-US" w:eastAsia="zh-CN"/>
              </w:rPr>
              <w:t>说明</w:t>
            </w:r>
          </w:p>
        </w:tc>
      </w:tr>
      <w:tr w14:paraId="491E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6" w:type="dxa"/>
            <w:shd w:val="clear" w:color="auto" w:fill="auto"/>
            <w:noWrap/>
            <w:vAlign w:val="center"/>
          </w:tcPr>
          <w:p w14:paraId="04647E48">
            <w:pPr>
              <w:widowControl/>
              <w:jc w:val="center"/>
              <w:rPr>
                <w:rFonts w:cs="宋体" w:asciiTheme="minorEastAsia" w:hAnsiTheme="minorEastAsia"/>
                <w:szCs w:val="21"/>
              </w:rPr>
            </w:pPr>
            <w:r>
              <w:rPr>
                <w:rFonts w:hint="eastAsia" w:cs="宋体" w:asciiTheme="minorEastAsia" w:hAnsiTheme="minorEastAsia"/>
                <w:szCs w:val="21"/>
              </w:rPr>
              <w:t>监控中心</w:t>
            </w:r>
          </w:p>
        </w:tc>
        <w:tc>
          <w:tcPr>
            <w:tcW w:w="3990" w:type="dxa"/>
            <w:shd w:val="clear" w:color="auto" w:fill="auto"/>
            <w:vAlign w:val="center"/>
          </w:tcPr>
          <w:p w14:paraId="5F9F5B05">
            <w:pPr>
              <w:widowControl/>
              <w:rPr>
                <w:rFonts w:cs="宋体" w:asciiTheme="minorEastAsia" w:hAnsiTheme="minorEastAsia"/>
                <w:szCs w:val="21"/>
              </w:rPr>
            </w:pPr>
            <w:r>
              <w:rPr>
                <w:rFonts w:hint="eastAsia" w:cs="宋体" w:asciiTheme="minorEastAsia" w:hAnsiTheme="minorEastAsia"/>
                <w:b w:val="0"/>
                <w:bCs w:val="0"/>
                <w:color w:val="000000" w:themeColor="text1"/>
                <w:szCs w:val="21"/>
                <w14:textFill>
                  <w14:solidFill>
                    <w14:schemeClr w14:val="tx1"/>
                  </w14:solidFill>
                </w14:textFill>
              </w:rPr>
              <w:t>2.1.1</w:t>
            </w:r>
            <w:r>
              <w:rPr>
                <w:rFonts w:hint="eastAsia" w:cs="宋体" w:asciiTheme="minorEastAsia" w:hAnsiTheme="minorEastAsia"/>
                <w:b w:val="0"/>
                <w:bCs w:val="0"/>
                <w:color w:val="000000" w:themeColor="text1"/>
                <w:szCs w:val="21"/>
                <w:lang w:val="en-US" w:eastAsia="zh-CN"/>
                <w14:textFill>
                  <w14:solidFill>
                    <w14:schemeClr w14:val="tx1"/>
                  </w14:solidFill>
                </w14:textFill>
              </w:rPr>
              <w:t>系统具备</w:t>
            </w:r>
            <w:r>
              <w:rPr>
                <w:rFonts w:hint="eastAsia" w:cs="宋体" w:asciiTheme="minorEastAsia" w:hAnsiTheme="minorEastAsia"/>
                <w:b w:val="0"/>
                <w:bCs w:val="0"/>
                <w:color w:val="000000" w:themeColor="text1"/>
                <w:szCs w:val="21"/>
                <w14:textFill>
                  <w14:solidFill>
                    <w14:schemeClr w14:val="tx1"/>
                  </w14:solidFill>
                </w14:textFill>
              </w:rPr>
              <w:t>数据总览视图</w:t>
            </w:r>
            <w:r>
              <w:rPr>
                <w:rFonts w:hint="eastAsia" w:cs="宋体" w:asciiTheme="minorEastAsia" w:hAnsiTheme="minorEastAsia"/>
                <w:b w:val="0"/>
                <w:bCs w:val="0"/>
                <w:color w:val="000000" w:themeColor="text1"/>
                <w:szCs w:val="21"/>
                <w:lang w:val="en-US" w:eastAsia="zh-CN"/>
                <w14:textFill>
                  <w14:solidFill>
                    <w14:schemeClr w14:val="tx1"/>
                  </w14:solidFill>
                </w14:textFill>
              </w:rPr>
              <w:t>功能</w:t>
            </w:r>
            <w:r>
              <w:rPr>
                <w:rFonts w:hint="eastAsia" w:cs="宋体" w:asciiTheme="minorEastAsia" w:hAnsiTheme="minorEastAsia"/>
                <w:b w:val="0"/>
                <w:bCs w:val="0"/>
                <w:color w:val="000000" w:themeColor="text1"/>
                <w:szCs w:val="21"/>
                <w14:textFill>
                  <w14:solidFill>
                    <w14:schemeClr w14:val="tx1"/>
                  </w14:solidFill>
                </w14:textFill>
              </w:rPr>
              <w:t>，在一张图上至少包含当前异常服务信息统计、风险趋势图、</w:t>
            </w:r>
            <w:r>
              <w:rPr>
                <w:rFonts w:cs="宋体" w:asciiTheme="minorEastAsia" w:hAnsiTheme="minorEastAsia"/>
                <w:b w:val="0"/>
                <w:bCs w:val="0"/>
                <w:color w:val="000000" w:themeColor="text1"/>
                <w:szCs w:val="21"/>
                <w14:textFill>
                  <w14:solidFill>
                    <w14:schemeClr w14:val="tx1"/>
                  </w14:solidFill>
                </w14:textFill>
              </w:rPr>
              <w:t>IP分布概况、配置合规状况、漏洞数据汇总、风险提示等。</w:t>
            </w:r>
          </w:p>
        </w:tc>
        <w:tc>
          <w:tcPr>
            <w:tcW w:w="1575" w:type="dxa"/>
            <w:shd w:val="clear" w:color="auto" w:fill="auto"/>
            <w:vAlign w:val="center"/>
          </w:tcPr>
          <w:p w14:paraId="1BC9A2DD">
            <w:pPr>
              <w:widowControl/>
              <w:rPr>
                <w:rFonts w:hint="eastAsia" w:cs="宋体" w:asciiTheme="minorEastAsia" w:hAnsiTheme="minorEastAsia"/>
                <w:b w:val="0"/>
                <w:bCs w:val="0"/>
                <w:color w:val="000000" w:themeColor="text1"/>
                <w:szCs w:val="21"/>
                <w14:textFill>
                  <w14:solidFill>
                    <w14:schemeClr w14:val="tx1"/>
                  </w14:solidFill>
                </w14:textFill>
              </w:rPr>
            </w:pPr>
          </w:p>
        </w:tc>
        <w:tc>
          <w:tcPr>
            <w:tcW w:w="1095" w:type="dxa"/>
            <w:shd w:val="clear" w:color="auto" w:fill="auto"/>
            <w:vAlign w:val="center"/>
          </w:tcPr>
          <w:p w14:paraId="6D9DC899">
            <w:pPr>
              <w:widowControl/>
              <w:rPr>
                <w:rFonts w:hint="eastAsia" w:cs="宋体" w:asciiTheme="minorEastAsia" w:hAnsiTheme="minorEastAsia"/>
                <w:b w:val="0"/>
                <w:bCs w:val="0"/>
                <w:color w:val="000000" w:themeColor="text1"/>
                <w:szCs w:val="21"/>
                <w14:textFill>
                  <w14:solidFill>
                    <w14:schemeClr w14:val="tx1"/>
                  </w14:solidFill>
                </w14:textFill>
              </w:rPr>
            </w:pPr>
          </w:p>
        </w:tc>
        <w:tc>
          <w:tcPr>
            <w:tcW w:w="690" w:type="dxa"/>
            <w:shd w:val="clear" w:color="auto" w:fill="auto"/>
            <w:vAlign w:val="center"/>
          </w:tcPr>
          <w:p w14:paraId="70E50F3D">
            <w:pPr>
              <w:widowControl/>
              <w:rPr>
                <w:rFonts w:hint="eastAsia" w:cs="宋体" w:asciiTheme="minorEastAsia" w:hAnsiTheme="minorEastAsia"/>
                <w:b w:val="0"/>
                <w:bCs w:val="0"/>
                <w:color w:val="000000" w:themeColor="text1"/>
                <w:szCs w:val="21"/>
                <w14:textFill>
                  <w14:solidFill>
                    <w14:schemeClr w14:val="tx1"/>
                  </w14:solidFill>
                </w14:textFill>
              </w:rPr>
            </w:pPr>
          </w:p>
        </w:tc>
      </w:tr>
      <w:tr w14:paraId="24C2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restart"/>
            <w:shd w:val="clear" w:color="auto" w:fill="auto"/>
            <w:noWrap/>
            <w:vAlign w:val="center"/>
          </w:tcPr>
          <w:p w14:paraId="51C645AE">
            <w:pPr>
              <w:widowControl/>
              <w:jc w:val="center"/>
              <w:rPr>
                <w:rFonts w:cs="宋体" w:asciiTheme="minorEastAsia" w:hAnsiTheme="minorEastAsia"/>
                <w:szCs w:val="21"/>
              </w:rPr>
            </w:pPr>
            <w:r>
              <w:rPr>
                <w:rFonts w:hint="eastAsia" w:cs="宋体" w:asciiTheme="minorEastAsia" w:hAnsiTheme="minorEastAsia"/>
                <w:szCs w:val="21"/>
              </w:rPr>
              <w:t>资产清单</w:t>
            </w:r>
          </w:p>
        </w:tc>
        <w:tc>
          <w:tcPr>
            <w:tcW w:w="3990" w:type="dxa"/>
            <w:shd w:val="clear" w:color="auto" w:fill="auto"/>
            <w:vAlign w:val="center"/>
          </w:tcPr>
          <w:p w14:paraId="168FBFC8">
            <w:pPr>
              <w:widowControl/>
              <w:rPr>
                <w:rFonts w:cs="宋体" w:asciiTheme="minorEastAsia" w:hAnsiTheme="minorEastAsia"/>
                <w:szCs w:val="21"/>
              </w:rPr>
            </w:pPr>
            <w:r>
              <w:rPr>
                <w:rFonts w:hint="eastAsia" w:cs="宋体" w:asciiTheme="minorEastAsia" w:hAnsiTheme="minorEastAsia"/>
                <w:szCs w:val="21"/>
              </w:rPr>
              <w:t>2.1.2设备管理范围包括但不限于网络设备、安全设备、数据库、中间件、操作系统、应用系统、服务器、云服务器、虚拟化平台等</w:t>
            </w:r>
          </w:p>
        </w:tc>
        <w:tc>
          <w:tcPr>
            <w:tcW w:w="1575" w:type="dxa"/>
            <w:shd w:val="clear" w:color="auto" w:fill="auto"/>
            <w:vAlign w:val="center"/>
          </w:tcPr>
          <w:p w14:paraId="45F327ED">
            <w:pPr>
              <w:widowControl/>
              <w:rPr>
                <w:rFonts w:hint="eastAsia" w:cs="宋体" w:asciiTheme="minorEastAsia" w:hAnsiTheme="minorEastAsia"/>
                <w:szCs w:val="21"/>
              </w:rPr>
            </w:pPr>
          </w:p>
        </w:tc>
        <w:tc>
          <w:tcPr>
            <w:tcW w:w="1095" w:type="dxa"/>
            <w:shd w:val="clear" w:color="auto" w:fill="auto"/>
            <w:vAlign w:val="center"/>
          </w:tcPr>
          <w:p w14:paraId="71C8073E">
            <w:pPr>
              <w:widowControl/>
              <w:rPr>
                <w:rFonts w:hint="eastAsia" w:cs="宋体" w:asciiTheme="minorEastAsia" w:hAnsiTheme="minorEastAsia"/>
                <w:szCs w:val="21"/>
              </w:rPr>
            </w:pPr>
          </w:p>
        </w:tc>
        <w:tc>
          <w:tcPr>
            <w:tcW w:w="690" w:type="dxa"/>
            <w:shd w:val="clear" w:color="auto" w:fill="auto"/>
            <w:vAlign w:val="center"/>
          </w:tcPr>
          <w:p w14:paraId="279165A4">
            <w:pPr>
              <w:widowControl/>
              <w:rPr>
                <w:rFonts w:hint="eastAsia" w:cs="宋体" w:asciiTheme="minorEastAsia" w:hAnsiTheme="minorEastAsia"/>
                <w:szCs w:val="21"/>
              </w:rPr>
            </w:pPr>
          </w:p>
        </w:tc>
      </w:tr>
      <w:tr w14:paraId="72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346E1380">
            <w:pPr>
              <w:widowControl/>
              <w:rPr>
                <w:rFonts w:cs="宋体" w:asciiTheme="minorEastAsia" w:hAnsiTheme="minorEastAsia"/>
                <w:szCs w:val="21"/>
              </w:rPr>
            </w:pPr>
          </w:p>
        </w:tc>
        <w:tc>
          <w:tcPr>
            <w:tcW w:w="3990" w:type="dxa"/>
            <w:shd w:val="clear" w:color="auto" w:fill="auto"/>
            <w:vAlign w:val="center"/>
          </w:tcPr>
          <w:p w14:paraId="41EA7130">
            <w:pPr>
              <w:widowControl/>
              <w:rPr>
                <w:rFonts w:cs="宋体" w:asciiTheme="minorEastAsia" w:hAnsiTheme="minorEastAsia"/>
                <w:szCs w:val="21"/>
              </w:rPr>
            </w:pPr>
            <w:r>
              <w:rPr>
                <w:rFonts w:hint="eastAsia" w:cs="宋体" w:asciiTheme="minorEastAsia" w:hAnsiTheme="minorEastAsia"/>
                <w:szCs w:val="21"/>
              </w:rPr>
              <w:t>2.1.3根据网络区域分别统计区域内的应用资产、数据资产、</w:t>
            </w:r>
            <w:r>
              <w:rPr>
                <w:rFonts w:cs="宋体" w:asciiTheme="minorEastAsia" w:hAnsiTheme="minorEastAsia"/>
                <w:szCs w:val="21"/>
              </w:rPr>
              <w:t>IT资产、非IT资产以列表形式进行展示。</w:t>
            </w:r>
          </w:p>
        </w:tc>
        <w:tc>
          <w:tcPr>
            <w:tcW w:w="1575" w:type="dxa"/>
            <w:shd w:val="clear" w:color="auto" w:fill="auto"/>
            <w:vAlign w:val="center"/>
          </w:tcPr>
          <w:p w14:paraId="6E607E41">
            <w:pPr>
              <w:widowControl/>
              <w:rPr>
                <w:rFonts w:hint="eastAsia" w:cs="宋体" w:asciiTheme="minorEastAsia" w:hAnsiTheme="minorEastAsia"/>
                <w:szCs w:val="21"/>
              </w:rPr>
            </w:pPr>
          </w:p>
        </w:tc>
        <w:tc>
          <w:tcPr>
            <w:tcW w:w="1095" w:type="dxa"/>
            <w:shd w:val="clear" w:color="auto" w:fill="auto"/>
            <w:vAlign w:val="center"/>
          </w:tcPr>
          <w:p w14:paraId="17ABCA0D">
            <w:pPr>
              <w:widowControl/>
              <w:rPr>
                <w:rFonts w:hint="eastAsia" w:cs="宋体" w:asciiTheme="minorEastAsia" w:hAnsiTheme="minorEastAsia"/>
                <w:szCs w:val="21"/>
              </w:rPr>
            </w:pPr>
          </w:p>
        </w:tc>
        <w:tc>
          <w:tcPr>
            <w:tcW w:w="690" w:type="dxa"/>
            <w:shd w:val="clear" w:color="auto" w:fill="auto"/>
            <w:vAlign w:val="center"/>
          </w:tcPr>
          <w:p w14:paraId="0D964A0A">
            <w:pPr>
              <w:widowControl/>
              <w:rPr>
                <w:rFonts w:hint="eastAsia" w:cs="宋体" w:asciiTheme="minorEastAsia" w:hAnsiTheme="minorEastAsia"/>
                <w:szCs w:val="21"/>
              </w:rPr>
            </w:pPr>
          </w:p>
        </w:tc>
      </w:tr>
      <w:tr w14:paraId="3C7B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606F27DB">
            <w:pPr>
              <w:widowControl/>
              <w:rPr>
                <w:rFonts w:cs="宋体" w:asciiTheme="minorEastAsia" w:hAnsiTheme="minorEastAsia"/>
                <w:szCs w:val="21"/>
              </w:rPr>
            </w:pPr>
          </w:p>
        </w:tc>
        <w:tc>
          <w:tcPr>
            <w:tcW w:w="3990" w:type="dxa"/>
            <w:shd w:val="clear" w:color="auto" w:fill="auto"/>
            <w:vAlign w:val="center"/>
          </w:tcPr>
          <w:p w14:paraId="602DF0DF">
            <w:pPr>
              <w:widowControl/>
              <w:rPr>
                <w:rFonts w:cs="宋体" w:asciiTheme="minorEastAsia" w:hAnsiTheme="minorEastAsia"/>
                <w:szCs w:val="21"/>
              </w:rPr>
            </w:pPr>
            <w:r>
              <w:rPr>
                <w:rFonts w:hint="eastAsia" w:cs="宋体" w:asciiTheme="minorEastAsia" w:hAnsiTheme="minorEastAsia"/>
                <w:szCs w:val="21"/>
              </w:rPr>
              <w:t>2.1.4支持根据网络区域设置访问权限</w:t>
            </w:r>
          </w:p>
        </w:tc>
        <w:tc>
          <w:tcPr>
            <w:tcW w:w="1575" w:type="dxa"/>
            <w:shd w:val="clear" w:color="auto" w:fill="auto"/>
            <w:vAlign w:val="center"/>
          </w:tcPr>
          <w:p w14:paraId="3B335B0F">
            <w:pPr>
              <w:widowControl/>
              <w:rPr>
                <w:rFonts w:hint="eastAsia" w:cs="宋体" w:asciiTheme="minorEastAsia" w:hAnsiTheme="minorEastAsia"/>
                <w:szCs w:val="21"/>
              </w:rPr>
            </w:pPr>
          </w:p>
        </w:tc>
        <w:tc>
          <w:tcPr>
            <w:tcW w:w="1095" w:type="dxa"/>
            <w:shd w:val="clear" w:color="auto" w:fill="auto"/>
            <w:vAlign w:val="center"/>
          </w:tcPr>
          <w:p w14:paraId="4FE8DFA4">
            <w:pPr>
              <w:widowControl/>
              <w:rPr>
                <w:rFonts w:hint="eastAsia" w:cs="宋体" w:asciiTheme="minorEastAsia" w:hAnsiTheme="minorEastAsia"/>
                <w:szCs w:val="21"/>
              </w:rPr>
            </w:pPr>
          </w:p>
        </w:tc>
        <w:tc>
          <w:tcPr>
            <w:tcW w:w="690" w:type="dxa"/>
            <w:shd w:val="clear" w:color="auto" w:fill="auto"/>
            <w:vAlign w:val="center"/>
          </w:tcPr>
          <w:p w14:paraId="5FA49A78">
            <w:pPr>
              <w:widowControl/>
              <w:rPr>
                <w:rFonts w:hint="eastAsia" w:cs="宋体" w:asciiTheme="minorEastAsia" w:hAnsiTheme="minorEastAsia"/>
                <w:szCs w:val="21"/>
              </w:rPr>
            </w:pPr>
          </w:p>
        </w:tc>
      </w:tr>
      <w:tr w14:paraId="7A7C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7270E1F7">
            <w:pPr>
              <w:widowControl/>
              <w:rPr>
                <w:rFonts w:cs="宋体" w:asciiTheme="minorEastAsia" w:hAnsiTheme="minorEastAsia"/>
                <w:szCs w:val="21"/>
              </w:rPr>
            </w:pPr>
          </w:p>
        </w:tc>
        <w:tc>
          <w:tcPr>
            <w:tcW w:w="3990" w:type="dxa"/>
            <w:shd w:val="clear" w:color="auto" w:fill="auto"/>
            <w:vAlign w:val="center"/>
          </w:tcPr>
          <w:p w14:paraId="2330D786">
            <w:pPr>
              <w:widowControl/>
              <w:rPr>
                <w:rFonts w:cs="宋体" w:asciiTheme="minorEastAsia" w:hAnsiTheme="minorEastAsia"/>
                <w:b/>
                <w:bCs/>
                <w:color w:val="FF0000"/>
                <w:szCs w:val="21"/>
              </w:rPr>
            </w:pPr>
            <w:r>
              <w:rPr>
                <w:rFonts w:hint="eastAsia" w:cs="宋体" w:asciiTheme="minorEastAsia" w:hAnsiTheme="minorEastAsia"/>
                <w:b/>
                <w:bCs/>
                <w:color w:val="FF0000"/>
                <w:szCs w:val="21"/>
              </w:rPr>
              <w:t>▲2.1.5支持创建、编辑、删除资产模板，用户可自定义模板的字段，字段类型包括文本框、单选框、多选框、时间选择框等，可设置字段的默认值、验证规则和是否为必选。（提供功能截图）</w:t>
            </w:r>
          </w:p>
        </w:tc>
        <w:tc>
          <w:tcPr>
            <w:tcW w:w="1575" w:type="dxa"/>
            <w:shd w:val="clear" w:color="auto" w:fill="auto"/>
            <w:vAlign w:val="center"/>
          </w:tcPr>
          <w:p w14:paraId="749B5A0C">
            <w:pPr>
              <w:widowControl/>
              <w:rPr>
                <w:rFonts w:hint="eastAsia" w:cs="宋体" w:asciiTheme="minorEastAsia" w:hAnsiTheme="minorEastAsia"/>
                <w:b/>
                <w:bCs/>
                <w:color w:val="FF0000"/>
                <w:szCs w:val="21"/>
              </w:rPr>
            </w:pPr>
          </w:p>
        </w:tc>
        <w:tc>
          <w:tcPr>
            <w:tcW w:w="1095" w:type="dxa"/>
            <w:shd w:val="clear" w:color="auto" w:fill="auto"/>
            <w:vAlign w:val="center"/>
          </w:tcPr>
          <w:p w14:paraId="115A9F05">
            <w:pPr>
              <w:widowControl/>
              <w:rPr>
                <w:rFonts w:hint="eastAsia" w:cs="宋体" w:asciiTheme="minorEastAsia" w:hAnsiTheme="minorEastAsia"/>
                <w:b/>
                <w:bCs/>
                <w:color w:val="FF0000"/>
                <w:szCs w:val="21"/>
              </w:rPr>
            </w:pPr>
          </w:p>
        </w:tc>
        <w:tc>
          <w:tcPr>
            <w:tcW w:w="690" w:type="dxa"/>
            <w:shd w:val="clear" w:color="auto" w:fill="auto"/>
            <w:vAlign w:val="center"/>
          </w:tcPr>
          <w:p w14:paraId="5360F312">
            <w:pPr>
              <w:widowControl/>
              <w:rPr>
                <w:rFonts w:hint="eastAsia" w:cs="宋体" w:asciiTheme="minorEastAsia" w:hAnsiTheme="minorEastAsia"/>
                <w:b/>
                <w:bCs/>
                <w:color w:val="FF0000"/>
                <w:szCs w:val="21"/>
              </w:rPr>
            </w:pPr>
          </w:p>
        </w:tc>
      </w:tr>
      <w:tr w14:paraId="0D21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08C24D2B">
            <w:pPr>
              <w:widowControl/>
              <w:rPr>
                <w:rFonts w:cs="宋体" w:asciiTheme="minorEastAsia" w:hAnsiTheme="minorEastAsia"/>
                <w:szCs w:val="21"/>
              </w:rPr>
            </w:pPr>
          </w:p>
        </w:tc>
        <w:tc>
          <w:tcPr>
            <w:tcW w:w="3990" w:type="dxa"/>
            <w:shd w:val="clear" w:color="auto" w:fill="auto"/>
            <w:vAlign w:val="center"/>
          </w:tcPr>
          <w:p w14:paraId="729DC04A">
            <w:pPr>
              <w:widowControl/>
              <w:rPr>
                <w:rFonts w:cs="宋体" w:asciiTheme="minorEastAsia" w:hAnsiTheme="minorEastAsia"/>
                <w:b/>
                <w:bCs/>
                <w:color w:val="FF0000"/>
                <w:szCs w:val="21"/>
              </w:rPr>
            </w:pPr>
            <w:r>
              <w:rPr>
                <w:rFonts w:hint="eastAsia" w:cs="宋体" w:asciiTheme="minorEastAsia" w:hAnsiTheme="minorEastAsia"/>
                <w:b/>
                <w:bCs/>
                <w:color w:val="FF0000"/>
                <w:szCs w:val="21"/>
              </w:rPr>
              <w:t>▲2.1.6提供协同编辑功能，满足多用户同时对资产信息进行填写并同步填写内容，解决运维人员资产添加时信息不同步的问题。（提供功能截图）</w:t>
            </w:r>
          </w:p>
        </w:tc>
        <w:tc>
          <w:tcPr>
            <w:tcW w:w="1575" w:type="dxa"/>
            <w:shd w:val="clear" w:color="auto" w:fill="auto"/>
            <w:vAlign w:val="center"/>
          </w:tcPr>
          <w:p w14:paraId="0D3D3921">
            <w:pPr>
              <w:widowControl/>
              <w:rPr>
                <w:rFonts w:hint="eastAsia" w:cs="宋体" w:asciiTheme="minorEastAsia" w:hAnsiTheme="minorEastAsia"/>
                <w:b/>
                <w:bCs/>
                <w:color w:val="FF0000"/>
                <w:szCs w:val="21"/>
              </w:rPr>
            </w:pPr>
          </w:p>
        </w:tc>
        <w:tc>
          <w:tcPr>
            <w:tcW w:w="1095" w:type="dxa"/>
            <w:shd w:val="clear" w:color="auto" w:fill="auto"/>
            <w:vAlign w:val="center"/>
          </w:tcPr>
          <w:p w14:paraId="5EF1A6E4">
            <w:pPr>
              <w:widowControl/>
              <w:rPr>
                <w:rFonts w:hint="eastAsia" w:cs="宋体" w:asciiTheme="minorEastAsia" w:hAnsiTheme="minorEastAsia"/>
                <w:b/>
                <w:bCs/>
                <w:color w:val="FF0000"/>
                <w:szCs w:val="21"/>
              </w:rPr>
            </w:pPr>
          </w:p>
        </w:tc>
        <w:tc>
          <w:tcPr>
            <w:tcW w:w="690" w:type="dxa"/>
            <w:shd w:val="clear" w:color="auto" w:fill="auto"/>
            <w:vAlign w:val="center"/>
          </w:tcPr>
          <w:p w14:paraId="1ACC0742">
            <w:pPr>
              <w:widowControl/>
              <w:rPr>
                <w:rFonts w:hint="eastAsia" w:cs="宋体" w:asciiTheme="minorEastAsia" w:hAnsiTheme="minorEastAsia"/>
                <w:b/>
                <w:bCs/>
                <w:color w:val="FF0000"/>
                <w:szCs w:val="21"/>
              </w:rPr>
            </w:pPr>
          </w:p>
        </w:tc>
      </w:tr>
      <w:tr w14:paraId="732F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506759E6">
            <w:pPr>
              <w:widowControl/>
              <w:rPr>
                <w:rFonts w:cs="宋体" w:asciiTheme="minorEastAsia" w:hAnsiTheme="minorEastAsia"/>
                <w:szCs w:val="21"/>
              </w:rPr>
            </w:pPr>
          </w:p>
        </w:tc>
        <w:tc>
          <w:tcPr>
            <w:tcW w:w="3990" w:type="dxa"/>
            <w:shd w:val="clear" w:color="auto" w:fill="auto"/>
            <w:vAlign w:val="center"/>
          </w:tcPr>
          <w:p w14:paraId="60C863EC">
            <w:pPr>
              <w:widowControl/>
              <w:rPr>
                <w:rFonts w:cs="宋体" w:asciiTheme="minorEastAsia" w:hAnsiTheme="minorEastAsia"/>
                <w:szCs w:val="21"/>
              </w:rPr>
            </w:pPr>
            <w:r>
              <w:rPr>
                <w:rFonts w:hint="eastAsia" w:cs="宋体" w:asciiTheme="minorEastAsia" w:hAnsiTheme="minorEastAsia"/>
                <w:szCs w:val="21"/>
              </w:rPr>
              <w:t>2.1.7支持通过选择资产类型、使用组织、使用人、自定义字段等检索相关资产。</w:t>
            </w:r>
          </w:p>
        </w:tc>
        <w:tc>
          <w:tcPr>
            <w:tcW w:w="1575" w:type="dxa"/>
            <w:shd w:val="clear" w:color="auto" w:fill="auto"/>
            <w:vAlign w:val="center"/>
          </w:tcPr>
          <w:p w14:paraId="17D6FD41">
            <w:pPr>
              <w:widowControl/>
              <w:rPr>
                <w:rFonts w:hint="eastAsia" w:cs="宋体" w:asciiTheme="minorEastAsia" w:hAnsiTheme="minorEastAsia"/>
                <w:szCs w:val="21"/>
              </w:rPr>
            </w:pPr>
          </w:p>
        </w:tc>
        <w:tc>
          <w:tcPr>
            <w:tcW w:w="1095" w:type="dxa"/>
            <w:shd w:val="clear" w:color="auto" w:fill="auto"/>
            <w:vAlign w:val="center"/>
          </w:tcPr>
          <w:p w14:paraId="1FC35897">
            <w:pPr>
              <w:widowControl/>
              <w:rPr>
                <w:rFonts w:hint="eastAsia" w:cs="宋体" w:asciiTheme="minorEastAsia" w:hAnsiTheme="minorEastAsia"/>
                <w:szCs w:val="21"/>
              </w:rPr>
            </w:pPr>
          </w:p>
        </w:tc>
        <w:tc>
          <w:tcPr>
            <w:tcW w:w="690" w:type="dxa"/>
            <w:shd w:val="clear" w:color="auto" w:fill="auto"/>
            <w:vAlign w:val="center"/>
          </w:tcPr>
          <w:p w14:paraId="6896CEE5">
            <w:pPr>
              <w:widowControl/>
              <w:rPr>
                <w:rFonts w:hint="eastAsia" w:cs="宋体" w:asciiTheme="minorEastAsia" w:hAnsiTheme="minorEastAsia"/>
                <w:szCs w:val="21"/>
              </w:rPr>
            </w:pPr>
          </w:p>
        </w:tc>
      </w:tr>
      <w:tr w14:paraId="2D6F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2EFE9DDF">
            <w:pPr>
              <w:widowControl/>
              <w:rPr>
                <w:rFonts w:cs="宋体" w:asciiTheme="minorEastAsia" w:hAnsiTheme="minorEastAsia"/>
                <w:szCs w:val="21"/>
              </w:rPr>
            </w:pPr>
          </w:p>
        </w:tc>
        <w:tc>
          <w:tcPr>
            <w:tcW w:w="3990" w:type="dxa"/>
            <w:shd w:val="clear" w:color="auto" w:fill="auto"/>
            <w:vAlign w:val="center"/>
          </w:tcPr>
          <w:p w14:paraId="43500918">
            <w:pPr>
              <w:widowControl/>
              <w:rPr>
                <w:rFonts w:cs="宋体" w:asciiTheme="minorEastAsia" w:hAnsiTheme="minorEastAsia"/>
                <w:szCs w:val="21"/>
              </w:rPr>
            </w:pPr>
            <w:r>
              <w:rPr>
                <w:rFonts w:hint="eastAsia" w:cs="宋体" w:asciiTheme="minorEastAsia" w:hAnsiTheme="minorEastAsia"/>
                <w:szCs w:val="21"/>
              </w:rPr>
              <w:t>2.1.8支持录入业务资产，业务资产可与主机、数据资产、</w:t>
            </w:r>
            <w:r>
              <w:rPr>
                <w:rFonts w:cs="宋体" w:asciiTheme="minorEastAsia" w:hAnsiTheme="minorEastAsia"/>
                <w:szCs w:val="21"/>
              </w:rPr>
              <w:t>IP资产进行关联。业务资产包含基础信息：访问地址、应用名称、等级保护级别、注册时间、责任主体等信息。</w:t>
            </w:r>
          </w:p>
        </w:tc>
        <w:tc>
          <w:tcPr>
            <w:tcW w:w="1575" w:type="dxa"/>
            <w:shd w:val="clear" w:color="auto" w:fill="auto"/>
            <w:vAlign w:val="center"/>
          </w:tcPr>
          <w:p w14:paraId="58978C75">
            <w:pPr>
              <w:widowControl/>
              <w:rPr>
                <w:rFonts w:hint="eastAsia" w:cs="宋体" w:asciiTheme="minorEastAsia" w:hAnsiTheme="minorEastAsia"/>
                <w:szCs w:val="21"/>
              </w:rPr>
            </w:pPr>
          </w:p>
        </w:tc>
        <w:tc>
          <w:tcPr>
            <w:tcW w:w="1095" w:type="dxa"/>
            <w:shd w:val="clear" w:color="auto" w:fill="auto"/>
            <w:vAlign w:val="center"/>
          </w:tcPr>
          <w:p w14:paraId="53A47D99">
            <w:pPr>
              <w:widowControl/>
              <w:rPr>
                <w:rFonts w:hint="eastAsia" w:cs="宋体" w:asciiTheme="minorEastAsia" w:hAnsiTheme="minorEastAsia"/>
                <w:szCs w:val="21"/>
              </w:rPr>
            </w:pPr>
          </w:p>
        </w:tc>
        <w:tc>
          <w:tcPr>
            <w:tcW w:w="690" w:type="dxa"/>
            <w:shd w:val="clear" w:color="auto" w:fill="auto"/>
            <w:vAlign w:val="center"/>
          </w:tcPr>
          <w:p w14:paraId="4F897525">
            <w:pPr>
              <w:widowControl/>
              <w:rPr>
                <w:rFonts w:hint="eastAsia" w:cs="宋体" w:asciiTheme="minorEastAsia" w:hAnsiTheme="minorEastAsia"/>
                <w:szCs w:val="21"/>
              </w:rPr>
            </w:pPr>
          </w:p>
        </w:tc>
      </w:tr>
      <w:tr w14:paraId="0E21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6CC6B46F">
            <w:pPr>
              <w:widowControl/>
              <w:rPr>
                <w:rFonts w:cs="宋体" w:asciiTheme="minorEastAsia" w:hAnsiTheme="minorEastAsia"/>
                <w:szCs w:val="21"/>
              </w:rPr>
            </w:pPr>
          </w:p>
        </w:tc>
        <w:tc>
          <w:tcPr>
            <w:tcW w:w="3990" w:type="dxa"/>
            <w:shd w:val="clear" w:color="auto" w:fill="auto"/>
            <w:vAlign w:val="center"/>
          </w:tcPr>
          <w:p w14:paraId="7F0DB87E">
            <w:pPr>
              <w:widowControl/>
              <w:rPr>
                <w:rFonts w:cs="宋体" w:asciiTheme="minorEastAsia" w:hAnsiTheme="minorEastAsia"/>
                <w:szCs w:val="21"/>
              </w:rPr>
            </w:pPr>
            <w:r>
              <w:rPr>
                <w:rFonts w:hint="eastAsia" w:cs="宋体" w:asciiTheme="minorEastAsia" w:hAnsiTheme="minorEastAsia"/>
                <w:szCs w:val="21"/>
              </w:rPr>
              <w:t>2.1.9支持录入数据资产，可以对数据资产按照数据敏感级别与安全级别进行分级分类，数据资产录入时应可以与</w:t>
            </w:r>
            <w:r>
              <w:rPr>
                <w:rFonts w:cs="宋体" w:asciiTheme="minorEastAsia" w:hAnsiTheme="minorEastAsia"/>
                <w:szCs w:val="21"/>
              </w:rPr>
              <w:t>IP、承载环境相互关联。</w:t>
            </w:r>
          </w:p>
        </w:tc>
        <w:tc>
          <w:tcPr>
            <w:tcW w:w="1575" w:type="dxa"/>
            <w:shd w:val="clear" w:color="auto" w:fill="auto"/>
            <w:vAlign w:val="center"/>
          </w:tcPr>
          <w:p w14:paraId="489C8132">
            <w:pPr>
              <w:widowControl/>
              <w:rPr>
                <w:rFonts w:hint="eastAsia" w:cs="宋体" w:asciiTheme="minorEastAsia" w:hAnsiTheme="minorEastAsia"/>
                <w:szCs w:val="21"/>
              </w:rPr>
            </w:pPr>
          </w:p>
        </w:tc>
        <w:tc>
          <w:tcPr>
            <w:tcW w:w="1095" w:type="dxa"/>
            <w:shd w:val="clear" w:color="auto" w:fill="auto"/>
            <w:vAlign w:val="center"/>
          </w:tcPr>
          <w:p w14:paraId="377E58F8">
            <w:pPr>
              <w:widowControl/>
              <w:rPr>
                <w:rFonts w:hint="eastAsia" w:cs="宋体" w:asciiTheme="minorEastAsia" w:hAnsiTheme="minorEastAsia"/>
                <w:szCs w:val="21"/>
              </w:rPr>
            </w:pPr>
          </w:p>
        </w:tc>
        <w:tc>
          <w:tcPr>
            <w:tcW w:w="690" w:type="dxa"/>
            <w:shd w:val="clear" w:color="auto" w:fill="auto"/>
            <w:vAlign w:val="center"/>
          </w:tcPr>
          <w:p w14:paraId="088283C9">
            <w:pPr>
              <w:widowControl/>
              <w:rPr>
                <w:rFonts w:hint="eastAsia" w:cs="宋体" w:asciiTheme="minorEastAsia" w:hAnsiTheme="minorEastAsia"/>
                <w:szCs w:val="21"/>
              </w:rPr>
            </w:pPr>
          </w:p>
        </w:tc>
      </w:tr>
      <w:tr w14:paraId="054A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restart"/>
            <w:shd w:val="clear" w:color="auto" w:fill="auto"/>
            <w:vAlign w:val="center"/>
          </w:tcPr>
          <w:p w14:paraId="4F73B144">
            <w:pPr>
              <w:widowControl/>
              <w:jc w:val="center"/>
              <w:rPr>
                <w:rFonts w:cs="宋体" w:asciiTheme="minorEastAsia" w:hAnsiTheme="minorEastAsia"/>
                <w:szCs w:val="21"/>
              </w:rPr>
            </w:pPr>
            <w:r>
              <w:rPr>
                <w:rFonts w:hint="eastAsia" w:cs="宋体" w:asciiTheme="minorEastAsia" w:hAnsiTheme="minorEastAsia"/>
                <w:szCs w:val="21"/>
              </w:rPr>
              <w:t>资产基线</w:t>
            </w:r>
          </w:p>
        </w:tc>
        <w:tc>
          <w:tcPr>
            <w:tcW w:w="3990" w:type="dxa"/>
            <w:shd w:val="clear" w:color="auto" w:fill="auto"/>
            <w:vAlign w:val="center"/>
          </w:tcPr>
          <w:p w14:paraId="32BAB15A">
            <w:pPr>
              <w:widowControl/>
              <w:rPr>
                <w:rFonts w:cs="宋体" w:asciiTheme="minorEastAsia" w:hAnsiTheme="minorEastAsia"/>
                <w:szCs w:val="21"/>
              </w:rPr>
            </w:pPr>
            <w:r>
              <w:rPr>
                <w:rFonts w:hint="eastAsia" w:cs="宋体" w:asciiTheme="minorEastAsia" w:hAnsiTheme="minorEastAsia"/>
                <w:b/>
                <w:bCs/>
                <w:color w:val="FF0000"/>
                <w:szCs w:val="21"/>
              </w:rPr>
              <w:t>▲2.1.10提供WMIC、SSH、SNMP、RDP、telnet等方式对资产基线数据进行采集，采集数据包括服务、软件、端口、账号、操作系统、进程、补丁等。（提供功能截图）</w:t>
            </w:r>
          </w:p>
        </w:tc>
        <w:tc>
          <w:tcPr>
            <w:tcW w:w="1575" w:type="dxa"/>
            <w:shd w:val="clear" w:color="auto" w:fill="auto"/>
            <w:vAlign w:val="center"/>
          </w:tcPr>
          <w:p w14:paraId="5904C6BB">
            <w:pPr>
              <w:widowControl/>
              <w:rPr>
                <w:rFonts w:hint="eastAsia" w:cs="宋体" w:asciiTheme="minorEastAsia" w:hAnsiTheme="minorEastAsia"/>
                <w:b/>
                <w:bCs/>
                <w:color w:val="FF0000"/>
                <w:szCs w:val="21"/>
              </w:rPr>
            </w:pPr>
          </w:p>
        </w:tc>
        <w:tc>
          <w:tcPr>
            <w:tcW w:w="1095" w:type="dxa"/>
            <w:shd w:val="clear" w:color="auto" w:fill="auto"/>
            <w:vAlign w:val="center"/>
          </w:tcPr>
          <w:p w14:paraId="40F78917">
            <w:pPr>
              <w:widowControl/>
              <w:rPr>
                <w:rFonts w:hint="eastAsia" w:cs="宋体" w:asciiTheme="minorEastAsia" w:hAnsiTheme="minorEastAsia"/>
                <w:b/>
                <w:bCs/>
                <w:color w:val="FF0000"/>
                <w:szCs w:val="21"/>
              </w:rPr>
            </w:pPr>
          </w:p>
        </w:tc>
        <w:tc>
          <w:tcPr>
            <w:tcW w:w="690" w:type="dxa"/>
            <w:shd w:val="clear" w:color="auto" w:fill="auto"/>
            <w:vAlign w:val="center"/>
          </w:tcPr>
          <w:p w14:paraId="04030413">
            <w:pPr>
              <w:widowControl/>
              <w:rPr>
                <w:rFonts w:hint="eastAsia" w:cs="宋体" w:asciiTheme="minorEastAsia" w:hAnsiTheme="minorEastAsia"/>
                <w:b/>
                <w:bCs/>
                <w:color w:val="FF0000"/>
                <w:szCs w:val="21"/>
              </w:rPr>
            </w:pPr>
          </w:p>
        </w:tc>
      </w:tr>
      <w:tr w14:paraId="643B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1765F47E">
            <w:pPr>
              <w:widowControl/>
              <w:rPr>
                <w:rFonts w:cs="宋体" w:asciiTheme="minorEastAsia" w:hAnsiTheme="minorEastAsia"/>
                <w:szCs w:val="21"/>
              </w:rPr>
            </w:pPr>
          </w:p>
        </w:tc>
        <w:tc>
          <w:tcPr>
            <w:tcW w:w="3990" w:type="dxa"/>
            <w:shd w:val="clear" w:color="auto" w:fill="auto"/>
            <w:vAlign w:val="center"/>
          </w:tcPr>
          <w:p w14:paraId="73A5A6EE">
            <w:pPr>
              <w:widowControl/>
              <w:rPr>
                <w:rFonts w:cs="宋体" w:asciiTheme="minorEastAsia" w:hAnsiTheme="minorEastAsia"/>
                <w:szCs w:val="21"/>
              </w:rPr>
            </w:pPr>
            <w:r>
              <w:rPr>
                <w:rFonts w:hint="eastAsia" w:cs="宋体" w:asciiTheme="minorEastAsia" w:hAnsiTheme="minorEastAsia"/>
                <w:szCs w:val="21"/>
              </w:rPr>
              <w:t>2.1.11支持创建核查模板、设置核查项内容。</w:t>
            </w:r>
          </w:p>
        </w:tc>
        <w:tc>
          <w:tcPr>
            <w:tcW w:w="1575" w:type="dxa"/>
            <w:shd w:val="clear" w:color="auto" w:fill="auto"/>
            <w:vAlign w:val="center"/>
          </w:tcPr>
          <w:p w14:paraId="50E057D4">
            <w:pPr>
              <w:widowControl/>
              <w:rPr>
                <w:rFonts w:hint="eastAsia" w:cs="宋体" w:asciiTheme="minorEastAsia" w:hAnsiTheme="minorEastAsia"/>
                <w:szCs w:val="21"/>
              </w:rPr>
            </w:pPr>
          </w:p>
        </w:tc>
        <w:tc>
          <w:tcPr>
            <w:tcW w:w="1095" w:type="dxa"/>
            <w:shd w:val="clear" w:color="auto" w:fill="auto"/>
            <w:vAlign w:val="center"/>
          </w:tcPr>
          <w:p w14:paraId="6AFA299E">
            <w:pPr>
              <w:widowControl/>
              <w:rPr>
                <w:rFonts w:hint="eastAsia" w:cs="宋体" w:asciiTheme="minorEastAsia" w:hAnsiTheme="minorEastAsia"/>
                <w:szCs w:val="21"/>
              </w:rPr>
            </w:pPr>
          </w:p>
        </w:tc>
        <w:tc>
          <w:tcPr>
            <w:tcW w:w="690" w:type="dxa"/>
            <w:shd w:val="clear" w:color="auto" w:fill="auto"/>
            <w:vAlign w:val="center"/>
          </w:tcPr>
          <w:p w14:paraId="1D30124E">
            <w:pPr>
              <w:widowControl/>
              <w:rPr>
                <w:rFonts w:hint="eastAsia" w:cs="宋体" w:asciiTheme="minorEastAsia" w:hAnsiTheme="minorEastAsia"/>
                <w:szCs w:val="21"/>
              </w:rPr>
            </w:pPr>
          </w:p>
        </w:tc>
      </w:tr>
      <w:tr w14:paraId="47CE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shd w:val="clear" w:color="auto" w:fill="auto"/>
            <w:noWrap/>
            <w:vAlign w:val="center"/>
          </w:tcPr>
          <w:p w14:paraId="3AC3679B">
            <w:pPr>
              <w:widowControl/>
              <w:jc w:val="center"/>
              <w:rPr>
                <w:rFonts w:cs="宋体" w:asciiTheme="minorEastAsia" w:hAnsiTheme="minorEastAsia"/>
                <w:szCs w:val="21"/>
              </w:rPr>
            </w:pPr>
            <w:r>
              <w:rPr>
                <w:rFonts w:hint="eastAsia" w:cs="宋体" w:asciiTheme="minorEastAsia" w:hAnsiTheme="minorEastAsia"/>
                <w:szCs w:val="21"/>
              </w:rPr>
              <w:t>资产详情</w:t>
            </w:r>
          </w:p>
        </w:tc>
        <w:tc>
          <w:tcPr>
            <w:tcW w:w="3990" w:type="dxa"/>
            <w:shd w:val="clear" w:color="auto" w:fill="auto"/>
            <w:vAlign w:val="center"/>
          </w:tcPr>
          <w:p w14:paraId="7E0B636B">
            <w:pPr>
              <w:widowControl/>
              <w:rPr>
                <w:rFonts w:cs="宋体" w:asciiTheme="minorEastAsia" w:hAnsiTheme="minorEastAsia"/>
                <w:szCs w:val="21"/>
              </w:rPr>
            </w:pPr>
            <w:r>
              <w:rPr>
                <w:rFonts w:hint="eastAsia" w:cs="宋体" w:asciiTheme="minorEastAsia" w:hAnsiTheme="minorEastAsia"/>
                <w:szCs w:val="21"/>
              </w:rPr>
              <w:t>2.1.12展示单个资产的基本信息、基线配置、风险列表、异常告警。</w:t>
            </w:r>
          </w:p>
        </w:tc>
        <w:tc>
          <w:tcPr>
            <w:tcW w:w="1575" w:type="dxa"/>
            <w:shd w:val="clear" w:color="auto" w:fill="auto"/>
            <w:vAlign w:val="center"/>
          </w:tcPr>
          <w:p w14:paraId="3541F529">
            <w:pPr>
              <w:widowControl/>
              <w:rPr>
                <w:rFonts w:hint="eastAsia" w:cs="宋体" w:asciiTheme="minorEastAsia" w:hAnsiTheme="minorEastAsia"/>
                <w:szCs w:val="21"/>
              </w:rPr>
            </w:pPr>
          </w:p>
        </w:tc>
        <w:tc>
          <w:tcPr>
            <w:tcW w:w="1095" w:type="dxa"/>
            <w:shd w:val="clear" w:color="auto" w:fill="auto"/>
            <w:vAlign w:val="center"/>
          </w:tcPr>
          <w:p w14:paraId="59F1D004">
            <w:pPr>
              <w:widowControl/>
              <w:rPr>
                <w:rFonts w:hint="eastAsia" w:cs="宋体" w:asciiTheme="minorEastAsia" w:hAnsiTheme="minorEastAsia"/>
                <w:szCs w:val="21"/>
              </w:rPr>
            </w:pPr>
          </w:p>
        </w:tc>
        <w:tc>
          <w:tcPr>
            <w:tcW w:w="690" w:type="dxa"/>
            <w:shd w:val="clear" w:color="auto" w:fill="auto"/>
            <w:vAlign w:val="center"/>
          </w:tcPr>
          <w:p w14:paraId="061D74D9">
            <w:pPr>
              <w:widowControl/>
              <w:rPr>
                <w:rFonts w:hint="eastAsia" w:cs="宋体" w:asciiTheme="minorEastAsia" w:hAnsiTheme="minorEastAsia"/>
                <w:szCs w:val="21"/>
              </w:rPr>
            </w:pPr>
          </w:p>
        </w:tc>
      </w:tr>
      <w:tr w14:paraId="46F9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shd w:val="clear" w:color="auto" w:fill="auto"/>
            <w:vAlign w:val="center"/>
          </w:tcPr>
          <w:p w14:paraId="35BFB4D1">
            <w:pPr>
              <w:widowControl/>
              <w:jc w:val="center"/>
              <w:rPr>
                <w:rFonts w:cs="宋体" w:asciiTheme="minorEastAsia" w:hAnsiTheme="minorEastAsia"/>
                <w:szCs w:val="21"/>
              </w:rPr>
            </w:pPr>
            <w:r>
              <w:rPr>
                <w:rFonts w:hint="eastAsia" w:cs="宋体" w:asciiTheme="minorEastAsia" w:hAnsiTheme="minorEastAsia"/>
                <w:szCs w:val="21"/>
              </w:rPr>
              <w:t>资产处置</w:t>
            </w:r>
          </w:p>
        </w:tc>
        <w:tc>
          <w:tcPr>
            <w:tcW w:w="3990" w:type="dxa"/>
            <w:shd w:val="clear" w:color="auto" w:fill="auto"/>
            <w:vAlign w:val="center"/>
          </w:tcPr>
          <w:p w14:paraId="494F472A">
            <w:pPr>
              <w:widowControl/>
              <w:rPr>
                <w:rFonts w:cs="宋体" w:asciiTheme="minorEastAsia" w:hAnsiTheme="minorEastAsia"/>
                <w:szCs w:val="21"/>
              </w:rPr>
            </w:pPr>
            <w:r>
              <w:rPr>
                <w:rFonts w:hint="eastAsia" w:cs="宋体" w:asciiTheme="minorEastAsia" w:hAnsiTheme="minorEastAsia"/>
                <w:szCs w:val="21"/>
              </w:rPr>
              <w:t>2.2.13</w:t>
            </w:r>
            <w:r>
              <w:rPr>
                <w:rFonts w:cs="宋体" w:asciiTheme="minorEastAsia" w:hAnsiTheme="minorEastAsia"/>
                <w:szCs w:val="21"/>
              </w:rPr>
              <w:t>支持对资产的变更、维修、报废、调拨、领用&amp;退还、借用&amp;归还操作的单据申请，管理员可对申请单据进行审批并保留记录，单据审批通过后与资产进行关联，满足资产处置的闭环.</w:t>
            </w:r>
          </w:p>
        </w:tc>
        <w:tc>
          <w:tcPr>
            <w:tcW w:w="1575" w:type="dxa"/>
            <w:shd w:val="clear" w:color="auto" w:fill="auto"/>
            <w:vAlign w:val="center"/>
          </w:tcPr>
          <w:p w14:paraId="270159D2">
            <w:pPr>
              <w:widowControl/>
              <w:rPr>
                <w:rFonts w:hint="eastAsia" w:cs="宋体" w:asciiTheme="minorEastAsia" w:hAnsiTheme="minorEastAsia"/>
                <w:szCs w:val="21"/>
              </w:rPr>
            </w:pPr>
          </w:p>
        </w:tc>
        <w:tc>
          <w:tcPr>
            <w:tcW w:w="1095" w:type="dxa"/>
            <w:shd w:val="clear" w:color="auto" w:fill="auto"/>
            <w:vAlign w:val="center"/>
          </w:tcPr>
          <w:p w14:paraId="6B3AA04D">
            <w:pPr>
              <w:widowControl/>
              <w:rPr>
                <w:rFonts w:hint="eastAsia" w:cs="宋体" w:asciiTheme="minorEastAsia" w:hAnsiTheme="minorEastAsia"/>
                <w:szCs w:val="21"/>
              </w:rPr>
            </w:pPr>
          </w:p>
        </w:tc>
        <w:tc>
          <w:tcPr>
            <w:tcW w:w="690" w:type="dxa"/>
            <w:shd w:val="clear" w:color="auto" w:fill="auto"/>
            <w:vAlign w:val="center"/>
          </w:tcPr>
          <w:p w14:paraId="5E0F8A37">
            <w:pPr>
              <w:widowControl/>
              <w:rPr>
                <w:rFonts w:hint="eastAsia" w:cs="宋体" w:asciiTheme="minorEastAsia" w:hAnsiTheme="minorEastAsia"/>
                <w:szCs w:val="21"/>
              </w:rPr>
            </w:pPr>
          </w:p>
        </w:tc>
      </w:tr>
      <w:tr w14:paraId="07D2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restart"/>
            <w:shd w:val="clear" w:color="auto" w:fill="auto"/>
            <w:vAlign w:val="center"/>
          </w:tcPr>
          <w:p w14:paraId="0654825C">
            <w:pPr>
              <w:widowControl/>
              <w:jc w:val="center"/>
              <w:rPr>
                <w:rFonts w:cs="宋体" w:asciiTheme="minorEastAsia" w:hAnsiTheme="minorEastAsia"/>
                <w:szCs w:val="21"/>
              </w:rPr>
            </w:pPr>
            <w:r>
              <w:rPr>
                <w:rFonts w:cs="宋体" w:asciiTheme="minorEastAsia" w:hAnsiTheme="minorEastAsia"/>
                <w:szCs w:val="21"/>
              </w:rPr>
              <w:t>IP管理</w:t>
            </w:r>
          </w:p>
        </w:tc>
        <w:tc>
          <w:tcPr>
            <w:tcW w:w="3990" w:type="dxa"/>
            <w:shd w:val="clear" w:color="auto" w:fill="auto"/>
            <w:vAlign w:val="center"/>
          </w:tcPr>
          <w:p w14:paraId="2CE3E2B3">
            <w:pPr>
              <w:widowControl/>
              <w:rPr>
                <w:rFonts w:cs="宋体" w:asciiTheme="minorEastAsia" w:hAnsiTheme="minorEastAsia"/>
                <w:szCs w:val="21"/>
              </w:rPr>
            </w:pPr>
            <w:r>
              <w:rPr>
                <w:rFonts w:hint="eastAsia" w:cs="宋体" w:asciiTheme="minorEastAsia" w:hAnsiTheme="minorEastAsia"/>
                <w:szCs w:val="21"/>
              </w:rPr>
              <w:t>2.1.14根据</w:t>
            </w:r>
            <w:r>
              <w:rPr>
                <w:rFonts w:cs="宋体" w:asciiTheme="minorEastAsia" w:hAnsiTheme="minorEastAsia"/>
                <w:szCs w:val="21"/>
              </w:rPr>
              <w:t>IP的存活状态、标识信息、使用状态、资源分布情况进行汇总展示，还可选择指定网段，查看网段内IP的使用</w:t>
            </w:r>
            <w:r>
              <w:rPr>
                <w:rFonts w:hint="eastAsia" w:cs="宋体" w:asciiTheme="minorEastAsia" w:hAnsiTheme="minorEastAsia"/>
                <w:szCs w:val="21"/>
              </w:rPr>
              <w:t>情况。</w:t>
            </w:r>
          </w:p>
        </w:tc>
        <w:tc>
          <w:tcPr>
            <w:tcW w:w="1575" w:type="dxa"/>
            <w:shd w:val="clear" w:color="auto" w:fill="auto"/>
            <w:vAlign w:val="center"/>
          </w:tcPr>
          <w:p w14:paraId="67DC48B5">
            <w:pPr>
              <w:widowControl/>
              <w:rPr>
                <w:rFonts w:hint="eastAsia" w:cs="宋体" w:asciiTheme="minorEastAsia" w:hAnsiTheme="minorEastAsia"/>
                <w:szCs w:val="21"/>
              </w:rPr>
            </w:pPr>
          </w:p>
        </w:tc>
        <w:tc>
          <w:tcPr>
            <w:tcW w:w="1095" w:type="dxa"/>
            <w:shd w:val="clear" w:color="auto" w:fill="auto"/>
            <w:vAlign w:val="center"/>
          </w:tcPr>
          <w:p w14:paraId="0B34817E">
            <w:pPr>
              <w:widowControl/>
              <w:rPr>
                <w:rFonts w:hint="eastAsia" w:cs="宋体" w:asciiTheme="minorEastAsia" w:hAnsiTheme="minorEastAsia"/>
                <w:szCs w:val="21"/>
              </w:rPr>
            </w:pPr>
          </w:p>
        </w:tc>
        <w:tc>
          <w:tcPr>
            <w:tcW w:w="690" w:type="dxa"/>
            <w:shd w:val="clear" w:color="auto" w:fill="auto"/>
            <w:vAlign w:val="center"/>
          </w:tcPr>
          <w:p w14:paraId="39A95458">
            <w:pPr>
              <w:widowControl/>
              <w:rPr>
                <w:rFonts w:hint="eastAsia" w:cs="宋体" w:asciiTheme="minorEastAsia" w:hAnsiTheme="minorEastAsia"/>
                <w:szCs w:val="21"/>
              </w:rPr>
            </w:pPr>
          </w:p>
        </w:tc>
      </w:tr>
      <w:tr w14:paraId="11C8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12C8DE36">
            <w:pPr>
              <w:widowControl/>
              <w:rPr>
                <w:rFonts w:cs="宋体" w:asciiTheme="minorEastAsia" w:hAnsiTheme="minorEastAsia"/>
                <w:szCs w:val="21"/>
              </w:rPr>
            </w:pPr>
          </w:p>
        </w:tc>
        <w:tc>
          <w:tcPr>
            <w:tcW w:w="3990" w:type="dxa"/>
            <w:shd w:val="clear" w:color="auto" w:fill="auto"/>
            <w:vAlign w:val="center"/>
          </w:tcPr>
          <w:p w14:paraId="1DE33A74">
            <w:pPr>
              <w:widowControl/>
              <w:rPr>
                <w:rFonts w:cs="宋体" w:asciiTheme="minorEastAsia" w:hAnsiTheme="minorEastAsia"/>
                <w:szCs w:val="21"/>
              </w:rPr>
            </w:pPr>
            <w:r>
              <w:rPr>
                <w:rFonts w:hint="eastAsia" w:cs="宋体" w:asciiTheme="minorEastAsia" w:hAnsiTheme="minorEastAsia"/>
                <w:szCs w:val="21"/>
              </w:rPr>
              <w:t>2.1.15支持定义</w:t>
            </w:r>
            <w:r>
              <w:rPr>
                <w:rFonts w:cs="宋体" w:asciiTheme="minorEastAsia" w:hAnsiTheme="minorEastAsia"/>
                <w:szCs w:val="21"/>
              </w:rPr>
              <w:t>IP状态，状态分为未标识、来宾、信任。</w:t>
            </w:r>
          </w:p>
        </w:tc>
        <w:tc>
          <w:tcPr>
            <w:tcW w:w="1575" w:type="dxa"/>
            <w:shd w:val="clear" w:color="auto" w:fill="auto"/>
            <w:vAlign w:val="center"/>
          </w:tcPr>
          <w:p w14:paraId="2FB10BB7">
            <w:pPr>
              <w:widowControl/>
              <w:rPr>
                <w:rFonts w:hint="eastAsia" w:cs="宋体" w:asciiTheme="minorEastAsia" w:hAnsiTheme="minorEastAsia"/>
                <w:szCs w:val="21"/>
              </w:rPr>
            </w:pPr>
          </w:p>
        </w:tc>
        <w:tc>
          <w:tcPr>
            <w:tcW w:w="1095" w:type="dxa"/>
            <w:shd w:val="clear" w:color="auto" w:fill="auto"/>
            <w:vAlign w:val="center"/>
          </w:tcPr>
          <w:p w14:paraId="6CC51F97">
            <w:pPr>
              <w:widowControl/>
              <w:rPr>
                <w:rFonts w:hint="eastAsia" w:cs="宋体" w:asciiTheme="minorEastAsia" w:hAnsiTheme="minorEastAsia"/>
                <w:szCs w:val="21"/>
              </w:rPr>
            </w:pPr>
          </w:p>
        </w:tc>
        <w:tc>
          <w:tcPr>
            <w:tcW w:w="690" w:type="dxa"/>
            <w:shd w:val="clear" w:color="auto" w:fill="auto"/>
            <w:vAlign w:val="center"/>
          </w:tcPr>
          <w:p w14:paraId="3A14F2C6">
            <w:pPr>
              <w:widowControl/>
              <w:rPr>
                <w:rFonts w:hint="eastAsia" w:cs="宋体" w:asciiTheme="minorEastAsia" w:hAnsiTheme="minorEastAsia"/>
                <w:szCs w:val="21"/>
              </w:rPr>
            </w:pPr>
          </w:p>
        </w:tc>
      </w:tr>
      <w:tr w14:paraId="2BD2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3E8EA47D">
            <w:pPr>
              <w:widowControl/>
              <w:rPr>
                <w:rFonts w:cs="宋体" w:asciiTheme="minorEastAsia" w:hAnsiTheme="minorEastAsia"/>
                <w:szCs w:val="21"/>
              </w:rPr>
            </w:pPr>
          </w:p>
        </w:tc>
        <w:tc>
          <w:tcPr>
            <w:tcW w:w="3990" w:type="dxa"/>
            <w:shd w:val="clear" w:color="auto" w:fill="auto"/>
            <w:vAlign w:val="center"/>
          </w:tcPr>
          <w:p w14:paraId="636D6566">
            <w:pPr>
              <w:widowControl/>
              <w:rPr>
                <w:rFonts w:cs="宋体" w:asciiTheme="minorEastAsia" w:hAnsiTheme="minorEastAsia"/>
                <w:szCs w:val="21"/>
              </w:rPr>
            </w:pPr>
            <w:r>
              <w:rPr>
                <w:rFonts w:hint="eastAsia" w:cs="宋体" w:asciiTheme="minorEastAsia" w:hAnsiTheme="minorEastAsia"/>
                <w:szCs w:val="21"/>
              </w:rPr>
              <w:t>2.1.16支持根据状态、响应情况、</w:t>
            </w:r>
            <w:r>
              <w:rPr>
                <w:rFonts w:cs="宋体" w:asciiTheme="minorEastAsia" w:hAnsiTheme="minorEastAsia"/>
                <w:szCs w:val="21"/>
              </w:rPr>
              <w:t>MAC、IP对数据进行检索。</w:t>
            </w:r>
          </w:p>
        </w:tc>
        <w:tc>
          <w:tcPr>
            <w:tcW w:w="1575" w:type="dxa"/>
            <w:shd w:val="clear" w:color="auto" w:fill="auto"/>
            <w:vAlign w:val="center"/>
          </w:tcPr>
          <w:p w14:paraId="42FC2718">
            <w:pPr>
              <w:widowControl/>
              <w:rPr>
                <w:rFonts w:hint="eastAsia" w:cs="宋体" w:asciiTheme="minorEastAsia" w:hAnsiTheme="minorEastAsia"/>
                <w:szCs w:val="21"/>
              </w:rPr>
            </w:pPr>
          </w:p>
        </w:tc>
        <w:tc>
          <w:tcPr>
            <w:tcW w:w="1095" w:type="dxa"/>
            <w:shd w:val="clear" w:color="auto" w:fill="auto"/>
            <w:vAlign w:val="center"/>
          </w:tcPr>
          <w:p w14:paraId="1BD03276">
            <w:pPr>
              <w:widowControl/>
              <w:rPr>
                <w:rFonts w:hint="eastAsia" w:cs="宋体" w:asciiTheme="minorEastAsia" w:hAnsiTheme="minorEastAsia"/>
                <w:szCs w:val="21"/>
              </w:rPr>
            </w:pPr>
          </w:p>
        </w:tc>
        <w:tc>
          <w:tcPr>
            <w:tcW w:w="690" w:type="dxa"/>
            <w:shd w:val="clear" w:color="auto" w:fill="auto"/>
            <w:vAlign w:val="center"/>
          </w:tcPr>
          <w:p w14:paraId="7BA18033">
            <w:pPr>
              <w:widowControl/>
              <w:rPr>
                <w:rFonts w:hint="eastAsia" w:cs="宋体" w:asciiTheme="minorEastAsia" w:hAnsiTheme="minorEastAsia"/>
                <w:szCs w:val="21"/>
              </w:rPr>
            </w:pPr>
          </w:p>
        </w:tc>
      </w:tr>
      <w:tr w14:paraId="092D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7643B339">
            <w:pPr>
              <w:widowControl/>
              <w:rPr>
                <w:rFonts w:cs="宋体" w:asciiTheme="minorEastAsia" w:hAnsiTheme="minorEastAsia"/>
                <w:szCs w:val="21"/>
              </w:rPr>
            </w:pPr>
          </w:p>
        </w:tc>
        <w:tc>
          <w:tcPr>
            <w:tcW w:w="3990" w:type="dxa"/>
            <w:shd w:val="clear" w:color="auto" w:fill="auto"/>
            <w:vAlign w:val="center"/>
          </w:tcPr>
          <w:p w14:paraId="40C4487C">
            <w:pPr>
              <w:widowControl/>
              <w:rPr>
                <w:rFonts w:cs="宋体" w:asciiTheme="minorEastAsia" w:hAnsiTheme="minorEastAsia"/>
                <w:szCs w:val="21"/>
              </w:rPr>
            </w:pPr>
            <w:r>
              <w:rPr>
                <w:rFonts w:hint="eastAsia" w:cs="宋体" w:asciiTheme="minorEastAsia" w:hAnsiTheme="minorEastAsia"/>
                <w:szCs w:val="21"/>
              </w:rPr>
              <w:t>2.1.17支持创建扫描策略，可配置策略的扫描时间、扫描方式以及扫描范围，扫描方式包括</w:t>
            </w:r>
            <w:r>
              <w:rPr>
                <w:rFonts w:cs="宋体" w:asciiTheme="minorEastAsia" w:hAnsiTheme="minorEastAsia"/>
                <w:szCs w:val="21"/>
              </w:rPr>
              <w:t>IPScan、SNMP v1\v2\V3。</w:t>
            </w:r>
          </w:p>
        </w:tc>
        <w:tc>
          <w:tcPr>
            <w:tcW w:w="1575" w:type="dxa"/>
            <w:shd w:val="clear" w:color="auto" w:fill="auto"/>
            <w:vAlign w:val="center"/>
          </w:tcPr>
          <w:p w14:paraId="01E3A2D9">
            <w:pPr>
              <w:widowControl/>
              <w:rPr>
                <w:rFonts w:hint="eastAsia" w:cs="宋体" w:asciiTheme="minorEastAsia" w:hAnsiTheme="minorEastAsia"/>
                <w:szCs w:val="21"/>
              </w:rPr>
            </w:pPr>
          </w:p>
        </w:tc>
        <w:tc>
          <w:tcPr>
            <w:tcW w:w="1095" w:type="dxa"/>
            <w:shd w:val="clear" w:color="auto" w:fill="auto"/>
            <w:vAlign w:val="center"/>
          </w:tcPr>
          <w:p w14:paraId="317E68B7">
            <w:pPr>
              <w:widowControl/>
              <w:rPr>
                <w:rFonts w:hint="eastAsia" w:cs="宋体" w:asciiTheme="minorEastAsia" w:hAnsiTheme="minorEastAsia"/>
                <w:szCs w:val="21"/>
              </w:rPr>
            </w:pPr>
          </w:p>
        </w:tc>
        <w:tc>
          <w:tcPr>
            <w:tcW w:w="690" w:type="dxa"/>
            <w:shd w:val="clear" w:color="auto" w:fill="auto"/>
            <w:vAlign w:val="center"/>
          </w:tcPr>
          <w:p w14:paraId="03AC732B">
            <w:pPr>
              <w:widowControl/>
              <w:rPr>
                <w:rFonts w:hint="eastAsia" w:cs="宋体" w:asciiTheme="minorEastAsia" w:hAnsiTheme="minorEastAsia"/>
                <w:szCs w:val="21"/>
              </w:rPr>
            </w:pPr>
          </w:p>
        </w:tc>
      </w:tr>
      <w:tr w14:paraId="73A7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5C784E39">
            <w:pPr>
              <w:widowControl/>
              <w:rPr>
                <w:rFonts w:cs="宋体" w:asciiTheme="minorEastAsia" w:hAnsiTheme="minorEastAsia"/>
                <w:szCs w:val="21"/>
              </w:rPr>
            </w:pPr>
          </w:p>
        </w:tc>
        <w:tc>
          <w:tcPr>
            <w:tcW w:w="3990" w:type="dxa"/>
            <w:shd w:val="clear" w:color="auto" w:fill="auto"/>
            <w:vAlign w:val="center"/>
          </w:tcPr>
          <w:p w14:paraId="6E52789E">
            <w:pPr>
              <w:widowControl/>
              <w:rPr>
                <w:rFonts w:cs="宋体" w:asciiTheme="minorEastAsia" w:hAnsiTheme="minorEastAsia"/>
                <w:szCs w:val="21"/>
              </w:rPr>
            </w:pPr>
            <w:r>
              <w:rPr>
                <w:rFonts w:hint="eastAsia" w:cs="宋体" w:asciiTheme="minorEastAsia" w:hAnsiTheme="minorEastAsia"/>
                <w:szCs w:val="21"/>
              </w:rPr>
              <w:t>2.1.18根据扫描任务展示扫描到的</w:t>
            </w:r>
            <w:r>
              <w:rPr>
                <w:rFonts w:cs="宋体" w:asciiTheme="minorEastAsia" w:hAnsiTheme="minorEastAsia"/>
                <w:szCs w:val="21"/>
              </w:rPr>
              <w:t>IP信息，支持查看单个IP历史变化记录。</w:t>
            </w:r>
          </w:p>
        </w:tc>
        <w:tc>
          <w:tcPr>
            <w:tcW w:w="1575" w:type="dxa"/>
            <w:shd w:val="clear" w:color="auto" w:fill="auto"/>
            <w:vAlign w:val="center"/>
          </w:tcPr>
          <w:p w14:paraId="2FC085EF">
            <w:pPr>
              <w:widowControl/>
              <w:rPr>
                <w:rFonts w:hint="eastAsia" w:cs="宋体" w:asciiTheme="minorEastAsia" w:hAnsiTheme="minorEastAsia"/>
                <w:szCs w:val="21"/>
              </w:rPr>
            </w:pPr>
          </w:p>
        </w:tc>
        <w:tc>
          <w:tcPr>
            <w:tcW w:w="1095" w:type="dxa"/>
            <w:shd w:val="clear" w:color="auto" w:fill="auto"/>
            <w:vAlign w:val="center"/>
          </w:tcPr>
          <w:p w14:paraId="2B35D391">
            <w:pPr>
              <w:widowControl/>
              <w:rPr>
                <w:rFonts w:hint="eastAsia" w:cs="宋体" w:asciiTheme="minorEastAsia" w:hAnsiTheme="minorEastAsia"/>
                <w:szCs w:val="21"/>
              </w:rPr>
            </w:pPr>
          </w:p>
        </w:tc>
        <w:tc>
          <w:tcPr>
            <w:tcW w:w="690" w:type="dxa"/>
            <w:shd w:val="clear" w:color="auto" w:fill="auto"/>
            <w:vAlign w:val="center"/>
          </w:tcPr>
          <w:p w14:paraId="36EF63D1">
            <w:pPr>
              <w:widowControl/>
              <w:rPr>
                <w:rFonts w:hint="eastAsia" w:cs="宋体" w:asciiTheme="minorEastAsia" w:hAnsiTheme="minorEastAsia"/>
                <w:szCs w:val="21"/>
              </w:rPr>
            </w:pPr>
          </w:p>
        </w:tc>
      </w:tr>
      <w:tr w14:paraId="4A31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shd w:val="clear" w:color="auto" w:fill="auto"/>
            <w:noWrap/>
            <w:vAlign w:val="center"/>
          </w:tcPr>
          <w:p w14:paraId="4DABA6BF">
            <w:pPr>
              <w:widowControl/>
              <w:jc w:val="center"/>
              <w:rPr>
                <w:rFonts w:cs="宋体" w:asciiTheme="minorEastAsia" w:hAnsiTheme="minorEastAsia"/>
                <w:szCs w:val="21"/>
              </w:rPr>
            </w:pPr>
            <w:r>
              <w:rPr>
                <w:rFonts w:hint="eastAsia" w:cs="宋体" w:asciiTheme="minorEastAsia" w:hAnsiTheme="minorEastAsia"/>
                <w:szCs w:val="21"/>
              </w:rPr>
              <w:t>基线告警</w:t>
            </w:r>
          </w:p>
        </w:tc>
        <w:tc>
          <w:tcPr>
            <w:tcW w:w="3990" w:type="dxa"/>
            <w:shd w:val="clear" w:color="auto" w:fill="auto"/>
            <w:vAlign w:val="center"/>
          </w:tcPr>
          <w:p w14:paraId="3B4F2FF2">
            <w:pPr>
              <w:widowControl/>
              <w:rPr>
                <w:rFonts w:cs="宋体" w:asciiTheme="minorEastAsia" w:hAnsiTheme="minorEastAsia"/>
                <w:szCs w:val="21"/>
              </w:rPr>
            </w:pPr>
            <w:r>
              <w:rPr>
                <w:rFonts w:hint="eastAsia" w:cs="宋体" w:asciiTheme="minorEastAsia" w:hAnsiTheme="minorEastAsia"/>
                <w:szCs w:val="21"/>
              </w:rPr>
              <w:t>2.1.19汇总展示所有资产的基线异常数据，提供检索功能。</w:t>
            </w:r>
          </w:p>
        </w:tc>
        <w:tc>
          <w:tcPr>
            <w:tcW w:w="1575" w:type="dxa"/>
            <w:shd w:val="clear" w:color="auto" w:fill="auto"/>
            <w:vAlign w:val="center"/>
          </w:tcPr>
          <w:p w14:paraId="11D58A85">
            <w:pPr>
              <w:widowControl/>
              <w:rPr>
                <w:rFonts w:hint="eastAsia" w:cs="宋体" w:asciiTheme="minorEastAsia" w:hAnsiTheme="minorEastAsia"/>
                <w:szCs w:val="21"/>
              </w:rPr>
            </w:pPr>
          </w:p>
        </w:tc>
        <w:tc>
          <w:tcPr>
            <w:tcW w:w="1095" w:type="dxa"/>
            <w:shd w:val="clear" w:color="auto" w:fill="auto"/>
            <w:vAlign w:val="center"/>
          </w:tcPr>
          <w:p w14:paraId="1E1DC860">
            <w:pPr>
              <w:widowControl/>
              <w:rPr>
                <w:rFonts w:hint="eastAsia" w:cs="宋体" w:asciiTheme="minorEastAsia" w:hAnsiTheme="minorEastAsia"/>
                <w:szCs w:val="21"/>
              </w:rPr>
            </w:pPr>
          </w:p>
        </w:tc>
        <w:tc>
          <w:tcPr>
            <w:tcW w:w="690" w:type="dxa"/>
            <w:shd w:val="clear" w:color="auto" w:fill="auto"/>
            <w:vAlign w:val="center"/>
          </w:tcPr>
          <w:p w14:paraId="43C5CA4A">
            <w:pPr>
              <w:widowControl/>
              <w:rPr>
                <w:rFonts w:hint="eastAsia" w:cs="宋体" w:asciiTheme="minorEastAsia" w:hAnsiTheme="minorEastAsia"/>
                <w:szCs w:val="21"/>
              </w:rPr>
            </w:pPr>
          </w:p>
        </w:tc>
      </w:tr>
      <w:tr w14:paraId="77D3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restart"/>
            <w:shd w:val="clear" w:color="auto" w:fill="auto"/>
            <w:noWrap/>
            <w:vAlign w:val="center"/>
          </w:tcPr>
          <w:p w14:paraId="6C977159">
            <w:pPr>
              <w:widowControl/>
              <w:jc w:val="center"/>
              <w:rPr>
                <w:rFonts w:cs="宋体" w:asciiTheme="minorEastAsia" w:hAnsiTheme="minorEastAsia"/>
                <w:szCs w:val="21"/>
              </w:rPr>
            </w:pPr>
            <w:r>
              <w:rPr>
                <w:rFonts w:hint="eastAsia" w:cs="宋体" w:asciiTheme="minorEastAsia" w:hAnsiTheme="minorEastAsia"/>
                <w:szCs w:val="21"/>
              </w:rPr>
              <w:t>配置中心</w:t>
            </w:r>
          </w:p>
        </w:tc>
        <w:tc>
          <w:tcPr>
            <w:tcW w:w="3990" w:type="dxa"/>
            <w:shd w:val="clear" w:color="auto" w:fill="auto"/>
            <w:vAlign w:val="center"/>
          </w:tcPr>
          <w:p w14:paraId="4740986D">
            <w:pPr>
              <w:widowControl/>
              <w:rPr>
                <w:rFonts w:cs="宋体" w:asciiTheme="minorEastAsia" w:hAnsiTheme="minorEastAsia"/>
                <w:szCs w:val="21"/>
              </w:rPr>
            </w:pPr>
            <w:r>
              <w:rPr>
                <w:rFonts w:hint="eastAsia" w:cs="宋体" w:asciiTheme="minorEastAsia" w:hAnsiTheme="minorEastAsia"/>
                <w:szCs w:val="21"/>
              </w:rPr>
              <w:t>2.1.20支持预设核查模板，基线核查模板包括</w:t>
            </w:r>
            <w:r>
              <w:rPr>
                <w:rFonts w:cs="宋体" w:asciiTheme="minorEastAsia" w:hAnsiTheme="minorEastAsia"/>
                <w:szCs w:val="21"/>
              </w:rPr>
              <w:t>Windows、Linux、Unix、中间件、数据库。可对已设置的模板进行复制、编辑、删除操作</w:t>
            </w:r>
          </w:p>
        </w:tc>
        <w:tc>
          <w:tcPr>
            <w:tcW w:w="1575" w:type="dxa"/>
            <w:shd w:val="clear" w:color="auto" w:fill="auto"/>
            <w:vAlign w:val="center"/>
          </w:tcPr>
          <w:p w14:paraId="5A76078C">
            <w:pPr>
              <w:widowControl/>
              <w:rPr>
                <w:rFonts w:hint="eastAsia" w:cs="宋体" w:asciiTheme="minorEastAsia" w:hAnsiTheme="minorEastAsia"/>
                <w:szCs w:val="21"/>
              </w:rPr>
            </w:pPr>
          </w:p>
        </w:tc>
        <w:tc>
          <w:tcPr>
            <w:tcW w:w="1095" w:type="dxa"/>
            <w:shd w:val="clear" w:color="auto" w:fill="auto"/>
            <w:vAlign w:val="center"/>
          </w:tcPr>
          <w:p w14:paraId="2A793CA9">
            <w:pPr>
              <w:widowControl/>
              <w:rPr>
                <w:rFonts w:hint="eastAsia" w:cs="宋体" w:asciiTheme="minorEastAsia" w:hAnsiTheme="minorEastAsia"/>
                <w:szCs w:val="21"/>
              </w:rPr>
            </w:pPr>
          </w:p>
        </w:tc>
        <w:tc>
          <w:tcPr>
            <w:tcW w:w="690" w:type="dxa"/>
            <w:shd w:val="clear" w:color="auto" w:fill="auto"/>
            <w:vAlign w:val="center"/>
          </w:tcPr>
          <w:p w14:paraId="2F03F73F">
            <w:pPr>
              <w:widowControl/>
              <w:rPr>
                <w:rFonts w:hint="eastAsia" w:cs="宋体" w:asciiTheme="minorEastAsia" w:hAnsiTheme="minorEastAsia"/>
                <w:szCs w:val="21"/>
              </w:rPr>
            </w:pPr>
          </w:p>
        </w:tc>
      </w:tr>
      <w:tr w14:paraId="1A24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130C59EB">
            <w:pPr>
              <w:widowControl/>
              <w:rPr>
                <w:rFonts w:cs="宋体" w:asciiTheme="minorEastAsia" w:hAnsiTheme="minorEastAsia"/>
                <w:szCs w:val="21"/>
              </w:rPr>
            </w:pPr>
          </w:p>
        </w:tc>
        <w:tc>
          <w:tcPr>
            <w:tcW w:w="3990" w:type="dxa"/>
            <w:shd w:val="clear" w:color="auto" w:fill="auto"/>
            <w:vAlign w:val="center"/>
          </w:tcPr>
          <w:p w14:paraId="0B1F51EA">
            <w:pPr>
              <w:widowControl/>
              <w:rPr>
                <w:rFonts w:cs="宋体" w:asciiTheme="minorEastAsia" w:hAnsiTheme="minorEastAsia"/>
                <w:szCs w:val="21"/>
              </w:rPr>
            </w:pPr>
            <w:r>
              <w:rPr>
                <w:rFonts w:hint="eastAsia" w:cs="宋体" w:asciiTheme="minorEastAsia" w:hAnsiTheme="minorEastAsia"/>
                <w:szCs w:val="21"/>
              </w:rPr>
              <w:t>2.1.21支持对资产的区域信息进行新增、编辑、删除、检索、导入、导出操作。</w:t>
            </w:r>
          </w:p>
        </w:tc>
        <w:tc>
          <w:tcPr>
            <w:tcW w:w="1575" w:type="dxa"/>
            <w:shd w:val="clear" w:color="auto" w:fill="auto"/>
            <w:vAlign w:val="center"/>
          </w:tcPr>
          <w:p w14:paraId="3E64C9D0">
            <w:pPr>
              <w:widowControl/>
              <w:rPr>
                <w:rFonts w:hint="eastAsia" w:cs="宋体" w:asciiTheme="minorEastAsia" w:hAnsiTheme="minorEastAsia"/>
                <w:szCs w:val="21"/>
              </w:rPr>
            </w:pPr>
          </w:p>
        </w:tc>
        <w:tc>
          <w:tcPr>
            <w:tcW w:w="1095" w:type="dxa"/>
            <w:shd w:val="clear" w:color="auto" w:fill="auto"/>
            <w:vAlign w:val="center"/>
          </w:tcPr>
          <w:p w14:paraId="3B8182B4">
            <w:pPr>
              <w:widowControl/>
              <w:rPr>
                <w:rFonts w:hint="eastAsia" w:cs="宋体" w:asciiTheme="minorEastAsia" w:hAnsiTheme="minorEastAsia"/>
                <w:szCs w:val="21"/>
              </w:rPr>
            </w:pPr>
          </w:p>
        </w:tc>
        <w:tc>
          <w:tcPr>
            <w:tcW w:w="690" w:type="dxa"/>
            <w:shd w:val="clear" w:color="auto" w:fill="auto"/>
            <w:vAlign w:val="center"/>
          </w:tcPr>
          <w:p w14:paraId="381E126F">
            <w:pPr>
              <w:widowControl/>
              <w:rPr>
                <w:rFonts w:hint="eastAsia" w:cs="宋体" w:asciiTheme="minorEastAsia" w:hAnsiTheme="minorEastAsia"/>
                <w:szCs w:val="21"/>
              </w:rPr>
            </w:pPr>
          </w:p>
        </w:tc>
      </w:tr>
      <w:tr w14:paraId="02E1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4721847B">
            <w:pPr>
              <w:widowControl/>
              <w:rPr>
                <w:rFonts w:cs="宋体" w:asciiTheme="minorEastAsia" w:hAnsiTheme="minorEastAsia"/>
                <w:szCs w:val="21"/>
              </w:rPr>
            </w:pPr>
          </w:p>
        </w:tc>
        <w:tc>
          <w:tcPr>
            <w:tcW w:w="3990" w:type="dxa"/>
            <w:shd w:val="clear" w:color="auto" w:fill="auto"/>
            <w:vAlign w:val="center"/>
          </w:tcPr>
          <w:p w14:paraId="25A35C57">
            <w:pPr>
              <w:widowControl/>
              <w:rPr>
                <w:rFonts w:cs="宋体" w:asciiTheme="minorEastAsia" w:hAnsiTheme="minorEastAsia"/>
                <w:szCs w:val="21"/>
              </w:rPr>
            </w:pPr>
            <w:r>
              <w:rPr>
                <w:rFonts w:hint="eastAsia" w:cs="宋体" w:asciiTheme="minorEastAsia" w:hAnsiTheme="minorEastAsia"/>
                <w:szCs w:val="21"/>
              </w:rPr>
              <w:t>2.1.22支持对资产的重要等级信息进行新增、编辑、删除、检索、导入、导出操作。</w:t>
            </w:r>
          </w:p>
        </w:tc>
        <w:tc>
          <w:tcPr>
            <w:tcW w:w="1575" w:type="dxa"/>
            <w:shd w:val="clear" w:color="auto" w:fill="auto"/>
            <w:vAlign w:val="center"/>
          </w:tcPr>
          <w:p w14:paraId="5AF191A4">
            <w:pPr>
              <w:widowControl/>
              <w:rPr>
                <w:rFonts w:hint="eastAsia" w:cs="宋体" w:asciiTheme="minorEastAsia" w:hAnsiTheme="minorEastAsia"/>
                <w:szCs w:val="21"/>
              </w:rPr>
            </w:pPr>
          </w:p>
        </w:tc>
        <w:tc>
          <w:tcPr>
            <w:tcW w:w="1095" w:type="dxa"/>
            <w:shd w:val="clear" w:color="auto" w:fill="auto"/>
            <w:vAlign w:val="center"/>
          </w:tcPr>
          <w:p w14:paraId="72AD42D2">
            <w:pPr>
              <w:widowControl/>
              <w:rPr>
                <w:rFonts w:hint="eastAsia" w:cs="宋体" w:asciiTheme="minorEastAsia" w:hAnsiTheme="minorEastAsia"/>
                <w:szCs w:val="21"/>
              </w:rPr>
            </w:pPr>
          </w:p>
        </w:tc>
        <w:tc>
          <w:tcPr>
            <w:tcW w:w="690" w:type="dxa"/>
            <w:shd w:val="clear" w:color="auto" w:fill="auto"/>
            <w:vAlign w:val="center"/>
          </w:tcPr>
          <w:p w14:paraId="2FB0A797">
            <w:pPr>
              <w:widowControl/>
              <w:rPr>
                <w:rFonts w:hint="eastAsia" w:cs="宋体" w:asciiTheme="minorEastAsia" w:hAnsiTheme="minorEastAsia"/>
                <w:szCs w:val="21"/>
              </w:rPr>
            </w:pPr>
          </w:p>
        </w:tc>
      </w:tr>
      <w:tr w14:paraId="578D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0D1E50F9">
            <w:pPr>
              <w:widowControl/>
              <w:rPr>
                <w:rFonts w:cs="宋体" w:asciiTheme="minorEastAsia" w:hAnsiTheme="minorEastAsia"/>
                <w:szCs w:val="21"/>
              </w:rPr>
            </w:pPr>
          </w:p>
        </w:tc>
        <w:tc>
          <w:tcPr>
            <w:tcW w:w="3990" w:type="dxa"/>
            <w:shd w:val="clear" w:color="auto" w:fill="auto"/>
            <w:vAlign w:val="center"/>
          </w:tcPr>
          <w:p w14:paraId="156241B7">
            <w:pPr>
              <w:widowControl/>
              <w:rPr>
                <w:rFonts w:cs="宋体" w:asciiTheme="minorEastAsia" w:hAnsiTheme="minorEastAsia"/>
                <w:szCs w:val="21"/>
              </w:rPr>
            </w:pPr>
            <w:r>
              <w:rPr>
                <w:rFonts w:hint="eastAsia" w:cs="宋体" w:asciiTheme="minorEastAsia" w:hAnsiTheme="minorEastAsia"/>
                <w:szCs w:val="21"/>
              </w:rPr>
              <w:t>2.1.23支持配置资产处置审计权限，来对资产处置模块中的功能进行审计管理。</w:t>
            </w:r>
          </w:p>
        </w:tc>
        <w:tc>
          <w:tcPr>
            <w:tcW w:w="1575" w:type="dxa"/>
            <w:shd w:val="clear" w:color="auto" w:fill="auto"/>
            <w:vAlign w:val="center"/>
          </w:tcPr>
          <w:p w14:paraId="712FC00D">
            <w:pPr>
              <w:widowControl/>
              <w:rPr>
                <w:rFonts w:hint="eastAsia" w:cs="宋体" w:asciiTheme="minorEastAsia" w:hAnsiTheme="minorEastAsia"/>
                <w:szCs w:val="21"/>
              </w:rPr>
            </w:pPr>
          </w:p>
        </w:tc>
        <w:tc>
          <w:tcPr>
            <w:tcW w:w="1095" w:type="dxa"/>
            <w:shd w:val="clear" w:color="auto" w:fill="auto"/>
            <w:vAlign w:val="center"/>
          </w:tcPr>
          <w:p w14:paraId="5206F60B">
            <w:pPr>
              <w:widowControl/>
              <w:rPr>
                <w:rFonts w:hint="eastAsia" w:cs="宋体" w:asciiTheme="minorEastAsia" w:hAnsiTheme="minorEastAsia"/>
                <w:szCs w:val="21"/>
              </w:rPr>
            </w:pPr>
          </w:p>
        </w:tc>
        <w:tc>
          <w:tcPr>
            <w:tcW w:w="690" w:type="dxa"/>
            <w:shd w:val="clear" w:color="auto" w:fill="auto"/>
            <w:vAlign w:val="center"/>
          </w:tcPr>
          <w:p w14:paraId="7232F65B">
            <w:pPr>
              <w:widowControl/>
              <w:rPr>
                <w:rFonts w:hint="eastAsia" w:cs="宋体" w:asciiTheme="minorEastAsia" w:hAnsiTheme="minorEastAsia"/>
                <w:szCs w:val="21"/>
              </w:rPr>
            </w:pPr>
          </w:p>
        </w:tc>
      </w:tr>
      <w:tr w14:paraId="2ED6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683ED816">
            <w:pPr>
              <w:widowControl/>
              <w:rPr>
                <w:rFonts w:cs="宋体" w:asciiTheme="minorEastAsia" w:hAnsiTheme="minorEastAsia"/>
                <w:szCs w:val="21"/>
              </w:rPr>
            </w:pPr>
          </w:p>
        </w:tc>
        <w:tc>
          <w:tcPr>
            <w:tcW w:w="3990" w:type="dxa"/>
            <w:shd w:val="clear" w:color="auto" w:fill="auto"/>
            <w:vAlign w:val="center"/>
          </w:tcPr>
          <w:p w14:paraId="31285DF3">
            <w:pPr>
              <w:widowControl/>
              <w:rPr>
                <w:rFonts w:cs="宋体" w:asciiTheme="minorEastAsia" w:hAnsiTheme="minorEastAsia"/>
                <w:szCs w:val="21"/>
              </w:rPr>
            </w:pPr>
            <w:r>
              <w:rPr>
                <w:rFonts w:hint="eastAsia" w:cs="宋体" w:asciiTheme="minorEastAsia" w:hAnsiTheme="minorEastAsia"/>
                <w:szCs w:val="21"/>
              </w:rPr>
              <w:t>2.1.24系统根据业务场景预设多套资产模板，可直接选择使用，支持自定义资产模板。</w:t>
            </w:r>
          </w:p>
        </w:tc>
        <w:tc>
          <w:tcPr>
            <w:tcW w:w="1575" w:type="dxa"/>
            <w:shd w:val="clear" w:color="auto" w:fill="auto"/>
            <w:vAlign w:val="center"/>
          </w:tcPr>
          <w:p w14:paraId="578FD5A5">
            <w:pPr>
              <w:widowControl/>
              <w:rPr>
                <w:rFonts w:hint="eastAsia" w:cs="宋体" w:asciiTheme="minorEastAsia" w:hAnsiTheme="minorEastAsia"/>
                <w:szCs w:val="21"/>
              </w:rPr>
            </w:pPr>
          </w:p>
        </w:tc>
        <w:tc>
          <w:tcPr>
            <w:tcW w:w="1095" w:type="dxa"/>
            <w:shd w:val="clear" w:color="auto" w:fill="auto"/>
            <w:vAlign w:val="center"/>
          </w:tcPr>
          <w:p w14:paraId="3B63B513">
            <w:pPr>
              <w:widowControl/>
              <w:rPr>
                <w:rFonts w:hint="eastAsia" w:cs="宋体" w:asciiTheme="minorEastAsia" w:hAnsiTheme="minorEastAsia"/>
                <w:szCs w:val="21"/>
              </w:rPr>
            </w:pPr>
          </w:p>
        </w:tc>
        <w:tc>
          <w:tcPr>
            <w:tcW w:w="690" w:type="dxa"/>
            <w:shd w:val="clear" w:color="auto" w:fill="auto"/>
            <w:vAlign w:val="center"/>
          </w:tcPr>
          <w:p w14:paraId="4B3B45D0">
            <w:pPr>
              <w:widowControl/>
              <w:rPr>
                <w:rFonts w:hint="eastAsia" w:cs="宋体" w:asciiTheme="minorEastAsia" w:hAnsiTheme="minorEastAsia"/>
                <w:szCs w:val="21"/>
              </w:rPr>
            </w:pPr>
          </w:p>
        </w:tc>
      </w:tr>
      <w:tr w14:paraId="178D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4CC13F4F">
            <w:pPr>
              <w:widowControl/>
              <w:rPr>
                <w:rFonts w:cs="宋体" w:asciiTheme="minorEastAsia" w:hAnsiTheme="minorEastAsia"/>
                <w:szCs w:val="21"/>
              </w:rPr>
            </w:pPr>
          </w:p>
        </w:tc>
        <w:tc>
          <w:tcPr>
            <w:tcW w:w="3990" w:type="dxa"/>
            <w:shd w:val="clear" w:color="auto" w:fill="auto"/>
            <w:vAlign w:val="center"/>
          </w:tcPr>
          <w:p w14:paraId="630139AC">
            <w:pPr>
              <w:widowControl/>
              <w:rPr>
                <w:rFonts w:cs="宋体" w:asciiTheme="minorEastAsia" w:hAnsiTheme="minorEastAsia"/>
                <w:szCs w:val="21"/>
              </w:rPr>
            </w:pPr>
            <w:r>
              <w:rPr>
                <w:rFonts w:hint="eastAsia" w:cs="宋体" w:asciiTheme="minorEastAsia" w:hAnsiTheme="minorEastAsia"/>
                <w:szCs w:val="21"/>
              </w:rPr>
              <w:t>2.1.25支持自定义角色以及对应权限，可对现有角色进行编辑、删除操作。</w:t>
            </w:r>
          </w:p>
        </w:tc>
        <w:tc>
          <w:tcPr>
            <w:tcW w:w="1575" w:type="dxa"/>
            <w:shd w:val="clear" w:color="auto" w:fill="auto"/>
            <w:vAlign w:val="center"/>
          </w:tcPr>
          <w:p w14:paraId="205D1325">
            <w:pPr>
              <w:widowControl/>
              <w:rPr>
                <w:rFonts w:hint="eastAsia" w:cs="宋体" w:asciiTheme="minorEastAsia" w:hAnsiTheme="minorEastAsia"/>
                <w:szCs w:val="21"/>
              </w:rPr>
            </w:pPr>
          </w:p>
        </w:tc>
        <w:tc>
          <w:tcPr>
            <w:tcW w:w="1095" w:type="dxa"/>
            <w:shd w:val="clear" w:color="auto" w:fill="auto"/>
            <w:vAlign w:val="center"/>
          </w:tcPr>
          <w:p w14:paraId="7A7DE9F1">
            <w:pPr>
              <w:widowControl/>
              <w:rPr>
                <w:rFonts w:hint="eastAsia" w:cs="宋体" w:asciiTheme="minorEastAsia" w:hAnsiTheme="minorEastAsia"/>
                <w:szCs w:val="21"/>
              </w:rPr>
            </w:pPr>
          </w:p>
        </w:tc>
        <w:tc>
          <w:tcPr>
            <w:tcW w:w="690" w:type="dxa"/>
            <w:shd w:val="clear" w:color="auto" w:fill="auto"/>
            <w:vAlign w:val="center"/>
          </w:tcPr>
          <w:p w14:paraId="42D77B4C">
            <w:pPr>
              <w:widowControl/>
              <w:rPr>
                <w:rFonts w:hint="eastAsia" w:cs="宋体" w:asciiTheme="minorEastAsia" w:hAnsiTheme="minorEastAsia"/>
                <w:szCs w:val="21"/>
              </w:rPr>
            </w:pPr>
          </w:p>
        </w:tc>
      </w:tr>
      <w:tr w14:paraId="3E08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0D1AA24D">
            <w:pPr>
              <w:widowControl/>
              <w:rPr>
                <w:rFonts w:cs="宋体" w:asciiTheme="minorEastAsia" w:hAnsiTheme="minorEastAsia"/>
                <w:szCs w:val="21"/>
              </w:rPr>
            </w:pPr>
          </w:p>
        </w:tc>
        <w:tc>
          <w:tcPr>
            <w:tcW w:w="3990" w:type="dxa"/>
            <w:shd w:val="clear" w:color="auto" w:fill="auto"/>
            <w:vAlign w:val="center"/>
          </w:tcPr>
          <w:p w14:paraId="6D2CD892">
            <w:pPr>
              <w:widowControl/>
              <w:rPr>
                <w:rFonts w:cs="宋体" w:asciiTheme="minorEastAsia" w:hAnsiTheme="minorEastAsia"/>
                <w:szCs w:val="21"/>
              </w:rPr>
            </w:pPr>
            <w:r>
              <w:rPr>
                <w:rFonts w:hint="eastAsia" w:cs="宋体" w:asciiTheme="minorEastAsia" w:hAnsiTheme="minorEastAsia"/>
                <w:szCs w:val="21"/>
              </w:rPr>
              <w:t>2.1.26支持根据业务场景配置组织信息，以及对成员分组及配置。</w:t>
            </w:r>
          </w:p>
        </w:tc>
        <w:tc>
          <w:tcPr>
            <w:tcW w:w="1575" w:type="dxa"/>
            <w:shd w:val="clear" w:color="auto" w:fill="auto"/>
            <w:vAlign w:val="center"/>
          </w:tcPr>
          <w:p w14:paraId="77BF4FAE">
            <w:pPr>
              <w:widowControl/>
              <w:rPr>
                <w:rFonts w:hint="eastAsia" w:cs="宋体" w:asciiTheme="minorEastAsia" w:hAnsiTheme="minorEastAsia"/>
                <w:szCs w:val="21"/>
              </w:rPr>
            </w:pPr>
          </w:p>
        </w:tc>
        <w:tc>
          <w:tcPr>
            <w:tcW w:w="1095" w:type="dxa"/>
            <w:shd w:val="clear" w:color="auto" w:fill="auto"/>
            <w:vAlign w:val="center"/>
          </w:tcPr>
          <w:p w14:paraId="0D4D2327">
            <w:pPr>
              <w:widowControl/>
              <w:rPr>
                <w:rFonts w:hint="eastAsia" w:cs="宋体" w:asciiTheme="minorEastAsia" w:hAnsiTheme="minorEastAsia"/>
                <w:szCs w:val="21"/>
              </w:rPr>
            </w:pPr>
          </w:p>
        </w:tc>
        <w:tc>
          <w:tcPr>
            <w:tcW w:w="690" w:type="dxa"/>
            <w:shd w:val="clear" w:color="auto" w:fill="auto"/>
            <w:vAlign w:val="center"/>
          </w:tcPr>
          <w:p w14:paraId="71E70D4C">
            <w:pPr>
              <w:widowControl/>
              <w:rPr>
                <w:rFonts w:hint="eastAsia" w:cs="宋体" w:asciiTheme="minorEastAsia" w:hAnsiTheme="minorEastAsia"/>
                <w:szCs w:val="21"/>
              </w:rPr>
            </w:pPr>
          </w:p>
        </w:tc>
      </w:tr>
      <w:tr w14:paraId="3CB8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restart"/>
            <w:shd w:val="clear" w:color="auto" w:fill="auto"/>
            <w:noWrap/>
            <w:vAlign w:val="center"/>
          </w:tcPr>
          <w:p w14:paraId="053DDA35">
            <w:pPr>
              <w:widowControl/>
              <w:jc w:val="center"/>
              <w:rPr>
                <w:rFonts w:cs="宋体" w:asciiTheme="minorEastAsia" w:hAnsiTheme="minorEastAsia"/>
                <w:szCs w:val="21"/>
              </w:rPr>
            </w:pPr>
            <w:r>
              <w:rPr>
                <w:rFonts w:hint="eastAsia" w:cs="宋体" w:asciiTheme="minorEastAsia" w:hAnsiTheme="minorEastAsia"/>
                <w:szCs w:val="21"/>
              </w:rPr>
              <w:t>系统中心</w:t>
            </w:r>
          </w:p>
        </w:tc>
        <w:tc>
          <w:tcPr>
            <w:tcW w:w="3990" w:type="dxa"/>
            <w:shd w:val="clear" w:color="auto" w:fill="auto"/>
            <w:noWrap/>
            <w:vAlign w:val="center"/>
          </w:tcPr>
          <w:p w14:paraId="570D9DF7">
            <w:pPr>
              <w:widowControl/>
              <w:rPr>
                <w:rFonts w:cs="宋体" w:asciiTheme="minorEastAsia" w:hAnsiTheme="minorEastAsia"/>
                <w:szCs w:val="21"/>
              </w:rPr>
            </w:pPr>
            <w:r>
              <w:rPr>
                <w:rFonts w:hint="eastAsia" w:cs="宋体" w:asciiTheme="minorEastAsia" w:hAnsiTheme="minorEastAsia"/>
                <w:szCs w:val="21"/>
              </w:rPr>
              <w:t>2.1.27支持通过系统界面与配置邮件服务器信息。</w:t>
            </w:r>
          </w:p>
        </w:tc>
        <w:tc>
          <w:tcPr>
            <w:tcW w:w="1575" w:type="dxa"/>
            <w:shd w:val="clear" w:color="auto" w:fill="auto"/>
            <w:noWrap/>
            <w:vAlign w:val="center"/>
          </w:tcPr>
          <w:p w14:paraId="5E41FD26">
            <w:pPr>
              <w:widowControl/>
              <w:rPr>
                <w:rFonts w:hint="eastAsia" w:cs="宋体" w:asciiTheme="minorEastAsia" w:hAnsiTheme="minorEastAsia"/>
                <w:szCs w:val="21"/>
              </w:rPr>
            </w:pPr>
          </w:p>
        </w:tc>
        <w:tc>
          <w:tcPr>
            <w:tcW w:w="1095" w:type="dxa"/>
            <w:shd w:val="clear" w:color="auto" w:fill="auto"/>
            <w:noWrap/>
            <w:vAlign w:val="center"/>
          </w:tcPr>
          <w:p w14:paraId="6BC80E80">
            <w:pPr>
              <w:widowControl/>
              <w:rPr>
                <w:rFonts w:hint="eastAsia" w:cs="宋体" w:asciiTheme="minorEastAsia" w:hAnsiTheme="minorEastAsia"/>
                <w:szCs w:val="21"/>
              </w:rPr>
            </w:pPr>
          </w:p>
        </w:tc>
        <w:tc>
          <w:tcPr>
            <w:tcW w:w="690" w:type="dxa"/>
            <w:shd w:val="clear" w:color="auto" w:fill="auto"/>
            <w:noWrap/>
            <w:vAlign w:val="center"/>
          </w:tcPr>
          <w:p w14:paraId="76EF44D5">
            <w:pPr>
              <w:widowControl/>
              <w:rPr>
                <w:rFonts w:hint="eastAsia" w:cs="宋体" w:asciiTheme="minorEastAsia" w:hAnsiTheme="minorEastAsia"/>
                <w:szCs w:val="21"/>
              </w:rPr>
            </w:pPr>
          </w:p>
        </w:tc>
      </w:tr>
      <w:tr w14:paraId="7B16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6" w:type="dxa"/>
            <w:vMerge w:val="continue"/>
            <w:shd w:val="clear" w:color="auto" w:fill="auto"/>
            <w:vAlign w:val="center"/>
          </w:tcPr>
          <w:p w14:paraId="0D439C13">
            <w:pPr>
              <w:widowControl/>
              <w:rPr>
                <w:rFonts w:cs="宋体" w:asciiTheme="minorEastAsia" w:hAnsiTheme="minorEastAsia"/>
                <w:szCs w:val="21"/>
              </w:rPr>
            </w:pPr>
          </w:p>
        </w:tc>
        <w:tc>
          <w:tcPr>
            <w:tcW w:w="3990" w:type="dxa"/>
            <w:shd w:val="clear" w:color="auto" w:fill="auto"/>
            <w:noWrap/>
            <w:vAlign w:val="center"/>
          </w:tcPr>
          <w:p w14:paraId="020C8E84">
            <w:pPr>
              <w:widowControl/>
              <w:rPr>
                <w:rFonts w:cs="宋体" w:asciiTheme="minorEastAsia" w:hAnsiTheme="minorEastAsia"/>
                <w:szCs w:val="21"/>
              </w:rPr>
            </w:pPr>
            <w:r>
              <w:rPr>
                <w:rFonts w:hint="eastAsia" w:cs="宋体" w:asciiTheme="minorEastAsia" w:hAnsiTheme="minorEastAsia"/>
                <w:szCs w:val="21"/>
              </w:rPr>
              <w:t>2.1.28支持保存用户对平台的所有操作日志。</w:t>
            </w:r>
          </w:p>
        </w:tc>
        <w:tc>
          <w:tcPr>
            <w:tcW w:w="1575" w:type="dxa"/>
            <w:shd w:val="clear" w:color="auto" w:fill="auto"/>
            <w:noWrap/>
            <w:vAlign w:val="center"/>
          </w:tcPr>
          <w:p w14:paraId="1F1FB442">
            <w:pPr>
              <w:widowControl/>
              <w:rPr>
                <w:rFonts w:hint="eastAsia" w:cs="宋体" w:asciiTheme="minorEastAsia" w:hAnsiTheme="minorEastAsia"/>
                <w:szCs w:val="21"/>
              </w:rPr>
            </w:pPr>
          </w:p>
        </w:tc>
        <w:tc>
          <w:tcPr>
            <w:tcW w:w="1095" w:type="dxa"/>
            <w:shd w:val="clear" w:color="auto" w:fill="auto"/>
            <w:noWrap/>
            <w:vAlign w:val="center"/>
          </w:tcPr>
          <w:p w14:paraId="5909B64D">
            <w:pPr>
              <w:widowControl/>
              <w:rPr>
                <w:rFonts w:hint="eastAsia" w:cs="宋体" w:asciiTheme="minorEastAsia" w:hAnsiTheme="minorEastAsia"/>
                <w:szCs w:val="21"/>
              </w:rPr>
            </w:pPr>
          </w:p>
        </w:tc>
        <w:tc>
          <w:tcPr>
            <w:tcW w:w="690" w:type="dxa"/>
            <w:shd w:val="clear" w:color="auto" w:fill="auto"/>
            <w:noWrap/>
            <w:vAlign w:val="center"/>
          </w:tcPr>
          <w:p w14:paraId="53C90D69">
            <w:pPr>
              <w:widowControl/>
              <w:rPr>
                <w:rFonts w:hint="eastAsia" w:cs="宋体" w:asciiTheme="minorEastAsia" w:hAnsiTheme="minorEastAsia"/>
                <w:szCs w:val="21"/>
              </w:rPr>
            </w:pPr>
          </w:p>
        </w:tc>
      </w:tr>
    </w:tbl>
    <w:p w14:paraId="478BC1B8">
      <w:pPr>
        <w:rPr>
          <w:rFonts w:hint="eastAsia"/>
          <w:b/>
          <w:szCs w:val="21"/>
          <w:lang w:val="en-US" w:eastAsia="zh-CN"/>
        </w:rPr>
      </w:pPr>
      <w:r>
        <w:rPr>
          <w:rFonts w:hint="eastAsia"/>
          <w:b/>
          <w:szCs w:val="21"/>
          <w:lang w:val="en-US" w:eastAsia="zh-CN"/>
        </w:rPr>
        <w:t>（二）</w:t>
      </w:r>
      <w:r>
        <w:rPr>
          <w:rFonts w:hint="eastAsia"/>
          <w:b/>
          <w:szCs w:val="21"/>
        </w:rPr>
        <w:t>信息系统动态应用保护系统工具技术要求</w:t>
      </w:r>
    </w:p>
    <w:tbl>
      <w:tblPr>
        <w:tblStyle w:val="42"/>
        <w:tblW w:w="8785" w:type="dxa"/>
        <w:tblInd w:w="89" w:type="dxa"/>
        <w:tblLayout w:type="fixed"/>
        <w:tblCellMar>
          <w:top w:w="0" w:type="dxa"/>
          <w:left w:w="108" w:type="dxa"/>
          <w:bottom w:w="0" w:type="dxa"/>
          <w:right w:w="108" w:type="dxa"/>
        </w:tblCellMar>
      </w:tblPr>
      <w:tblGrid>
        <w:gridCol w:w="1435"/>
        <w:gridCol w:w="3990"/>
        <w:gridCol w:w="1575"/>
        <w:gridCol w:w="1095"/>
        <w:gridCol w:w="690"/>
      </w:tblGrid>
      <w:tr w14:paraId="1362FE75">
        <w:tblPrEx>
          <w:tblCellMar>
            <w:top w:w="0" w:type="dxa"/>
            <w:left w:w="108" w:type="dxa"/>
            <w:bottom w:w="0" w:type="dxa"/>
            <w:right w:w="108" w:type="dxa"/>
          </w:tblCellMar>
        </w:tblPrEx>
        <w:trPr>
          <w:trHeight w:val="300" w:hRule="atLeast"/>
        </w:trPr>
        <w:tc>
          <w:tcPr>
            <w:tcW w:w="1435" w:type="dxa"/>
            <w:tcBorders>
              <w:top w:val="single" w:color="auto" w:sz="8" w:space="0"/>
              <w:left w:val="single" w:color="auto" w:sz="8" w:space="0"/>
              <w:bottom w:val="single" w:color="auto" w:sz="8" w:space="0"/>
              <w:right w:val="single" w:color="auto" w:sz="8" w:space="0"/>
            </w:tcBorders>
            <w:shd w:val="clear" w:color="auto" w:fill="auto"/>
            <w:vAlign w:val="center"/>
          </w:tcPr>
          <w:p w14:paraId="02AFD09C">
            <w:pPr>
              <w:widowControl/>
              <w:jc w:val="center"/>
              <w:rPr>
                <w:rFonts w:ascii="宋体" w:hAnsi="宋体" w:cs="宋体"/>
                <w:b/>
                <w:bCs/>
                <w:color w:val="000000"/>
                <w:kern w:val="0"/>
                <w:szCs w:val="21"/>
              </w:rPr>
            </w:pPr>
            <w:r>
              <w:rPr>
                <w:rFonts w:hint="eastAsia" w:cs="宋体" w:asciiTheme="minorEastAsia" w:hAnsiTheme="minorEastAsia"/>
                <w:b/>
                <w:bCs/>
                <w:szCs w:val="21"/>
                <w:lang w:val="en-US" w:eastAsia="zh-CN"/>
              </w:rPr>
              <w:t>技术要求</w:t>
            </w:r>
            <w:r>
              <w:rPr>
                <w:rFonts w:hint="eastAsia" w:cs="宋体" w:asciiTheme="minorEastAsia" w:hAnsiTheme="minorEastAsia"/>
                <w:b/>
                <w:bCs/>
                <w:szCs w:val="21"/>
              </w:rPr>
              <w:t>项</w:t>
            </w:r>
          </w:p>
        </w:tc>
        <w:tc>
          <w:tcPr>
            <w:tcW w:w="3990" w:type="dxa"/>
            <w:tcBorders>
              <w:top w:val="single" w:color="auto" w:sz="8" w:space="0"/>
              <w:left w:val="nil"/>
              <w:bottom w:val="single" w:color="auto" w:sz="8" w:space="0"/>
              <w:right w:val="single" w:color="auto" w:sz="8" w:space="0"/>
            </w:tcBorders>
            <w:shd w:val="clear" w:color="auto" w:fill="auto"/>
            <w:vAlign w:val="center"/>
          </w:tcPr>
          <w:p w14:paraId="11CC7B85">
            <w:pPr>
              <w:widowControl/>
              <w:jc w:val="center"/>
              <w:rPr>
                <w:rFonts w:ascii="宋体" w:hAnsi="宋体" w:cs="宋体"/>
                <w:b/>
                <w:bCs/>
                <w:color w:val="000000"/>
                <w:kern w:val="0"/>
                <w:szCs w:val="21"/>
              </w:rPr>
            </w:pPr>
            <w:r>
              <w:rPr>
                <w:rFonts w:hint="eastAsia" w:cs="宋体" w:asciiTheme="minorEastAsia" w:hAnsiTheme="minorEastAsia"/>
                <w:b/>
                <w:bCs/>
                <w:szCs w:val="21"/>
              </w:rPr>
              <w:t>具体功能要求</w:t>
            </w:r>
            <w:r>
              <w:rPr>
                <w:rFonts w:hint="eastAsia"/>
                <w:b/>
                <w:bCs/>
                <w:lang w:eastAsia="zh-CN"/>
              </w:rPr>
              <w:t>（招标技术要求）</w:t>
            </w:r>
          </w:p>
        </w:tc>
        <w:tc>
          <w:tcPr>
            <w:tcW w:w="1575" w:type="dxa"/>
            <w:tcBorders>
              <w:top w:val="single" w:color="auto" w:sz="8" w:space="0"/>
              <w:left w:val="nil"/>
              <w:bottom w:val="single" w:color="auto" w:sz="8" w:space="0"/>
              <w:right w:val="single" w:color="auto" w:sz="8" w:space="0"/>
            </w:tcBorders>
            <w:shd w:val="clear" w:color="auto" w:fill="auto"/>
            <w:vAlign w:val="center"/>
          </w:tcPr>
          <w:p w14:paraId="099B2F11">
            <w:pPr>
              <w:widowControl/>
              <w:jc w:val="center"/>
              <w:rPr>
                <w:rFonts w:hint="eastAsia" w:ascii="宋体" w:hAnsi="宋体" w:cs="宋体"/>
                <w:b/>
                <w:bCs/>
                <w:color w:val="000000"/>
                <w:kern w:val="0"/>
                <w:szCs w:val="21"/>
              </w:rPr>
            </w:pPr>
            <w:r>
              <w:rPr>
                <w:rFonts w:hint="eastAsia" w:cs="宋体" w:asciiTheme="minorEastAsia" w:hAnsiTheme="minorEastAsia"/>
                <w:b/>
                <w:bCs/>
                <w:szCs w:val="21"/>
                <w:lang w:val="en-US" w:eastAsia="zh-CN"/>
              </w:rPr>
              <w:t>投标技术响应</w:t>
            </w:r>
          </w:p>
        </w:tc>
        <w:tc>
          <w:tcPr>
            <w:tcW w:w="1095" w:type="dxa"/>
            <w:tcBorders>
              <w:top w:val="single" w:color="auto" w:sz="8" w:space="0"/>
              <w:left w:val="nil"/>
              <w:bottom w:val="single" w:color="auto" w:sz="8" w:space="0"/>
              <w:right w:val="single" w:color="auto" w:sz="8" w:space="0"/>
            </w:tcBorders>
            <w:shd w:val="clear" w:color="auto" w:fill="auto"/>
            <w:vAlign w:val="center"/>
          </w:tcPr>
          <w:p w14:paraId="73F9D80C">
            <w:pPr>
              <w:widowControl/>
              <w:jc w:val="center"/>
              <w:rPr>
                <w:rFonts w:hint="eastAsia" w:ascii="宋体" w:hAnsi="宋体" w:cs="宋体"/>
                <w:b/>
                <w:bCs/>
                <w:color w:val="000000"/>
                <w:kern w:val="0"/>
                <w:szCs w:val="21"/>
              </w:rPr>
            </w:pPr>
            <w:r>
              <w:rPr>
                <w:rFonts w:hint="eastAsia" w:cs="宋体" w:asciiTheme="minorEastAsia" w:hAnsiTheme="minorEastAsia"/>
                <w:b/>
                <w:bCs/>
                <w:szCs w:val="21"/>
                <w:lang w:val="en-US" w:eastAsia="zh-CN"/>
              </w:rPr>
              <w:t>偏离情况</w:t>
            </w:r>
          </w:p>
        </w:tc>
        <w:tc>
          <w:tcPr>
            <w:tcW w:w="690" w:type="dxa"/>
            <w:tcBorders>
              <w:top w:val="single" w:color="auto" w:sz="8" w:space="0"/>
              <w:left w:val="nil"/>
              <w:bottom w:val="single" w:color="auto" w:sz="8" w:space="0"/>
              <w:right w:val="single" w:color="auto" w:sz="8" w:space="0"/>
            </w:tcBorders>
            <w:shd w:val="clear" w:color="auto" w:fill="auto"/>
            <w:vAlign w:val="center"/>
          </w:tcPr>
          <w:p w14:paraId="1339E088">
            <w:pPr>
              <w:widowControl/>
              <w:jc w:val="center"/>
              <w:rPr>
                <w:rFonts w:hint="eastAsia" w:ascii="宋体" w:hAnsi="宋体" w:cs="宋体"/>
                <w:b/>
                <w:bCs/>
                <w:color w:val="000000"/>
                <w:kern w:val="0"/>
                <w:szCs w:val="21"/>
              </w:rPr>
            </w:pPr>
            <w:r>
              <w:rPr>
                <w:rFonts w:hint="eastAsia" w:cs="宋体" w:asciiTheme="minorEastAsia" w:hAnsiTheme="minorEastAsia"/>
                <w:b/>
                <w:bCs/>
                <w:szCs w:val="21"/>
                <w:lang w:val="en-US" w:eastAsia="zh-CN"/>
              </w:rPr>
              <w:t>说明</w:t>
            </w:r>
          </w:p>
        </w:tc>
      </w:tr>
      <w:tr w14:paraId="23369D1D">
        <w:tblPrEx>
          <w:tblCellMar>
            <w:top w:w="0" w:type="dxa"/>
            <w:left w:w="108" w:type="dxa"/>
            <w:bottom w:w="0" w:type="dxa"/>
            <w:right w:w="108" w:type="dxa"/>
          </w:tblCellMar>
        </w:tblPrEx>
        <w:trPr>
          <w:trHeight w:val="1440" w:hRule="atLeast"/>
        </w:trPr>
        <w:tc>
          <w:tcPr>
            <w:tcW w:w="1435" w:type="dxa"/>
            <w:vMerge w:val="restart"/>
            <w:tcBorders>
              <w:top w:val="nil"/>
              <w:left w:val="single" w:color="auto" w:sz="8" w:space="0"/>
              <w:bottom w:val="single" w:color="000000" w:sz="8" w:space="0"/>
              <w:right w:val="single" w:color="auto" w:sz="8" w:space="0"/>
            </w:tcBorders>
            <w:shd w:val="clear" w:color="auto" w:fill="auto"/>
            <w:vAlign w:val="center"/>
          </w:tcPr>
          <w:p w14:paraId="48E03270">
            <w:pPr>
              <w:widowControl/>
              <w:jc w:val="center"/>
              <w:rPr>
                <w:rFonts w:ascii="宋体" w:hAnsi="宋体" w:cs="宋体"/>
                <w:color w:val="000000"/>
                <w:kern w:val="0"/>
                <w:szCs w:val="21"/>
              </w:rPr>
            </w:pPr>
            <w:r>
              <w:rPr>
                <w:rFonts w:hint="eastAsia" w:ascii="宋体" w:hAnsi="宋体" w:cs="宋体"/>
                <w:color w:val="000000"/>
                <w:kern w:val="0"/>
                <w:szCs w:val="21"/>
              </w:rPr>
              <w:t>动态应用保护</w:t>
            </w:r>
          </w:p>
        </w:tc>
        <w:tc>
          <w:tcPr>
            <w:tcW w:w="3990" w:type="dxa"/>
            <w:tcBorders>
              <w:top w:val="nil"/>
              <w:left w:val="nil"/>
              <w:bottom w:val="single" w:color="auto" w:sz="8" w:space="0"/>
              <w:right w:val="single" w:color="auto" w:sz="8" w:space="0"/>
            </w:tcBorders>
            <w:shd w:val="clear" w:color="auto" w:fill="auto"/>
            <w:vAlign w:val="center"/>
          </w:tcPr>
          <w:p w14:paraId="2432E36D">
            <w:pPr>
              <w:widowControl/>
              <w:rPr>
                <w:rFonts w:ascii="宋体" w:hAnsi="宋体" w:cs="宋体"/>
                <w:b/>
                <w:bCs/>
                <w:color w:val="FF0000"/>
                <w:kern w:val="0"/>
                <w:szCs w:val="21"/>
              </w:rPr>
            </w:pPr>
            <w:r>
              <w:rPr>
                <w:rFonts w:hint="eastAsia" w:ascii="宋体" w:hAnsi="宋体" w:cs="宋体"/>
                <w:b/>
                <w:bCs/>
                <w:color w:val="FF0000"/>
                <w:kern w:val="0"/>
                <w:szCs w:val="21"/>
              </w:rPr>
              <w:t>▲2.2.1对网页中的URL地址、表单及Javascript做动态封装，每次封装后的内容均不相同，让攻击者无法直接通过查看网页源代码获取URL地址等内容，无法预测服务器的行为，大幅提升攻击难度。再者，自动化工具因为无法通过分析HTML页面获取攻击入口，无法发动攻击，可有效避免成为网络上容易被攻击的目标。（需提供功能截图</w:t>
            </w:r>
            <w:r>
              <w:rPr>
                <w:rFonts w:hint="eastAsia" w:ascii="宋体" w:hAnsi="宋体" w:cs="宋体"/>
                <w:b/>
                <w:bCs/>
                <w:color w:val="FF0000"/>
                <w:kern w:val="0"/>
                <w:szCs w:val="21"/>
                <w:lang w:val="en-US" w:eastAsia="zh-CN"/>
              </w:rPr>
              <w:t>或</w:t>
            </w:r>
            <w:r>
              <w:rPr>
                <w:rFonts w:hint="eastAsia" w:ascii="宋体" w:hAnsi="宋体" w:cs="宋体"/>
                <w:b/>
                <w:bCs/>
                <w:color w:val="FF0000"/>
                <w:kern w:val="0"/>
                <w:szCs w:val="21"/>
              </w:rPr>
              <w:t>第三方机构出具的测试报告扫描件）</w:t>
            </w:r>
          </w:p>
        </w:tc>
        <w:tc>
          <w:tcPr>
            <w:tcW w:w="1575" w:type="dxa"/>
            <w:tcBorders>
              <w:top w:val="nil"/>
              <w:left w:val="nil"/>
              <w:bottom w:val="single" w:color="auto" w:sz="8" w:space="0"/>
              <w:right w:val="single" w:color="auto" w:sz="8" w:space="0"/>
            </w:tcBorders>
            <w:shd w:val="clear" w:color="auto" w:fill="auto"/>
            <w:vAlign w:val="center"/>
          </w:tcPr>
          <w:p w14:paraId="342CB25F">
            <w:pPr>
              <w:widowControl/>
              <w:rPr>
                <w:rFonts w:hint="eastAsia" w:ascii="宋体" w:hAnsi="宋体" w:cs="宋体"/>
                <w:b/>
                <w:bCs/>
                <w:color w:val="FF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4C399129">
            <w:pPr>
              <w:widowControl/>
              <w:rPr>
                <w:rFonts w:hint="eastAsia" w:ascii="宋体" w:hAnsi="宋体" w:cs="宋体"/>
                <w:b/>
                <w:bCs/>
                <w:color w:val="FF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2EBEC687">
            <w:pPr>
              <w:widowControl/>
              <w:rPr>
                <w:rFonts w:hint="eastAsia" w:ascii="宋体" w:hAnsi="宋体" w:cs="宋体"/>
                <w:b/>
                <w:bCs/>
                <w:color w:val="FF0000"/>
                <w:kern w:val="0"/>
                <w:szCs w:val="21"/>
              </w:rPr>
            </w:pPr>
          </w:p>
        </w:tc>
      </w:tr>
      <w:tr w14:paraId="5C285CBD">
        <w:tblPrEx>
          <w:tblCellMar>
            <w:top w:w="0" w:type="dxa"/>
            <w:left w:w="108" w:type="dxa"/>
            <w:bottom w:w="0" w:type="dxa"/>
            <w:right w:w="108" w:type="dxa"/>
          </w:tblCellMar>
        </w:tblPrEx>
        <w:trPr>
          <w:trHeight w:val="870" w:hRule="atLeast"/>
        </w:trPr>
        <w:tc>
          <w:tcPr>
            <w:tcW w:w="1435" w:type="dxa"/>
            <w:vMerge w:val="continue"/>
            <w:tcBorders>
              <w:top w:val="nil"/>
              <w:left w:val="single" w:color="auto" w:sz="8" w:space="0"/>
              <w:bottom w:val="single" w:color="000000" w:sz="8" w:space="0"/>
              <w:right w:val="single" w:color="auto" w:sz="8" w:space="0"/>
            </w:tcBorders>
            <w:vAlign w:val="center"/>
          </w:tcPr>
          <w:p w14:paraId="600BD99A">
            <w:pPr>
              <w:widowControl/>
              <w:jc w:val="left"/>
              <w:rPr>
                <w:rFonts w:ascii="宋体" w:hAnsi="宋体" w:cs="宋体"/>
                <w:color w:val="000000"/>
                <w:kern w:val="0"/>
                <w:szCs w:val="21"/>
              </w:rPr>
            </w:pPr>
          </w:p>
        </w:tc>
        <w:tc>
          <w:tcPr>
            <w:tcW w:w="3990" w:type="dxa"/>
            <w:tcBorders>
              <w:top w:val="nil"/>
              <w:left w:val="nil"/>
              <w:bottom w:val="single" w:color="auto" w:sz="8" w:space="0"/>
              <w:right w:val="single" w:color="auto" w:sz="8" w:space="0"/>
            </w:tcBorders>
            <w:shd w:val="clear" w:color="auto" w:fill="auto"/>
            <w:vAlign w:val="center"/>
          </w:tcPr>
          <w:p w14:paraId="47E849AE">
            <w:pPr>
              <w:widowControl/>
              <w:rPr>
                <w:rFonts w:ascii="宋体" w:hAnsi="宋体" w:cs="宋体"/>
                <w:b/>
                <w:bCs/>
                <w:color w:val="FF0000"/>
                <w:kern w:val="0"/>
                <w:szCs w:val="21"/>
              </w:rPr>
            </w:pPr>
            <w:r>
              <w:rPr>
                <w:rFonts w:hint="eastAsia" w:ascii="宋体" w:hAnsi="宋体" w:cs="宋体"/>
                <w:b/>
                <w:bCs/>
                <w:color w:val="FF0000"/>
                <w:kern w:val="0"/>
                <w:szCs w:val="21"/>
              </w:rPr>
              <w:t>▲2.2.2系统需自动识别需要封装的URL、表单及Javascript，不需要用户手动指定要封装的对象，以降低配置的复杂度和避免可能的安全隐患。（需提供功能截图或第三方机构出具的测试报告扫描件）</w:t>
            </w:r>
          </w:p>
        </w:tc>
        <w:tc>
          <w:tcPr>
            <w:tcW w:w="1575" w:type="dxa"/>
            <w:tcBorders>
              <w:top w:val="nil"/>
              <w:left w:val="nil"/>
              <w:bottom w:val="single" w:color="auto" w:sz="8" w:space="0"/>
              <w:right w:val="single" w:color="auto" w:sz="8" w:space="0"/>
            </w:tcBorders>
            <w:shd w:val="clear" w:color="auto" w:fill="auto"/>
            <w:vAlign w:val="center"/>
          </w:tcPr>
          <w:p w14:paraId="6380B617">
            <w:pPr>
              <w:widowControl/>
              <w:rPr>
                <w:rFonts w:hint="eastAsia" w:ascii="宋体" w:hAnsi="宋体" w:cs="宋体"/>
                <w:b/>
                <w:bCs/>
                <w:color w:val="FF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2110357B">
            <w:pPr>
              <w:widowControl/>
              <w:rPr>
                <w:rFonts w:hint="eastAsia" w:ascii="宋体" w:hAnsi="宋体" w:cs="宋体"/>
                <w:b/>
                <w:bCs/>
                <w:color w:val="FF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4C68CBAB">
            <w:pPr>
              <w:widowControl/>
              <w:rPr>
                <w:rFonts w:hint="eastAsia" w:ascii="宋体" w:hAnsi="宋体" w:cs="宋体"/>
                <w:b/>
                <w:bCs/>
                <w:color w:val="FF0000"/>
                <w:kern w:val="0"/>
                <w:szCs w:val="21"/>
              </w:rPr>
            </w:pPr>
          </w:p>
        </w:tc>
      </w:tr>
      <w:tr w14:paraId="58EF6351">
        <w:tblPrEx>
          <w:tblCellMar>
            <w:top w:w="0" w:type="dxa"/>
            <w:left w:w="108" w:type="dxa"/>
            <w:bottom w:w="0" w:type="dxa"/>
            <w:right w:w="108" w:type="dxa"/>
          </w:tblCellMar>
        </w:tblPrEx>
        <w:trPr>
          <w:trHeight w:val="870" w:hRule="atLeast"/>
        </w:trPr>
        <w:tc>
          <w:tcPr>
            <w:tcW w:w="1435" w:type="dxa"/>
            <w:vMerge w:val="continue"/>
            <w:tcBorders>
              <w:top w:val="nil"/>
              <w:left w:val="single" w:color="auto" w:sz="8" w:space="0"/>
              <w:bottom w:val="single" w:color="000000" w:sz="8" w:space="0"/>
              <w:right w:val="single" w:color="auto" w:sz="8" w:space="0"/>
            </w:tcBorders>
            <w:vAlign w:val="center"/>
          </w:tcPr>
          <w:p w14:paraId="73AE441E">
            <w:pPr>
              <w:widowControl/>
              <w:jc w:val="left"/>
              <w:rPr>
                <w:rFonts w:ascii="宋体" w:hAnsi="宋体" w:cs="宋体"/>
                <w:color w:val="000000"/>
                <w:kern w:val="0"/>
                <w:szCs w:val="21"/>
              </w:rPr>
            </w:pPr>
          </w:p>
        </w:tc>
        <w:tc>
          <w:tcPr>
            <w:tcW w:w="3990" w:type="dxa"/>
            <w:tcBorders>
              <w:top w:val="nil"/>
              <w:left w:val="nil"/>
              <w:bottom w:val="single" w:color="auto" w:sz="8" w:space="0"/>
              <w:right w:val="single" w:color="auto" w:sz="8" w:space="0"/>
            </w:tcBorders>
            <w:shd w:val="clear" w:color="auto" w:fill="auto"/>
            <w:vAlign w:val="center"/>
          </w:tcPr>
          <w:p w14:paraId="704D9385">
            <w:pPr>
              <w:widowControl/>
              <w:rPr>
                <w:rFonts w:ascii="宋体" w:hAnsi="宋体" w:cs="宋体"/>
                <w:b/>
                <w:bCs/>
                <w:color w:val="FF0000"/>
                <w:kern w:val="0"/>
                <w:szCs w:val="21"/>
              </w:rPr>
            </w:pPr>
            <w:r>
              <w:rPr>
                <w:rFonts w:hint="eastAsia" w:ascii="宋体" w:hAnsi="宋体" w:cs="宋体"/>
                <w:b/>
                <w:bCs/>
                <w:color w:val="FF0000"/>
                <w:kern w:val="0"/>
                <w:szCs w:val="21"/>
              </w:rPr>
              <w:t>▲2.2.3在网页内插入对客户端环境的动态检查代码，且每次均随机选取检测项目与数量，以增加应用的不可预测性，提升攻击者或自动化工具假冒合法客户端的难度。（需提供功能截图或第三方机构出具的测试报告扫描件）</w:t>
            </w:r>
          </w:p>
        </w:tc>
        <w:tc>
          <w:tcPr>
            <w:tcW w:w="1575" w:type="dxa"/>
            <w:tcBorders>
              <w:top w:val="nil"/>
              <w:left w:val="nil"/>
              <w:bottom w:val="single" w:color="auto" w:sz="8" w:space="0"/>
              <w:right w:val="single" w:color="auto" w:sz="8" w:space="0"/>
            </w:tcBorders>
            <w:shd w:val="clear" w:color="auto" w:fill="auto"/>
            <w:vAlign w:val="center"/>
          </w:tcPr>
          <w:p w14:paraId="12FD4541">
            <w:pPr>
              <w:widowControl/>
              <w:rPr>
                <w:rFonts w:hint="eastAsia" w:ascii="宋体" w:hAnsi="宋体" w:cs="宋体"/>
                <w:b/>
                <w:bCs/>
                <w:color w:val="FF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45ACD59E">
            <w:pPr>
              <w:widowControl/>
              <w:rPr>
                <w:rFonts w:hint="eastAsia" w:ascii="宋体" w:hAnsi="宋体" w:cs="宋体"/>
                <w:b/>
                <w:bCs/>
                <w:color w:val="FF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2CD4A82D">
            <w:pPr>
              <w:widowControl/>
              <w:rPr>
                <w:rFonts w:hint="eastAsia" w:ascii="宋体" w:hAnsi="宋体" w:cs="宋体"/>
                <w:b/>
                <w:bCs/>
                <w:color w:val="FF0000"/>
                <w:kern w:val="0"/>
                <w:szCs w:val="21"/>
              </w:rPr>
            </w:pPr>
          </w:p>
        </w:tc>
      </w:tr>
      <w:tr w14:paraId="4B8B4E3C">
        <w:tblPrEx>
          <w:tblCellMar>
            <w:top w:w="0" w:type="dxa"/>
            <w:left w:w="108" w:type="dxa"/>
            <w:bottom w:w="0" w:type="dxa"/>
            <w:right w:w="108" w:type="dxa"/>
          </w:tblCellMar>
        </w:tblPrEx>
        <w:trPr>
          <w:trHeight w:val="870" w:hRule="atLeast"/>
        </w:trPr>
        <w:tc>
          <w:tcPr>
            <w:tcW w:w="1435" w:type="dxa"/>
            <w:vMerge w:val="continue"/>
            <w:tcBorders>
              <w:top w:val="nil"/>
              <w:left w:val="single" w:color="auto" w:sz="8" w:space="0"/>
              <w:bottom w:val="single" w:color="000000" w:sz="8" w:space="0"/>
              <w:right w:val="single" w:color="auto" w:sz="8" w:space="0"/>
            </w:tcBorders>
            <w:vAlign w:val="center"/>
          </w:tcPr>
          <w:p w14:paraId="181324CB">
            <w:pPr>
              <w:widowControl/>
              <w:jc w:val="left"/>
              <w:rPr>
                <w:rFonts w:ascii="宋体" w:hAnsi="宋体" w:cs="宋体"/>
                <w:color w:val="000000"/>
                <w:kern w:val="0"/>
                <w:szCs w:val="21"/>
              </w:rPr>
            </w:pPr>
          </w:p>
        </w:tc>
        <w:tc>
          <w:tcPr>
            <w:tcW w:w="3990" w:type="dxa"/>
            <w:tcBorders>
              <w:top w:val="nil"/>
              <w:left w:val="nil"/>
              <w:bottom w:val="single" w:color="auto" w:sz="8" w:space="0"/>
              <w:right w:val="single" w:color="auto" w:sz="8" w:space="0"/>
            </w:tcBorders>
            <w:shd w:val="clear" w:color="auto" w:fill="auto"/>
            <w:vAlign w:val="center"/>
          </w:tcPr>
          <w:p w14:paraId="7F8EF188">
            <w:pPr>
              <w:widowControl/>
              <w:rPr>
                <w:rFonts w:ascii="宋体" w:hAnsi="宋体" w:cs="宋体"/>
                <w:b/>
                <w:bCs/>
                <w:color w:val="FF0000"/>
                <w:kern w:val="0"/>
                <w:szCs w:val="21"/>
              </w:rPr>
            </w:pPr>
            <w:r>
              <w:rPr>
                <w:rFonts w:hint="eastAsia" w:ascii="宋体" w:hAnsi="宋体" w:cs="宋体"/>
                <w:b/>
                <w:bCs/>
                <w:color w:val="FF0000"/>
                <w:kern w:val="0"/>
                <w:szCs w:val="21"/>
              </w:rPr>
              <w:t>▲2.2.4使用动态的混淆算法对终端用户请求的内容进行保护，提升中间人攻击的难度，有效防止伪造请求、代码注入、窃听或篡改交易内容等攻击行为。（需提供功能截图或第三方机构出具的测试报告扫描件）</w:t>
            </w:r>
          </w:p>
        </w:tc>
        <w:tc>
          <w:tcPr>
            <w:tcW w:w="1575" w:type="dxa"/>
            <w:tcBorders>
              <w:top w:val="nil"/>
              <w:left w:val="nil"/>
              <w:bottom w:val="single" w:color="auto" w:sz="8" w:space="0"/>
              <w:right w:val="single" w:color="auto" w:sz="8" w:space="0"/>
            </w:tcBorders>
            <w:shd w:val="clear" w:color="auto" w:fill="auto"/>
            <w:vAlign w:val="center"/>
          </w:tcPr>
          <w:p w14:paraId="5CBAD912">
            <w:pPr>
              <w:widowControl/>
              <w:rPr>
                <w:rFonts w:hint="eastAsia" w:ascii="宋体" w:hAnsi="宋体" w:cs="宋体"/>
                <w:b/>
                <w:bCs/>
                <w:color w:val="FF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0051D561">
            <w:pPr>
              <w:widowControl/>
              <w:rPr>
                <w:rFonts w:hint="eastAsia" w:ascii="宋体" w:hAnsi="宋体" w:cs="宋体"/>
                <w:b/>
                <w:bCs/>
                <w:color w:val="FF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22B54230">
            <w:pPr>
              <w:widowControl/>
              <w:rPr>
                <w:rFonts w:hint="eastAsia" w:ascii="宋体" w:hAnsi="宋体" w:cs="宋体"/>
                <w:b/>
                <w:bCs/>
                <w:color w:val="FF0000"/>
                <w:kern w:val="0"/>
                <w:szCs w:val="21"/>
              </w:rPr>
            </w:pPr>
          </w:p>
        </w:tc>
      </w:tr>
      <w:tr w14:paraId="1F44624F">
        <w:tblPrEx>
          <w:tblCellMar>
            <w:top w:w="0" w:type="dxa"/>
            <w:left w:w="108" w:type="dxa"/>
            <w:bottom w:w="0" w:type="dxa"/>
            <w:right w:w="108" w:type="dxa"/>
          </w:tblCellMar>
        </w:tblPrEx>
        <w:trPr>
          <w:trHeight w:val="1155" w:hRule="atLeast"/>
        </w:trPr>
        <w:tc>
          <w:tcPr>
            <w:tcW w:w="1435" w:type="dxa"/>
            <w:vMerge w:val="continue"/>
            <w:tcBorders>
              <w:top w:val="nil"/>
              <w:left w:val="single" w:color="auto" w:sz="8" w:space="0"/>
              <w:bottom w:val="single" w:color="000000" w:sz="8" w:space="0"/>
              <w:right w:val="single" w:color="auto" w:sz="8" w:space="0"/>
            </w:tcBorders>
            <w:vAlign w:val="center"/>
          </w:tcPr>
          <w:p w14:paraId="6F3397B3">
            <w:pPr>
              <w:widowControl/>
              <w:jc w:val="left"/>
              <w:rPr>
                <w:rFonts w:ascii="宋体" w:hAnsi="宋体" w:cs="宋体"/>
                <w:color w:val="000000"/>
                <w:kern w:val="0"/>
                <w:szCs w:val="21"/>
              </w:rPr>
            </w:pPr>
          </w:p>
        </w:tc>
        <w:tc>
          <w:tcPr>
            <w:tcW w:w="3990" w:type="dxa"/>
            <w:tcBorders>
              <w:top w:val="nil"/>
              <w:left w:val="nil"/>
              <w:bottom w:val="single" w:color="auto" w:sz="8" w:space="0"/>
              <w:right w:val="single" w:color="auto" w:sz="8" w:space="0"/>
            </w:tcBorders>
            <w:shd w:val="clear" w:color="auto" w:fill="auto"/>
            <w:vAlign w:val="center"/>
          </w:tcPr>
          <w:p w14:paraId="2077CFB2">
            <w:pPr>
              <w:widowControl/>
              <w:rPr>
                <w:rFonts w:ascii="宋体" w:hAnsi="宋体" w:cs="宋体"/>
                <w:b/>
                <w:bCs/>
                <w:color w:val="FF0000"/>
                <w:kern w:val="0"/>
                <w:szCs w:val="21"/>
              </w:rPr>
            </w:pPr>
            <w:r>
              <w:rPr>
                <w:rFonts w:hint="eastAsia" w:ascii="宋体" w:hAnsi="宋体" w:cs="宋体"/>
                <w:b/>
                <w:bCs/>
                <w:color w:val="FF0000"/>
                <w:kern w:val="0"/>
                <w:szCs w:val="21"/>
              </w:rPr>
              <w:t>▲2.2.5对于受保护的请求内容，需对请求的整体内容进行保护，除对参数名称及参数值均需要进行保护外，不可只对个别参数进行保护，以避免攻击者通过对请求的部分内容进行修改，篡改交易内容或注入恶意代码。（需提供功能截图或第三方机构出具的测试报告扫描件）</w:t>
            </w:r>
          </w:p>
        </w:tc>
        <w:tc>
          <w:tcPr>
            <w:tcW w:w="1575" w:type="dxa"/>
            <w:tcBorders>
              <w:top w:val="nil"/>
              <w:left w:val="nil"/>
              <w:bottom w:val="single" w:color="auto" w:sz="8" w:space="0"/>
              <w:right w:val="single" w:color="auto" w:sz="8" w:space="0"/>
            </w:tcBorders>
            <w:shd w:val="clear" w:color="auto" w:fill="auto"/>
            <w:vAlign w:val="center"/>
          </w:tcPr>
          <w:p w14:paraId="5C5BA205">
            <w:pPr>
              <w:widowControl/>
              <w:rPr>
                <w:rFonts w:hint="eastAsia" w:ascii="宋体" w:hAnsi="宋体" w:cs="宋体"/>
                <w:b/>
                <w:bCs/>
                <w:color w:val="FF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240A0BD8">
            <w:pPr>
              <w:widowControl/>
              <w:rPr>
                <w:rFonts w:hint="eastAsia" w:ascii="宋体" w:hAnsi="宋体" w:cs="宋体"/>
                <w:b/>
                <w:bCs/>
                <w:color w:val="FF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2F4BECBF">
            <w:pPr>
              <w:widowControl/>
              <w:rPr>
                <w:rFonts w:hint="eastAsia" w:ascii="宋体" w:hAnsi="宋体" w:cs="宋体"/>
                <w:b/>
                <w:bCs/>
                <w:color w:val="FF0000"/>
                <w:kern w:val="0"/>
                <w:szCs w:val="21"/>
              </w:rPr>
            </w:pPr>
          </w:p>
        </w:tc>
      </w:tr>
      <w:tr w14:paraId="091F7AA4">
        <w:tblPrEx>
          <w:tblCellMar>
            <w:top w:w="0" w:type="dxa"/>
            <w:left w:w="108" w:type="dxa"/>
            <w:bottom w:w="0" w:type="dxa"/>
            <w:right w:w="108" w:type="dxa"/>
          </w:tblCellMar>
        </w:tblPrEx>
        <w:trPr>
          <w:trHeight w:val="585" w:hRule="atLeast"/>
        </w:trPr>
        <w:tc>
          <w:tcPr>
            <w:tcW w:w="1435" w:type="dxa"/>
            <w:vMerge w:val="continue"/>
            <w:tcBorders>
              <w:top w:val="nil"/>
              <w:left w:val="single" w:color="auto" w:sz="8" w:space="0"/>
              <w:bottom w:val="single" w:color="000000" w:sz="8" w:space="0"/>
              <w:right w:val="single" w:color="auto" w:sz="8" w:space="0"/>
            </w:tcBorders>
            <w:vAlign w:val="center"/>
          </w:tcPr>
          <w:p w14:paraId="47D1D8F7">
            <w:pPr>
              <w:widowControl/>
              <w:jc w:val="left"/>
              <w:rPr>
                <w:rFonts w:ascii="宋体" w:hAnsi="宋体" w:cs="宋体"/>
                <w:color w:val="000000"/>
                <w:kern w:val="0"/>
                <w:szCs w:val="21"/>
              </w:rPr>
            </w:pPr>
          </w:p>
        </w:tc>
        <w:tc>
          <w:tcPr>
            <w:tcW w:w="3990" w:type="dxa"/>
            <w:tcBorders>
              <w:top w:val="nil"/>
              <w:left w:val="nil"/>
              <w:bottom w:val="single" w:color="auto" w:sz="8" w:space="0"/>
              <w:right w:val="single" w:color="auto" w:sz="8" w:space="0"/>
            </w:tcBorders>
            <w:shd w:val="clear" w:color="auto" w:fill="auto"/>
            <w:vAlign w:val="center"/>
          </w:tcPr>
          <w:p w14:paraId="217EF5F7">
            <w:pPr>
              <w:widowControl/>
              <w:rPr>
                <w:rFonts w:ascii="宋体" w:hAnsi="宋体" w:cs="宋体"/>
                <w:color w:val="000000"/>
                <w:kern w:val="0"/>
                <w:szCs w:val="21"/>
              </w:rPr>
            </w:pPr>
            <w:r>
              <w:rPr>
                <w:rFonts w:hint="eastAsia" w:ascii="宋体" w:hAnsi="宋体" w:cs="宋体"/>
                <w:b w:val="0"/>
                <w:bCs w:val="0"/>
                <w:color w:val="000000"/>
                <w:kern w:val="0"/>
                <w:szCs w:val="21"/>
              </w:rPr>
              <w:t>2.2.6</w:t>
            </w:r>
            <w:r>
              <w:rPr>
                <w:rFonts w:hint="eastAsia" w:ascii="宋体" w:hAnsi="宋体" w:cs="宋体"/>
                <w:color w:val="000000"/>
                <w:kern w:val="0"/>
                <w:szCs w:val="21"/>
              </w:rPr>
              <w:t>管理员不需要手动配置策略指定需要保护的参数，以降低配置的复杂度和避免可能的安全隐患。</w:t>
            </w:r>
          </w:p>
        </w:tc>
        <w:tc>
          <w:tcPr>
            <w:tcW w:w="1575" w:type="dxa"/>
            <w:tcBorders>
              <w:top w:val="nil"/>
              <w:left w:val="nil"/>
              <w:bottom w:val="single" w:color="auto" w:sz="8" w:space="0"/>
              <w:right w:val="single" w:color="auto" w:sz="8" w:space="0"/>
            </w:tcBorders>
            <w:shd w:val="clear" w:color="auto" w:fill="auto"/>
            <w:vAlign w:val="center"/>
          </w:tcPr>
          <w:p w14:paraId="1CCC7874">
            <w:pPr>
              <w:widowControl/>
              <w:rPr>
                <w:rFonts w:hint="eastAsia" w:ascii="宋体" w:hAnsi="宋体" w:cs="宋体"/>
                <w:b w:val="0"/>
                <w:bCs w:val="0"/>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2C08CDCA">
            <w:pPr>
              <w:widowControl/>
              <w:rPr>
                <w:rFonts w:hint="eastAsia" w:ascii="宋体" w:hAnsi="宋体" w:cs="宋体"/>
                <w:b w:val="0"/>
                <w:bCs w:val="0"/>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5EF9F84E">
            <w:pPr>
              <w:widowControl/>
              <w:rPr>
                <w:rFonts w:hint="eastAsia" w:ascii="宋体" w:hAnsi="宋体" w:cs="宋体"/>
                <w:b w:val="0"/>
                <w:bCs w:val="0"/>
                <w:color w:val="000000"/>
                <w:kern w:val="0"/>
                <w:szCs w:val="21"/>
              </w:rPr>
            </w:pPr>
          </w:p>
        </w:tc>
      </w:tr>
      <w:tr w14:paraId="2EF0ED53">
        <w:tblPrEx>
          <w:tblCellMar>
            <w:top w:w="0" w:type="dxa"/>
            <w:left w:w="108" w:type="dxa"/>
            <w:bottom w:w="0" w:type="dxa"/>
            <w:right w:w="108" w:type="dxa"/>
          </w:tblCellMar>
        </w:tblPrEx>
        <w:trPr>
          <w:trHeight w:val="870" w:hRule="atLeast"/>
        </w:trPr>
        <w:tc>
          <w:tcPr>
            <w:tcW w:w="1435" w:type="dxa"/>
            <w:vMerge w:val="continue"/>
            <w:tcBorders>
              <w:top w:val="nil"/>
              <w:left w:val="single" w:color="auto" w:sz="8" w:space="0"/>
              <w:bottom w:val="single" w:color="000000" w:sz="8" w:space="0"/>
              <w:right w:val="single" w:color="auto" w:sz="8" w:space="0"/>
            </w:tcBorders>
            <w:vAlign w:val="center"/>
          </w:tcPr>
          <w:p w14:paraId="273F1417">
            <w:pPr>
              <w:widowControl/>
              <w:jc w:val="left"/>
              <w:rPr>
                <w:rFonts w:ascii="宋体" w:hAnsi="宋体" w:cs="宋体"/>
                <w:color w:val="000000"/>
                <w:kern w:val="0"/>
                <w:szCs w:val="21"/>
              </w:rPr>
            </w:pPr>
          </w:p>
        </w:tc>
        <w:tc>
          <w:tcPr>
            <w:tcW w:w="3990" w:type="dxa"/>
            <w:tcBorders>
              <w:top w:val="nil"/>
              <w:left w:val="nil"/>
              <w:bottom w:val="single" w:color="auto" w:sz="8" w:space="0"/>
              <w:right w:val="single" w:color="auto" w:sz="8" w:space="0"/>
            </w:tcBorders>
            <w:shd w:val="clear" w:color="auto" w:fill="auto"/>
            <w:vAlign w:val="center"/>
          </w:tcPr>
          <w:p w14:paraId="39685223">
            <w:pPr>
              <w:widowControl/>
              <w:rPr>
                <w:rFonts w:ascii="宋体" w:hAnsi="宋体" w:cs="宋体"/>
                <w:color w:val="000000"/>
                <w:kern w:val="0"/>
                <w:szCs w:val="21"/>
              </w:rPr>
            </w:pPr>
            <w:r>
              <w:rPr>
                <w:rFonts w:hint="eastAsia" w:ascii="宋体" w:hAnsi="宋体" w:cs="宋体"/>
                <w:b/>
                <w:bCs/>
                <w:color w:val="FF0000"/>
                <w:kern w:val="0"/>
                <w:szCs w:val="21"/>
              </w:rPr>
              <w:t>▲2.2.7通过对当前访问页面内的合法请求授予在一定时间内有效的一次性令牌，可防止攻击者发出非法请求，有效抵御越权访问、网页后门及重放攻击等恶意行为。（需提供功能截图或第三方机构出具的测试报告扫描件）</w:t>
            </w:r>
          </w:p>
        </w:tc>
        <w:tc>
          <w:tcPr>
            <w:tcW w:w="1575" w:type="dxa"/>
            <w:tcBorders>
              <w:top w:val="nil"/>
              <w:left w:val="nil"/>
              <w:bottom w:val="single" w:color="auto" w:sz="8" w:space="0"/>
              <w:right w:val="single" w:color="auto" w:sz="8" w:space="0"/>
            </w:tcBorders>
            <w:shd w:val="clear" w:color="auto" w:fill="auto"/>
            <w:vAlign w:val="center"/>
          </w:tcPr>
          <w:p w14:paraId="5E4AEE20">
            <w:pPr>
              <w:widowControl/>
              <w:rPr>
                <w:rFonts w:hint="eastAsia" w:ascii="宋体" w:hAnsi="宋体" w:cs="宋体"/>
                <w:b/>
                <w:bCs/>
                <w:color w:val="FF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0BC3816B">
            <w:pPr>
              <w:widowControl/>
              <w:rPr>
                <w:rFonts w:hint="eastAsia" w:ascii="宋体" w:hAnsi="宋体" w:cs="宋体"/>
                <w:b/>
                <w:bCs/>
                <w:color w:val="FF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4BBA348D">
            <w:pPr>
              <w:widowControl/>
              <w:rPr>
                <w:rFonts w:hint="eastAsia" w:ascii="宋体" w:hAnsi="宋体" w:cs="宋体"/>
                <w:b/>
                <w:bCs/>
                <w:color w:val="FF0000"/>
                <w:kern w:val="0"/>
                <w:szCs w:val="21"/>
              </w:rPr>
            </w:pPr>
          </w:p>
        </w:tc>
      </w:tr>
      <w:tr w14:paraId="3DC9183B">
        <w:tblPrEx>
          <w:tblCellMar>
            <w:top w:w="0" w:type="dxa"/>
            <w:left w:w="108" w:type="dxa"/>
            <w:bottom w:w="0" w:type="dxa"/>
            <w:right w:w="108" w:type="dxa"/>
          </w:tblCellMar>
        </w:tblPrEx>
        <w:trPr>
          <w:trHeight w:val="300" w:hRule="atLeast"/>
        </w:trPr>
        <w:tc>
          <w:tcPr>
            <w:tcW w:w="1435" w:type="dxa"/>
            <w:vMerge w:val="continue"/>
            <w:tcBorders>
              <w:top w:val="nil"/>
              <w:left w:val="single" w:color="auto" w:sz="8" w:space="0"/>
              <w:bottom w:val="single" w:color="000000" w:sz="8" w:space="0"/>
              <w:right w:val="single" w:color="auto" w:sz="8" w:space="0"/>
            </w:tcBorders>
            <w:vAlign w:val="center"/>
          </w:tcPr>
          <w:p w14:paraId="0211A078">
            <w:pPr>
              <w:widowControl/>
              <w:jc w:val="left"/>
              <w:rPr>
                <w:rFonts w:ascii="宋体" w:hAnsi="宋体" w:cs="宋体"/>
                <w:color w:val="000000"/>
                <w:kern w:val="0"/>
                <w:szCs w:val="21"/>
              </w:rPr>
            </w:pPr>
          </w:p>
        </w:tc>
        <w:tc>
          <w:tcPr>
            <w:tcW w:w="3990" w:type="dxa"/>
            <w:tcBorders>
              <w:top w:val="nil"/>
              <w:left w:val="nil"/>
              <w:bottom w:val="single" w:color="auto" w:sz="8" w:space="0"/>
              <w:right w:val="single" w:color="auto" w:sz="8" w:space="0"/>
            </w:tcBorders>
            <w:shd w:val="clear" w:color="auto" w:fill="auto"/>
            <w:vAlign w:val="center"/>
          </w:tcPr>
          <w:p w14:paraId="651939BF">
            <w:pPr>
              <w:widowControl/>
              <w:rPr>
                <w:rFonts w:hint="eastAsia" w:ascii="宋体" w:hAnsi="宋体" w:cs="宋体"/>
                <w:color w:val="000000"/>
                <w:kern w:val="0"/>
                <w:szCs w:val="21"/>
              </w:rPr>
            </w:pPr>
            <w:r>
              <w:rPr>
                <w:rFonts w:hint="eastAsia" w:ascii="宋体" w:hAnsi="宋体" w:cs="宋体"/>
                <w:color w:val="000000"/>
                <w:kern w:val="0"/>
                <w:szCs w:val="21"/>
              </w:rPr>
              <w:t>2.2.8能够阻止开发者工具对网页代码进行调试。</w:t>
            </w:r>
          </w:p>
        </w:tc>
        <w:tc>
          <w:tcPr>
            <w:tcW w:w="1575" w:type="dxa"/>
            <w:tcBorders>
              <w:top w:val="nil"/>
              <w:left w:val="nil"/>
              <w:bottom w:val="single" w:color="auto" w:sz="8" w:space="0"/>
              <w:right w:val="single" w:color="auto" w:sz="8" w:space="0"/>
            </w:tcBorders>
            <w:shd w:val="clear" w:color="auto" w:fill="auto"/>
            <w:vAlign w:val="center"/>
          </w:tcPr>
          <w:p w14:paraId="1B2B99EB">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75A085CC">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1A1A6875">
            <w:pPr>
              <w:widowControl/>
              <w:rPr>
                <w:rFonts w:hint="eastAsia" w:ascii="宋体" w:hAnsi="宋体" w:cs="宋体"/>
                <w:color w:val="000000"/>
                <w:kern w:val="0"/>
                <w:szCs w:val="21"/>
              </w:rPr>
            </w:pPr>
          </w:p>
        </w:tc>
      </w:tr>
      <w:tr w14:paraId="2FA35657">
        <w:tblPrEx>
          <w:tblCellMar>
            <w:top w:w="0" w:type="dxa"/>
            <w:left w:w="108" w:type="dxa"/>
            <w:bottom w:w="0" w:type="dxa"/>
            <w:right w:w="108" w:type="dxa"/>
          </w:tblCellMar>
        </w:tblPrEx>
        <w:trPr>
          <w:trHeight w:val="870"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5FC62300">
            <w:pPr>
              <w:widowControl/>
              <w:jc w:val="center"/>
              <w:rPr>
                <w:rFonts w:ascii="宋体" w:hAnsi="宋体" w:cs="宋体"/>
                <w:color w:val="000000"/>
                <w:kern w:val="0"/>
                <w:szCs w:val="21"/>
              </w:rPr>
            </w:pPr>
            <w:r>
              <w:rPr>
                <w:rFonts w:hint="eastAsia" w:ascii="宋体" w:hAnsi="宋体" w:cs="宋体"/>
                <w:color w:val="000000"/>
                <w:kern w:val="0"/>
                <w:szCs w:val="21"/>
              </w:rPr>
              <w:t>API资产列表展现</w:t>
            </w:r>
          </w:p>
        </w:tc>
        <w:tc>
          <w:tcPr>
            <w:tcW w:w="3990" w:type="dxa"/>
            <w:tcBorders>
              <w:top w:val="nil"/>
              <w:left w:val="nil"/>
              <w:bottom w:val="single" w:color="auto" w:sz="8" w:space="0"/>
              <w:right w:val="single" w:color="auto" w:sz="8" w:space="0"/>
            </w:tcBorders>
            <w:shd w:val="clear" w:color="auto" w:fill="auto"/>
            <w:vAlign w:val="center"/>
          </w:tcPr>
          <w:p w14:paraId="2274C5E9">
            <w:pPr>
              <w:widowControl/>
              <w:rPr>
                <w:rFonts w:hint="eastAsia" w:ascii="宋体" w:hAnsi="宋体" w:cs="宋体"/>
                <w:color w:val="000000"/>
                <w:kern w:val="0"/>
                <w:szCs w:val="21"/>
              </w:rPr>
            </w:pPr>
            <w:r>
              <w:rPr>
                <w:rFonts w:hint="eastAsia" w:ascii="宋体" w:hAnsi="宋体" w:cs="宋体"/>
                <w:color w:val="000000"/>
                <w:kern w:val="0"/>
                <w:szCs w:val="21"/>
              </w:rPr>
              <w:t>2.2.9自动展现已确认API及其详细信息，包括路径、域名、方法、名称、分组、状态、敏感信息类型、参数检测、操作等；支持根据路径、域名、方法、名称、分组进行升序、降序排列。</w:t>
            </w:r>
          </w:p>
        </w:tc>
        <w:tc>
          <w:tcPr>
            <w:tcW w:w="1575" w:type="dxa"/>
            <w:tcBorders>
              <w:top w:val="nil"/>
              <w:left w:val="nil"/>
              <w:bottom w:val="single" w:color="auto" w:sz="8" w:space="0"/>
              <w:right w:val="single" w:color="auto" w:sz="8" w:space="0"/>
            </w:tcBorders>
            <w:shd w:val="clear" w:color="auto" w:fill="auto"/>
            <w:vAlign w:val="center"/>
          </w:tcPr>
          <w:p w14:paraId="03AB44FD">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520602B0">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288271C5">
            <w:pPr>
              <w:widowControl/>
              <w:rPr>
                <w:rFonts w:hint="eastAsia" w:ascii="宋体" w:hAnsi="宋体" w:cs="宋体"/>
                <w:color w:val="000000"/>
                <w:kern w:val="0"/>
                <w:szCs w:val="21"/>
              </w:rPr>
            </w:pPr>
          </w:p>
        </w:tc>
      </w:tr>
      <w:tr w14:paraId="724EF86E">
        <w:tblPrEx>
          <w:tblCellMar>
            <w:top w:w="0" w:type="dxa"/>
            <w:left w:w="108" w:type="dxa"/>
            <w:bottom w:w="0" w:type="dxa"/>
            <w:right w:w="108" w:type="dxa"/>
          </w:tblCellMar>
        </w:tblPrEx>
        <w:trPr>
          <w:trHeight w:val="870"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67C82CD6">
            <w:pPr>
              <w:widowControl/>
              <w:jc w:val="center"/>
              <w:rPr>
                <w:rFonts w:ascii="宋体" w:hAnsi="宋体" w:cs="宋体"/>
                <w:color w:val="000000"/>
                <w:kern w:val="0"/>
                <w:szCs w:val="21"/>
              </w:rPr>
            </w:pPr>
            <w:r>
              <w:rPr>
                <w:rFonts w:hint="eastAsia" w:ascii="宋体" w:hAnsi="宋体" w:cs="宋体"/>
                <w:color w:val="000000"/>
                <w:kern w:val="0"/>
                <w:szCs w:val="21"/>
              </w:rPr>
              <w:t>API列表信息配置</w:t>
            </w:r>
          </w:p>
        </w:tc>
        <w:tc>
          <w:tcPr>
            <w:tcW w:w="3990" w:type="dxa"/>
            <w:tcBorders>
              <w:top w:val="nil"/>
              <w:left w:val="nil"/>
              <w:bottom w:val="single" w:color="auto" w:sz="8" w:space="0"/>
              <w:right w:val="single" w:color="auto" w:sz="8" w:space="0"/>
            </w:tcBorders>
            <w:shd w:val="clear" w:color="auto" w:fill="auto"/>
            <w:vAlign w:val="center"/>
          </w:tcPr>
          <w:p w14:paraId="6B178C04">
            <w:pPr>
              <w:widowControl/>
              <w:rPr>
                <w:rFonts w:hint="eastAsia" w:ascii="宋体" w:hAnsi="宋体" w:cs="宋体"/>
                <w:color w:val="000000"/>
                <w:kern w:val="0"/>
                <w:szCs w:val="21"/>
              </w:rPr>
            </w:pPr>
            <w:r>
              <w:rPr>
                <w:rFonts w:hint="eastAsia" w:ascii="宋体" w:hAnsi="宋体" w:cs="宋体"/>
                <w:color w:val="000000"/>
                <w:kern w:val="0"/>
                <w:szCs w:val="21"/>
              </w:rPr>
              <w:t>2.2.10能够对API信息进行添加、编辑、删除、忽略等操作；支持批量对API信息进行移动、删除、忽略等操作；支持对API信息进行批量导入和全部导出操作；支持对API信息进行上线、下线操作，支持批量上下线操作。</w:t>
            </w:r>
          </w:p>
        </w:tc>
        <w:tc>
          <w:tcPr>
            <w:tcW w:w="1575" w:type="dxa"/>
            <w:tcBorders>
              <w:top w:val="nil"/>
              <w:left w:val="nil"/>
              <w:bottom w:val="single" w:color="auto" w:sz="8" w:space="0"/>
              <w:right w:val="single" w:color="auto" w:sz="8" w:space="0"/>
            </w:tcBorders>
            <w:shd w:val="clear" w:color="auto" w:fill="auto"/>
            <w:vAlign w:val="center"/>
          </w:tcPr>
          <w:p w14:paraId="658B9F35">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3F0EC853">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2634BC77">
            <w:pPr>
              <w:widowControl/>
              <w:rPr>
                <w:rFonts w:hint="eastAsia" w:ascii="宋体" w:hAnsi="宋体" w:cs="宋体"/>
                <w:color w:val="000000"/>
                <w:kern w:val="0"/>
                <w:szCs w:val="21"/>
              </w:rPr>
            </w:pPr>
          </w:p>
        </w:tc>
      </w:tr>
      <w:tr w14:paraId="6606283D">
        <w:tblPrEx>
          <w:tblCellMar>
            <w:top w:w="0" w:type="dxa"/>
            <w:left w:w="108" w:type="dxa"/>
            <w:bottom w:w="0" w:type="dxa"/>
            <w:right w:w="108" w:type="dxa"/>
          </w:tblCellMar>
        </w:tblPrEx>
        <w:trPr>
          <w:trHeight w:val="90"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7E632F64">
            <w:pPr>
              <w:widowControl/>
              <w:jc w:val="center"/>
              <w:rPr>
                <w:rFonts w:ascii="宋体" w:hAnsi="宋体" w:cs="宋体"/>
                <w:color w:val="000000"/>
                <w:kern w:val="0"/>
                <w:szCs w:val="21"/>
              </w:rPr>
            </w:pPr>
            <w:r>
              <w:rPr>
                <w:rFonts w:hint="eastAsia" w:ascii="宋体" w:hAnsi="宋体" w:cs="宋体"/>
                <w:color w:val="000000"/>
                <w:kern w:val="0"/>
                <w:szCs w:val="21"/>
              </w:rPr>
              <w:t>API资产监控总览</w:t>
            </w:r>
          </w:p>
        </w:tc>
        <w:tc>
          <w:tcPr>
            <w:tcW w:w="3990" w:type="dxa"/>
            <w:tcBorders>
              <w:top w:val="nil"/>
              <w:left w:val="nil"/>
              <w:bottom w:val="single" w:color="auto" w:sz="8" w:space="0"/>
              <w:right w:val="single" w:color="auto" w:sz="8" w:space="0"/>
            </w:tcBorders>
            <w:shd w:val="clear" w:color="auto" w:fill="auto"/>
            <w:vAlign w:val="center"/>
          </w:tcPr>
          <w:p w14:paraId="126C8D0F">
            <w:pPr>
              <w:widowControl/>
              <w:rPr>
                <w:rFonts w:ascii="宋体" w:hAnsi="宋体" w:cs="宋体"/>
                <w:b/>
                <w:bCs/>
                <w:color w:val="FF0000"/>
                <w:kern w:val="0"/>
                <w:szCs w:val="21"/>
              </w:rPr>
            </w:pPr>
            <w:r>
              <w:rPr>
                <w:rFonts w:hint="eastAsia" w:ascii="宋体" w:hAnsi="宋体" w:cs="宋体"/>
                <w:b/>
                <w:bCs/>
                <w:color w:val="FF0000"/>
                <w:kern w:val="0"/>
                <w:szCs w:val="21"/>
              </w:rPr>
              <w:t>▲2.2.11支持API异常事件监控，支持展示的监控信息包括API平均响应时间、API调用成功率、API峰值TPS、API峰值并发量、API接口数、API访问量、高危路径数、高危路径涉及请求数、已下线API访问量、API 资产风险等级、API路径评分分布、API 路径异常原因分布、API 站点调用TOP 10、API 路径调用TOP 10、API 来源IP TOP 10、路径访问量基线图、路径总流量基线、路径调取成功率基线图、路径响应时间基线图、API 路径异常事件；支持基于时间和自定义字段过滤API异常监控信息对API访问行为管控。（需提供功能截图或第三方机构出具的测试报告扫描件）</w:t>
            </w:r>
          </w:p>
        </w:tc>
        <w:tc>
          <w:tcPr>
            <w:tcW w:w="1575" w:type="dxa"/>
            <w:tcBorders>
              <w:top w:val="nil"/>
              <w:left w:val="nil"/>
              <w:bottom w:val="single" w:color="auto" w:sz="8" w:space="0"/>
              <w:right w:val="single" w:color="auto" w:sz="8" w:space="0"/>
            </w:tcBorders>
            <w:shd w:val="clear" w:color="auto" w:fill="auto"/>
            <w:vAlign w:val="center"/>
          </w:tcPr>
          <w:p w14:paraId="206CD8B3">
            <w:pPr>
              <w:widowControl/>
              <w:rPr>
                <w:rFonts w:hint="eastAsia" w:ascii="宋体" w:hAnsi="宋体" w:cs="宋体"/>
                <w:b/>
                <w:bCs/>
                <w:color w:val="FF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0EBF541F">
            <w:pPr>
              <w:widowControl/>
              <w:rPr>
                <w:rFonts w:hint="eastAsia" w:ascii="宋体" w:hAnsi="宋体" w:cs="宋体"/>
                <w:b/>
                <w:bCs/>
                <w:color w:val="FF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3526350F">
            <w:pPr>
              <w:widowControl/>
              <w:rPr>
                <w:rFonts w:hint="eastAsia" w:ascii="宋体" w:hAnsi="宋体" w:cs="宋体"/>
                <w:b/>
                <w:bCs/>
                <w:color w:val="FF0000"/>
                <w:kern w:val="0"/>
                <w:szCs w:val="21"/>
              </w:rPr>
            </w:pPr>
          </w:p>
        </w:tc>
      </w:tr>
      <w:tr w14:paraId="49B519F9">
        <w:tblPrEx>
          <w:tblCellMar>
            <w:top w:w="0" w:type="dxa"/>
            <w:left w:w="108" w:type="dxa"/>
            <w:bottom w:w="0" w:type="dxa"/>
            <w:right w:w="108" w:type="dxa"/>
          </w:tblCellMar>
        </w:tblPrEx>
        <w:trPr>
          <w:trHeight w:val="585"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53A528C0">
            <w:pPr>
              <w:widowControl/>
              <w:jc w:val="center"/>
              <w:rPr>
                <w:rFonts w:ascii="宋体" w:hAnsi="宋体" w:cs="宋体"/>
                <w:color w:val="000000"/>
                <w:kern w:val="0"/>
                <w:szCs w:val="21"/>
              </w:rPr>
            </w:pPr>
            <w:r>
              <w:rPr>
                <w:rFonts w:hint="eastAsia" w:ascii="宋体" w:hAnsi="宋体" w:cs="宋体"/>
                <w:color w:val="000000"/>
                <w:kern w:val="0"/>
                <w:szCs w:val="21"/>
              </w:rPr>
              <w:t>API自动发现功能</w:t>
            </w:r>
          </w:p>
        </w:tc>
        <w:tc>
          <w:tcPr>
            <w:tcW w:w="3990" w:type="dxa"/>
            <w:tcBorders>
              <w:top w:val="nil"/>
              <w:left w:val="nil"/>
              <w:bottom w:val="single" w:color="auto" w:sz="8" w:space="0"/>
              <w:right w:val="single" w:color="auto" w:sz="8" w:space="0"/>
            </w:tcBorders>
            <w:shd w:val="clear" w:color="auto" w:fill="auto"/>
            <w:vAlign w:val="center"/>
          </w:tcPr>
          <w:p w14:paraId="7E2E37D6">
            <w:pPr>
              <w:widowControl/>
              <w:rPr>
                <w:rFonts w:ascii="宋体" w:hAnsi="宋体" w:cs="宋体"/>
                <w:b/>
                <w:bCs/>
                <w:color w:val="FF0000"/>
                <w:kern w:val="0"/>
                <w:szCs w:val="21"/>
              </w:rPr>
            </w:pPr>
            <w:r>
              <w:rPr>
                <w:rFonts w:hint="eastAsia" w:ascii="宋体" w:hAnsi="宋体" w:cs="宋体"/>
                <w:b/>
                <w:bCs/>
                <w:color w:val="FF0000"/>
                <w:kern w:val="0"/>
                <w:szCs w:val="21"/>
              </w:rPr>
              <w:t>▲2.2.12自动发现所保护应用的API请求，支持API自动发现监控。（需提供功能截图或第三方机构出具的测试报告扫描件）</w:t>
            </w:r>
          </w:p>
        </w:tc>
        <w:tc>
          <w:tcPr>
            <w:tcW w:w="1575" w:type="dxa"/>
            <w:tcBorders>
              <w:top w:val="nil"/>
              <w:left w:val="nil"/>
              <w:bottom w:val="single" w:color="auto" w:sz="8" w:space="0"/>
              <w:right w:val="single" w:color="auto" w:sz="8" w:space="0"/>
            </w:tcBorders>
            <w:shd w:val="clear" w:color="auto" w:fill="auto"/>
            <w:vAlign w:val="center"/>
          </w:tcPr>
          <w:p w14:paraId="2D48A08C">
            <w:pPr>
              <w:widowControl/>
              <w:rPr>
                <w:rFonts w:hint="eastAsia" w:ascii="宋体" w:hAnsi="宋体" w:cs="宋体"/>
                <w:b/>
                <w:bCs/>
                <w:color w:val="FF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517CFB37">
            <w:pPr>
              <w:widowControl/>
              <w:rPr>
                <w:rFonts w:hint="eastAsia" w:ascii="宋体" w:hAnsi="宋体" w:cs="宋体"/>
                <w:b/>
                <w:bCs/>
                <w:color w:val="FF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00E32A4F">
            <w:pPr>
              <w:widowControl/>
              <w:rPr>
                <w:rFonts w:hint="eastAsia" w:ascii="宋体" w:hAnsi="宋体" w:cs="宋体"/>
                <w:b/>
                <w:bCs/>
                <w:color w:val="FF0000"/>
                <w:kern w:val="0"/>
                <w:szCs w:val="21"/>
              </w:rPr>
            </w:pPr>
          </w:p>
        </w:tc>
      </w:tr>
      <w:tr w14:paraId="79784638">
        <w:tblPrEx>
          <w:tblCellMar>
            <w:top w:w="0" w:type="dxa"/>
            <w:left w:w="108" w:type="dxa"/>
            <w:bottom w:w="0" w:type="dxa"/>
            <w:right w:w="108" w:type="dxa"/>
          </w:tblCellMar>
        </w:tblPrEx>
        <w:trPr>
          <w:trHeight w:val="1155"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20A7673D">
            <w:pPr>
              <w:widowControl/>
              <w:jc w:val="center"/>
              <w:rPr>
                <w:rFonts w:ascii="宋体" w:hAnsi="宋体" w:cs="宋体"/>
                <w:color w:val="000000"/>
                <w:kern w:val="0"/>
                <w:szCs w:val="21"/>
              </w:rPr>
            </w:pPr>
            <w:r>
              <w:rPr>
                <w:rFonts w:hint="eastAsia" w:ascii="宋体" w:hAnsi="宋体" w:cs="宋体"/>
                <w:color w:val="000000"/>
                <w:kern w:val="0"/>
                <w:szCs w:val="21"/>
              </w:rPr>
              <w:t>支持对API运行情况进行监控与告警</w:t>
            </w:r>
          </w:p>
        </w:tc>
        <w:tc>
          <w:tcPr>
            <w:tcW w:w="3990" w:type="dxa"/>
            <w:tcBorders>
              <w:top w:val="nil"/>
              <w:left w:val="nil"/>
              <w:bottom w:val="single" w:color="auto" w:sz="8" w:space="0"/>
              <w:right w:val="single" w:color="auto" w:sz="8" w:space="0"/>
            </w:tcBorders>
            <w:shd w:val="clear" w:color="auto" w:fill="auto"/>
            <w:vAlign w:val="center"/>
          </w:tcPr>
          <w:p w14:paraId="2604BAE1">
            <w:pPr>
              <w:widowControl/>
              <w:rPr>
                <w:rFonts w:ascii="宋体" w:hAnsi="宋体" w:cs="宋体"/>
                <w:b/>
                <w:bCs/>
                <w:color w:val="FF0000"/>
                <w:kern w:val="0"/>
                <w:szCs w:val="21"/>
              </w:rPr>
            </w:pPr>
            <w:r>
              <w:rPr>
                <w:rFonts w:hint="eastAsia" w:ascii="宋体" w:hAnsi="宋体" w:cs="宋体"/>
                <w:b/>
                <w:bCs/>
                <w:color w:val="FF0000"/>
                <w:kern w:val="0"/>
                <w:szCs w:val="21"/>
              </w:rPr>
              <w:t>▲2.2.13支持展示API统计信息，包括API访问量、API接口数高位路径数、API WAF事件数、API来源异常告警数、API敏感信息泄露事件数、API非法参数请求数、API来源IP TOP 10、API路径调用TOP 10等；支持基于时间和自定义字段过滤API统计信息。（需提供功能截图或第三方机构出具的测试报告扫描件）</w:t>
            </w:r>
          </w:p>
        </w:tc>
        <w:tc>
          <w:tcPr>
            <w:tcW w:w="1575" w:type="dxa"/>
            <w:tcBorders>
              <w:top w:val="nil"/>
              <w:left w:val="nil"/>
              <w:bottom w:val="single" w:color="auto" w:sz="8" w:space="0"/>
              <w:right w:val="single" w:color="auto" w:sz="8" w:space="0"/>
            </w:tcBorders>
            <w:shd w:val="clear" w:color="auto" w:fill="auto"/>
            <w:vAlign w:val="center"/>
          </w:tcPr>
          <w:p w14:paraId="0E11F123">
            <w:pPr>
              <w:widowControl/>
              <w:rPr>
                <w:rFonts w:hint="eastAsia" w:ascii="宋体" w:hAnsi="宋体" w:cs="宋体"/>
                <w:b/>
                <w:bCs/>
                <w:color w:val="FF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03B3C668">
            <w:pPr>
              <w:widowControl/>
              <w:rPr>
                <w:rFonts w:hint="eastAsia" w:ascii="宋体" w:hAnsi="宋体" w:cs="宋体"/>
                <w:b/>
                <w:bCs/>
                <w:color w:val="FF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4DF92F25">
            <w:pPr>
              <w:widowControl/>
              <w:rPr>
                <w:rFonts w:hint="eastAsia" w:ascii="宋体" w:hAnsi="宋体" w:cs="宋体"/>
                <w:b/>
                <w:bCs/>
                <w:color w:val="FF0000"/>
                <w:kern w:val="0"/>
                <w:szCs w:val="21"/>
              </w:rPr>
            </w:pPr>
          </w:p>
        </w:tc>
      </w:tr>
      <w:tr w14:paraId="55AC2F40">
        <w:tblPrEx>
          <w:tblCellMar>
            <w:top w:w="0" w:type="dxa"/>
            <w:left w:w="108" w:type="dxa"/>
            <w:bottom w:w="0" w:type="dxa"/>
            <w:right w:w="108" w:type="dxa"/>
          </w:tblCellMar>
        </w:tblPrEx>
        <w:trPr>
          <w:trHeight w:val="1440"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210CD8D3">
            <w:pPr>
              <w:widowControl/>
              <w:jc w:val="center"/>
              <w:rPr>
                <w:rFonts w:ascii="宋体" w:hAnsi="宋体" w:cs="宋体"/>
                <w:color w:val="000000"/>
                <w:kern w:val="0"/>
                <w:szCs w:val="21"/>
              </w:rPr>
            </w:pPr>
            <w:r>
              <w:rPr>
                <w:rFonts w:hint="eastAsia" w:ascii="宋体" w:hAnsi="宋体" w:cs="宋体"/>
                <w:color w:val="000000"/>
                <w:kern w:val="0"/>
                <w:szCs w:val="21"/>
              </w:rPr>
              <w:t>具备API敏感数据识别功能</w:t>
            </w:r>
          </w:p>
        </w:tc>
        <w:tc>
          <w:tcPr>
            <w:tcW w:w="3990" w:type="dxa"/>
            <w:tcBorders>
              <w:top w:val="nil"/>
              <w:left w:val="nil"/>
              <w:bottom w:val="single" w:color="auto" w:sz="8" w:space="0"/>
              <w:right w:val="single" w:color="auto" w:sz="8" w:space="0"/>
            </w:tcBorders>
            <w:shd w:val="clear" w:color="auto" w:fill="auto"/>
            <w:vAlign w:val="center"/>
          </w:tcPr>
          <w:p w14:paraId="2502A77F">
            <w:pPr>
              <w:widowControl/>
              <w:rPr>
                <w:rFonts w:ascii="宋体" w:hAnsi="宋体" w:cs="宋体"/>
                <w:b/>
                <w:bCs/>
                <w:color w:val="FF0000"/>
                <w:kern w:val="0"/>
                <w:szCs w:val="21"/>
              </w:rPr>
            </w:pPr>
            <w:r>
              <w:rPr>
                <w:rFonts w:hint="eastAsia" w:ascii="宋体" w:hAnsi="宋体" w:cs="宋体"/>
                <w:b/>
                <w:bCs/>
                <w:color w:val="FF0000"/>
                <w:kern w:val="0"/>
                <w:szCs w:val="21"/>
              </w:rPr>
              <w:t>▲2.2.14监测API接口的响应中是否存在隐私泄露的风险，支持API敏感信息监控。支持敏感信息类型：支持内置敏感信息类型库，内置常见的敏感信息类型，包括姓名、身份证、地址、手机号、座机号、银行卡号、信用卡号、电子邮箱、IPV4、IPV6、MAC地址、IMEI、等，支持新建自定义敏感信息类型。（需提供功能截图或第三方机构出具的测试报告扫描件）</w:t>
            </w:r>
          </w:p>
        </w:tc>
        <w:tc>
          <w:tcPr>
            <w:tcW w:w="1575" w:type="dxa"/>
            <w:tcBorders>
              <w:top w:val="nil"/>
              <w:left w:val="nil"/>
              <w:bottom w:val="single" w:color="auto" w:sz="8" w:space="0"/>
              <w:right w:val="single" w:color="auto" w:sz="8" w:space="0"/>
            </w:tcBorders>
            <w:shd w:val="clear" w:color="auto" w:fill="auto"/>
            <w:vAlign w:val="center"/>
          </w:tcPr>
          <w:p w14:paraId="37857630">
            <w:pPr>
              <w:widowControl/>
              <w:rPr>
                <w:rFonts w:hint="eastAsia" w:ascii="宋体" w:hAnsi="宋体" w:cs="宋体"/>
                <w:b/>
                <w:bCs/>
                <w:color w:val="FF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1B0FEF64">
            <w:pPr>
              <w:widowControl/>
              <w:rPr>
                <w:rFonts w:hint="eastAsia" w:ascii="宋体" w:hAnsi="宋体" w:cs="宋体"/>
                <w:b/>
                <w:bCs/>
                <w:color w:val="FF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5938D3AF">
            <w:pPr>
              <w:widowControl/>
              <w:rPr>
                <w:rFonts w:hint="eastAsia" w:ascii="宋体" w:hAnsi="宋体" w:cs="宋体"/>
                <w:b/>
                <w:bCs/>
                <w:color w:val="FF0000"/>
                <w:kern w:val="0"/>
                <w:szCs w:val="21"/>
              </w:rPr>
            </w:pPr>
          </w:p>
        </w:tc>
      </w:tr>
      <w:tr w14:paraId="3EBB3C78">
        <w:tblPrEx>
          <w:tblCellMar>
            <w:top w:w="0" w:type="dxa"/>
            <w:left w:w="108" w:type="dxa"/>
            <w:bottom w:w="0" w:type="dxa"/>
            <w:right w:w="108" w:type="dxa"/>
          </w:tblCellMar>
        </w:tblPrEx>
        <w:trPr>
          <w:trHeight w:val="870"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75DA5D6C">
            <w:pPr>
              <w:widowControl/>
              <w:jc w:val="center"/>
              <w:rPr>
                <w:rFonts w:ascii="宋体" w:hAnsi="宋体" w:cs="宋体"/>
                <w:color w:val="000000"/>
                <w:kern w:val="0"/>
                <w:szCs w:val="21"/>
              </w:rPr>
            </w:pPr>
            <w:r>
              <w:rPr>
                <w:rFonts w:hint="eastAsia" w:ascii="宋体" w:hAnsi="宋体" w:cs="宋体"/>
                <w:color w:val="000000"/>
                <w:kern w:val="0"/>
                <w:szCs w:val="21"/>
              </w:rPr>
              <w:t>具备API敏感数据过滤和防护功能</w:t>
            </w:r>
          </w:p>
        </w:tc>
        <w:tc>
          <w:tcPr>
            <w:tcW w:w="3990" w:type="dxa"/>
            <w:tcBorders>
              <w:top w:val="nil"/>
              <w:left w:val="nil"/>
              <w:bottom w:val="single" w:color="auto" w:sz="8" w:space="0"/>
              <w:right w:val="single" w:color="auto" w:sz="8" w:space="0"/>
            </w:tcBorders>
            <w:shd w:val="clear" w:color="auto" w:fill="auto"/>
            <w:vAlign w:val="center"/>
          </w:tcPr>
          <w:p w14:paraId="109AD14E">
            <w:pPr>
              <w:widowControl/>
              <w:rPr>
                <w:rFonts w:hint="eastAsia" w:ascii="宋体" w:hAnsi="宋体" w:cs="宋体"/>
                <w:color w:val="000000"/>
                <w:kern w:val="0"/>
                <w:szCs w:val="21"/>
              </w:rPr>
            </w:pPr>
            <w:r>
              <w:rPr>
                <w:rFonts w:hint="eastAsia" w:ascii="宋体" w:hAnsi="宋体" w:cs="宋体"/>
                <w:color w:val="000000"/>
                <w:kern w:val="0"/>
                <w:szCs w:val="21"/>
              </w:rPr>
              <w:t>2.2.15监测API接口的响应中是否存在隐私泄露的风险，并可对敏感信息做脱敏处理。支持脱敏策略：内置初始化脱敏策略，支持依据场景自定义脱敏策略，支持设置脱敏信息位数。</w:t>
            </w:r>
          </w:p>
        </w:tc>
        <w:tc>
          <w:tcPr>
            <w:tcW w:w="1575" w:type="dxa"/>
            <w:tcBorders>
              <w:top w:val="nil"/>
              <w:left w:val="nil"/>
              <w:bottom w:val="single" w:color="auto" w:sz="8" w:space="0"/>
              <w:right w:val="single" w:color="auto" w:sz="8" w:space="0"/>
            </w:tcBorders>
            <w:shd w:val="clear" w:color="auto" w:fill="auto"/>
            <w:vAlign w:val="center"/>
          </w:tcPr>
          <w:p w14:paraId="11EACA92">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340B5EC5">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4F3B6070">
            <w:pPr>
              <w:widowControl/>
              <w:rPr>
                <w:rFonts w:hint="eastAsia" w:ascii="宋体" w:hAnsi="宋体" w:cs="宋体"/>
                <w:color w:val="000000"/>
                <w:kern w:val="0"/>
                <w:szCs w:val="21"/>
              </w:rPr>
            </w:pPr>
          </w:p>
        </w:tc>
      </w:tr>
      <w:tr w14:paraId="645CC5B5">
        <w:tblPrEx>
          <w:tblCellMar>
            <w:top w:w="0" w:type="dxa"/>
            <w:left w:w="108" w:type="dxa"/>
            <w:bottom w:w="0" w:type="dxa"/>
            <w:right w:w="108" w:type="dxa"/>
          </w:tblCellMar>
        </w:tblPrEx>
        <w:trPr>
          <w:trHeight w:val="90"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5A6DBCEB">
            <w:pPr>
              <w:widowControl/>
              <w:jc w:val="center"/>
              <w:rPr>
                <w:rFonts w:ascii="宋体" w:hAnsi="宋体" w:cs="宋体"/>
                <w:color w:val="000000"/>
                <w:kern w:val="0"/>
                <w:szCs w:val="21"/>
              </w:rPr>
            </w:pPr>
            <w:r>
              <w:rPr>
                <w:rFonts w:hint="eastAsia" w:ascii="宋体" w:hAnsi="宋体" w:cs="宋体"/>
                <w:color w:val="000000"/>
                <w:kern w:val="0"/>
                <w:szCs w:val="21"/>
              </w:rPr>
              <w:t>支持API敏感信息监控</w:t>
            </w:r>
          </w:p>
        </w:tc>
        <w:tc>
          <w:tcPr>
            <w:tcW w:w="3990" w:type="dxa"/>
            <w:tcBorders>
              <w:top w:val="nil"/>
              <w:left w:val="nil"/>
              <w:bottom w:val="single" w:color="auto" w:sz="8" w:space="0"/>
              <w:right w:val="single" w:color="auto" w:sz="8" w:space="0"/>
            </w:tcBorders>
            <w:shd w:val="clear" w:color="auto" w:fill="auto"/>
            <w:vAlign w:val="center"/>
          </w:tcPr>
          <w:p w14:paraId="10C96FA7">
            <w:pPr>
              <w:widowControl/>
              <w:rPr>
                <w:rFonts w:hint="eastAsia" w:ascii="宋体" w:hAnsi="宋体" w:cs="宋体"/>
                <w:color w:val="000000"/>
                <w:kern w:val="0"/>
                <w:szCs w:val="21"/>
              </w:rPr>
            </w:pPr>
            <w:r>
              <w:rPr>
                <w:rFonts w:hint="eastAsia" w:ascii="宋体" w:hAnsi="宋体" w:cs="宋体"/>
                <w:color w:val="000000"/>
                <w:kern w:val="0"/>
                <w:szCs w:val="21"/>
              </w:rPr>
              <w:t>2.2.16支持展示的监控信息包括API 敏感信息泄露事件数、API 敏感信息泄露相关路径数、API 敏感信息泄露已脱敏事件数、API 敏感信息泄露来源数、API 敏感信息泄露来源城市、API 信息泄露时间趋势图、API 敏感信息泄露类型、API 敏感信息泄露站点分布、API敏感信息泄露相关路径TOP 10、API敏感信息状态码分布、API 敏感信息泄露来源IP TOP 10、API 敏感信息泄露来源指纹 TOP 10、API 敏感信息泄露来源账号 TOP 10、API 敏感信息泄露来源浏览器分布、API 敏感信息泄露详情；支持基于时间和自定义字段过滤API敏感信息监控内容。</w:t>
            </w:r>
          </w:p>
        </w:tc>
        <w:tc>
          <w:tcPr>
            <w:tcW w:w="1575" w:type="dxa"/>
            <w:tcBorders>
              <w:top w:val="nil"/>
              <w:left w:val="nil"/>
              <w:bottom w:val="single" w:color="auto" w:sz="8" w:space="0"/>
              <w:right w:val="single" w:color="auto" w:sz="8" w:space="0"/>
            </w:tcBorders>
            <w:shd w:val="clear" w:color="auto" w:fill="auto"/>
            <w:vAlign w:val="center"/>
          </w:tcPr>
          <w:p w14:paraId="4E7C4421">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78689AAF">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5AC64B50">
            <w:pPr>
              <w:widowControl/>
              <w:rPr>
                <w:rFonts w:hint="eastAsia" w:ascii="宋体" w:hAnsi="宋体" w:cs="宋体"/>
                <w:color w:val="000000"/>
                <w:kern w:val="0"/>
                <w:szCs w:val="21"/>
              </w:rPr>
            </w:pPr>
          </w:p>
        </w:tc>
      </w:tr>
      <w:tr w14:paraId="258D8301">
        <w:tblPrEx>
          <w:tblCellMar>
            <w:top w:w="0" w:type="dxa"/>
            <w:left w:w="108" w:type="dxa"/>
            <w:bottom w:w="0" w:type="dxa"/>
            <w:right w:w="108" w:type="dxa"/>
          </w:tblCellMar>
        </w:tblPrEx>
        <w:trPr>
          <w:trHeight w:val="870"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4030DCF4">
            <w:pPr>
              <w:widowControl/>
              <w:jc w:val="center"/>
              <w:rPr>
                <w:rFonts w:ascii="宋体" w:hAnsi="宋体" w:cs="宋体"/>
                <w:color w:val="000000"/>
                <w:kern w:val="0"/>
                <w:szCs w:val="21"/>
              </w:rPr>
            </w:pPr>
            <w:r>
              <w:rPr>
                <w:rFonts w:hint="eastAsia" w:ascii="宋体" w:hAnsi="宋体" w:cs="宋体"/>
                <w:color w:val="000000"/>
                <w:kern w:val="0"/>
                <w:szCs w:val="21"/>
              </w:rPr>
              <w:t>API安全防护</w:t>
            </w:r>
          </w:p>
        </w:tc>
        <w:tc>
          <w:tcPr>
            <w:tcW w:w="3990" w:type="dxa"/>
            <w:tcBorders>
              <w:top w:val="nil"/>
              <w:left w:val="nil"/>
              <w:bottom w:val="single" w:color="auto" w:sz="8" w:space="0"/>
              <w:right w:val="single" w:color="auto" w:sz="8" w:space="0"/>
            </w:tcBorders>
            <w:shd w:val="clear" w:color="auto" w:fill="auto"/>
            <w:vAlign w:val="center"/>
          </w:tcPr>
          <w:p w14:paraId="4D9FF982">
            <w:pPr>
              <w:widowControl/>
              <w:rPr>
                <w:rFonts w:ascii="宋体" w:hAnsi="宋体" w:cs="宋体"/>
                <w:color w:val="000000"/>
                <w:kern w:val="0"/>
                <w:szCs w:val="21"/>
              </w:rPr>
            </w:pPr>
            <w:r>
              <w:rPr>
                <w:rFonts w:hint="eastAsia" w:ascii="宋体" w:hAnsi="宋体" w:cs="宋体"/>
                <w:b/>
                <w:bCs/>
                <w:color w:val="FF0000"/>
                <w:kern w:val="0"/>
                <w:szCs w:val="21"/>
              </w:rPr>
              <w:t>▲2.2.17支持防护API攻击，支持攻击类型包括跨站监本攻击、SQL注入攻击、命令注入攻击、扫描工具和爬虫攻击等。（需提供功能截图或第三方机构出具的测试报告扫描件）</w:t>
            </w:r>
          </w:p>
        </w:tc>
        <w:tc>
          <w:tcPr>
            <w:tcW w:w="1575" w:type="dxa"/>
            <w:tcBorders>
              <w:top w:val="nil"/>
              <w:left w:val="nil"/>
              <w:bottom w:val="single" w:color="auto" w:sz="8" w:space="0"/>
              <w:right w:val="single" w:color="auto" w:sz="8" w:space="0"/>
            </w:tcBorders>
            <w:shd w:val="clear" w:color="auto" w:fill="auto"/>
            <w:vAlign w:val="center"/>
          </w:tcPr>
          <w:p w14:paraId="4D71334C">
            <w:pPr>
              <w:widowControl/>
              <w:rPr>
                <w:rFonts w:hint="eastAsia" w:ascii="宋体" w:hAnsi="宋体" w:cs="宋体"/>
                <w:b/>
                <w:bCs/>
                <w:color w:val="FF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0793ECF2">
            <w:pPr>
              <w:widowControl/>
              <w:rPr>
                <w:rFonts w:hint="eastAsia" w:ascii="宋体" w:hAnsi="宋体" w:cs="宋体"/>
                <w:b/>
                <w:bCs/>
                <w:color w:val="FF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5027CC74">
            <w:pPr>
              <w:widowControl/>
              <w:rPr>
                <w:rFonts w:hint="eastAsia" w:ascii="宋体" w:hAnsi="宋体" w:cs="宋体"/>
                <w:b/>
                <w:bCs/>
                <w:color w:val="FF0000"/>
                <w:kern w:val="0"/>
                <w:szCs w:val="21"/>
              </w:rPr>
            </w:pPr>
          </w:p>
        </w:tc>
      </w:tr>
      <w:tr w14:paraId="6393147B">
        <w:tblPrEx>
          <w:tblCellMar>
            <w:top w:w="0" w:type="dxa"/>
            <w:left w:w="108" w:type="dxa"/>
            <w:bottom w:w="0" w:type="dxa"/>
            <w:right w:w="108" w:type="dxa"/>
          </w:tblCellMar>
        </w:tblPrEx>
        <w:trPr>
          <w:trHeight w:val="90"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20E60597">
            <w:pPr>
              <w:widowControl/>
              <w:jc w:val="center"/>
              <w:rPr>
                <w:rFonts w:ascii="宋体" w:hAnsi="宋体" w:cs="宋体"/>
                <w:color w:val="000000"/>
                <w:kern w:val="0"/>
                <w:szCs w:val="21"/>
              </w:rPr>
            </w:pPr>
            <w:r>
              <w:rPr>
                <w:rFonts w:hint="eastAsia" w:ascii="宋体" w:hAnsi="宋体" w:cs="宋体"/>
                <w:color w:val="000000"/>
                <w:kern w:val="0"/>
                <w:szCs w:val="21"/>
              </w:rPr>
              <w:t>API WAF事件监控</w:t>
            </w:r>
          </w:p>
        </w:tc>
        <w:tc>
          <w:tcPr>
            <w:tcW w:w="3990" w:type="dxa"/>
            <w:tcBorders>
              <w:top w:val="nil"/>
              <w:left w:val="nil"/>
              <w:bottom w:val="single" w:color="auto" w:sz="8" w:space="0"/>
              <w:right w:val="single" w:color="auto" w:sz="8" w:space="0"/>
            </w:tcBorders>
            <w:shd w:val="clear" w:color="auto" w:fill="auto"/>
            <w:vAlign w:val="center"/>
          </w:tcPr>
          <w:p w14:paraId="023064D5">
            <w:pPr>
              <w:widowControl/>
              <w:rPr>
                <w:rFonts w:hint="eastAsia" w:ascii="宋体" w:hAnsi="宋体" w:cs="宋体"/>
                <w:color w:val="000000"/>
                <w:kern w:val="0"/>
                <w:szCs w:val="21"/>
              </w:rPr>
            </w:pPr>
            <w:r>
              <w:rPr>
                <w:rFonts w:hint="eastAsia" w:ascii="宋体" w:hAnsi="宋体" w:cs="宋体"/>
                <w:color w:val="000000"/>
                <w:kern w:val="0"/>
                <w:szCs w:val="21"/>
              </w:rPr>
              <w:t>2.2.18支持API WAF事件监控，支持展示的监控信息包括API WAF事件数、API WAF事件来源数、API WAF事件风险等级分布、API WAF事件时间趋势、API WAF事件TOP 10 IP、API WAF事件TOP 10 路径、API WAF事件站点分布、API WAF事件详情等；支持基于时间和自定义字段过滤API WAF事件信息。</w:t>
            </w:r>
          </w:p>
        </w:tc>
        <w:tc>
          <w:tcPr>
            <w:tcW w:w="1575" w:type="dxa"/>
            <w:tcBorders>
              <w:top w:val="nil"/>
              <w:left w:val="nil"/>
              <w:bottom w:val="single" w:color="auto" w:sz="8" w:space="0"/>
              <w:right w:val="single" w:color="auto" w:sz="8" w:space="0"/>
            </w:tcBorders>
            <w:shd w:val="clear" w:color="auto" w:fill="auto"/>
            <w:vAlign w:val="center"/>
          </w:tcPr>
          <w:p w14:paraId="0AC71216">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29261609">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46C3AFCC">
            <w:pPr>
              <w:widowControl/>
              <w:rPr>
                <w:rFonts w:hint="eastAsia" w:ascii="宋体" w:hAnsi="宋体" w:cs="宋体"/>
                <w:color w:val="000000"/>
                <w:kern w:val="0"/>
                <w:szCs w:val="21"/>
              </w:rPr>
            </w:pPr>
          </w:p>
        </w:tc>
      </w:tr>
      <w:tr w14:paraId="1D49207D">
        <w:tblPrEx>
          <w:tblCellMar>
            <w:top w:w="0" w:type="dxa"/>
            <w:left w:w="108" w:type="dxa"/>
            <w:bottom w:w="0" w:type="dxa"/>
            <w:right w:w="108" w:type="dxa"/>
          </w:tblCellMar>
        </w:tblPrEx>
        <w:trPr>
          <w:trHeight w:val="585"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063E362D">
            <w:pPr>
              <w:widowControl/>
              <w:jc w:val="center"/>
              <w:rPr>
                <w:rFonts w:ascii="宋体" w:hAnsi="宋体" w:cs="宋体"/>
                <w:color w:val="000000"/>
                <w:kern w:val="0"/>
                <w:szCs w:val="21"/>
              </w:rPr>
            </w:pPr>
            <w:r>
              <w:rPr>
                <w:rFonts w:hint="eastAsia" w:ascii="宋体" w:hAnsi="宋体" w:cs="宋体"/>
                <w:color w:val="000000"/>
                <w:kern w:val="0"/>
                <w:szCs w:val="21"/>
              </w:rPr>
              <w:t>自动化漏洞扫描</w:t>
            </w:r>
          </w:p>
        </w:tc>
        <w:tc>
          <w:tcPr>
            <w:tcW w:w="3990" w:type="dxa"/>
            <w:tcBorders>
              <w:top w:val="nil"/>
              <w:left w:val="nil"/>
              <w:bottom w:val="single" w:color="auto" w:sz="8" w:space="0"/>
              <w:right w:val="single" w:color="auto" w:sz="8" w:space="0"/>
            </w:tcBorders>
            <w:shd w:val="clear" w:color="auto" w:fill="auto"/>
            <w:vAlign w:val="center"/>
          </w:tcPr>
          <w:p w14:paraId="5E955B42">
            <w:pPr>
              <w:widowControl/>
              <w:rPr>
                <w:rFonts w:hint="eastAsia" w:ascii="宋体" w:hAnsi="宋体" w:cs="宋体"/>
                <w:color w:val="000000"/>
                <w:kern w:val="0"/>
                <w:szCs w:val="21"/>
              </w:rPr>
            </w:pPr>
            <w:r>
              <w:rPr>
                <w:rFonts w:hint="eastAsia" w:ascii="宋体" w:hAnsi="宋体" w:cs="宋体"/>
                <w:color w:val="000000"/>
                <w:kern w:val="0"/>
                <w:szCs w:val="21"/>
              </w:rPr>
              <w:t>2.2.19通过对可攻击点的动态隐藏，自动化工具无法获得攻击入口，可有效防止各类已知与未知漏洞的自动化扫描工具。</w:t>
            </w:r>
          </w:p>
        </w:tc>
        <w:tc>
          <w:tcPr>
            <w:tcW w:w="1575" w:type="dxa"/>
            <w:tcBorders>
              <w:top w:val="nil"/>
              <w:left w:val="nil"/>
              <w:bottom w:val="single" w:color="auto" w:sz="8" w:space="0"/>
              <w:right w:val="single" w:color="auto" w:sz="8" w:space="0"/>
            </w:tcBorders>
            <w:shd w:val="clear" w:color="auto" w:fill="auto"/>
            <w:vAlign w:val="center"/>
          </w:tcPr>
          <w:p w14:paraId="4F792E6D">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77FB81FF">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7C8E513B">
            <w:pPr>
              <w:widowControl/>
              <w:rPr>
                <w:rFonts w:hint="eastAsia" w:ascii="宋体" w:hAnsi="宋体" w:cs="宋体"/>
                <w:color w:val="000000"/>
                <w:kern w:val="0"/>
                <w:szCs w:val="21"/>
              </w:rPr>
            </w:pPr>
          </w:p>
        </w:tc>
      </w:tr>
      <w:tr w14:paraId="622A360C">
        <w:tblPrEx>
          <w:tblCellMar>
            <w:top w:w="0" w:type="dxa"/>
            <w:left w:w="108" w:type="dxa"/>
            <w:bottom w:w="0" w:type="dxa"/>
            <w:right w:w="108" w:type="dxa"/>
          </w:tblCellMar>
        </w:tblPrEx>
        <w:trPr>
          <w:trHeight w:val="870"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5BCC5246">
            <w:pPr>
              <w:widowControl/>
              <w:jc w:val="center"/>
              <w:rPr>
                <w:rFonts w:ascii="宋体" w:hAnsi="宋体" w:cs="宋体"/>
                <w:color w:val="000000"/>
                <w:kern w:val="0"/>
                <w:szCs w:val="21"/>
              </w:rPr>
            </w:pPr>
            <w:r>
              <w:rPr>
                <w:rFonts w:hint="eastAsia" w:ascii="宋体" w:hAnsi="宋体" w:cs="宋体"/>
                <w:color w:val="000000"/>
                <w:kern w:val="0"/>
                <w:szCs w:val="21"/>
              </w:rPr>
              <w:t>自动化模拟操作</w:t>
            </w:r>
          </w:p>
        </w:tc>
        <w:tc>
          <w:tcPr>
            <w:tcW w:w="3990" w:type="dxa"/>
            <w:tcBorders>
              <w:top w:val="nil"/>
              <w:left w:val="nil"/>
              <w:bottom w:val="single" w:color="auto" w:sz="8" w:space="0"/>
              <w:right w:val="single" w:color="auto" w:sz="8" w:space="0"/>
            </w:tcBorders>
            <w:shd w:val="clear" w:color="auto" w:fill="auto"/>
            <w:vAlign w:val="center"/>
          </w:tcPr>
          <w:p w14:paraId="2F2EA505">
            <w:pPr>
              <w:widowControl/>
              <w:rPr>
                <w:rFonts w:hint="eastAsia" w:ascii="宋体" w:hAnsi="宋体" w:cs="宋体"/>
                <w:color w:val="000000"/>
                <w:kern w:val="0"/>
                <w:szCs w:val="21"/>
              </w:rPr>
            </w:pPr>
            <w:r>
              <w:rPr>
                <w:rFonts w:hint="eastAsia" w:ascii="宋体" w:hAnsi="宋体" w:cs="宋体"/>
                <w:color w:val="000000"/>
                <w:kern w:val="0"/>
                <w:szCs w:val="21"/>
              </w:rPr>
              <w:t>2.2.20可防止攻击者通过自动化模拟操作，进行批量建立虚假帐号、盗用帐号、交易欺诈、操纵评价或其它恶意操作行为，不论是单一来源的高频请求或是多来源的低频请求均需能防护。</w:t>
            </w:r>
          </w:p>
        </w:tc>
        <w:tc>
          <w:tcPr>
            <w:tcW w:w="1575" w:type="dxa"/>
            <w:tcBorders>
              <w:top w:val="nil"/>
              <w:left w:val="nil"/>
              <w:bottom w:val="single" w:color="auto" w:sz="8" w:space="0"/>
              <w:right w:val="single" w:color="auto" w:sz="8" w:space="0"/>
            </w:tcBorders>
            <w:shd w:val="clear" w:color="auto" w:fill="auto"/>
            <w:vAlign w:val="center"/>
          </w:tcPr>
          <w:p w14:paraId="55ACCC20">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69CE0BF8">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283F28EB">
            <w:pPr>
              <w:widowControl/>
              <w:rPr>
                <w:rFonts w:hint="eastAsia" w:ascii="宋体" w:hAnsi="宋体" w:cs="宋体"/>
                <w:color w:val="000000"/>
                <w:kern w:val="0"/>
                <w:szCs w:val="21"/>
              </w:rPr>
            </w:pPr>
          </w:p>
        </w:tc>
      </w:tr>
      <w:tr w14:paraId="7D452DD2">
        <w:tblPrEx>
          <w:tblCellMar>
            <w:top w:w="0" w:type="dxa"/>
            <w:left w:w="108" w:type="dxa"/>
            <w:bottom w:w="0" w:type="dxa"/>
            <w:right w:w="108" w:type="dxa"/>
          </w:tblCellMar>
        </w:tblPrEx>
        <w:trPr>
          <w:trHeight w:val="585"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133D5A14">
            <w:pPr>
              <w:widowControl/>
              <w:jc w:val="center"/>
              <w:rPr>
                <w:rFonts w:ascii="宋体" w:hAnsi="宋体" w:cs="宋体"/>
                <w:color w:val="000000"/>
                <w:kern w:val="0"/>
                <w:szCs w:val="21"/>
              </w:rPr>
            </w:pPr>
            <w:r>
              <w:rPr>
                <w:rFonts w:hint="eastAsia" w:ascii="宋体" w:hAnsi="宋体" w:cs="宋体"/>
                <w:color w:val="000000"/>
                <w:kern w:val="0"/>
                <w:szCs w:val="21"/>
              </w:rPr>
              <w:t>自动化内容搜刮</w:t>
            </w:r>
          </w:p>
        </w:tc>
        <w:tc>
          <w:tcPr>
            <w:tcW w:w="3990" w:type="dxa"/>
            <w:tcBorders>
              <w:top w:val="nil"/>
              <w:left w:val="nil"/>
              <w:bottom w:val="single" w:color="auto" w:sz="8" w:space="0"/>
              <w:right w:val="single" w:color="auto" w:sz="8" w:space="0"/>
            </w:tcBorders>
            <w:shd w:val="clear" w:color="auto" w:fill="auto"/>
            <w:vAlign w:val="center"/>
          </w:tcPr>
          <w:p w14:paraId="7E51756F">
            <w:pPr>
              <w:widowControl/>
              <w:rPr>
                <w:rFonts w:hint="eastAsia" w:ascii="宋体" w:hAnsi="宋体" w:cs="宋体"/>
                <w:color w:val="000000"/>
                <w:kern w:val="0"/>
                <w:szCs w:val="21"/>
              </w:rPr>
            </w:pPr>
            <w:r>
              <w:rPr>
                <w:rFonts w:hint="eastAsia" w:ascii="宋体" w:hAnsi="宋体" w:cs="宋体"/>
                <w:color w:val="000000"/>
                <w:kern w:val="0"/>
                <w:szCs w:val="21"/>
              </w:rPr>
              <w:t>2.2.21防止攻击者通过爬虫或自动化工具，搜刮服务器上的数据或敏感信息，不论是单一来源的高频请求或是多来源的低频请求均需能防护。</w:t>
            </w:r>
          </w:p>
        </w:tc>
        <w:tc>
          <w:tcPr>
            <w:tcW w:w="1575" w:type="dxa"/>
            <w:tcBorders>
              <w:top w:val="nil"/>
              <w:left w:val="nil"/>
              <w:bottom w:val="single" w:color="auto" w:sz="8" w:space="0"/>
              <w:right w:val="single" w:color="auto" w:sz="8" w:space="0"/>
            </w:tcBorders>
            <w:shd w:val="clear" w:color="auto" w:fill="auto"/>
            <w:vAlign w:val="center"/>
          </w:tcPr>
          <w:p w14:paraId="6790B2F5">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0F9FEB63">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6F91482D">
            <w:pPr>
              <w:widowControl/>
              <w:rPr>
                <w:rFonts w:hint="eastAsia" w:ascii="宋体" w:hAnsi="宋体" w:cs="宋体"/>
                <w:color w:val="000000"/>
                <w:kern w:val="0"/>
                <w:szCs w:val="21"/>
              </w:rPr>
            </w:pPr>
          </w:p>
        </w:tc>
      </w:tr>
      <w:tr w14:paraId="675BF5C6">
        <w:tblPrEx>
          <w:tblCellMar>
            <w:top w:w="0" w:type="dxa"/>
            <w:left w:w="108" w:type="dxa"/>
            <w:bottom w:w="0" w:type="dxa"/>
            <w:right w:w="108" w:type="dxa"/>
          </w:tblCellMar>
        </w:tblPrEx>
        <w:trPr>
          <w:trHeight w:val="585"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3A7B6375">
            <w:pPr>
              <w:widowControl/>
              <w:jc w:val="center"/>
              <w:rPr>
                <w:rFonts w:ascii="宋体" w:hAnsi="宋体" w:cs="宋体"/>
                <w:color w:val="000000"/>
                <w:kern w:val="0"/>
                <w:szCs w:val="21"/>
              </w:rPr>
            </w:pPr>
            <w:r>
              <w:rPr>
                <w:rFonts w:hint="eastAsia" w:ascii="宋体" w:hAnsi="宋体" w:cs="宋体"/>
                <w:color w:val="000000"/>
                <w:kern w:val="0"/>
                <w:szCs w:val="21"/>
              </w:rPr>
              <w:t>自动化暴力破解</w:t>
            </w:r>
          </w:p>
        </w:tc>
        <w:tc>
          <w:tcPr>
            <w:tcW w:w="3990" w:type="dxa"/>
            <w:tcBorders>
              <w:top w:val="nil"/>
              <w:left w:val="nil"/>
              <w:bottom w:val="single" w:color="auto" w:sz="8" w:space="0"/>
              <w:right w:val="single" w:color="auto" w:sz="8" w:space="0"/>
            </w:tcBorders>
            <w:shd w:val="clear" w:color="auto" w:fill="auto"/>
            <w:vAlign w:val="center"/>
          </w:tcPr>
          <w:p w14:paraId="405CDC22">
            <w:pPr>
              <w:widowControl/>
              <w:rPr>
                <w:rFonts w:hint="eastAsia" w:ascii="宋体" w:hAnsi="宋体" w:cs="宋体"/>
                <w:color w:val="000000"/>
                <w:kern w:val="0"/>
                <w:szCs w:val="21"/>
              </w:rPr>
            </w:pPr>
            <w:r>
              <w:rPr>
                <w:rFonts w:hint="eastAsia" w:ascii="宋体" w:hAnsi="宋体" w:cs="宋体"/>
                <w:color w:val="000000"/>
                <w:kern w:val="0"/>
                <w:szCs w:val="21"/>
              </w:rPr>
              <w:t>2.2.22可防止攻击者通过自动化程序，暴力破解或猜测敏感数据，不论是单一来源的高频请求或是多来源的低频请求均需能防护。</w:t>
            </w:r>
          </w:p>
        </w:tc>
        <w:tc>
          <w:tcPr>
            <w:tcW w:w="1575" w:type="dxa"/>
            <w:tcBorders>
              <w:top w:val="nil"/>
              <w:left w:val="nil"/>
              <w:bottom w:val="single" w:color="auto" w:sz="8" w:space="0"/>
              <w:right w:val="single" w:color="auto" w:sz="8" w:space="0"/>
            </w:tcBorders>
            <w:shd w:val="clear" w:color="auto" w:fill="auto"/>
            <w:vAlign w:val="center"/>
          </w:tcPr>
          <w:p w14:paraId="61277C04">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743E8AA3">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6CF7B381">
            <w:pPr>
              <w:widowControl/>
              <w:rPr>
                <w:rFonts w:hint="eastAsia" w:ascii="宋体" w:hAnsi="宋体" w:cs="宋体"/>
                <w:color w:val="000000"/>
                <w:kern w:val="0"/>
                <w:szCs w:val="21"/>
              </w:rPr>
            </w:pPr>
          </w:p>
        </w:tc>
      </w:tr>
      <w:tr w14:paraId="0400C58B">
        <w:tblPrEx>
          <w:tblCellMar>
            <w:top w:w="0" w:type="dxa"/>
            <w:left w:w="108" w:type="dxa"/>
            <w:bottom w:w="0" w:type="dxa"/>
            <w:right w:w="108" w:type="dxa"/>
          </w:tblCellMar>
        </w:tblPrEx>
        <w:trPr>
          <w:trHeight w:val="300"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60AF72BD">
            <w:pPr>
              <w:widowControl/>
              <w:jc w:val="center"/>
              <w:rPr>
                <w:rFonts w:ascii="宋体" w:hAnsi="宋体" w:cs="宋体"/>
                <w:color w:val="000000"/>
                <w:kern w:val="0"/>
                <w:szCs w:val="21"/>
              </w:rPr>
            </w:pPr>
            <w:r>
              <w:rPr>
                <w:rFonts w:hint="eastAsia" w:ascii="宋体" w:hAnsi="宋体" w:cs="宋体"/>
                <w:color w:val="000000"/>
                <w:kern w:val="0"/>
                <w:szCs w:val="21"/>
              </w:rPr>
              <w:t>重放攻击</w:t>
            </w:r>
          </w:p>
        </w:tc>
        <w:tc>
          <w:tcPr>
            <w:tcW w:w="3990" w:type="dxa"/>
            <w:tcBorders>
              <w:top w:val="nil"/>
              <w:left w:val="nil"/>
              <w:bottom w:val="single" w:color="auto" w:sz="8" w:space="0"/>
              <w:right w:val="single" w:color="auto" w:sz="8" w:space="0"/>
            </w:tcBorders>
            <w:shd w:val="clear" w:color="auto" w:fill="auto"/>
            <w:vAlign w:val="center"/>
          </w:tcPr>
          <w:p w14:paraId="3F77A862">
            <w:pPr>
              <w:widowControl/>
              <w:rPr>
                <w:rFonts w:hint="eastAsia" w:ascii="宋体" w:hAnsi="宋体" w:cs="宋体"/>
                <w:color w:val="000000"/>
                <w:kern w:val="0"/>
                <w:szCs w:val="21"/>
              </w:rPr>
            </w:pPr>
            <w:r>
              <w:rPr>
                <w:rFonts w:hint="eastAsia" w:ascii="宋体" w:hAnsi="宋体" w:cs="宋体"/>
                <w:color w:val="000000"/>
                <w:kern w:val="0"/>
                <w:szCs w:val="21"/>
              </w:rPr>
              <w:t>2.2.23可防止攻击者重放先前的交易内容，形成虚假交易或破坏后台数据的完整性。</w:t>
            </w:r>
          </w:p>
        </w:tc>
        <w:tc>
          <w:tcPr>
            <w:tcW w:w="1575" w:type="dxa"/>
            <w:tcBorders>
              <w:top w:val="nil"/>
              <w:left w:val="nil"/>
              <w:bottom w:val="single" w:color="auto" w:sz="8" w:space="0"/>
              <w:right w:val="single" w:color="auto" w:sz="8" w:space="0"/>
            </w:tcBorders>
            <w:shd w:val="clear" w:color="auto" w:fill="auto"/>
            <w:vAlign w:val="center"/>
          </w:tcPr>
          <w:p w14:paraId="360CE473">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6E4EA85A">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1ABD18C7">
            <w:pPr>
              <w:widowControl/>
              <w:rPr>
                <w:rFonts w:hint="eastAsia" w:ascii="宋体" w:hAnsi="宋体" w:cs="宋体"/>
                <w:color w:val="000000"/>
                <w:kern w:val="0"/>
                <w:szCs w:val="21"/>
              </w:rPr>
            </w:pPr>
          </w:p>
        </w:tc>
      </w:tr>
      <w:tr w14:paraId="31E33A88">
        <w:tblPrEx>
          <w:tblCellMar>
            <w:top w:w="0" w:type="dxa"/>
            <w:left w:w="108" w:type="dxa"/>
            <w:bottom w:w="0" w:type="dxa"/>
            <w:right w:w="108" w:type="dxa"/>
          </w:tblCellMar>
        </w:tblPrEx>
        <w:trPr>
          <w:trHeight w:val="585" w:hRule="atLeast"/>
        </w:trPr>
        <w:tc>
          <w:tcPr>
            <w:tcW w:w="1435" w:type="dxa"/>
            <w:tcBorders>
              <w:top w:val="nil"/>
              <w:left w:val="single" w:color="auto" w:sz="8" w:space="0"/>
              <w:bottom w:val="single" w:color="auto" w:sz="8" w:space="0"/>
              <w:right w:val="single" w:color="auto" w:sz="8" w:space="0"/>
            </w:tcBorders>
            <w:shd w:val="clear" w:color="auto" w:fill="auto"/>
            <w:vAlign w:val="center"/>
          </w:tcPr>
          <w:p w14:paraId="1EDC0B15">
            <w:pPr>
              <w:widowControl/>
              <w:jc w:val="center"/>
              <w:rPr>
                <w:rFonts w:ascii="宋体" w:hAnsi="宋体" w:cs="宋体"/>
                <w:color w:val="000000"/>
                <w:kern w:val="0"/>
                <w:szCs w:val="21"/>
              </w:rPr>
            </w:pPr>
            <w:r>
              <w:rPr>
                <w:rFonts w:hint="eastAsia" w:ascii="宋体" w:hAnsi="宋体" w:cs="宋体"/>
                <w:color w:val="000000"/>
                <w:kern w:val="0"/>
                <w:szCs w:val="21"/>
              </w:rPr>
              <w:t>集群和高可用</w:t>
            </w:r>
          </w:p>
        </w:tc>
        <w:tc>
          <w:tcPr>
            <w:tcW w:w="3990" w:type="dxa"/>
            <w:tcBorders>
              <w:top w:val="nil"/>
              <w:left w:val="nil"/>
              <w:bottom w:val="single" w:color="auto" w:sz="8" w:space="0"/>
              <w:right w:val="single" w:color="auto" w:sz="8" w:space="0"/>
            </w:tcBorders>
            <w:shd w:val="clear" w:color="auto" w:fill="auto"/>
            <w:vAlign w:val="center"/>
          </w:tcPr>
          <w:p w14:paraId="6D1DE792">
            <w:pPr>
              <w:widowControl/>
              <w:rPr>
                <w:rFonts w:hint="eastAsia" w:ascii="宋体" w:hAnsi="宋体" w:cs="宋体"/>
                <w:color w:val="000000"/>
                <w:kern w:val="0"/>
                <w:szCs w:val="21"/>
              </w:rPr>
            </w:pPr>
            <w:r>
              <w:rPr>
                <w:rFonts w:hint="eastAsia" w:ascii="宋体" w:hAnsi="宋体" w:cs="宋体"/>
                <w:color w:val="000000"/>
                <w:kern w:val="0"/>
                <w:szCs w:val="21"/>
              </w:rPr>
              <w:t>2.2.24支持集群架构，可以实现高可用，具体要求如下：弹性扩展：集群中所有代理服务器为全活模式，可以根据需求进行横向扩展。</w:t>
            </w:r>
          </w:p>
        </w:tc>
        <w:tc>
          <w:tcPr>
            <w:tcW w:w="1575" w:type="dxa"/>
            <w:tcBorders>
              <w:top w:val="nil"/>
              <w:left w:val="nil"/>
              <w:bottom w:val="single" w:color="auto" w:sz="8" w:space="0"/>
              <w:right w:val="single" w:color="auto" w:sz="8" w:space="0"/>
            </w:tcBorders>
            <w:shd w:val="clear" w:color="auto" w:fill="auto"/>
            <w:vAlign w:val="center"/>
          </w:tcPr>
          <w:p w14:paraId="33BCFF07">
            <w:pPr>
              <w:widowControl/>
              <w:rPr>
                <w:rFonts w:hint="eastAsia" w:ascii="宋体" w:hAnsi="宋体" w:cs="宋体"/>
                <w:color w:val="000000"/>
                <w:kern w:val="0"/>
                <w:szCs w:val="21"/>
              </w:rPr>
            </w:pPr>
          </w:p>
        </w:tc>
        <w:tc>
          <w:tcPr>
            <w:tcW w:w="1095" w:type="dxa"/>
            <w:tcBorders>
              <w:top w:val="nil"/>
              <w:left w:val="nil"/>
              <w:bottom w:val="single" w:color="auto" w:sz="8" w:space="0"/>
              <w:right w:val="single" w:color="auto" w:sz="8" w:space="0"/>
            </w:tcBorders>
            <w:shd w:val="clear" w:color="auto" w:fill="auto"/>
            <w:vAlign w:val="center"/>
          </w:tcPr>
          <w:p w14:paraId="7D5D8D6A">
            <w:pPr>
              <w:widowControl/>
              <w:rPr>
                <w:rFonts w:hint="eastAsia" w:ascii="宋体" w:hAnsi="宋体" w:cs="宋体"/>
                <w:color w:val="000000"/>
                <w:kern w:val="0"/>
                <w:szCs w:val="21"/>
              </w:rPr>
            </w:pPr>
          </w:p>
        </w:tc>
        <w:tc>
          <w:tcPr>
            <w:tcW w:w="690" w:type="dxa"/>
            <w:tcBorders>
              <w:top w:val="nil"/>
              <w:left w:val="nil"/>
              <w:bottom w:val="single" w:color="auto" w:sz="8" w:space="0"/>
              <w:right w:val="single" w:color="auto" w:sz="8" w:space="0"/>
            </w:tcBorders>
            <w:shd w:val="clear" w:color="auto" w:fill="auto"/>
            <w:vAlign w:val="center"/>
          </w:tcPr>
          <w:p w14:paraId="14807C29">
            <w:pPr>
              <w:widowControl/>
              <w:rPr>
                <w:rFonts w:hint="eastAsia" w:ascii="宋体" w:hAnsi="宋体" w:cs="宋体"/>
                <w:color w:val="000000"/>
                <w:kern w:val="0"/>
                <w:szCs w:val="21"/>
              </w:rPr>
            </w:pPr>
          </w:p>
        </w:tc>
      </w:tr>
    </w:tbl>
    <w:p w14:paraId="6B6DED72">
      <w:pPr>
        <w:rPr>
          <w:rFonts w:hint="eastAsia"/>
          <w:b/>
          <w:szCs w:val="21"/>
          <w:lang w:val="en-US" w:eastAsia="zh-CN"/>
        </w:rPr>
      </w:pPr>
    </w:p>
    <w:p w14:paraId="54E428C9">
      <w:pPr>
        <w:rPr>
          <w:rFonts w:hint="eastAsia"/>
          <w:b/>
          <w:szCs w:val="21"/>
          <w:lang w:val="en-US" w:eastAsia="zh-CN"/>
        </w:rPr>
      </w:pPr>
      <w:r>
        <w:rPr>
          <w:rFonts w:hint="eastAsia"/>
          <w:b/>
          <w:szCs w:val="21"/>
          <w:lang w:val="en-US" w:eastAsia="zh-CN"/>
        </w:rPr>
        <w:t>（三）</w:t>
      </w:r>
      <w:r>
        <w:rPr>
          <w:rFonts w:hint="eastAsia"/>
          <w:b/>
          <w:szCs w:val="21"/>
        </w:rPr>
        <w:t>内网威胁检测系统工具技术要求</w:t>
      </w:r>
    </w:p>
    <w:tbl>
      <w:tblPr>
        <w:tblStyle w:val="42"/>
        <w:tblW w:w="8780" w:type="dxa"/>
        <w:tblInd w:w="94" w:type="dxa"/>
        <w:tblLayout w:type="fixed"/>
        <w:tblCellMar>
          <w:top w:w="0" w:type="dxa"/>
          <w:left w:w="108" w:type="dxa"/>
          <w:bottom w:w="0" w:type="dxa"/>
          <w:right w:w="108" w:type="dxa"/>
        </w:tblCellMar>
      </w:tblPr>
      <w:tblGrid>
        <w:gridCol w:w="1430"/>
        <w:gridCol w:w="3990"/>
        <w:gridCol w:w="1575"/>
        <w:gridCol w:w="1095"/>
        <w:gridCol w:w="690"/>
      </w:tblGrid>
      <w:tr w14:paraId="7DC9A88F">
        <w:tblPrEx>
          <w:tblCellMar>
            <w:top w:w="0" w:type="dxa"/>
            <w:left w:w="108" w:type="dxa"/>
            <w:bottom w:w="0" w:type="dxa"/>
            <w:right w:w="108" w:type="dxa"/>
          </w:tblCellMar>
        </w:tblPrEx>
        <w:trPr>
          <w:trHeight w:val="300"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366E4">
            <w:pPr>
              <w:widowControl/>
              <w:jc w:val="center"/>
              <w:rPr>
                <w:rFonts w:ascii="宋体" w:hAnsi="宋体" w:cs="宋体"/>
                <w:b/>
                <w:bCs/>
                <w:color w:val="000000"/>
                <w:kern w:val="0"/>
                <w:szCs w:val="21"/>
              </w:rPr>
            </w:pPr>
            <w:r>
              <w:rPr>
                <w:rFonts w:hint="eastAsia" w:cs="宋体" w:asciiTheme="minorEastAsia" w:hAnsiTheme="minorEastAsia"/>
                <w:b/>
                <w:bCs/>
                <w:szCs w:val="21"/>
                <w:lang w:val="en-US" w:eastAsia="zh-CN"/>
              </w:rPr>
              <w:t>技术要求</w:t>
            </w:r>
            <w:r>
              <w:rPr>
                <w:rFonts w:hint="eastAsia" w:cs="宋体" w:asciiTheme="minorEastAsia" w:hAnsiTheme="minorEastAsia"/>
                <w:b/>
                <w:bCs/>
                <w:szCs w:val="21"/>
              </w:rPr>
              <w:t>项</w:t>
            </w:r>
          </w:p>
        </w:tc>
        <w:tc>
          <w:tcPr>
            <w:tcW w:w="3990" w:type="dxa"/>
            <w:tcBorders>
              <w:top w:val="single" w:color="auto" w:sz="4" w:space="0"/>
              <w:left w:val="nil"/>
              <w:bottom w:val="single" w:color="auto" w:sz="4" w:space="0"/>
              <w:right w:val="single" w:color="auto" w:sz="4" w:space="0"/>
            </w:tcBorders>
            <w:shd w:val="clear" w:color="auto" w:fill="auto"/>
            <w:vAlign w:val="center"/>
          </w:tcPr>
          <w:p w14:paraId="659D8A7B">
            <w:pPr>
              <w:widowControl/>
              <w:jc w:val="center"/>
              <w:rPr>
                <w:rFonts w:ascii="宋体" w:hAnsi="宋体" w:cs="宋体"/>
                <w:b/>
                <w:bCs/>
                <w:color w:val="000000"/>
                <w:kern w:val="0"/>
                <w:szCs w:val="21"/>
              </w:rPr>
            </w:pPr>
            <w:r>
              <w:rPr>
                <w:rFonts w:hint="eastAsia" w:cs="宋体" w:asciiTheme="minorEastAsia" w:hAnsiTheme="minorEastAsia"/>
                <w:b/>
                <w:bCs/>
                <w:szCs w:val="21"/>
              </w:rPr>
              <w:t>具体功能要求</w:t>
            </w:r>
            <w:r>
              <w:rPr>
                <w:rFonts w:hint="eastAsia"/>
                <w:b/>
                <w:bCs/>
                <w:lang w:eastAsia="zh-CN"/>
              </w:rPr>
              <w:t>（招标技术要求）</w:t>
            </w:r>
          </w:p>
        </w:tc>
        <w:tc>
          <w:tcPr>
            <w:tcW w:w="1575" w:type="dxa"/>
            <w:tcBorders>
              <w:top w:val="single" w:color="auto" w:sz="4" w:space="0"/>
              <w:left w:val="nil"/>
              <w:bottom w:val="single" w:color="auto" w:sz="4" w:space="0"/>
              <w:right w:val="single" w:color="auto" w:sz="4" w:space="0"/>
            </w:tcBorders>
            <w:shd w:val="clear" w:color="auto" w:fill="auto"/>
            <w:vAlign w:val="center"/>
          </w:tcPr>
          <w:p w14:paraId="59F4DA55">
            <w:pPr>
              <w:widowControl/>
              <w:jc w:val="center"/>
              <w:rPr>
                <w:rFonts w:hint="eastAsia" w:ascii="宋体" w:hAnsi="宋体" w:cs="宋体"/>
                <w:b/>
                <w:bCs/>
                <w:color w:val="000000"/>
                <w:kern w:val="0"/>
                <w:szCs w:val="21"/>
              </w:rPr>
            </w:pPr>
            <w:r>
              <w:rPr>
                <w:rFonts w:hint="eastAsia" w:cs="宋体" w:asciiTheme="minorEastAsia" w:hAnsiTheme="minorEastAsia"/>
                <w:b/>
                <w:bCs/>
                <w:szCs w:val="21"/>
                <w:lang w:val="en-US" w:eastAsia="zh-CN"/>
              </w:rPr>
              <w:t>投标技术响应</w:t>
            </w:r>
          </w:p>
        </w:tc>
        <w:tc>
          <w:tcPr>
            <w:tcW w:w="1095" w:type="dxa"/>
            <w:tcBorders>
              <w:top w:val="single" w:color="auto" w:sz="4" w:space="0"/>
              <w:left w:val="nil"/>
              <w:bottom w:val="single" w:color="auto" w:sz="4" w:space="0"/>
              <w:right w:val="single" w:color="auto" w:sz="4" w:space="0"/>
            </w:tcBorders>
            <w:shd w:val="clear" w:color="auto" w:fill="auto"/>
            <w:vAlign w:val="center"/>
          </w:tcPr>
          <w:p w14:paraId="026B6264">
            <w:pPr>
              <w:widowControl/>
              <w:jc w:val="center"/>
              <w:rPr>
                <w:rFonts w:hint="eastAsia" w:ascii="宋体" w:hAnsi="宋体" w:cs="宋体"/>
                <w:b/>
                <w:bCs/>
                <w:color w:val="000000"/>
                <w:kern w:val="0"/>
                <w:szCs w:val="21"/>
              </w:rPr>
            </w:pPr>
            <w:r>
              <w:rPr>
                <w:rFonts w:hint="eastAsia" w:cs="宋体" w:asciiTheme="minorEastAsia" w:hAnsiTheme="minorEastAsia"/>
                <w:b/>
                <w:bCs/>
                <w:szCs w:val="21"/>
                <w:lang w:val="en-US" w:eastAsia="zh-CN"/>
              </w:rPr>
              <w:t>偏离情况</w:t>
            </w:r>
          </w:p>
        </w:tc>
        <w:tc>
          <w:tcPr>
            <w:tcW w:w="690" w:type="dxa"/>
            <w:tcBorders>
              <w:top w:val="single" w:color="auto" w:sz="4" w:space="0"/>
              <w:left w:val="nil"/>
              <w:bottom w:val="single" w:color="auto" w:sz="4" w:space="0"/>
              <w:right w:val="single" w:color="auto" w:sz="4" w:space="0"/>
            </w:tcBorders>
            <w:shd w:val="clear" w:color="auto" w:fill="auto"/>
            <w:vAlign w:val="center"/>
          </w:tcPr>
          <w:p w14:paraId="0FD3464C">
            <w:pPr>
              <w:widowControl/>
              <w:jc w:val="center"/>
              <w:rPr>
                <w:rFonts w:hint="eastAsia" w:ascii="宋体" w:hAnsi="宋体" w:cs="宋体"/>
                <w:b/>
                <w:bCs/>
                <w:color w:val="000000"/>
                <w:kern w:val="0"/>
                <w:szCs w:val="21"/>
              </w:rPr>
            </w:pPr>
            <w:r>
              <w:rPr>
                <w:rFonts w:hint="eastAsia" w:cs="宋体" w:asciiTheme="minorEastAsia" w:hAnsiTheme="minorEastAsia"/>
                <w:b/>
                <w:bCs/>
                <w:szCs w:val="21"/>
                <w:lang w:val="en-US" w:eastAsia="zh-CN"/>
              </w:rPr>
              <w:t>说明</w:t>
            </w:r>
          </w:p>
        </w:tc>
      </w:tr>
      <w:tr w14:paraId="0B6648EB">
        <w:tblPrEx>
          <w:tblCellMar>
            <w:top w:w="0" w:type="dxa"/>
            <w:left w:w="108" w:type="dxa"/>
            <w:bottom w:w="0" w:type="dxa"/>
            <w:right w:w="108" w:type="dxa"/>
          </w:tblCellMar>
        </w:tblPrEx>
        <w:trPr>
          <w:trHeight w:val="300"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ign w:val="center"/>
          </w:tcPr>
          <w:p w14:paraId="385C181C">
            <w:pPr>
              <w:widowControl/>
              <w:jc w:val="center"/>
              <w:rPr>
                <w:rFonts w:ascii="宋体" w:hAnsi="宋体" w:cs="宋体"/>
                <w:color w:val="000000"/>
                <w:kern w:val="0"/>
                <w:szCs w:val="21"/>
              </w:rPr>
            </w:pPr>
            <w:r>
              <w:rPr>
                <w:rFonts w:hint="eastAsia" w:ascii="宋体" w:hAnsi="宋体" w:cs="宋体"/>
                <w:color w:val="000000"/>
                <w:kern w:val="0"/>
                <w:szCs w:val="21"/>
              </w:rPr>
              <w:t>解析能力</w:t>
            </w:r>
          </w:p>
        </w:tc>
        <w:tc>
          <w:tcPr>
            <w:tcW w:w="3990" w:type="dxa"/>
            <w:tcBorders>
              <w:top w:val="nil"/>
              <w:left w:val="nil"/>
              <w:bottom w:val="single" w:color="auto" w:sz="4" w:space="0"/>
              <w:right w:val="single" w:color="auto" w:sz="4" w:space="0"/>
            </w:tcBorders>
            <w:shd w:val="clear" w:color="auto" w:fill="auto"/>
            <w:vAlign w:val="center"/>
          </w:tcPr>
          <w:p w14:paraId="28413B9F">
            <w:pPr>
              <w:widowControl/>
              <w:jc w:val="left"/>
              <w:rPr>
                <w:rFonts w:ascii="宋体" w:hAnsi="宋体" w:cs="宋体"/>
                <w:color w:val="000000"/>
                <w:kern w:val="0"/>
                <w:szCs w:val="21"/>
              </w:rPr>
            </w:pPr>
            <w:r>
              <w:rPr>
                <w:rFonts w:hint="eastAsia" w:ascii="宋体" w:hAnsi="宋体" w:cs="宋体"/>
                <w:color w:val="000000"/>
                <w:kern w:val="0"/>
                <w:szCs w:val="21"/>
              </w:rPr>
              <w:t>2.3.1支持流量解析能力≥1Gbps</w:t>
            </w:r>
          </w:p>
        </w:tc>
        <w:tc>
          <w:tcPr>
            <w:tcW w:w="1575" w:type="dxa"/>
            <w:tcBorders>
              <w:top w:val="nil"/>
              <w:left w:val="nil"/>
              <w:bottom w:val="single" w:color="auto" w:sz="4" w:space="0"/>
              <w:right w:val="single" w:color="auto" w:sz="4" w:space="0"/>
            </w:tcBorders>
            <w:shd w:val="clear" w:color="auto" w:fill="auto"/>
            <w:vAlign w:val="center"/>
          </w:tcPr>
          <w:p w14:paraId="0F400CDB">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7C1FB172">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0219EEA6">
            <w:pPr>
              <w:widowControl/>
              <w:jc w:val="left"/>
              <w:rPr>
                <w:rFonts w:hint="eastAsia" w:ascii="宋体" w:hAnsi="宋体" w:cs="宋体"/>
                <w:color w:val="000000"/>
                <w:kern w:val="0"/>
                <w:szCs w:val="21"/>
              </w:rPr>
            </w:pPr>
          </w:p>
        </w:tc>
      </w:tr>
      <w:tr w14:paraId="5FB6D80C">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72556BA1">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2ABD9262">
            <w:pPr>
              <w:widowControl/>
              <w:jc w:val="left"/>
              <w:rPr>
                <w:rFonts w:ascii="宋体" w:hAnsi="宋体" w:cs="宋体"/>
                <w:color w:val="000000"/>
                <w:kern w:val="0"/>
                <w:szCs w:val="21"/>
              </w:rPr>
            </w:pPr>
            <w:r>
              <w:rPr>
                <w:rFonts w:hint="eastAsia" w:ascii="宋体" w:hAnsi="宋体" w:cs="宋体"/>
                <w:color w:val="000000"/>
                <w:kern w:val="0"/>
                <w:szCs w:val="21"/>
              </w:rPr>
              <w:t>2.3.2支持解析的协议类型有：HTTP、FTP、SMTP、POP3、IMAP、HTTPS</w:t>
            </w:r>
          </w:p>
        </w:tc>
        <w:tc>
          <w:tcPr>
            <w:tcW w:w="1575" w:type="dxa"/>
            <w:tcBorders>
              <w:top w:val="nil"/>
              <w:left w:val="nil"/>
              <w:bottom w:val="single" w:color="auto" w:sz="4" w:space="0"/>
              <w:right w:val="single" w:color="auto" w:sz="4" w:space="0"/>
            </w:tcBorders>
            <w:shd w:val="clear" w:color="auto" w:fill="auto"/>
            <w:vAlign w:val="center"/>
          </w:tcPr>
          <w:p w14:paraId="73843BD4">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4E339851">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21DBB1B5">
            <w:pPr>
              <w:widowControl/>
              <w:jc w:val="left"/>
              <w:rPr>
                <w:rFonts w:hint="eastAsia" w:ascii="宋体" w:hAnsi="宋体" w:cs="宋体"/>
                <w:color w:val="000000"/>
                <w:kern w:val="0"/>
                <w:szCs w:val="21"/>
              </w:rPr>
            </w:pPr>
          </w:p>
        </w:tc>
      </w:tr>
      <w:tr w14:paraId="482FEFA4">
        <w:tblPrEx>
          <w:tblCellMar>
            <w:top w:w="0" w:type="dxa"/>
            <w:left w:w="108" w:type="dxa"/>
            <w:bottom w:w="0" w:type="dxa"/>
            <w:right w:w="108" w:type="dxa"/>
          </w:tblCellMar>
        </w:tblPrEx>
        <w:trPr>
          <w:trHeight w:val="300"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ign w:val="center"/>
          </w:tcPr>
          <w:p w14:paraId="534EB334">
            <w:pPr>
              <w:widowControl/>
              <w:jc w:val="center"/>
              <w:rPr>
                <w:rFonts w:ascii="宋体" w:hAnsi="宋体" w:cs="宋体"/>
                <w:color w:val="000000"/>
                <w:kern w:val="0"/>
                <w:szCs w:val="21"/>
              </w:rPr>
            </w:pPr>
            <w:r>
              <w:rPr>
                <w:rFonts w:hint="eastAsia" w:ascii="宋体" w:hAnsi="宋体" w:cs="宋体"/>
                <w:color w:val="000000"/>
                <w:kern w:val="0"/>
                <w:szCs w:val="21"/>
              </w:rPr>
              <w:t>任务中心</w:t>
            </w:r>
          </w:p>
        </w:tc>
        <w:tc>
          <w:tcPr>
            <w:tcW w:w="3990" w:type="dxa"/>
            <w:tcBorders>
              <w:top w:val="nil"/>
              <w:left w:val="nil"/>
              <w:bottom w:val="single" w:color="auto" w:sz="4" w:space="0"/>
              <w:right w:val="single" w:color="auto" w:sz="4" w:space="0"/>
            </w:tcBorders>
            <w:shd w:val="clear" w:color="auto" w:fill="auto"/>
            <w:vAlign w:val="center"/>
          </w:tcPr>
          <w:p w14:paraId="07ED2A1E">
            <w:pPr>
              <w:widowControl/>
              <w:jc w:val="left"/>
              <w:rPr>
                <w:rFonts w:ascii="宋体" w:hAnsi="宋体" w:cs="宋体"/>
                <w:color w:val="000000"/>
                <w:kern w:val="0"/>
                <w:szCs w:val="21"/>
              </w:rPr>
            </w:pPr>
            <w:r>
              <w:rPr>
                <w:rFonts w:hint="eastAsia" w:ascii="宋体" w:hAnsi="宋体" w:cs="宋体"/>
                <w:color w:val="000000"/>
                <w:kern w:val="0"/>
                <w:szCs w:val="21"/>
              </w:rPr>
              <w:t>2.3.3支持任务的管理，包括任务创建、编辑、预览、删除、筛选</w:t>
            </w:r>
          </w:p>
        </w:tc>
        <w:tc>
          <w:tcPr>
            <w:tcW w:w="1575" w:type="dxa"/>
            <w:tcBorders>
              <w:top w:val="nil"/>
              <w:left w:val="nil"/>
              <w:bottom w:val="single" w:color="auto" w:sz="4" w:space="0"/>
              <w:right w:val="single" w:color="auto" w:sz="4" w:space="0"/>
            </w:tcBorders>
            <w:shd w:val="clear" w:color="auto" w:fill="auto"/>
            <w:vAlign w:val="center"/>
          </w:tcPr>
          <w:p w14:paraId="6578ED26">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4AA3E378">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3BE75837">
            <w:pPr>
              <w:widowControl/>
              <w:jc w:val="left"/>
              <w:rPr>
                <w:rFonts w:hint="eastAsia" w:ascii="宋体" w:hAnsi="宋体" w:cs="宋体"/>
                <w:color w:val="000000"/>
                <w:kern w:val="0"/>
                <w:szCs w:val="21"/>
              </w:rPr>
            </w:pPr>
          </w:p>
        </w:tc>
      </w:tr>
      <w:tr w14:paraId="3B0852E7">
        <w:tblPrEx>
          <w:tblCellMar>
            <w:top w:w="0" w:type="dxa"/>
            <w:left w:w="108" w:type="dxa"/>
            <w:bottom w:w="0" w:type="dxa"/>
            <w:right w:w="108" w:type="dxa"/>
          </w:tblCellMar>
        </w:tblPrEx>
        <w:trPr>
          <w:trHeight w:val="456" w:hRule="atLeast"/>
        </w:trPr>
        <w:tc>
          <w:tcPr>
            <w:tcW w:w="1430" w:type="dxa"/>
            <w:vMerge w:val="continue"/>
            <w:tcBorders>
              <w:top w:val="nil"/>
              <w:left w:val="single" w:color="auto" w:sz="4" w:space="0"/>
              <w:bottom w:val="single" w:color="auto" w:sz="4" w:space="0"/>
              <w:right w:val="single" w:color="auto" w:sz="4" w:space="0"/>
            </w:tcBorders>
            <w:vAlign w:val="center"/>
          </w:tcPr>
          <w:p w14:paraId="275BBFB2">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5CCB92A3">
            <w:pPr>
              <w:widowControl/>
              <w:jc w:val="left"/>
              <w:rPr>
                <w:rFonts w:ascii="宋体" w:hAnsi="宋体" w:cs="宋体"/>
                <w:color w:val="000000"/>
                <w:kern w:val="0"/>
                <w:szCs w:val="21"/>
              </w:rPr>
            </w:pPr>
            <w:r>
              <w:rPr>
                <w:rFonts w:hint="eastAsia" w:ascii="宋体" w:hAnsi="宋体" w:cs="宋体"/>
                <w:b/>
                <w:bCs/>
                <w:color w:val="FF0000"/>
                <w:kern w:val="0"/>
                <w:szCs w:val="21"/>
              </w:rPr>
              <w:t>▲2.3.4支持流量检测和主动扫描，支持的检测流量来源有镜像的实时流量和离线的流量包（提供截图证明）</w:t>
            </w:r>
          </w:p>
        </w:tc>
        <w:tc>
          <w:tcPr>
            <w:tcW w:w="1575" w:type="dxa"/>
            <w:tcBorders>
              <w:top w:val="nil"/>
              <w:left w:val="nil"/>
              <w:bottom w:val="single" w:color="auto" w:sz="4" w:space="0"/>
              <w:right w:val="single" w:color="auto" w:sz="4" w:space="0"/>
            </w:tcBorders>
            <w:shd w:val="clear" w:color="auto" w:fill="auto"/>
            <w:vAlign w:val="center"/>
          </w:tcPr>
          <w:p w14:paraId="76DE354B">
            <w:pPr>
              <w:widowControl/>
              <w:jc w:val="left"/>
              <w:rPr>
                <w:rFonts w:hint="eastAsia" w:ascii="宋体" w:hAnsi="宋体" w:cs="宋体"/>
                <w:b/>
                <w:bCs/>
                <w:color w:val="FF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14968C58">
            <w:pPr>
              <w:widowControl/>
              <w:jc w:val="left"/>
              <w:rPr>
                <w:rFonts w:hint="eastAsia" w:ascii="宋体" w:hAnsi="宋体" w:cs="宋体"/>
                <w:b/>
                <w:bCs/>
                <w:color w:val="FF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2C78BAA3">
            <w:pPr>
              <w:widowControl/>
              <w:jc w:val="left"/>
              <w:rPr>
                <w:rFonts w:hint="eastAsia" w:ascii="宋体" w:hAnsi="宋体" w:cs="宋体"/>
                <w:b/>
                <w:bCs/>
                <w:color w:val="FF0000"/>
                <w:kern w:val="0"/>
                <w:szCs w:val="21"/>
              </w:rPr>
            </w:pPr>
          </w:p>
        </w:tc>
      </w:tr>
      <w:tr w14:paraId="01ECE2D5">
        <w:tblPrEx>
          <w:tblCellMar>
            <w:top w:w="0" w:type="dxa"/>
            <w:left w:w="108" w:type="dxa"/>
            <w:bottom w:w="0" w:type="dxa"/>
            <w:right w:w="108" w:type="dxa"/>
          </w:tblCellMar>
        </w:tblPrEx>
        <w:trPr>
          <w:trHeight w:val="300"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ign w:val="center"/>
          </w:tcPr>
          <w:p w14:paraId="4215E6F2">
            <w:pPr>
              <w:widowControl/>
              <w:jc w:val="center"/>
              <w:rPr>
                <w:rFonts w:ascii="宋体" w:hAnsi="宋体" w:cs="宋体"/>
                <w:color w:val="000000"/>
                <w:kern w:val="0"/>
                <w:szCs w:val="21"/>
              </w:rPr>
            </w:pPr>
            <w:r>
              <w:rPr>
                <w:rFonts w:hint="eastAsia" w:ascii="宋体" w:hAnsi="宋体" w:cs="宋体"/>
                <w:color w:val="000000"/>
                <w:kern w:val="0"/>
                <w:szCs w:val="21"/>
              </w:rPr>
              <w:t>数据库资产梳理</w:t>
            </w:r>
          </w:p>
        </w:tc>
        <w:tc>
          <w:tcPr>
            <w:tcW w:w="3990" w:type="dxa"/>
            <w:tcBorders>
              <w:top w:val="nil"/>
              <w:left w:val="nil"/>
              <w:bottom w:val="single" w:color="auto" w:sz="4" w:space="0"/>
              <w:right w:val="single" w:color="auto" w:sz="4" w:space="0"/>
            </w:tcBorders>
            <w:shd w:val="clear" w:color="auto" w:fill="auto"/>
            <w:vAlign w:val="center"/>
          </w:tcPr>
          <w:p w14:paraId="5EA385CA">
            <w:pPr>
              <w:widowControl/>
              <w:jc w:val="left"/>
              <w:rPr>
                <w:rFonts w:ascii="宋体" w:hAnsi="宋体" w:cs="宋体"/>
                <w:color w:val="000000"/>
                <w:kern w:val="0"/>
                <w:szCs w:val="21"/>
              </w:rPr>
            </w:pPr>
            <w:r>
              <w:rPr>
                <w:rFonts w:hint="eastAsia" w:ascii="宋体" w:hAnsi="宋体" w:cs="宋体"/>
                <w:color w:val="000000"/>
                <w:kern w:val="0"/>
                <w:szCs w:val="21"/>
              </w:rPr>
              <w:t>2.3.5支持自动扫描网段内存在的数据库实例的IP地址、端口、类型等，并识别出个人信息字段</w:t>
            </w:r>
          </w:p>
        </w:tc>
        <w:tc>
          <w:tcPr>
            <w:tcW w:w="1575" w:type="dxa"/>
            <w:tcBorders>
              <w:top w:val="nil"/>
              <w:left w:val="nil"/>
              <w:bottom w:val="single" w:color="auto" w:sz="4" w:space="0"/>
              <w:right w:val="single" w:color="auto" w:sz="4" w:space="0"/>
            </w:tcBorders>
            <w:shd w:val="clear" w:color="auto" w:fill="auto"/>
            <w:vAlign w:val="center"/>
          </w:tcPr>
          <w:p w14:paraId="69C0B704">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20550716">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14933736">
            <w:pPr>
              <w:widowControl/>
              <w:jc w:val="left"/>
              <w:rPr>
                <w:rFonts w:hint="eastAsia" w:ascii="宋体" w:hAnsi="宋体" w:cs="宋体"/>
                <w:color w:val="000000"/>
                <w:kern w:val="0"/>
                <w:szCs w:val="21"/>
              </w:rPr>
            </w:pPr>
          </w:p>
        </w:tc>
      </w:tr>
      <w:tr w14:paraId="0D25FA0A">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499E4BB0">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74B0BC8E">
            <w:pPr>
              <w:widowControl/>
              <w:jc w:val="left"/>
              <w:rPr>
                <w:rFonts w:ascii="宋体" w:hAnsi="宋体" w:cs="宋体"/>
                <w:color w:val="000000"/>
                <w:kern w:val="0"/>
                <w:szCs w:val="21"/>
              </w:rPr>
            </w:pPr>
            <w:r>
              <w:rPr>
                <w:rFonts w:hint="eastAsia" w:ascii="宋体" w:hAnsi="宋体" w:cs="宋体"/>
                <w:color w:val="000000"/>
                <w:kern w:val="0"/>
                <w:szCs w:val="21"/>
              </w:rPr>
              <w:t>2.3.6支持提供数据库个人信息的资产清单，展示内容包括字段名称、字段类别、字段描述、所属表、所属实例、字段样例等信息</w:t>
            </w:r>
          </w:p>
        </w:tc>
        <w:tc>
          <w:tcPr>
            <w:tcW w:w="1575" w:type="dxa"/>
            <w:tcBorders>
              <w:top w:val="nil"/>
              <w:left w:val="nil"/>
              <w:bottom w:val="single" w:color="auto" w:sz="4" w:space="0"/>
              <w:right w:val="single" w:color="auto" w:sz="4" w:space="0"/>
            </w:tcBorders>
            <w:shd w:val="clear" w:color="auto" w:fill="auto"/>
            <w:vAlign w:val="center"/>
          </w:tcPr>
          <w:p w14:paraId="695A93C2">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13339F4A">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65725A72">
            <w:pPr>
              <w:widowControl/>
              <w:jc w:val="left"/>
              <w:rPr>
                <w:rFonts w:hint="eastAsia" w:ascii="宋体" w:hAnsi="宋体" w:cs="宋体"/>
                <w:color w:val="000000"/>
                <w:kern w:val="0"/>
                <w:szCs w:val="21"/>
              </w:rPr>
            </w:pPr>
          </w:p>
        </w:tc>
      </w:tr>
      <w:tr w14:paraId="70A63134">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708F6382">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22CFFD2E">
            <w:pPr>
              <w:widowControl/>
              <w:jc w:val="left"/>
              <w:rPr>
                <w:rFonts w:ascii="宋体" w:hAnsi="宋体" w:cs="宋体"/>
                <w:color w:val="000000"/>
                <w:kern w:val="0"/>
                <w:szCs w:val="21"/>
              </w:rPr>
            </w:pPr>
            <w:r>
              <w:rPr>
                <w:rFonts w:hint="eastAsia" w:ascii="宋体" w:hAnsi="宋体" w:cs="宋体"/>
                <w:color w:val="000000"/>
                <w:kern w:val="0"/>
                <w:szCs w:val="21"/>
              </w:rPr>
              <w:t>2.3.7支持展示此次检测发现的数据库实例数量、个人信息字段数量、数据量、类别分布等信息</w:t>
            </w:r>
          </w:p>
        </w:tc>
        <w:tc>
          <w:tcPr>
            <w:tcW w:w="1575" w:type="dxa"/>
            <w:tcBorders>
              <w:top w:val="nil"/>
              <w:left w:val="nil"/>
              <w:bottom w:val="single" w:color="auto" w:sz="4" w:space="0"/>
              <w:right w:val="single" w:color="auto" w:sz="4" w:space="0"/>
            </w:tcBorders>
            <w:shd w:val="clear" w:color="auto" w:fill="auto"/>
            <w:vAlign w:val="center"/>
          </w:tcPr>
          <w:p w14:paraId="636D9FDF">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37CAC67D">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0942FD58">
            <w:pPr>
              <w:widowControl/>
              <w:jc w:val="left"/>
              <w:rPr>
                <w:rFonts w:hint="eastAsia" w:ascii="宋体" w:hAnsi="宋体" w:cs="宋体"/>
                <w:color w:val="000000"/>
                <w:kern w:val="0"/>
                <w:szCs w:val="21"/>
              </w:rPr>
            </w:pPr>
          </w:p>
        </w:tc>
      </w:tr>
      <w:tr w14:paraId="1246CA35">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46640D85">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0333A597">
            <w:pPr>
              <w:widowControl/>
              <w:jc w:val="left"/>
              <w:rPr>
                <w:rFonts w:ascii="宋体" w:hAnsi="宋体" w:cs="宋体"/>
                <w:color w:val="000000"/>
                <w:kern w:val="0"/>
                <w:szCs w:val="21"/>
              </w:rPr>
            </w:pPr>
            <w:r>
              <w:rPr>
                <w:rFonts w:hint="eastAsia" w:ascii="宋体" w:hAnsi="宋体" w:cs="宋体"/>
                <w:b/>
                <w:bCs/>
                <w:color w:val="FF0000"/>
                <w:kern w:val="0"/>
                <w:szCs w:val="21"/>
              </w:rPr>
              <w:t>▲2.3.8支持结构化、非结构化以及国产数据库的检测，种类≥30种包括：oracle,sqlserver,mysql,db2,postgresql,mariadb,tidb,greenplum,oceanbase,redshift,kudu,informix,impala,azuresql,hive,hbase,dm,kingbase,gbase,gaussdb,gbase8s,mongodb,redis,elasticsearch,dynamodb,druid,couchbase,scylla,clickhouse,gaussdb_for_cassandra（提供截图证明）</w:t>
            </w:r>
          </w:p>
        </w:tc>
        <w:tc>
          <w:tcPr>
            <w:tcW w:w="1575" w:type="dxa"/>
            <w:tcBorders>
              <w:top w:val="nil"/>
              <w:left w:val="nil"/>
              <w:bottom w:val="single" w:color="auto" w:sz="4" w:space="0"/>
              <w:right w:val="single" w:color="auto" w:sz="4" w:space="0"/>
            </w:tcBorders>
            <w:shd w:val="clear" w:color="auto" w:fill="auto"/>
            <w:vAlign w:val="center"/>
          </w:tcPr>
          <w:p w14:paraId="0E92CB80">
            <w:pPr>
              <w:widowControl/>
              <w:jc w:val="left"/>
              <w:rPr>
                <w:rFonts w:hint="eastAsia" w:ascii="宋体" w:hAnsi="宋体" w:cs="宋体"/>
                <w:b/>
                <w:bCs/>
                <w:color w:val="FF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41722DF1">
            <w:pPr>
              <w:widowControl/>
              <w:jc w:val="left"/>
              <w:rPr>
                <w:rFonts w:hint="eastAsia" w:ascii="宋体" w:hAnsi="宋体" w:cs="宋体"/>
                <w:b/>
                <w:bCs/>
                <w:color w:val="FF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06624FBB">
            <w:pPr>
              <w:widowControl/>
              <w:jc w:val="left"/>
              <w:rPr>
                <w:rFonts w:hint="eastAsia" w:ascii="宋体" w:hAnsi="宋体" w:cs="宋体"/>
                <w:b/>
                <w:bCs/>
                <w:color w:val="FF0000"/>
                <w:kern w:val="0"/>
                <w:szCs w:val="21"/>
              </w:rPr>
            </w:pPr>
          </w:p>
        </w:tc>
      </w:tr>
      <w:tr w14:paraId="0A2BF378">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7E5333F1">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3C4E4CC3">
            <w:pPr>
              <w:widowControl/>
              <w:jc w:val="left"/>
              <w:rPr>
                <w:rFonts w:ascii="宋体" w:hAnsi="宋体" w:cs="宋体"/>
                <w:color w:val="000000"/>
                <w:kern w:val="0"/>
                <w:szCs w:val="21"/>
              </w:rPr>
            </w:pPr>
            <w:r>
              <w:rPr>
                <w:rFonts w:hint="eastAsia" w:ascii="宋体" w:hAnsi="宋体" w:cs="宋体"/>
                <w:color w:val="000000"/>
                <w:kern w:val="0"/>
                <w:szCs w:val="21"/>
              </w:rPr>
              <w:t>2.3.9支持导出word格式的检测报告</w:t>
            </w:r>
          </w:p>
        </w:tc>
        <w:tc>
          <w:tcPr>
            <w:tcW w:w="1575" w:type="dxa"/>
            <w:tcBorders>
              <w:top w:val="nil"/>
              <w:left w:val="nil"/>
              <w:bottom w:val="single" w:color="auto" w:sz="4" w:space="0"/>
              <w:right w:val="single" w:color="auto" w:sz="4" w:space="0"/>
            </w:tcBorders>
            <w:shd w:val="clear" w:color="auto" w:fill="auto"/>
            <w:vAlign w:val="center"/>
          </w:tcPr>
          <w:p w14:paraId="1CC10412">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45146FF1">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1055FF5C">
            <w:pPr>
              <w:widowControl/>
              <w:jc w:val="left"/>
              <w:rPr>
                <w:rFonts w:hint="eastAsia" w:ascii="宋体" w:hAnsi="宋体" w:cs="宋体"/>
                <w:color w:val="000000"/>
                <w:kern w:val="0"/>
                <w:szCs w:val="21"/>
              </w:rPr>
            </w:pPr>
          </w:p>
        </w:tc>
      </w:tr>
      <w:tr w14:paraId="2FBA31C3">
        <w:tblPrEx>
          <w:tblCellMar>
            <w:top w:w="0" w:type="dxa"/>
            <w:left w:w="108" w:type="dxa"/>
            <w:bottom w:w="0" w:type="dxa"/>
            <w:right w:w="108" w:type="dxa"/>
          </w:tblCellMar>
        </w:tblPrEx>
        <w:trPr>
          <w:trHeight w:val="300"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ign w:val="center"/>
          </w:tcPr>
          <w:p w14:paraId="02ED974A">
            <w:pPr>
              <w:widowControl/>
              <w:jc w:val="center"/>
              <w:rPr>
                <w:rFonts w:ascii="宋体" w:hAnsi="宋体" w:cs="宋体"/>
                <w:color w:val="000000"/>
                <w:kern w:val="0"/>
                <w:szCs w:val="21"/>
              </w:rPr>
            </w:pPr>
            <w:r>
              <w:rPr>
                <w:rFonts w:hint="eastAsia" w:ascii="宋体" w:hAnsi="宋体" w:cs="宋体"/>
                <w:color w:val="000000"/>
                <w:kern w:val="0"/>
                <w:szCs w:val="21"/>
              </w:rPr>
              <w:t>流动数据资产梳理</w:t>
            </w:r>
          </w:p>
        </w:tc>
        <w:tc>
          <w:tcPr>
            <w:tcW w:w="3990" w:type="dxa"/>
            <w:tcBorders>
              <w:top w:val="nil"/>
              <w:left w:val="nil"/>
              <w:bottom w:val="single" w:color="auto" w:sz="4" w:space="0"/>
              <w:right w:val="single" w:color="auto" w:sz="4" w:space="0"/>
            </w:tcBorders>
            <w:shd w:val="clear" w:color="auto" w:fill="auto"/>
            <w:vAlign w:val="center"/>
          </w:tcPr>
          <w:p w14:paraId="3CDB1AC6">
            <w:pPr>
              <w:widowControl/>
              <w:jc w:val="left"/>
              <w:rPr>
                <w:rFonts w:ascii="宋体" w:hAnsi="宋体" w:cs="宋体"/>
                <w:color w:val="000000"/>
                <w:kern w:val="0"/>
                <w:szCs w:val="21"/>
              </w:rPr>
            </w:pPr>
            <w:r>
              <w:rPr>
                <w:rFonts w:hint="eastAsia" w:ascii="宋体" w:hAnsi="宋体" w:cs="宋体"/>
                <w:color w:val="000000"/>
                <w:kern w:val="0"/>
                <w:szCs w:val="21"/>
              </w:rPr>
              <w:t>2.3.10支持展示此次检测发现的所有资产的数量：应用系统、敏感应用、API接口、敏感API和敏感数据量级</w:t>
            </w:r>
          </w:p>
        </w:tc>
        <w:tc>
          <w:tcPr>
            <w:tcW w:w="1575" w:type="dxa"/>
            <w:tcBorders>
              <w:top w:val="nil"/>
              <w:left w:val="nil"/>
              <w:bottom w:val="single" w:color="auto" w:sz="4" w:space="0"/>
              <w:right w:val="single" w:color="auto" w:sz="4" w:space="0"/>
            </w:tcBorders>
            <w:shd w:val="clear" w:color="auto" w:fill="auto"/>
            <w:vAlign w:val="center"/>
          </w:tcPr>
          <w:p w14:paraId="21D77AB7">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4C9F912E">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35397362">
            <w:pPr>
              <w:widowControl/>
              <w:jc w:val="left"/>
              <w:rPr>
                <w:rFonts w:hint="eastAsia" w:ascii="宋体" w:hAnsi="宋体" w:cs="宋体"/>
                <w:color w:val="000000"/>
                <w:kern w:val="0"/>
                <w:szCs w:val="21"/>
              </w:rPr>
            </w:pPr>
          </w:p>
        </w:tc>
      </w:tr>
      <w:tr w14:paraId="49FF7D1A">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711E1BD6">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0B2381FB">
            <w:pPr>
              <w:widowControl/>
              <w:jc w:val="left"/>
              <w:rPr>
                <w:rFonts w:ascii="宋体" w:hAnsi="宋体" w:cs="宋体"/>
                <w:color w:val="000000"/>
                <w:kern w:val="0"/>
                <w:szCs w:val="21"/>
              </w:rPr>
            </w:pPr>
            <w:r>
              <w:rPr>
                <w:rFonts w:hint="eastAsia" w:ascii="宋体" w:hAnsi="宋体" w:cs="宋体"/>
                <w:color w:val="000000"/>
                <w:kern w:val="0"/>
                <w:szCs w:val="21"/>
              </w:rPr>
              <w:t>2.3.11支持展示敏感数据类型、应用资产类型、API接口类型等分布情况</w:t>
            </w:r>
          </w:p>
        </w:tc>
        <w:tc>
          <w:tcPr>
            <w:tcW w:w="1575" w:type="dxa"/>
            <w:tcBorders>
              <w:top w:val="nil"/>
              <w:left w:val="nil"/>
              <w:bottom w:val="single" w:color="auto" w:sz="4" w:space="0"/>
              <w:right w:val="single" w:color="auto" w:sz="4" w:space="0"/>
            </w:tcBorders>
            <w:shd w:val="clear" w:color="auto" w:fill="auto"/>
            <w:vAlign w:val="center"/>
          </w:tcPr>
          <w:p w14:paraId="67174711">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2C9BF69A">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5CDDEAB1">
            <w:pPr>
              <w:widowControl/>
              <w:jc w:val="left"/>
              <w:rPr>
                <w:rFonts w:hint="eastAsia" w:ascii="宋体" w:hAnsi="宋体" w:cs="宋体"/>
                <w:color w:val="000000"/>
                <w:kern w:val="0"/>
                <w:szCs w:val="21"/>
              </w:rPr>
            </w:pPr>
          </w:p>
        </w:tc>
      </w:tr>
      <w:tr w14:paraId="5F5A36D0">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2730B51E">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6F7BD9A8">
            <w:pPr>
              <w:widowControl/>
              <w:jc w:val="left"/>
              <w:rPr>
                <w:rFonts w:hint="eastAsia" w:ascii="宋体" w:hAnsi="宋体" w:cs="宋体"/>
                <w:b/>
                <w:bCs/>
                <w:color w:val="FF0000"/>
                <w:kern w:val="0"/>
                <w:szCs w:val="21"/>
              </w:rPr>
            </w:pPr>
            <w:r>
              <w:rPr>
                <w:rFonts w:hint="eastAsia" w:ascii="宋体" w:hAnsi="宋体" w:cs="宋体"/>
                <w:b/>
                <w:bCs/>
                <w:color w:val="FF0000"/>
                <w:kern w:val="0"/>
                <w:szCs w:val="21"/>
              </w:rPr>
              <w:t>▲2.3.12支持提供应用系统资产清单，展示内容包括域名、接口数量、敏感数据量、访问分布、请求返回数据标签、是否敏感（提供截图证明）</w:t>
            </w:r>
          </w:p>
        </w:tc>
        <w:tc>
          <w:tcPr>
            <w:tcW w:w="1575" w:type="dxa"/>
            <w:tcBorders>
              <w:top w:val="nil"/>
              <w:left w:val="nil"/>
              <w:bottom w:val="single" w:color="auto" w:sz="4" w:space="0"/>
              <w:right w:val="single" w:color="auto" w:sz="4" w:space="0"/>
            </w:tcBorders>
            <w:shd w:val="clear" w:color="auto" w:fill="auto"/>
            <w:vAlign w:val="center"/>
          </w:tcPr>
          <w:p w14:paraId="44B96A07">
            <w:pPr>
              <w:widowControl/>
              <w:jc w:val="left"/>
              <w:rPr>
                <w:rFonts w:hint="eastAsia" w:ascii="宋体" w:hAnsi="宋体" w:cs="宋体"/>
                <w:b/>
                <w:bCs/>
                <w:color w:val="FF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2F8942E2">
            <w:pPr>
              <w:widowControl/>
              <w:jc w:val="left"/>
              <w:rPr>
                <w:rFonts w:hint="eastAsia" w:ascii="宋体" w:hAnsi="宋体" w:cs="宋体"/>
                <w:b/>
                <w:bCs/>
                <w:color w:val="FF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064ACC11">
            <w:pPr>
              <w:widowControl/>
              <w:jc w:val="left"/>
              <w:rPr>
                <w:rFonts w:hint="eastAsia" w:ascii="宋体" w:hAnsi="宋体" w:cs="宋体"/>
                <w:b/>
                <w:bCs/>
                <w:color w:val="FF0000"/>
                <w:kern w:val="0"/>
                <w:szCs w:val="21"/>
              </w:rPr>
            </w:pPr>
          </w:p>
        </w:tc>
      </w:tr>
      <w:tr w14:paraId="6280C936">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03A04121">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3E23E271">
            <w:pPr>
              <w:widowControl/>
              <w:jc w:val="left"/>
              <w:rPr>
                <w:rFonts w:hint="eastAsia" w:ascii="宋体" w:hAnsi="宋体" w:cs="宋体"/>
                <w:b/>
                <w:bCs/>
                <w:color w:val="FF0000"/>
                <w:kern w:val="0"/>
                <w:szCs w:val="21"/>
              </w:rPr>
            </w:pPr>
            <w:r>
              <w:rPr>
                <w:rFonts w:hint="eastAsia" w:ascii="宋体" w:hAnsi="宋体" w:cs="宋体"/>
                <w:b/>
                <w:bCs/>
                <w:color w:val="FF0000"/>
                <w:kern w:val="0"/>
                <w:szCs w:val="21"/>
              </w:rPr>
              <w:t>▲2.3.13支持提供API资产清单，展示内容包括URL、API类型、敏感数据量、访问分布、请求返回数据标签、是否敏感，支持提供API样例信息（提供截图证明）</w:t>
            </w:r>
          </w:p>
        </w:tc>
        <w:tc>
          <w:tcPr>
            <w:tcW w:w="1575" w:type="dxa"/>
            <w:tcBorders>
              <w:top w:val="nil"/>
              <w:left w:val="nil"/>
              <w:bottom w:val="single" w:color="auto" w:sz="4" w:space="0"/>
              <w:right w:val="single" w:color="auto" w:sz="4" w:space="0"/>
            </w:tcBorders>
            <w:shd w:val="clear" w:color="auto" w:fill="auto"/>
            <w:vAlign w:val="center"/>
          </w:tcPr>
          <w:p w14:paraId="287328F5">
            <w:pPr>
              <w:widowControl/>
              <w:jc w:val="left"/>
              <w:rPr>
                <w:rFonts w:hint="eastAsia" w:ascii="宋体" w:hAnsi="宋体" w:cs="宋体"/>
                <w:b/>
                <w:bCs/>
                <w:color w:val="FF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3027A80C">
            <w:pPr>
              <w:widowControl/>
              <w:jc w:val="left"/>
              <w:rPr>
                <w:rFonts w:hint="eastAsia" w:ascii="宋体" w:hAnsi="宋体" w:cs="宋体"/>
                <w:b/>
                <w:bCs/>
                <w:color w:val="FF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1B8AF479">
            <w:pPr>
              <w:widowControl/>
              <w:jc w:val="left"/>
              <w:rPr>
                <w:rFonts w:hint="eastAsia" w:ascii="宋体" w:hAnsi="宋体" w:cs="宋体"/>
                <w:b/>
                <w:bCs/>
                <w:color w:val="FF0000"/>
                <w:kern w:val="0"/>
                <w:szCs w:val="21"/>
              </w:rPr>
            </w:pPr>
          </w:p>
        </w:tc>
      </w:tr>
      <w:tr w14:paraId="41C20C99">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60AE09DA">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78392AF2">
            <w:pPr>
              <w:widowControl/>
              <w:jc w:val="left"/>
              <w:rPr>
                <w:rFonts w:ascii="宋体" w:hAnsi="宋体" w:cs="宋体"/>
                <w:color w:val="000000"/>
                <w:kern w:val="0"/>
                <w:szCs w:val="21"/>
              </w:rPr>
            </w:pPr>
            <w:r>
              <w:rPr>
                <w:rFonts w:hint="eastAsia" w:ascii="宋体" w:hAnsi="宋体" w:cs="宋体"/>
                <w:color w:val="000000"/>
                <w:kern w:val="0"/>
                <w:szCs w:val="21"/>
              </w:rPr>
              <w:t>2.3.14支持导出word格式的检测报告</w:t>
            </w:r>
          </w:p>
        </w:tc>
        <w:tc>
          <w:tcPr>
            <w:tcW w:w="1575" w:type="dxa"/>
            <w:tcBorders>
              <w:top w:val="nil"/>
              <w:left w:val="nil"/>
              <w:bottom w:val="single" w:color="auto" w:sz="4" w:space="0"/>
              <w:right w:val="single" w:color="auto" w:sz="4" w:space="0"/>
            </w:tcBorders>
            <w:shd w:val="clear" w:color="auto" w:fill="auto"/>
            <w:vAlign w:val="center"/>
          </w:tcPr>
          <w:p w14:paraId="698143C2">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674BB2AC">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28759C3B">
            <w:pPr>
              <w:widowControl/>
              <w:jc w:val="left"/>
              <w:rPr>
                <w:rFonts w:hint="eastAsia" w:ascii="宋体" w:hAnsi="宋体" w:cs="宋体"/>
                <w:color w:val="000000"/>
                <w:kern w:val="0"/>
                <w:szCs w:val="21"/>
              </w:rPr>
            </w:pPr>
          </w:p>
        </w:tc>
      </w:tr>
      <w:tr w14:paraId="1E7D37E7">
        <w:tblPrEx>
          <w:tblCellMar>
            <w:top w:w="0" w:type="dxa"/>
            <w:left w:w="108" w:type="dxa"/>
            <w:bottom w:w="0" w:type="dxa"/>
            <w:right w:w="108" w:type="dxa"/>
          </w:tblCellMar>
        </w:tblPrEx>
        <w:trPr>
          <w:trHeight w:val="300"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ign w:val="center"/>
          </w:tcPr>
          <w:p w14:paraId="7C2B13C9">
            <w:pPr>
              <w:widowControl/>
              <w:jc w:val="center"/>
              <w:rPr>
                <w:rFonts w:ascii="宋体" w:hAnsi="宋体" w:cs="宋体"/>
                <w:color w:val="000000"/>
                <w:kern w:val="0"/>
                <w:szCs w:val="21"/>
              </w:rPr>
            </w:pPr>
            <w:r>
              <w:rPr>
                <w:rFonts w:hint="eastAsia" w:ascii="宋体" w:hAnsi="宋体" w:cs="宋体"/>
                <w:color w:val="000000"/>
                <w:kern w:val="0"/>
                <w:szCs w:val="21"/>
              </w:rPr>
              <w:t>API安全评估</w:t>
            </w:r>
          </w:p>
        </w:tc>
        <w:tc>
          <w:tcPr>
            <w:tcW w:w="3990" w:type="dxa"/>
            <w:tcBorders>
              <w:top w:val="nil"/>
              <w:left w:val="nil"/>
              <w:bottom w:val="single" w:color="auto" w:sz="4" w:space="0"/>
              <w:right w:val="single" w:color="auto" w:sz="4" w:space="0"/>
            </w:tcBorders>
            <w:shd w:val="clear" w:color="auto" w:fill="auto"/>
            <w:vAlign w:val="center"/>
          </w:tcPr>
          <w:p w14:paraId="1850895C">
            <w:pPr>
              <w:widowControl/>
              <w:jc w:val="left"/>
              <w:rPr>
                <w:rFonts w:ascii="宋体" w:hAnsi="宋体" w:cs="宋体"/>
                <w:color w:val="000000"/>
                <w:kern w:val="0"/>
                <w:szCs w:val="21"/>
              </w:rPr>
            </w:pPr>
            <w:r>
              <w:rPr>
                <w:rFonts w:hint="eastAsia" w:ascii="宋体" w:hAnsi="宋体" w:cs="宋体"/>
                <w:color w:val="000000"/>
                <w:kern w:val="0"/>
                <w:szCs w:val="21"/>
              </w:rPr>
              <w:t>2.3.15支持展示此次检测发现的所有资产的个数：应用资产、API资产、接口弱点数量</w:t>
            </w:r>
          </w:p>
        </w:tc>
        <w:tc>
          <w:tcPr>
            <w:tcW w:w="1575" w:type="dxa"/>
            <w:tcBorders>
              <w:top w:val="nil"/>
              <w:left w:val="nil"/>
              <w:bottom w:val="single" w:color="auto" w:sz="4" w:space="0"/>
              <w:right w:val="single" w:color="auto" w:sz="4" w:space="0"/>
            </w:tcBorders>
            <w:shd w:val="clear" w:color="auto" w:fill="auto"/>
            <w:vAlign w:val="center"/>
          </w:tcPr>
          <w:p w14:paraId="11EA6B34">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3E4E466B">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1E2F8381">
            <w:pPr>
              <w:widowControl/>
              <w:jc w:val="left"/>
              <w:rPr>
                <w:rFonts w:hint="eastAsia" w:ascii="宋体" w:hAnsi="宋体" w:cs="宋体"/>
                <w:color w:val="000000"/>
                <w:kern w:val="0"/>
                <w:szCs w:val="21"/>
              </w:rPr>
            </w:pPr>
          </w:p>
        </w:tc>
      </w:tr>
      <w:tr w14:paraId="09241032">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13B782FB">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715C41E0">
            <w:pPr>
              <w:widowControl/>
              <w:jc w:val="left"/>
              <w:rPr>
                <w:rFonts w:ascii="宋体" w:hAnsi="宋体" w:cs="宋体"/>
                <w:color w:val="000000"/>
                <w:kern w:val="0"/>
                <w:szCs w:val="21"/>
              </w:rPr>
            </w:pPr>
            <w:r>
              <w:rPr>
                <w:rFonts w:hint="eastAsia" w:ascii="宋体" w:hAnsi="宋体" w:cs="宋体"/>
                <w:color w:val="000000"/>
                <w:kern w:val="0"/>
                <w:szCs w:val="21"/>
              </w:rPr>
              <w:t>2.3.16支持展示检测的问题应用对应的问题分布情况，包括类别和数量</w:t>
            </w:r>
          </w:p>
        </w:tc>
        <w:tc>
          <w:tcPr>
            <w:tcW w:w="1575" w:type="dxa"/>
            <w:tcBorders>
              <w:top w:val="nil"/>
              <w:left w:val="nil"/>
              <w:bottom w:val="single" w:color="auto" w:sz="4" w:space="0"/>
              <w:right w:val="single" w:color="auto" w:sz="4" w:space="0"/>
            </w:tcBorders>
            <w:shd w:val="clear" w:color="auto" w:fill="auto"/>
            <w:vAlign w:val="center"/>
          </w:tcPr>
          <w:p w14:paraId="17BAC863">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0949777C">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1442455B">
            <w:pPr>
              <w:widowControl/>
              <w:jc w:val="left"/>
              <w:rPr>
                <w:rFonts w:hint="eastAsia" w:ascii="宋体" w:hAnsi="宋体" w:cs="宋体"/>
                <w:color w:val="000000"/>
                <w:kern w:val="0"/>
                <w:szCs w:val="21"/>
              </w:rPr>
            </w:pPr>
          </w:p>
        </w:tc>
      </w:tr>
      <w:tr w14:paraId="5636C2EF">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037C187E">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778C6B41">
            <w:pPr>
              <w:widowControl/>
              <w:jc w:val="left"/>
              <w:rPr>
                <w:rFonts w:ascii="宋体" w:hAnsi="宋体" w:cs="宋体"/>
                <w:color w:val="000000"/>
                <w:kern w:val="0"/>
                <w:szCs w:val="21"/>
              </w:rPr>
            </w:pPr>
            <w:r>
              <w:rPr>
                <w:rFonts w:hint="eastAsia" w:ascii="宋体" w:hAnsi="宋体" w:cs="宋体"/>
                <w:b/>
                <w:bCs/>
                <w:color w:val="FF0000"/>
                <w:kern w:val="0"/>
                <w:szCs w:val="21"/>
              </w:rPr>
              <w:t>▲2.3.17支持展示此次检测涉及到的所有检查类别，每个类别下检测到的风险点，以及对应的证据（提供截图证明）：</w:t>
            </w:r>
            <w:r>
              <w:rPr>
                <w:rFonts w:hint="eastAsia" w:ascii="宋体" w:hAnsi="宋体" w:cs="宋体"/>
                <w:b/>
                <w:bCs/>
                <w:color w:val="FF0000"/>
                <w:kern w:val="0"/>
                <w:szCs w:val="21"/>
              </w:rPr>
              <w:br w:type="textWrapping"/>
            </w:r>
            <w:r>
              <w:rPr>
                <w:rFonts w:hint="eastAsia" w:ascii="宋体" w:hAnsi="宋体" w:cs="宋体"/>
                <w:b/>
                <w:bCs/>
                <w:color w:val="FF0000"/>
                <w:kern w:val="0"/>
                <w:szCs w:val="21"/>
              </w:rPr>
              <w:t>口令认证类：检测是否存在“明文密码传输、登录弱密码、明文密码透出、密码透出、登录认证不合理、登录错误提示不合理”的API</w:t>
            </w:r>
            <w:r>
              <w:rPr>
                <w:rFonts w:hint="eastAsia" w:ascii="宋体" w:hAnsi="宋体" w:cs="宋体"/>
                <w:b/>
                <w:bCs/>
                <w:color w:val="FF0000"/>
                <w:kern w:val="0"/>
                <w:szCs w:val="21"/>
              </w:rPr>
              <w:br w:type="textWrapping"/>
            </w:r>
            <w:r>
              <w:rPr>
                <w:rFonts w:hint="eastAsia" w:ascii="宋体" w:hAnsi="宋体" w:cs="宋体"/>
                <w:b/>
                <w:bCs/>
                <w:color w:val="FF0000"/>
                <w:kern w:val="0"/>
                <w:szCs w:val="21"/>
              </w:rPr>
              <w:t>安全规范类：检测是否存在“鉴权信息在URL中、在Cookie中保存密码、未禁用目录浏览、脆弱应用在公网暴露、敏感信息在URL中”的API</w:t>
            </w:r>
            <w:r>
              <w:rPr>
                <w:rFonts w:hint="eastAsia" w:ascii="宋体" w:hAnsi="宋体" w:cs="宋体"/>
                <w:b/>
                <w:bCs/>
                <w:color w:val="FF0000"/>
                <w:kern w:val="0"/>
                <w:szCs w:val="21"/>
              </w:rPr>
              <w:br w:type="textWrapping"/>
            </w:r>
            <w:r>
              <w:rPr>
                <w:rFonts w:hint="eastAsia" w:ascii="宋体" w:hAnsi="宋体" w:cs="宋体"/>
                <w:b/>
                <w:bCs/>
                <w:color w:val="FF0000"/>
                <w:kern w:val="0"/>
                <w:szCs w:val="21"/>
              </w:rPr>
              <w:t>高危接口类：检测是否存在“命令执行API、数据库查询API、任意短信发送、指定文件下载API”的API，并提供对应的证据说明</w:t>
            </w:r>
            <w:r>
              <w:rPr>
                <w:rFonts w:hint="eastAsia" w:ascii="宋体" w:hAnsi="宋体" w:cs="宋体"/>
                <w:b/>
                <w:bCs/>
                <w:color w:val="FF0000"/>
                <w:kern w:val="0"/>
                <w:szCs w:val="21"/>
              </w:rPr>
              <w:br w:type="textWrapping"/>
            </w:r>
            <w:r>
              <w:rPr>
                <w:rFonts w:hint="eastAsia" w:ascii="宋体" w:hAnsi="宋体" w:cs="宋体"/>
                <w:b/>
                <w:bCs/>
                <w:color w:val="FF0000"/>
                <w:kern w:val="0"/>
                <w:szCs w:val="21"/>
              </w:rPr>
              <w:t>数据暴露类：检测是否存在“脱敏策略不一致、返回数据量可修改、单次返回类型过多、单次返回数据量过大、调试信息泄漏接口”的API</w:t>
            </w:r>
            <w:r>
              <w:rPr>
                <w:rFonts w:hint="eastAsia" w:ascii="宋体" w:hAnsi="宋体" w:cs="宋体"/>
                <w:b/>
                <w:bCs/>
                <w:color w:val="FF0000"/>
                <w:kern w:val="0"/>
                <w:szCs w:val="21"/>
              </w:rPr>
              <w:br w:type="textWrapping"/>
            </w:r>
            <w:r>
              <w:rPr>
                <w:rFonts w:hint="eastAsia" w:ascii="宋体" w:hAnsi="宋体" w:cs="宋体"/>
                <w:b/>
                <w:bCs/>
                <w:color w:val="FF0000"/>
                <w:kern w:val="0"/>
                <w:szCs w:val="21"/>
              </w:rPr>
              <w:t>访问权限类：检测是否存在“接口未鉴权、接口参数可遍历”的API</w:t>
            </w:r>
          </w:p>
        </w:tc>
        <w:tc>
          <w:tcPr>
            <w:tcW w:w="1575" w:type="dxa"/>
            <w:tcBorders>
              <w:top w:val="nil"/>
              <w:left w:val="nil"/>
              <w:bottom w:val="single" w:color="auto" w:sz="4" w:space="0"/>
              <w:right w:val="single" w:color="auto" w:sz="4" w:space="0"/>
            </w:tcBorders>
            <w:shd w:val="clear" w:color="auto" w:fill="auto"/>
            <w:vAlign w:val="center"/>
          </w:tcPr>
          <w:p w14:paraId="524F7475">
            <w:pPr>
              <w:widowControl/>
              <w:jc w:val="left"/>
              <w:rPr>
                <w:rFonts w:hint="eastAsia" w:ascii="宋体" w:hAnsi="宋体" w:cs="宋体"/>
                <w:b/>
                <w:bCs/>
                <w:color w:val="FF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5F0B1A33">
            <w:pPr>
              <w:widowControl/>
              <w:jc w:val="left"/>
              <w:rPr>
                <w:rFonts w:hint="eastAsia" w:ascii="宋体" w:hAnsi="宋体" w:cs="宋体"/>
                <w:b/>
                <w:bCs/>
                <w:color w:val="FF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1C968748">
            <w:pPr>
              <w:widowControl/>
              <w:jc w:val="left"/>
              <w:rPr>
                <w:rFonts w:hint="eastAsia" w:ascii="宋体" w:hAnsi="宋体" w:cs="宋体"/>
                <w:b/>
                <w:bCs/>
                <w:color w:val="FF0000"/>
                <w:kern w:val="0"/>
                <w:szCs w:val="21"/>
              </w:rPr>
            </w:pPr>
          </w:p>
        </w:tc>
      </w:tr>
      <w:tr w14:paraId="59F8DDA7">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391BB390">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41B921D6">
            <w:pPr>
              <w:widowControl/>
              <w:jc w:val="left"/>
              <w:rPr>
                <w:rFonts w:ascii="宋体" w:hAnsi="宋体" w:cs="宋体"/>
                <w:color w:val="000000"/>
                <w:kern w:val="0"/>
                <w:szCs w:val="21"/>
              </w:rPr>
            </w:pPr>
            <w:r>
              <w:rPr>
                <w:rFonts w:hint="eastAsia" w:ascii="宋体" w:hAnsi="宋体" w:cs="宋体"/>
                <w:color w:val="000000"/>
                <w:kern w:val="0"/>
                <w:szCs w:val="21"/>
              </w:rPr>
              <w:t>2.3.18支持查看每类风险的详情并提供风险的证据样例展示</w:t>
            </w:r>
          </w:p>
        </w:tc>
        <w:tc>
          <w:tcPr>
            <w:tcW w:w="1575" w:type="dxa"/>
            <w:tcBorders>
              <w:top w:val="nil"/>
              <w:left w:val="nil"/>
              <w:bottom w:val="single" w:color="auto" w:sz="4" w:space="0"/>
              <w:right w:val="single" w:color="auto" w:sz="4" w:space="0"/>
            </w:tcBorders>
            <w:shd w:val="clear" w:color="auto" w:fill="auto"/>
            <w:vAlign w:val="center"/>
          </w:tcPr>
          <w:p w14:paraId="2B0039D0">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173C2E9C">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16AE45B5">
            <w:pPr>
              <w:widowControl/>
              <w:jc w:val="left"/>
              <w:rPr>
                <w:rFonts w:hint="eastAsia" w:ascii="宋体" w:hAnsi="宋体" w:cs="宋体"/>
                <w:color w:val="000000"/>
                <w:kern w:val="0"/>
                <w:szCs w:val="21"/>
              </w:rPr>
            </w:pPr>
          </w:p>
        </w:tc>
      </w:tr>
      <w:tr w14:paraId="17CF7929">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54433099">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10BDA287">
            <w:pPr>
              <w:widowControl/>
              <w:jc w:val="left"/>
              <w:rPr>
                <w:rFonts w:ascii="宋体" w:hAnsi="宋体" w:cs="宋体"/>
                <w:color w:val="000000"/>
                <w:kern w:val="0"/>
                <w:szCs w:val="21"/>
              </w:rPr>
            </w:pPr>
            <w:r>
              <w:rPr>
                <w:rFonts w:hint="eastAsia" w:ascii="宋体" w:hAnsi="宋体" w:cs="宋体"/>
                <w:color w:val="000000"/>
                <w:kern w:val="0"/>
                <w:szCs w:val="21"/>
              </w:rPr>
              <w:t>2.3.19支持动态调整检测策略的状态</w:t>
            </w:r>
          </w:p>
        </w:tc>
        <w:tc>
          <w:tcPr>
            <w:tcW w:w="1575" w:type="dxa"/>
            <w:tcBorders>
              <w:top w:val="nil"/>
              <w:left w:val="nil"/>
              <w:bottom w:val="single" w:color="auto" w:sz="4" w:space="0"/>
              <w:right w:val="single" w:color="auto" w:sz="4" w:space="0"/>
            </w:tcBorders>
            <w:shd w:val="clear" w:color="auto" w:fill="auto"/>
            <w:vAlign w:val="center"/>
          </w:tcPr>
          <w:p w14:paraId="43E76668">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45C2895F">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598E3554">
            <w:pPr>
              <w:widowControl/>
              <w:jc w:val="left"/>
              <w:rPr>
                <w:rFonts w:hint="eastAsia" w:ascii="宋体" w:hAnsi="宋体" w:cs="宋体"/>
                <w:color w:val="000000"/>
                <w:kern w:val="0"/>
                <w:szCs w:val="21"/>
              </w:rPr>
            </w:pPr>
          </w:p>
        </w:tc>
      </w:tr>
      <w:tr w14:paraId="1369ED84">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4012F062">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0C899856">
            <w:pPr>
              <w:widowControl/>
              <w:jc w:val="left"/>
              <w:rPr>
                <w:rFonts w:ascii="宋体" w:hAnsi="宋体" w:cs="宋体"/>
                <w:color w:val="000000"/>
                <w:kern w:val="0"/>
                <w:szCs w:val="21"/>
              </w:rPr>
            </w:pPr>
            <w:r>
              <w:rPr>
                <w:rFonts w:hint="eastAsia" w:ascii="宋体" w:hAnsi="宋体" w:cs="宋体"/>
                <w:color w:val="000000"/>
                <w:kern w:val="0"/>
                <w:szCs w:val="21"/>
              </w:rPr>
              <w:t>2.3.20支持导出word格式的检测报告</w:t>
            </w:r>
          </w:p>
        </w:tc>
        <w:tc>
          <w:tcPr>
            <w:tcW w:w="1575" w:type="dxa"/>
            <w:tcBorders>
              <w:top w:val="nil"/>
              <w:left w:val="nil"/>
              <w:bottom w:val="single" w:color="auto" w:sz="4" w:space="0"/>
              <w:right w:val="single" w:color="auto" w:sz="4" w:space="0"/>
            </w:tcBorders>
            <w:shd w:val="clear" w:color="auto" w:fill="auto"/>
            <w:vAlign w:val="center"/>
          </w:tcPr>
          <w:p w14:paraId="1FC6E74E">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3438659B">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08AEFBD5">
            <w:pPr>
              <w:widowControl/>
              <w:jc w:val="left"/>
              <w:rPr>
                <w:rFonts w:hint="eastAsia" w:ascii="宋体" w:hAnsi="宋体" w:cs="宋体"/>
                <w:color w:val="000000"/>
                <w:kern w:val="0"/>
                <w:szCs w:val="21"/>
              </w:rPr>
            </w:pPr>
          </w:p>
        </w:tc>
      </w:tr>
      <w:tr w14:paraId="2150F196">
        <w:tblPrEx>
          <w:tblCellMar>
            <w:top w:w="0" w:type="dxa"/>
            <w:left w:w="108" w:type="dxa"/>
            <w:bottom w:w="0" w:type="dxa"/>
            <w:right w:w="108" w:type="dxa"/>
          </w:tblCellMar>
        </w:tblPrEx>
        <w:trPr>
          <w:trHeight w:val="300"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ign w:val="center"/>
          </w:tcPr>
          <w:p w14:paraId="182FFC8F">
            <w:pPr>
              <w:widowControl/>
              <w:jc w:val="center"/>
              <w:rPr>
                <w:rFonts w:ascii="宋体" w:hAnsi="宋体" w:cs="宋体"/>
                <w:color w:val="000000"/>
                <w:kern w:val="0"/>
                <w:szCs w:val="21"/>
              </w:rPr>
            </w:pPr>
            <w:r>
              <w:rPr>
                <w:rFonts w:hint="eastAsia" w:ascii="宋体" w:hAnsi="宋体" w:cs="宋体"/>
                <w:color w:val="000000"/>
                <w:kern w:val="0"/>
                <w:szCs w:val="21"/>
              </w:rPr>
              <w:t>数据行为异常评估</w:t>
            </w:r>
          </w:p>
        </w:tc>
        <w:tc>
          <w:tcPr>
            <w:tcW w:w="3990" w:type="dxa"/>
            <w:tcBorders>
              <w:top w:val="nil"/>
              <w:left w:val="nil"/>
              <w:bottom w:val="single" w:color="auto" w:sz="4" w:space="0"/>
              <w:right w:val="single" w:color="auto" w:sz="4" w:space="0"/>
            </w:tcBorders>
            <w:shd w:val="clear" w:color="auto" w:fill="auto"/>
            <w:vAlign w:val="center"/>
          </w:tcPr>
          <w:p w14:paraId="41DDF97F">
            <w:pPr>
              <w:widowControl/>
              <w:jc w:val="left"/>
              <w:rPr>
                <w:rFonts w:ascii="宋体" w:hAnsi="宋体" w:cs="宋体"/>
                <w:color w:val="000000"/>
                <w:kern w:val="0"/>
                <w:szCs w:val="21"/>
              </w:rPr>
            </w:pPr>
            <w:r>
              <w:rPr>
                <w:rFonts w:hint="eastAsia" w:ascii="宋体" w:hAnsi="宋体" w:cs="宋体"/>
                <w:color w:val="000000"/>
                <w:kern w:val="0"/>
                <w:szCs w:val="21"/>
              </w:rPr>
              <w:t>2.3.21支持展示此次检测发现敏感数据占比</w:t>
            </w:r>
          </w:p>
        </w:tc>
        <w:tc>
          <w:tcPr>
            <w:tcW w:w="1575" w:type="dxa"/>
            <w:tcBorders>
              <w:top w:val="nil"/>
              <w:left w:val="nil"/>
              <w:bottom w:val="single" w:color="auto" w:sz="4" w:space="0"/>
              <w:right w:val="single" w:color="auto" w:sz="4" w:space="0"/>
            </w:tcBorders>
            <w:shd w:val="clear" w:color="auto" w:fill="auto"/>
            <w:vAlign w:val="center"/>
          </w:tcPr>
          <w:p w14:paraId="5BBC68B3">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1FBDBD33">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05EE2535">
            <w:pPr>
              <w:widowControl/>
              <w:jc w:val="left"/>
              <w:rPr>
                <w:rFonts w:hint="eastAsia" w:ascii="宋体" w:hAnsi="宋体" w:cs="宋体"/>
                <w:color w:val="000000"/>
                <w:kern w:val="0"/>
                <w:szCs w:val="21"/>
              </w:rPr>
            </w:pPr>
          </w:p>
        </w:tc>
      </w:tr>
      <w:tr w14:paraId="4B4A9B5D">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3C6E19B5">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01FA52CD">
            <w:pPr>
              <w:widowControl/>
              <w:jc w:val="left"/>
              <w:rPr>
                <w:rFonts w:ascii="宋体" w:hAnsi="宋体" w:cs="宋体"/>
                <w:color w:val="000000"/>
                <w:kern w:val="0"/>
                <w:szCs w:val="21"/>
              </w:rPr>
            </w:pPr>
            <w:r>
              <w:rPr>
                <w:rFonts w:hint="eastAsia" w:ascii="宋体" w:hAnsi="宋体" w:cs="宋体"/>
                <w:color w:val="000000"/>
                <w:kern w:val="0"/>
                <w:szCs w:val="21"/>
              </w:rPr>
              <w:t>2.3.22支持展示检测的问题IP top10预计对应的问题分布情况</w:t>
            </w:r>
          </w:p>
        </w:tc>
        <w:tc>
          <w:tcPr>
            <w:tcW w:w="1575" w:type="dxa"/>
            <w:tcBorders>
              <w:top w:val="nil"/>
              <w:left w:val="nil"/>
              <w:bottom w:val="single" w:color="auto" w:sz="4" w:space="0"/>
              <w:right w:val="single" w:color="auto" w:sz="4" w:space="0"/>
            </w:tcBorders>
            <w:shd w:val="clear" w:color="auto" w:fill="auto"/>
            <w:vAlign w:val="center"/>
          </w:tcPr>
          <w:p w14:paraId="1DAAFE4C">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0F40E002">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52D736D6">
            <w:pPr>
              <w:widowControl/>
              <w:jc w:val="left"/>
              <w:rPr>
                <w:rFonts w:hint="eastAsia" w:ascii="宋体" w:hAnsi="宋体" w:cs="宋体"/>
                <w:color w:val="000000"/>
                <w:kern w:val="0"/>
                <w:szCs w:val="21"/>
              </w:rPr>
            </w:pPr>
          </w:p>
        </w:tc>
      </w:tr>
      <w:tr w14:paraId="0C274422">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49CC521B">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16109AD9">
            <w:pPr>
              <w:widowControl/>
              <w:jc w:val="left"/>
              <w:rPr>
                <w:rFonts w:ascii="宋体" w:hAnsi="宋体" w:cs="宋体"/>
                <w:color w:val="000000"/>
                <w:kern w:val="0"/>
                <w:szCs w:val="21"/>
              </w:rPr>
            </w:pPr>
            <w:r>
              <w:rPr>
                <w:rFonts w:hint="eastAsia" w:ascii="宋体" w:hAnsi="宋体" w:cs="宋体"/>
                <w:b/>
                <w:bCs/>
                <w:color w:val="FF0000"/>
                <w:kern w:val="0"/>
                <w:szCs w:val="21"/>
              </w:rPr>
              <w:t>▲2.3.23数据行为异常（提供截图证明）：</w:t>
            </w:r>
            <w:r>
              <w:rPr>
                <w:rFonts w:hint="eastAsia" w:ascii="宋体" w:hAnsi="宋体" w:cs="宋体"/>
                <w:b/>
                <w:bCs/>
                <w:color w:val="FF0000"/>
                <w:kern w:val="0"/>
                <w:szCs w:val="21"/>
              </w:rPr>
              <w:br w:type="textWrapping"/>
            </w:r>
            <w:r>
              <w:rPr>
                <w:rFonts w:hint="eastAsia" w:ascii="宋体" w:hAnsi="宋体" w:cs="宋体"/>
                <w:b/>
                <w:bCs/>
                <w:color w:val="FF0000"/>
                <w:kern w:val="0"/>
                <w:szCs w:val="21"/>
              </w:rPr>
              <w:t>支持检测IP获取数据量异常、IP访问频次异常、IP非工作时间访问、IP非工作时间获取大量数据、机器自动大量拉取、爬虫行为</w:t>
            </w:r>
            <w:r>
              <w:rPr>
                <w:rFonts w:hint="eastAsia" w:ascii="宋体" w:hAnsi="宋体" w:cs="宋体"/>
                <w:b/>
                <w:bCs/>
                <w:color w:val="FF0000"/>
                <w:kern w:val="0"/>
                <w:szCs w:val="21"/>
              </w:rPr>
              <w:br w:type="textWrapping"/>
            </w:r>
            <w:r>
              <w:rPr>
                <w:rFonts w:hint="eastAsia" w:ascii="宋体" w:hAnsi="宋体" w:cs="宋体"/>
                <w:b/>
                <w:bCs/>
                <w:color w:val="FF0000"/>
                <w:kern w:val="0"/>
                <w:szCs w:val="21"/>
              </w:rPr>
              <w:t>支持提供异常事件列表和证据说明</w:t>
            </w:r>
          </w:p>
        </w:tc>
        <w:tc>
          <w:tcPr>
            <w:tcW w:w="1575" w:type="dxa"/>
            <w:tcBorders>
              <w:top w:val="nil"/>
              <w:left w:val="nil"/>
              <w:bottom w:val="single" w:color="auto" w:sz="4" w:space="0"/>
              <w:right w:val="single" w:color="auto" w:sz="4" w:space="0"/>
            </w:tcBorders>
            <w:shd w:val="clear" w:color="auto" w:fill="auto"/>
            <w:vAlign w:val="center"/>
          </w:tcPr>
          <w:p w14:paraId="0C85008C">
            <w:pPr>
              <w:widowControl/>
              <w:jc w:val="left"/>
              <w:rPr>
                <w:rFonts w:hint="eastAsia" w:ascii="宋体" w:hAnsi="宋体" w:cs="宋体"/>
                <w:b/>
                <w:bCs/>
                <w:color w:val="FF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16FC644C">
            <w:pPr>
              <w:widowControl/>
              <w:jc w:val="left"/>
              <w:rPr>
                <w:rFonts w:hint="eastAsia" w:ascii="宋体" w:hAnsi="宋体" w:cs="宋体"/>
                <w:b/>
                <w:bCs/>
                <w:color w:val="FF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42FBEB21">
            <w:pPr>
              <w:widowControl/>
              <w:jc w:val="left"/>
              <w:rPr>
                <w:rFonts w:hint="eastAsia" w:ascii="宋体" w:hAnsi="宋体" w:cs="宋体"/>
                <w:b/>
                <w:bCs/>
                <w:color w:val="FF0000"/>
                <w:kern w:val="0"/>
                <w:szCs w:val="21"/>
              </w:rPr>
            </w:pPr>
          </w:p>
        </w:tc>
      </w:tr>
      <w:tr w14:paraId="5CB0BF59">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381C97B4">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77D84295">
            <w:pPr>
              <w:widowControl/>
              <w:jc w:val="left"/>
              <w:rPr>
                <w:rFonts w:ascii="宋体" w:hAnsi="宋体" w:cs="宋体"/>
                <w:color w:val="000000"/>
                <w:kern w:val="0"/>
                <w:szCs w:val="21"/>
              </w:rPr>
            </w:pPr>
            <w:r>
              <w:rPr>
                <w:rFonts w:hint="eastAsia" w:ascii="宋体" w:hAnsi="宋体" w:cs="宋体"/>
                <w:color w:val="000000"/>
                <w:kern w:val="0"/>
                <w:szCs w:val="21"/>
              </w:rPr>
              <w:t>2.3.24支持动态调整检测策略，包括调整策略阈值、策略状态</w:t>
            </w:r>
          </w:p>
        </w:tc>
        <w:tc>
          <w:tcPr>
            <w:tcW w:w="1575" w:type="dxa"/>
            <w:tcBorders>
              <w:top w:val="nil"/>
              <w:left w:val="nil"/>
              <w:bottom w:val="single" w:color="auto" w:sz="4" w:space="0"/>
              <w:right w:val="single" w:color="auto" w:sz="4" w:space="0"/>
            </w:tcBorders>
            <w:shd w:val="clear" w:color="auto" w:fill="auto"/>
            <w:vAlign w:val="center"/>
          </w:tcPr>
          <w:p w14:paraId="26C72E11">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18D74AAE">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236CEED7">
            <w:pPr>
              <w:widowControl/>
              <w:jc w:val="left"/>
              <w:rPr>
                <w:rFonts w:hint="eastAsia" w:ascii="宋体" w:hAnsi="宋体" w:cs="宋体"/>
                <w:color w:val="000000"/>
                <w:kern w:val="0"/>
                <w:szCs w:val="21"/>
              </w:rPr>
            </w:pPr>
          </w:p>
        </w:tc>
      </w:tr>
      <w:tr w14:paraId="0A184AFE">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443BC1F4">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30BA2DE2">
            <w:pPr>
              <w:widowControl/>
              <w:jc w:val="left"/>
              <w:rPr>
                <w:rFonts w:ascii="宋体" w:hAnsi="宋体" w:cs="宋体"/>
                <w:color w:val="000000"/>
                <w:kern w:val="0"/>
                <w:szCs w:val="21"/>
              </w:rPr>
            </w:pPr>
            <w:r>
              <w:rPr>
                <w:rFonts w:hint="eastAsia" w:ascii="宋体" w:hAnsi="宋体" w:cs="宋体"/>
                <w:color w:val="000000"/>
                <w:kern w:val="0"/>
                <w:szCs w:val="21"/>
              </w:rPr>
              <w:t>2.3.25支持导出word格式的检测报告</w:t>
            </w:r>
          </w:p>
        </w:tc>
        <w:tc>
          <w:tcPr>
            <w:tcW w:w="1575" w:type="dxa"/>
            <w:tcBorders>
              <w:top w:val="nil"/>
              <w:left w:val="nil"/>
              <w:bottom w:val="single" w:color="auto" w:sz="4" w:space="0"/>
              <w:right w:val="single" w:color="auto" w:sz="4" w:space="0"/>
            </w:tcBorders>
            <w:shd w:val="clear" w:color="auto" w:fill="auto"/>
            <w:vAlign w:val="center"/>
          </w:tcPr>
          <w:p w14:paraId="1B8E2B7C">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599B3350">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62572B51">
            <w:pPr>
              <w:widowControl/>
              <w:jc w:val="left"/>
              <w:rPr>
                <w:rFonts w:hint="eastAsia" w:ascii="宋体" w:hAnsi="宋体" w:cs="宋体"/>
                <w:color w:val="000000"/>
                <w:kern w:val="0"/>
                <w:szCs w:val="21"/>
              </w:rPr>
            </w:pPr>
          </w:p>
        </w:tc>
      </w:tr>
      <w:tr w14:paraId="41E2C44B">
        <w:tblPrEx>
          <w:tblCellMar>
            <w:top w:w="0" w:type="dxa"/>
            <w:left w:w="108" w:type="dxa"/>
            <w:bottom w:w="0" w:type="dxa"/>
            <w:right w:w="108" w:type="dxa"/>
          </w:tblCellMar>
        </w:tblPrEx>
        <w:trPr>
          <w:trHeight w:val="300"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ign w:val="center"/>
          </w:tcPr>
          <w:p w14:paraId="4C0C95B5">
            <w:pPr>
              <w:widowControl/>
              <w:jc w:val="center"/>
              <w:rPr>
                <w:rFonts w:ascii="宋体" w:hAnsi="宋体" w:cs="宋体"/>
                <w:color w:val="000000"/>
                <w:kern w:val="0"/>
                <w:szCs w:val="21"/>
              </w:rPr>
            </w:pPr>
            <w:r>
              <w:rPr>
                <w:rFonts w:hint="eastAsia" w:ascii="宋体" w:hAnsi="宋体" w:cs="宋体"/>
                <w:color w:val="000000"/>
                <w:kern w:val="0"/>
                <w:szCs w:val="21"/>
              </w:rPr>
              <w:t>数据出境检测</w:t>
            </w:r>
          </w:p>
        </w:tc>
        <w:tc>
          <w:tcPr>
            <w:tcW w:w="3990" w:type="dxa"/>
            <w:tcBorders>
              <w:top w:val="nil"/>
              <w:left w:val="nil"/>
              <w:bottom w:val="single" w:color="auto" w:sz="4" w:space="0"/>
              <w:right w:val="single" w:color="auto" w:sz="4" w:space="0"/>
            </w:tcBorders>
            <w:shd w:val="clear" w:color="auto" w:fill="auto"/>
            <w:vAlign w:val="center"/>
          </w:tcPr>
          <w:p w14:paraId="49CA48D8">
            <w:pPr>
              <w:widowControl/>
              <w:jc w:val="left"/>
              <w:rPr>
                <w:rFonts w:ascii="宋体" w:hAnsi="宋体" w:cs="宋体"/>
                <w:color w:val="000000"/>
                <w:kern w:val="0"/>
                <w:szCs w:val="21"/>
              </w:rPr>
            </w:pPr>
            <w:r>
              <w:rPr>
                <w:rFonts w:hint="eastAsia" w:ascii="宋体" w:hAnsi="宋体" w:cs="宋体"/>
                <w:color w:val="000000"/>
                <w:kern w:val="0"/>
                <w:szCs w:val="21"/>
              </w:rPr>
              <w:t>2.3.26支持展示此次检测发现的所有资产的个数：web应用资产、文件服务资产、邮件服务资产、SSL事件</w:t>
            </w:r>
          </w:p>
        </w:tc>
        <w:tc>
          <w:tcPr>
            <w:tcW w:w="1575" w:type="dxa"/>
            <w:tcBorders>
              <w:top w:val="nil"/>
              <w:left w:val="nil"/>
              <w:bottom w:val="single" w:color="auto" w:sz="4" w:space="0"/>
              <w:right w:val="single" w:color="auto" w:sz="4" w:space="0"/>
            </w:tcBorders>
            <w:shd w:val="clear" w:color="auto" w:fill="auto"/>
            <w:vAlign w:val="center"/>
          </w:tcPr>
          <w:p w14:paraId="0FE4FC85">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7F1BE851">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6BDC11A7">
            <w:pPr>
              <w:widowControl/>
              <w:jc w:val="left"/>
              <w:rPr>
                <w:rFonts w:hint="eastAsia" w:ascii="宋体" w:hAnsi="宋体" w:cs="宋体"/>
                <w:color w:val="000000"/>
                <w:kern w:val="0"/>
                <w:szCs w:val="21"/>
              </w:rPr>
            </w:pPr>
          </w:p>
        </w:tc>
      </w:tr>
      <w:tr w14:paraId="568DBE99">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6CCBD357">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1FE96873">
            <w:pPr>
              <w:widowControl/>
              <w:jc w:val="left"/>
              <w:rPr>
                <w:rFonts w:ascii="宋体" w:hAnsi="宋体" w:cs="宋体"/>
                <w:color w:val="000000"/>
                <w:kern w:val="0"/>
                <w:szCs w:val="21"/>
              </w:rPr>
            </w:pPr>
            <w:r>
              <w:rPr>
                <w:rFonts w:hint="eastAsia" w:ascii="宋体" w:hAnsi="宋体" w:cs="宋体"/>
                <w:color w:val="000000"/>
                <w:kern w:val="0"/>
                <w:szCs w:val="21"/>
              </w:rPr>
              <w:t>2.3.27支持展示总的出境数据量和对应的数据标签的分布情况，以及出境数据在不同国家的地域分布情况</w:t>
            </w:r>
          </w:p>
        </w:tc>
        <w:tc>
          <w:tcPr>
            <w:tcW w:w="1575" w:type="dxa"/>
            <w:tcBorders>
              <w:top w:val="nil"/>
              <w:left w:val="nil"/>
              <w:bottom w:val="single" w:color="auto" w:sz="4" w:space="0"/>
              <w:right w:val="single" w:color="auto" w:sz="4" w:space="0"/>
            </w:tcBorders>
            <w:shd w:val="clear" w:color="auto" w:fill="auto"/>
            <w:vAlign w:val="center"/>
          </w:tcPr>
          <w:p w14:paraId="7A4DE265">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42E8DA8D">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7137B341">
            <w:pPr>
              <w:widowControl/>
              <w:jc w:val="left"/>
              <w:rPr>
                <w:rFonts w:hint="eastAsia" w:ascii="宋体" w:hAnsi="宋体" w:cs="宋体"/>
                <w:color w:val="000000"/>
                <w:kern w:val="0"/>
                <w:szCs w:val="21"/>
              </w:rPr>
            </w:pPr>
          </w:p>
        </w:tc>
      </w:tr>
      <w:tr w14:paraId="6AC8A050">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695FEC42">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1EBB1EF7">
            <w:pPr>
              <w:widowControl/>
              <w:jc w:val="left"/>
              <w:rPr>
                <w:rFonts w:ascii="宋体" w:hAnsi="宋体" w:cs="宋体"/>
                <w:color w:val="000000"/>
                <w:kern w:val="0"/>
                <w:szCs w:val="21"/>
              </w:rPr>
            </w:pPr>
            <w:r>
              <w:rPr>
                <w:rFonts w:hint="eastAsia" w:ascii="宋体" w:hAnsi="宋体" w:cs="宋体"/>
                <w:color w:val="000000"/>
                <w:kern w:val="0"/>
                <w:szCs w:val="21"/>
              </w:rPr>
              <w:t>2.3.28支持展示检查到的出境事件top10的应用系统、FTP服务以及邮件服务，并支持展示检测项的分布情况</w:t>
            </w:r>
          </w:p>
        </w:tc>
        <w:tc>
          <w:tcPr>
            <w:tcW w:w="1575" w:type="dxa"/>
            <w:tcBorders>
              <w:top w:val="nil"/>
              <w:left w:val="nil"/>
              <w:bottom w:val="single" w:color="auto" w:sz="4" w:space="0"/>
              <w:right w:val="single" w:color="auto" w:sz="4" w:space="0"/>
            </w:tcBorders>
            <w:shd w:val="clear" w:color="auto" w:fill="auto"/>
            <w:vAlign w:val="center"/>
          </w:tcPr>
          <w:p w14:paraId="48AA1553">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56FA5A0E">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12F9B2E0">
            <w:pPr>
              <w:widowControl/>
              <w:jc w:val="left"/>
              <w:rPr>
                <w:rFonts w:hint="eastAsia" w:ascii="宋体" w:hAnsi="宋体" w:cs="宋体"/>
                <w:color w:val="000000"/>
                <w:kern w:val="0"/>
                <w:szCs w:val="21"/>
              </w:rPr>
            </w:pPr>
          </w:p>
        </w:tc>
      </w:tr>
      <w:tr w14:paraId="67401A8F">
        <w:tblPrEx>
          <w:tblCellMar>
            <w:top w:w="0" w:type="dxa"/>
            <w:left w:w="108" w:type="dxa"/>
            <w:bottom w:w="0" w:type="dxa"/>
            <w:right w:w="108" w:type="dxa"/>
          </w:tblCellMar>
        </w:tblPrEx>
        <w:trPr>
          <w:trHeight w:val="300" w:hRule="atLeast"/>
        </w:trPr>
        <w:tc>
          <w:tcPr>
            <w:tcW w:w="1430" w:type="dxa"/>
            <w:vMerge w:val="continue"/>
            <w:tcBorders>
              <w:top w:val="nil"/>
              <w:left w:val="single" w:color="auto" w:sz="4" w:space="0"/>
              <w:bottom w:val="single" w:color="auto" w:sz="4" w:space="0"/>
              <w:right w:val="single" w:color="auto" w:sz="4" w:space="0"/>
            </w:tcBorders>
            <w:vAlign w:val="center"/>
          </w:tcPr>
          <w:p w14:paraId="2E70AF87">
            <w:pPr>
              <w:widowControl/>
              <w:jc w:val="center"/>
              <w:rPr>
                <w:rFonts w:ascii="宋体" w:hAnsi="宋体" w:cs="宋体"/>
                <w:color w:val="000000"/>
                <w:kern w:val="0"/>
                <w:szCs w:val="21"/>
              </w:rPr>
            </w:pPr>
          </w:p>
        </w:tc>
        <w:tc>
          <w:tcPr>
            <w:tcW w:w="3990" w:type="dxa"/>
            <w:tcBorders>
              <w:top w:val="nil"/>
              <w:left w:val="nil"/>
              <w:bottom w:val="single" w:color="auto" w:sz="4" w:space="0"/>
              <w:right w:val="single" w:color="auto" w:sz="4" w:space="0"/>
            </w:tcBorders>
            <w:shd w:val="clear" w:color="auto" w:fill="auto"/>
            <w:vAlign w:val="center"/>
          </w:tcPr>
          <w:p w14:paraId="4A42C2BD">
            <w:pPr>
              <w:widowControl/>
              <w:jc w:val="left"/>
              <w:rPr>
                <w:rFonts w:ascii="宋体" w:hAnsi="宋体" w:cs="宋体"/>
                <w:color w:val="000000"/>
                <w:kern w:val="0"/>
                <w:szCs w:val="21"/>
              </w:rPr>
            </w:pPr>
            <w:r>
              <w:rPr>
                <w:rFonts w:hint="eastAsia" w:ascii="宋体" w:hAnsi="宋体" w:cs="宋体"/>
                <w:color w:val="000000"/>
                <w:kern w:val="0"/>
                <w:szCs w:val="21"/>
              </w:rPr>
              <w:t>2.3.29支持展示了出境检测结果的资产清单，包括web应用、文件服务以及邮件服务，展示内容至少包含应用域名/服务地址、访问IP（部署IP）、出境数据总量、出境事件个数、出境数据标签等，并支持清单的导出</w:t>
            </w:r>
          </w:p>
        </w:tc>
        <w:tc>
          <w:tcPr>
            <w:tcW w:w="1575" w:type="dxa"/>
            <w:tcBorders>
              <w:top w:val="nil"/>
              <w:left w:val="nil"/>
              <w:bottom w:val="single" w:color="auto" w:sz="4" w:space="0"/>
              <w:right w:val="single" w:color="auto" w:sz="4" w:space="0"/>
            </w:tcBorders>
            <w:shd w:val="clear" w:color="auto" w:fill="auto"/>
            <w:vAlign w:val="center"/>
          </w:tcPr>
          <w:p w14:paraId="64B89552">
            <w:pPr>
              <w:widowControl/>
              <w:jc w:val="left"/>
              <w:rPr>
                <w:rFonts w:hint="eastAsia" w:ascii="宋体" w:hAnsi="宋体" w:cs="宋体"/>
                <w:color w:val="000000"/>
                <w:kern w:val="0"/>
                <w:szCs w:val="21"/>
              </w:rPr>
            </w:pPr>
          </w:p>
        </w:tc>
        <w:tc>
          <w:tcPr>
            <w:tcW w:w="1095" w:type="dxa"/>
            <w:tcBorders>
              <w:top w:val="nil"/>
              <w:left w:val="nil"/>
              <w:bottom w:val="single" w:color="auto" w:sz="4" w:space="0"/>
              <w:right w:val="single" w:color="auto" w:sz="4" w:space="0"/>
            </w:tcBorders>
            <w:shd w:val="clear" w:color="auto" w:fill="auto"/>
            <w:vAlign w:val="center"/>
          </w:tcPr>
          <w:p w14:paraId="305CB056">
            <w:pPr>
              <w:widowControl/>
              <w:jc w:val="left"/>
              <w:rPr>
                <w:rFonts w:hint="eastAsia" w:ascii="宋体" w:hAnsi="宋体" w:cs="宋体"/>
                <w:color w:val="000000"/>
                <w:kern w:val="0"/>
                <w:szCs w:val="21"/>
              </w:rPr>
            </w:pPr>
          </w:p>
        </w:tc>
        <w:tc>
          <w:tcPr>
            <w:tcW w:w="690" w:type="dxa"/>
            <w:tcBorders>
              <w:top w:val="nil"/>
              <w:left w:val="nil"/>
              <w:bottom w:val="single" w:color="auto" w:sz="4" w:space="0"/>
              <w:right w:val="single" w:color="auto" w:sz="4" w:space="0"/>
            </w:tcBorders>
            <w:shd w:val="clear" w:color="auto" w:fill="auto"/>
            <w:vAlign w:val="center"/>
          </w:tcPr>
          <w:p w14:paraId="1593377F">
            <w:pPr>
              <w:widowControl/>
              <w:jc w:val="left"/>
              <w:rPr>
                <w:rFonts w:hint="eastAsia" w:ascii="宋体" w:hAnsi="宋体" w:cs="宋体"/>
                <w:color w:val="000000"/>
                <w:kern w:val="0"/>
                <w:szCs w:val="21"/>
              </w:rPr>
            </w:pPr>
          </w:p>
        </w:tc>
      </w:tr>
    </w:tbl>
    <w:p w14:paraId="76D91ADA">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证明资料【如有的话，提供的证明资料应统一编号（排序），格式自定】：</w:t>
      </w:r>
    </w:p>
    <w:p w14:paraId="59A84B8E">
      <w:pPr>
        <w:rPr>
          <w:rFonts w:hint="eastAsia" w:ascii="宋体" w:hAnsi="宋体" w:eastAsia="宋体" w:cs="宋体"/>
          <w:b w:val="0"/>
          <w:bCs w:val="0"/>
          <w:kern w:val="2"/>
          <w:sz w:val="24"/>
          <w:szCs w:val="20"/>
          <w:lang w:val="en-US" w:eastAsia="zh-CN" w:bidi="ar-SA"/>
        </w:rPr>
      </w:pPr>
    </w:p>
    <w:p w14:paraId="59B6B758">
      <w:pPr>
        <w:rPr>
          <w:rFonts w:hint="eastAsia" w:ascii="宋体" w:hAnsi="宋体" w:eastAsia="宋体" w:cs="宋体"/>
          <w:b w:val="0"/>
          <w:bCs w:val="0"/>
          <w:kern w:val="2"/>
          <w:sz w:val="24"/>
          <w:szCs w:val="20"/>
          <w:lang w:val="en-US" w:eastAsia="zh-CN" w:bidi="ar-SA"/>
        </w:rPr>
      </w:pPr>
    </w:p>
    <w:p w14:paraId="197C8246">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《技术要求偏离表》编制指引：</w:t>
      </w:r>
    </w:p>
    <w:p w14:paraId="1027974F">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1、技术要求偏离表的序号、货物名称、招标技术要求等栏目对应“用户需求书”中的“技术要求”章节相关内容。</w:t>
      </w:r>
    </w:p>
    <w:p w14:paraId="107C3784">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2、“投标技术响应”一栏必须一一对照“招标技术要求”，详细填写投标人自身投标货物的具体参数，而不能不合理照搬照抄招标文件的技术要求，以体现具体响应情况。</w:t>
      </w:r>
      <w:r>
        <w:rPr>
          <w:rFonts w:hint="eastAsia" w:ascii="宋体" w:hAnsi="宋体" w:eastAsia="宋体" w:cs="宋体"/>
          <w:b w:val="0"/>
          <w:bCs w:val="0"/>
          <w:color w:val="FF0000"/>
          <w:kern w:val="2"/>
          <w:sz w:val="24"/>
          <w:szCs w:val="20"/>
          <w:lang w:val="en-US" w:eastAsia="zh-CN" w:bidi="ar-SA"/>
        </w:rPr>
        <w:t>“投标技术响应”必须与所投产品客观实际保持一致，响应不实且情节严重的，经查实，将依法记入供应商诚信档案或受到行政处罚。</w:t>
      </w:r>
    </w:p>
    <w:p w14:paraId="6F92A33B">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3、“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ascii="宋体" w:hAnsi="宋体" w:eastAsia="宋体" w:cs="宋体"/>
          <w:b w:val="0"/>
          <w:bCs w:val="0"/>
          <w:color w:val="FF0000"/>
          <w:kern w:val="2"/>
          <w:sz w:val="24"/>
          <w:szCs w:val="20"/>
          <w:lang w:val="en-US" w:eastAsia="zh-CN" w:bidi="ar-SA"/>
        </w:rPr>
        <w:t>“偏离情况”必须与所投产品客观实际保持一致，响应不实且情节严重的，经查实，将依法记入供应商诚信档案或受到行政处罚。</w:t>
      </w:r>
    </w:p>
    <w:p w14:paraId="6063A4B4">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4、未要求提供证明资料的招标技术要求，可以不提供证明资料（如实响应即可）。</w:t>
      </w:r>
    </w:p>
    <w:p w14:paraId="33254C1D">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5、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426581B2">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6、表后“证明资料”部分内容的编制：提供的所有证明资料应当统一编号（排序），且证明资料的编号（顺序）、数量和名称（形式）均应与“说明”一栏所填内容保持一致（一一对应），以便评审委员会查看。未按照招标文件要求在表后放置证明材料的供应商将承担不利后果，经评审委员会认定，相关技术要求将判定为负偏离。</w:t>
      </w:r>
    </w:p>
    <w:p w14:paraId="63BF6177">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7、证明资料的形式及其它具体要求：</w:t>
      </w:r>
    </w:p>
    <w:p w14:paraId="10BD31A9">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（1）除照片、图片（截图）及不需加盖公章的文字说明（技术说明）外，其它证明资料均要求为原件扫描件；</w:t>
      </w:r>
    </w:p>
    <w:p w14:paraId="1D042136">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5473AD93">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1A624E88">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我国政府机构出具的产品检验和核准证件应为证件正面、背面和附件标注的全部具体内容；产品检验和核准证件的尺寸和清晰度应该能够在电脑上被阅读、识别和判断；</w:t>
      </w:r>
    </w:p>
    <w:p w14:paraId="033F463B">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2B63223E">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其它证明资料的形式要求参照以上要求执行；</w:t>
      </w:r>
    </w:p>
    <w:p w14:paraId="6893C43C">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8、其它注意事项：</w:t>
      </w:r>
    </w:p>
    <w:p w14:paraId="17AC952E">
      <w:pPr>
        <w:rPr>
          <w:rFonts w:hint="eastAsia"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（1）评审委员会有权对投标人的响应情况作出判断（评审结论）；</w:t>
      </w:r>
    </w:p>
    <w:p w14:paraId="5CD26DE6">
      <w:pPr>
        <w:rPr>
          <w:rFonts w:hint="eastAsia" w:ascii="黑体" w:hAnsi="宋体" w:eastAsia="黑体" w:cs="Times New Roman"/>
          <w:b w:val="0"/>
          <w:kern w:val="0"/>
          <w:sz w:val="24"/>
          <w:szCs w:val="24"/>
          <w:lang w:val="en-US" w:eastAsia="zh-CN"/>
        </w:rPr>
      </w:pPr>
      <w:r>
        <w:rPr>
          <w:rFonts w:hint="eastAsia" w:ascii="宋体" w:hAnsi="宋体" w:eastAsia="宋体" w:cs="宋体"/>
          <w:b w:val="0"/>
          <w:bCs w:val="0"/>
          <w:kern w:val="2"/>
          <w:sz w:val="24"/>
          <w:szCs w:val="20"/>
          <w:lang w:val="en-US" w:eastAsia="zh-CN" w:bidi="ar-SA"/>
        </w:rPr>
        <w:t>（2）评审委员会有权对以谋取中标为目的的技术规格模糊响应（如有意不合理照搬照抄招标文件的技术要求）或虚假响应予以认定，并视情况经政府集中采购机构报主管部门进行处理。</w:t>
      </w:r>
    </w:p>
    <w:p w14:paraId="4D994821">
      <w:pPr>
        <w:rPr>
          <w:rFonts w:hint="eastAsia" w:ascii="黑体" w:hAnsi="宋体" w:eastAsia="黑体" w:cs="Times New Roman"/>
          <w:b w:val="0"/>
          <w:kern w:val="0"/>
          <w:sz w:val="24"/>
          <w:szCs w:val="24"/>
          <w:lang w:val="en-US" w:eastAsia="zh-CN"/>
        </w:rPr>
      </w:pPr>
      <w:r>
        <w:rPr>
          <w:rFonts w:hint="eastAsia" w:ascii="黑体" w:hAnsi="宋体" w:eastAsia="黑体" w:cs="Times New Roman"/>
          <w:b w:val="0"/>
          <w:kern w:val="0"/>
          <w:sz w:val="24"/>
          <w:szCs w:val="24"/>
          <w:lang w:val="en-US" w:eastAsia="zh-CN"/>
        </w:rPr>
        <w:br w:type="page"/>
      </w:r>
    </w:p>
    <w:p w14:paraId="582D5705">
      <w:pPr>
        <w:pStyle w:val="5"/>
        <w:jc w:val="center"/>
        <w:rPr>
          <w:rFonts w:hint="eastAsia" w:ascii="黑体" w:hAnsi="宋体" w:eastAsia="黑体" w:cs="Times New Roman"/>
          <w:b w:val="0"/>
          <w:kern w:val="0"/>
          <w:sz w:val="24"/>
          <w:szCs w:val="24"/>
        </w:rPr>
      </w:pPr>
      <w:r>
        <w:rPr>
          <w:rFonts w:hint="eastAsia" w:ascii="黑体" w:hAnsi="宋体" w:eastAsia="黑体" w:cs="Times New Roman"/>
          <w:b w:val="0"/>
          <w:kern w:val="0"/>
          <w:sz w:val="24"/>
          <w:szCs w:val="24"/>
          <w:lang w:val="en-US" w:eastAsia="zh-CN"/>
        </w:rPr>
        <w:t>十</w:t>
      </w:r>
      <w:r>
        <w:rPr>
          <w:rFonts w:hint="eastAsia" w:ascii="黑体" w:hAnsi="宋体" w:eastAsia="黑体" w:cs="Times New Roman"/>
          <w:b w:val="0"/>
          <w:kern w:val="0"/>
          <w:sz w:val="24"/>
          <w:szCs w:val="24"/>
        </w:rPr>
        <w:t>、拟投入的项目技术人员情况（格式自定）</w:t>
      </w:r>
    </w:p>
    <w:p w14:paraId="5E702E5C">
      <w:pPr>
        <w:ind w:firstLine="420" w:firstLineChars="200"/>
        <w:rPr>
          <w:rFonts w:hint="eastAsia" w:ascii="黑体" w:hAnsi="宋体" w:eastAsia="黑体" w:cs="Times New Roman"/>
          <w:bCs/>
          <w:color w:val="FF0000"/>
          <w:kern w:val="0"/>
          <w:szCs w:val="21"/>
        </w:rPr>
      </w:pPr>
      <w:r>
        <w:rPr>
          <w:rFonts w:hint="eastAsia" w:ascii="黑体" w:hAnsi="宋体" w:eastAsia="黑体" w:cs="Times New Roman"/>
          <w:bCs/>
          <w:color w:val="FF0000"/>
          <w:kern w:val="0"/>
          <w:szCs w:val="21"/>
        </w:rPr>
        <w:t>（特别提示：投标人须按本招标文件评标信息中这一评审因素要求，提供证明资料）</w:t>
      </w:r>
    </w:p>
    <w:p w14:paraId="5B5838DB">
      <w:pPr>
        <w:pStyle w:val="2"/>
        <w:ind w:firstLine="0"/>
        <w:rPr>
          <w:rFonts w:hint="eastAsia" w:asciiTheme="minorEastAsia" w:hAnsiTheme="minorEastAsia" w:eastAsiaTheme="minorEastAsia" w:cstheme="minorEastAsia"/>
          <w:sz w:val="24"/>
        </w:rPr>
      </w:pPr>
    </w:p>
    <w:p w14:paraId="628A2065">
      <w:pPr>
        <w:pStyle w:val="5"/>
        <w:jc w:val="center"/>
        <w:rPr>
          <w:rFonts w:hint="eastAsia" w:ascii="黑体" w:hAnsi="宋体" w:eastAsia="黑体" w:cs="Times New Roman"/>
          <w:b w:val="0"/>
          <w:kern w:val="0"/>
          <w:sz w:val="24"/>
          <w:szCs w:val="24"/>
        </w:rPr>
      </w:pPr>
      <w:r>
        <w:rPr>
          <w:rFonts w:hint="eastAsia" w:ascii="黑体" w:hAnsi="宋体" w:eastAsia="黑体" w:cs="Times New Roman"/>
          <w:b w:val="0"/>
          <w:kern w:val="0"/>
          <w:sz w:val="24"/>
          <w:szCs w:val="24"/>
        </w:rPr>
        <w:t>十一、供应商认证情况（格式自定）</w:t>
      </w:r>
    </w:p>
    <w:p w14:paraId="68099FAD">
      <w:pPr>
        <w:pStyle w:val="2"/>
        <w:ind w:firstLine="0"/>
        <w:rPr>
          <w:rFonts w:hint="eastAsia" w:ascii="黑体" w:hAnsi="宋体" w:eastAsia="黑体" w:cs="Times New Roman"/>
          <w:bCs/>
          <w:color w:val="FF0000"/>
          <w:kern w:val="0"/>
          <w:sz w:val="21"/>
          <w:szCs w:val="21"/>
          <w:lang w:val="en-US" w:eastAsia="zh-CN" w:bidi="ar-SA"/>
        </w:rPr>
      </w:pPr>
      <w:r>
        <w:rPr>
          <w:rFonts w:hint="eastAsia" w:ascii="黑体" w:hAnsi="宋体" w:eastAsia="黑体" w:cs="Times New Roman"/>
          <w:bCs/>
          <w:color w:val="FF0000"/>
          <w:kern w:val="0"/>
          <w:sz w:val="21"/>
          <w:szCs w:val="21"/>
          <w:lang w:val="en-US" w:eastAsia="zh-CN" w:bidi="ar-SA"/>
        </w:rPr>
        <w:t>（特别提示：投标人须按本招标文件评标信息中这一评审因素要求，提供证明资料）</w:t>
      </w:r>
    </w:p>
    <w:p w14:paraId="543F99A5">
      <w:pPr>
        <w:pStyle w:val="2"/>
        <w:ind w:firstLine="0"/>
        <w:rPr>
          <w:rFonts w:hint="eastAsia" w:asciiTheme="minorEastAsia" w:hAnsiTheme="minorEastAsia" w:eastAsiaTheme="minorEastAsia" w:cstheme="minorEastAsia"/>
          <w:sz w:val="24"/>
        </w:rPr>
      </w:pPr>
    </w:p>
    <w:p w14:paraId="26F63B11">
      <w:pPr>
        <w:pStyle w:val="5"/>
        <w:jc w:val="center"/>
        <w:rPr>
          <w:rFonts w:hint="eastAsia" w:ascii="黑体" w:hAnsi="宋体" w:eastAsia="黑体" w:cs="Times New Roman"/>
          <w:b w:val="0"/>
          <w:kern w:val="0"/>
          <w:sz w:val="24"/>
          <w:szCs w:val="24"/>
        </w:rPr>
      </w:pPr>
      <w:r>
        <w:rPr>
          <w:rFonts w:hint="eastAsia" w:ascii="黑体" w:hAnsi="宋体" w:eastAsia="黑体" w:cs="Times New Roman"/>
          <w:b w:val="0"/>
          <w:kern w:val="0"/>
          <w:sz w:val="24"/>
          <w:szCs w:val="24"/>
        </w:rPr>
        <w:t>十二、供应商同类项目业绩情况（格式自定）</w:t>
      </w:r>
    </w:p>
    <w:p w14:paraId="5971A770">
      <w:pPr>
        <w:pStyle w:val="2"/>
        <w:spacing w:before="60" w:beforeLines="25" w:after="60" w:afterLines="25"/>
        <w:ind w:firstLine="0"/>
        <w:rPr>
          <w:rFonts w:hint="eastAsia" w:ascii="黑体" w:hAnsi="宋体" w:eastAsia="黑体" w:cs="Times New Roman"/>
          <w:b w:val="0"/>
          <w:kern w:val="0"/>
          <w:sz w:val="24"/>
          <w:szCs w:val="24"/>
          <w:lang w:val="en-US" w:eastAsia="zh-CN"/>
        </w:rPr>
      </w:pPr>
      <w:r>
        <w:rPr>
          <w:rFonts w:hint="eastAsia" w:ascii="黑体" w:hAnsi="宋体" w:eastAsia="黑体" w:cs="Times New Roman"/>
          <w:bCs/>
          <w:color w:val="FF0000"/>
          <w:kern w:val="0"/>
          <w:sz w:val="21"/>
          <w:szCs w:val="21"/>
          <w:lang w:val="en-US" w:eastAsia="zh-CN" w:bidi="ar-SA"/>
        </w:rPr>
        <w:t>（特别提示：投标人须按本招标文件评标信息中这一评审因素要求，提供证明资料）</w:t>
      </w:r>
    </w:p>
    <w:p w14:paraId="463C91DD">
      <w:pPr>
        <w:pStyle w:val="5"/>
        <w:jc w:val="center"/>
        <w:rPr>
          <w:rFonts w:hint="eastAsia" w:ascii="黑体" w:hAnsi="宋体" w:eastAsia="黑体"/>
          <w:kern w:val="0"/>
          <w:sz w:val="24"/>
          <w:szCs w:val="20"/>
        </w:rPr>
      </w:pPr>
      <w:r>
        <w:rPr>
          <w:rFonts w:hint="eastAsia" w:ascii="黑体" w:hAnsi="宋体" w:eastAsia="黑体" w:cs="Times New Roman"/>
          <w:b w:val="0"/>
          <w:kern w:val="0"/>
          <w:sz w:val="24"/>
          <w:szCs w:val="24"/>
          <w:lang w:val="en-US" w:eastAsia="zh-CN"/>
        </w:rPr>
        <w:t>十三</w:t>
      </w:r>
      <w:r>
        <w:rPr>
          <w:rFonts w:hint="eastAsia" w:ascii="黑体" w:hAnsi="宋体" w:eastAsia="黑体" w:cs="Times New Roman"/>
          <w:b w:val="0"/>
          <w:kern w:val="0"/>
          <w:sz w:val="24"/>
          <w:szCs w:val="24"/>
        </w:rPr>
        <w:t>、投标人认为需要加以说明的其他内容（格式自定）</w:t>
      </w:r>
    </w:p>
    <w:p w14:paraId="551DE898">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14:paraId="7770F6D7">
      <w:pPr>
        <w:widowControl/>
        <w:jc w:val="center"/>
        <w:rPr>
          <w:rFonts w:hint="eastAsia" w:ascii="黑体" w:hAnsi="宋体" w:eastAsia="黑体"/>
          <w:kern w:val="0"/>
          <w:sz w:val="24"/>
          <w:szCs w:val="20"/>
        </w:rPr>
      </w:pPr>
    </w:p>
    <w:p w14:paraId="43BA9E53">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14:paraId="6958B8AE">
      <w:pPr>
        <w:ind w:firstLine="422" w:firstLineChars="200"/>
        <w:rPr>
          <w:b/>
        </w:rPr>
      </w:pPr>
      <w:r>
        <w:rPr>
          <w:rFonts w:hint="eastAsia"/>
          <w:b/>
        </w:rPr>
        <w:t>一、本公司已充分知悉“隐瞒真实情况，提供虚假资料”的法定情形，相关情形包括但不限于：</w:t>
      </w:r>
    </w:p>
    <w:p w14:paraId="0BB1E5F2">
      <w:pPr>
        <w:ind w:firstLine="420" w:firstLineChars="200"/>
      </w:pPr>
      <w:r>
        <w:rPr>
          <w:rFonts w:hint="eastAsia"/>
        </w:rPr>
        <w:t>（一）通过转让或者租借等方式从其他单位获取资格或者资质证书投标的。</w:t>
      </w:r>
    </w:p>
    <w:p w14:paraId="42CF3C9F">
      <w:pPr>
        <w:ind w:firstLine="420" w:firstLineChars="200"/>
      </w:pPr>
      <w:r>
        <w:rPr>
          <w:rFonts w:hint="eastAsia"/>
        </w:rPr>
        <w:t>（二）由其他单位或者其他单位负责人在投标供应商编制的投标文件上加盖印章或者签字的。</w:t>
      </w:r>
    </w:p>
    <w:p w14:paraId="23557316">
      <w:pPr>
        <w:ind w:firstLine="420" w:firstLineChars="200"/>
      </w:pPr>
      <w:r>
        <w:rPr>
          <w:rFonts w:hint="eastAsia"/>
        </w:rPr>
        <w:t>（三）项目负责人或者主要技术人员不是本单位人员的。</w:t>
      </w:r>
    </w:p>
    <w:p w14:paraId="202CC5DF">
      <w:pPr>
        <w:ind w:firstLine="420" w:firstLineChars="200"/>
      </w:pPr>
      <w:r>
        <w:rPr>
          <w:rFonts w:hint="eastAsia"/>
        </w:rPr>
        <w:t>（四）投标保证金不是从投标供应商基本账户转出的。</w:t>
      </w:r>
    </w:p>
    <w:p w14:paraId="70AFBC4C">
      <w:pPr>
        <w:ind w:firstLine="420" w:firstLineChars="200"/>
      </w:pPr>
      <w:r>
        <w:rPr>
          <w:rFonts w:hint="eastAsia"/>
        </w:rPr>
        <w:t>（五）其他隐瞒真实情况、提供虚假资料的行为。</w:t>
      </w:r>
    </w:p>
    <w:p w14:paraId="20D7A9F8">
      <w:pPr>
        <w:ind w:firstLine="422" w:firstLineChars="200"/>
        <w:rPr>
          <w:b/>
        </w:rPr>
      </w:pPr>
      <w:r>
        <w:rPr>
          <w:rFonts w:hint="eastAsia"/>
          <w:b/>
        </w:rPr>
        <w:t>二、本公司已充分知悉“与其他采购参加人串通投标”的法定情形，相关情形包括但不限于：</w:t>
      </w:r>
    </w:p>
    <w:p w14:paraId="0CA05A66">
      <w:pPr>
        <w:ind w:firstLine="420" w:firstLineChars="200"/>
      </w:pPr>
      <w:r>
        <w:rPr>
          <w:rFonts w:hint="eastAsia"/>
        </w:rPr>
        <w:t>（一）投标供应商之间相互约定给予未中标的供应商利益补偿。</w:t>
      </w:r>
    </w:p>
    <w:p w14:paraId="7EB8C395">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113424BE">
      <w:pPr>
        <w:ind w:firstLine="420" w:firstLineChars="200"/>
      </w:pPr>
      <w:r>
        <w:rPr>
          <w:rFonts w:hint="eastAsia"/>
        </w:rPr>
        <w:t>（三）不同投标供应商的投标文件由同一单位或者同一人编制，或者由同一人分阶段参与编制的。</w:t>
      </w:r>
    </w:p>
    <w:p w14:paraId="18723902">
      <w:pPr>
        <w:ind w:firstLine="420" w:firstLineChars="200"/>
      </w:pPr>
      <w:r>
        <w:rPr>
          <w:rFonts w:hint="eastAsia"/>
        </w:rPr>
        <w:t>（四）不同投标供应商的投标文件或部分投标文件相互混装。</w:t>
      </w:r>
    </w:p>
    <w:p w14:paraId="7101CD1A">
      <w:pPr>
        <w:ind w:firstLine="420" w:firstLineChars="200"/>
      </w:pPr>
      <w:r>
        <w:rPr>
          <w:rFonts w:hint="eastAsia"/>
        </w:rPr>
        <w:t>（五）不同投标供应商的投标文件内容存在非正常一致。</w:t>
      </w:r>
    </w:p>
    <w:p w14:paraId="6D26544E">
      <w:pPr>
        <w:ind w:firstLine="420" w:firstLineChars="200"/>
      </w:pPr>
      <w:r>
        <w:rPr>
          <w:rFonts w:hint="eastAsia"/>
        </w:rPr>
        <w:t>（六）由同一单位工作人员为两家以上（含两家）供应商进行同一项投标活动的。</w:t>
      </w:r>
    </w:p>
    <w:p w14:paraId="727D29E5">
      <w:pPr>
        <w:ind w:firstLine="420" w:firstLineChars="200"/>
      </w:pPr>
      <w:r>
        <w:rPr>
          <w:rFonts w:hint="eastAsia"/>
        </w:rPr>
        <w:t>（七）不同投标人的投标报价呈规律性差异。</w:t>
      </w:r>
    </w:p>
    <w:p w14:paraId="46BD363E">
      <w:pPr>
        <w:ind w:firstLine="420" w:firstLineChars="200"/>
      </w:pPr>
      <w:r>
        <w:rPr>
          <w:rFonts w:hint="eastAsia"/>
        </w:rPr>
        <w:t>（八）不同投标人的投标保证金从同一单位或者个人的账户转出。</w:t>
      </w:r>
    </w:p>
    <w:p w14:paraId="63D6D2B2">
      <w:pPr>
        <w:ind w:firstLine="420" w:firstLineChars="200"/>
      </w:pPr>
      <w:r>
        <w:rPr>
          <w:rFonts w:hint="eastAsia"/>
        </w:rPr>
        <w:t>（九）主管部门依照法律、法规认定的其他情形。</w:t>
      </w:r>
    </w:p>
    <w:p w14:paraId="435DDF44">
      <w:pPr>
        <w:ind w:firstLine="422" w:firstLineChars="200"/>
        <w:rPr>
          <w:b/>
        </w:rPr>
      </w:pPr>
      <w:r>
        <w:rPr>
          <w:rFonts w:hint="eastAsia"/>
          <w:b/>
        </w:rPr>
        <w:t>三、本公司已充分知悉下列情形所对应的法律风险，并在投标前已对相关风险事项进行排查。</w:t>
      </w:r>
    </w:p>
    <w:p w14:paraId="034AFD10">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6EDAFB9E">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61F3CE11">
      <w:pPr>
        <w:ind w:firstLine="420" w:firstLineChars="200"/>
      </w:pPr>
      <w:r>
        <w:rPr>
          <w:rFonts w:hint="eastAsia"/>
        </w:rPr>
        <w:t>（三）对于涉及安全生产、特种作业、抢险救灾、防疫等采购项目，供应商实施提供虚假资料、串通投标等违法行为的，主管部门将依法从严处理。</w:t>
      </w:r>
    </w:p>
    <w:p w14:paraId="613541B5">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326AD4C">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0DD30FB5">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750E5716">
      <w:pPr>
        <w:ind w:firstLine="422" w:firstLineChars="200"/>
        <w:rPr>
          <w:b/>
        </w:rPr>
      </w:pPr>
      <w:r>
        <w:rPr>
          <w:rFonts w:hint="eastAsia"/>
          <w:b/>
        </w:rPr>
        <w:t>四、本公司已充分知悉政府采购违法、违规行为的法律后果。</w:t>
      </w:r>
    </w:p>
    <w:p w14:paraId="422FDA02">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0CB51AC">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1DC115C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309103F">
            <w:pPr>
              <w:autoSpaceDE w:val="0"/>
              <w:autoSpaceDN w:val="0"/>
              <w:spacing w:line="400" w:lineRule="exact"/>
              <w:ind w:firstLine="1866"/>
              <w:rPr>
                <w:rFonts w:hint="eastAsia" w:ascii="宋体" w:hAnsi="宋体" w:eastAsiaTheme="minorEastAsia"/>
                <w:spacing w:val="-4"/>
                <w:kern w:val="0"/>
                <w:szCs w:val="21"/>
              </w:rPr>
            </w:pPr>
          </w:p>
        </w:tc>
      </w:tr>
      <w:tr w14:paraId="67CC8E2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36D6BC8">
            <w:pPr>
              <w:autoSpaceDE w:val="0"/>
              <w:autoSpaceDN w:val="0"/>
              <w:spacing w:line="400" w:lineRule="exact"/>
              <w:ind w:firstLine="1866"/>
              <w:rPr>
                <w:rFonts w:hint="eastAsia" w:ascii="宋体" w:hAnsi="宋体" w:eastAsiaTheme="minorEastAsia"/>
                <w:spacing w:val="-4"/>
                <w:kern w:val="0"/>
                <w:szCs w:val="21"/>
              </w:rPr>
            </w:pPr>
          </w:p>
        </w:tc>
      </w:tr>
      <w:tr w14:paraId="0B84703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D7563DA">
            <w:pPr>
              <w:autoSpaceDE w:val="0"/>
              <w:autoSpaceDN w:val="0"/>
              <w:spacing w:line="400" w:lineRule="exact"/>
              <w:ind w:firstLine="1866"/>
              <w:rPr>
                <w:rFonts w:hint="eastAsia" w:ascii="宋体" w:hAnsi="宋体" w:eastAsiaTheme="minorEastAsia"/>
                <w:spacing w:val="-4"/>
                <w:kern w:val="0"/>
                <w:szCs w:val="21"/>
              </w:rPr>
            </w:pPr>
          </w:p>
        </w:tc>
      </w:tr>
      <w:tr w14:paraId="58AE3A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72D10B5F">
            <w:pPr>
              <w:autoSpaceDE w:val="0"/>
              <w:autoSpaceDN w:val="0"/>
              <w:spacing w:line="400" w:lineRule="exact"/>
              <w:ind w:firstLine="1866"/>
              <w:rPr>
                <w:rFonts w:hint="eastAsia" w:ascii="宋体" w:hAnsi="宋体" w:eastAsiaTheme="minorEastAsia"/>
                <w:spacing w:val="-4"/>
                <w:kern w:val="0"/>
                <w:szCs w:val="21"/>
              </w:rPr>
            </w:pPr>
          </w:p>
        </w:tc>
      </w:tr>
    </w:tbl>
    <w:p w14:paraId="2EFC2FD1">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1BC3249E">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28608403">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19B52CED">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56893EA9">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6A35CCEF">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14:paraId="2D03CA1D">
      <w:pPr>
        <w:widowControl/>
        <w:spacing w:line="360" w:lineRule="auto"/>
        <w:jc w:val="left"/>
        <w:rPr>
          <w:rFonts w:eastAsiaTheme="minorEastAsia"/>
          <w:b/>
          <w:bCs/>
          <w:kern w:val="0"/>
          <w:sz w:val="24"/>
        </w:rPr>
      </w:pPr>
    </w:p>
    <w:p w14:paraId="056D737C">
      <w:pPr>
        <w:pStyle w:val="19"/>
      </w:pPr>
      <w:r>
        <w:rPr>
          <w:rFonts w:hint="eastAsia" w:ascii="黑体" w:hAnsi="宋体" w:eastAsia="黑体"/>
          <w:kern w:val="0"/>
          <w:szCs w:val="20"/>
        </w:rPr>
        <w:t>（二）投标人认为需要加以说明的其他内容（格式自定）</w:t>
      </w:r>
    </w:p>
    <w:p w14:paraId="52F41152">
      <w:pPr>
        <w:pStyle w:val="20"/>
      </w:pPr>
    </w:p>
    <w:p w14:paraId="7849563F">
      <w:pPr>
        <w:widowControl/>
        <w:jc w:val="left"/>
        <w:rPr>
          <w:rFonts w:hint="eastAsia" w:ascii="宋体" w:hAnsi="宋体"/>
          <w:b/>
          <w:bCs/>
          <w:kern w:val="0"/>
          <w:sz w:val="24"/>
          <w:szCs w:val="20"/>
        </w:rPr>
      </w:pPr>
      <w:r>
        <w:br w:type="page"/>
      </w:r>
    </w:p>
    <w:p w14:paraId="307E9876">
      <w:pPr>
        <w:pStyle w:val="7"/>
        <w:rPr>
          <w:rFonts w:hint="eastAsia"/>
          <w:sz w:val="28"/>
          <w:szCs w:val="28"/>
        </w:rPr>
      </w:pPr>
      <w:r>
        <w:rPr>
          <w:rFonts w:hint="eastAsia"/>
          <w:sz w:val="28"/>
          <w:szCs w:val="28"/>
        </w:rPr>
        <w:t>第五章  合同条款及格式</w:t>
      </w:r>
    </w:p>
    <w:p w14:paraId="03ABBE2A">
      <w:pPr>
        <w:jc w:val="center"/>
        <w:outlineLvl w:val="0"/>
      </w:pPr>
      <w:r>
        <w:rPr>
          <w:rFonts w:hint="eastAsia"/>
          <w:b/>
          <w:sz w:val="24"/>
        </w:rPr>
        <w:t>（仅供参考，具体以项目需求及实际签订为准）</w:t>
      </w:r>
    </w:p>
    <w:p w14:paraId="2FA56BB5">
      <w:pPr>
        <w:ind w:firstLine="411" w:firstLineChars="196"/>
      </w:pPr>
    </w:p>
    <w:p w14:paraId="7821C050">
      <w:pPr>
        <w:rPr>
          <w:rFonts w:hint="eastAsia" w:ascii="宋体" w:hAnsi="宋体"/>
          <w:b/>
          <w:bCs/>
          <w:szCs w:val="21"/>
        </w:rPr>
      </w:pPr>
      <w:r>
        <w:rPr>
          <w:rFonts w:hint="eastAsia" w:ascii="宋体" w:hAnsi="宋体"/>
          <w:b/>
          <w:bCs/>
          <w:szCs w:val="21"/>
        </w:rPr>
        <w:t>甲方：</w:t>
      </w:r>
    </w:p>
    <w:p w14:paraId="41DBBACB">
      <w:pPr>
        <w:rPr>
          <w:rFonts w:hint="eastAsia" w:ascii="宋体" w:hAnsi="宋体"/>
          <w:szCs w:val="21"/>
        </w:rPr>
      </w:pPr>
      <w:r>
        <w:rPr>
          <w:rFonts w:hint="eastAsia" w:ascii="宋体" w:hAnsi="宋体"/>
          <w:szCs w:val="21"/>
        </w:rPr>
        <w:t>地址：</w:t>
      </w:r>
    </w:p>
    <w:p w14:paraId="2599CFCB">
      <w:pPr>
        <w:rPr>
          <w:rFonts w:hint="eastAsia" w:ascii="宋体" w:hAnsi="宋体"/>
          <w:szCs w:val="21"/>
        </w:rPr>
      </w:pPr>
      <w:r>
        <w:rPr>
          <w:rFonts w:hint="eastAsia" w:ascii="宋体" w:hAnsi="宋体"/>
          <w:szCs w:val="21"/>
        </w:rPr>
        <w:t>联系人：</w:t>
      </w:r>
      <w:r>
        <w:rPr>
          <w:rFonts w:ascii="宋体" w:hAnsi="宋体"/>
          <w:szCs w:val="21"/>
        </w:rPr>
        <w:t xml:space="preserve">                          </w:t>
      </w:r>
    </w:p>
    <w:p w14:paraId="18C5749E">
      <w:pPr>
        <w:rPr>
          <w:rFonts w:hint="eastAsia" w:ascii="宋体" w:hAnsi="宋体"/>
          <w:b/>
          <w:bCs/>
          <w:szCs w:val="21"/>
        </w:rPr>
      </w:pPr>
      <w:r>
        <w:rPr>
          <w:rFonts w:hint="eastAsia" w:ascii="宋体" w:hAnsi="宋体"/>
          <w:szCs w:val="21"/>
        </w:rPr>
        <w:t>联系电话：</w:t>
      </w:r>
    </w:p>
    <w:p w14:paraId="6A178B04">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243D0C72">
      <w:pPr>
        <w:rPr>
          <w:rFonts w:hint="eastAsia" w:ascii="宋体" w:hAnsi="宋体"/>
          <w:b/>
          <w:bCs/>
          <w:szCs w:val="21"/>
        </w:rPr>
      </w:pPr>
      <w:r>
        <w:rPr>
          <w:rFonts w:hint="eastAsia" w:ascii="宋体" w:hAnsi="宋体"/>
          <w:b/>
          <w:bCs/>
          <w:szCs w:val="21"/>
        </w:rPr>
        <w:t>乙方：</w:t>
      </w:r>
    </w:p>
    <w:p w14:paraId="55132BC8">
      <w:pPr>
        <w:rPr>
          <w:rFonts w:hint="eastAsia" w:ascii="宋体" w:hAnsi="宋体"/>
          <w:szCs w:val="21"/>
        </w:rPr>
      </w:pPr>
      <w:r>
        <w:rPr>
          <w:rFonts w:hint="eastAsia" w:ascii="宋体" w:hAnsi="宋体"/>
          <w:szCs w:val="21"/>
        </w:rPr>
        <w:t>地址：</w:t>
      </w:r>
    </w:p>
    <w:p w14:paraId="5B83849A">
      <w:pPr>
        <w:rPr>
          <w:rFonts w:hint="eastAsia" w:ascii="宋体" w:hAnsi="宋体"/>
          <w:szCs w:val="21"/>
        </w:rPr>
      </w:pPr>
      <w:r>
        <w:rPr>
          <w:rFonts w:hint="eastAsia" w:ascii="宋体" w:hAnsi="宋体"/>
          <w:szCs w:val="21"/>
        </w:rPr>
        <w:t>联系人：</w:t>
      </w:r>
      <w:r>
        <w:rPr>
          <w:rFonts w:ascii="宋体" w:hAnsi="宋体"/>
          <w:szCs w:val="21"/>
        </w:rPr>
        <w:t xml:space="preserve">                          </w:t>
      </w:r>
    </w:p>
    <w:p w14:paraId="5F82E5D4">
      <w:pPr>
        <w:rPr>
          <w:rFonts w:hint="eastAsia" w:ascii="宋体" w:hAnsi="宋体"/>
          <w:b/>
          <w:bCs/>
          <w:szCs w:val="21"/>
        </w:rPr>
      </w:pPr>
      <w:r>
        <w:rPr>
          <w:rFonts w:hint="eastAsia" w:ascii="宋体" w:hAnsi="宋体"/>
          <w:szCs w:val="21"/>
        </w:rPr>
        <w:t>联系电话：</w:t>
      </w:r>
    </w:p>
    <w:p w14:paraId="3BB7E6B5">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191A8ECA">
      <w:pPr>
        <w:rPr>
          <w:rFonts w:hint="eastAsia" w:ascii="宋体" w:hAnsi="宋体"/>
          <w:szCs w:val="21"/>
        </w:rPr>
      </w:pPr>
    </w:p>
    <w:p w14:paraId="2AE4977A">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1E93F0B9">
      <w:pPr>
        <w:ind w:firstLine="422" w:firstLineChars="200"/>
        <w:rPr>
          <w:rFonts w:hint="eastAsia" w:ascii="宋体" w:hAnsi="宋体"/>
          <w:b/>
          <w:bCs/>
          <w:szCs w:val="21"/>
        </w:rPr>
      </w:pPr>
      <w:r>
        <w:rPr>
          <w:rFonts w:hint="eastAsia" w:ascii="宋体" w:hAnsi="宋体"/>
          <w:b/>
          <w:bCs/>
          <w:szCs w:val="21"/>
        </w:rPr>
        <w:t>第一条　项目概况</w:t>
      </w:r>
    </w:p>
    <w:p w14:paraId="2C86B509">
      <w:pPr>
        <w:ind w:firstLine="420" w:firstLineChars="200"/>
        <w:rPr>
          <w:rFonts w:hint="eastAsia" w:ascii="宋体" w:hAnsi="宋体"/>
          <w:szCs w:val="21"/>
        </w:rPr>
      </w:pPr>
      <w:r>
        <w:rPr>
          <w:rFonts w:hint="eastAsia" w:ascii="宋体" w:hAnsi="宋体"/>
          <w:szCs w:val="21"/>
        </w:rPr>
        <w:t xml:space="preserve">项目名称： </w:t>
      </w:r>
    </w:p>
    <w:p w14:paraId="46DBED37">
      <w:pPr>
        <w:ind w:firstLine="420" w:firstLineChars="200"/>
        <w:rPr>
          <w:rFonts w:hint="eastAsia" w:ascii="宋体" w:hAnsi="宋体"/>
          <w:szCs w:val="21"/>
        </w:rPr>
      </w:pPr>
      <w:r>
        <w:rPr>
          <w:rFonts w:hint="eastAsia" w:ascii="宋体" w:hAnsi="宋体"/>
          <w:szCs w:val="21"/>
        </w:rPr>
        <w:t xml:space="preserve">项目内容： </w:t>
      </w:r>
    </w:p>
    <w:p w14:paraId="7E2833BD">
      <w:pPr>
        <w:ind w:firstLine="420" w:firstLineChars="200"/>
        <w:rPr>
          <w:rFonts w:hint="eastAsia" w:ascii="宋体" w:hAnsi="宋体"/>
          <w:szCs w:val="21"/>
        </w:rPr>
      </w:pPr>
      <w:r>
        <w:rPr>
          <w:rFonts w:hint="eastAsia" w:ascii="宋体" w:hAnsi="宋体"/>
          <w:szCs w:val="21"/>
        </w:rPr>
        <w:t xml:space="preserve">服务时间： </w:t>
      </w:r>
    </w:p>
    <w:p w14:paraId="6755D4EA">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62D60D91">
      <w:pPr>
        <w:pStyle w:val="2"/>
        <w:rPr>
          <w:rFonts w:hint="eastAsia" w:ascii="宋体" w:hAnsi="宋体"/>
          <w:szCs w:val="21"/>
        </w:rPr>
      </w:pPr>
      <w:r>
        <w:rPr>
          <w:rFonts w:hint="eastAsia" w:ascii="宋体" w:hAnsi="宋体"/>
          <w:szCs w:val="21"/>
        </w:rPr>
        <w:t>支付方式：分期支付。</w:t>
      </w:r>
    </w:p>
    <w:p w14:paraId="48D3577B">
      <w:pPr>
        <w:ind w:firstLine="422" w:firstLineChars="200"/>
        <w:rPr>
          <w:rFonts w:hint="eastAsia" w:ascii="宋体" w:hAnsi="宋体"/>
          <w:b/>
          <w:bCs/>
          <w:szCs w:val="21"/>
        </w:rPr>
      </w:pPr>
      <w:r>
        <w:rPr>
          <w:rFonts w:hint="eastAsia" w:ascii="宋体" w:hAnsi="宋体"/>
          <w:b/>
          <w:bCs/>
          <w:szCs w:val="21"/>
        </w:rPr>
        <w:t>第二条  服务范围</w:t>
      </w:r>
    </w:p>
    <w:p w14:paraId="6ECFE16C">
      <w:pPr>
        <w:ind w:firstLine="420" w:firstLineChars="200"/>
        <w:rPr>
          <w:rFonts w:hint="eastAsia" w:ascii="宋体" w:hAnsi="宋体"/>
          <w:szCs w:val="21"/>
        </w:rPr>
      </w:pPr>
      <w:r>
        <w:rPr>
          <w:rFonts w:hint="eastAsia" w:ascii="宋体" w:hAnsi="宋体"/>
          <w:szCs w:val="21"/>
        </w:rPr>
        <w:t xml:space="preserve">1、  </w:t>
      </w:r>
    </w:p>
    <w:p w14:paraId="3807E0F9">
      <w:pPr>
        <w:ind w:firstLine="420" w:firstLineChars="200"/>
        <w:rPr>
          <w:rFonts w:hint="eastAsia" w:ascii="宋体" w:hAnsi="宋体"/>
          <w:szCs w:val="21"/>
        </w:rPr>
      </w:pPr>
      <w:r>
        <w:rPr>
          <w:rFonts w:hint="eastAsia" w:ascii="宋体" w:hAnsi="宋体"/>
          <w:szCs w:val="21"/>
        </w:rPr>
        <w:t xml:space="preserve">2、  </w:t>
      </w:r>
    </w:p>
    <w:p w14:paraId="214E8A4C">
      <w:pPr>
        <w:ind w:firstLine="420" w:firstLineChars="200"/>
        <w:rPr>
          <w:rFonts w:hint="eastAsia" w:ascii="宋体" w:hAnsi="宋体"/>
          <w:szCs w:val="21"/>
        </w:rPr>
      </w:pPr>
      <w:r>
        <w:rPr>
          <w:rFonts w:hint="eastAsia" w:ascii="宋体" w:hAnsi="宋体"/>
          <w:szCs w:val="21"/>
        </w:rPr>
        <w:t>3、其他合同未明示的相关工作。</w:t>
      </w:r>
    </w:p>
    <w:p w14:paraId="5D1C5748">
      <w:pPr>
        <w:ind w:firstLine="422" w:firstLineChars="200"/>
        <w:rPr>
          <w:rFonts w:hint="eastAsia" w:ascii="宋体" w:hAnsi="宋体"/>
          <w:b/>
          <w:bCs/>
          <w:szCs w:val="21"/>
        </w:rPr>
      </w:pPr>
      <w:r>
        <w:rPr>
          <w:rFonts w:hint="eastAsia" w:ascii="宋体" w:hAnsi="宋体"/>
          <w:b/>
          <w:bCs/>
          <w:szCs w:val="21"/>
        </w:rPr>
        <w:t>第三条  时间要求及阶段成果</w:t>
      </w:r>
    </w:p>
    <w:p w14:paraId="234D3E8C">
      <w:pPr>
        <w:ind w:firstLine="420" w:firstLineChars="200"/>
        <w:rPr>
          <w:rFonts w:hint="eastAsia" w:ascii="宋体" w:hAnsi="宋体"/>
          <w:szCs w:val="21"/>
        </w:rPr>
      </w:pPr>
      <w:r>
        <w:rPr>
          <w:rFonts w:hint="eastAsia" w:ascii="宋体" w:hAnsi="宋体"/>
          <w:szCs w:val="21"/>
        </w:rPr>
        <w:t>1、合同签订天内完成项目实施的准备工作，包括工作大纲和细则的编制；</w:t>
      </w:r>
    </w:p>
    <w:p w14:paraId="65654F15">
      <w:pPr>
        <w:ind w:firstLine="420" w:firstLineChars="200"/>
        <w:rPr>
          <w:rFonts w:hint="eastAsia" w:ascii="宋体" w:hAnsi="宋体"/>
          <w:szCs w:val="21"/>
        </w:rPr>
      </w:pPr>
      <w:r>
        <w:rPr>
          <w:rFonts w:hint="eastAsia" w:ascii="宋体" w:hAnsi="宋体"/>
          <w:szCs w:val="21"/>
        </w:rPr>
        <w:t xml:space="preserve">2、 </w:t>
      </w:r>
    </w:p>
    <w:p w14:paraId="7A97CABE">
      <w:pPr>
        <w:ind w:firstLine="420" w:firstLineChars="200"/>
        <w:rPr>
          <w:rFonts w:hint="eastAsia" w:ascii="宋体" w:hAnsi="宋体"/>
          <w:szCs w:val="21"/>
        </w:rPr>
      </w:pPr>
      <w:r>
        <w:rPr>
          <w:rFonts w:hint="eastAsia" w:ascii="宋体" w:hAnsi="宋体"/>
          <w:szCs w:val="21"/>
        </w:rPr>
        <w:t>...</w:t>
      </w:r>
    </w:p>
    <w:p w14:paraId="2C49CD5E">
      <w:pPr>
        <w:ind w:firstLine="422" w:firstLineChars="200"/>
        <w:rPr>
          <w:rFonts w:hint="eastAsia" w:ascii="宋体" w:hAnsi="宋体"/>
          <w:b/>
          <w:bCs/>
          <w:szCs w:val="21"/>
        </w:rPr>
      </w:pPr>
      <w:r>
        <w:rPr>
          <w:rFonts w:hint="eastAsia" w:ascii="宋体" w:hAnsi="宋体"/>
          <w:b/>
          <w:bCs/>
          <w:szCs w:val="21"/>
        </w:rPr>
        <w:t>第四条  咨询服务资料归属</w:t>
      </w:r>
    </w:p>
    <w:p w14:paraId="265849D2">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2414B962">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4A18B201">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30719C31">
      <w:pPr>
        <w:ind w:firstLine="422" w:firstLineChars="200"/>
        <w:rPr>
          <w:rFonts w:hint="eastAsia" w:ascii="宋体" w:hAnsi="宋体"/>
          <w:b/>
          <w:bCs/>
          <w:szCs w:val="21"/>
        </w:rPr>
      </w:pPr>
      <w:r>
        <w:rPr>
          <w:rFonts w:hint="eastAsia" w:ascii="宋体" w:hAnsi="宋体"/>
          <w:b/>
          <w:bCs/>
          <w:szCs w:val="21"/>
        </w:rPr>
        <w:t>第五条  甲方的义务</w:t>
      </w:r>
    </w:p>
    <w:p w14:paraId="1181D6C0">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3D183A26">
      <w:pPr>
        <w:ind w:firstLine="420" w:firstLineChars="200"/>
        <w:rPr>
          <w:rFonts w:hint="eastAsia" w:ascii="宋体" w:hAnsi="宋体"/>
          <w:szCs w:val="21"/>
        </w:rPr>
      </w:pPr>
      <w:r>
        <w:rPr>
          <w:rFonts w:hint="eastAsia" w:ascii="宋体" w:hAnsi="宋体"/>
          <w:szCs w:val="21"/>
        </w:rPr>
        <w:t>2、向乙方提供与本项目服务工作有关的资料。</w:t>
      </w:r>
    </w:p>
    <w:p w14:paraId="657B98B2">
      <w:pPr>
        <w:ind w:firstLine="420" w:firstLineChars="200"/>
        <w:rPr>
          <w:rFonts w:hint="eastAsia" w:ascii="宋体" w:hAnsi="宋体"/>
          <w:szCs w:val="21"/>
        </w:rPr>
      </w:pPr>
      <w:r>
        <w:rPr>
          <w:rFonts w:hint="eastAsia" w:ascii="宋体" w:hAnsi="宋体"/>
          <w:szCs w:val="21"/>
        </w:rPr>
        <w:t>3、负责组织有关专家对项目成果报告的评审。</w:t>
      </w:r>
    </w:p>
    <w:p w14:paraId="519DDD26">
      <w:pPr>
        <w:ind w:firstLine="422" w:firstLineChars="200"/>
        <w:rPr>
          <w:rFonts w:hint="eastAsia" w:ascii="宋体" w:hAnsi="宋体"/>
          <w:b/>
          <w:bCs/>
          <w:szCs w:val="21"/>
        </w:rPr>
      </w:pPr>
      <w:r>
        <w:rPr>
          <w:rFonts w:hint="eastAsia" w:ascii="宋体" w:hAnsi="宋体"/>
          <w:b/>
          <w:bCs/>
          <w:szCs w:val="21"/>
        </w:rPr>
        <w:t>第七条　乙方的义务</w:t>
      </w:r>
    </w:p>
    <w:p w14:paraId="3039D7A4">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36128A71">
      <w:pPr>
        <w:ind w:firstLine="420" w:firstLineChars="200"/>
        <w:rPr>
          <w:rFonts w:hint="eastAsia" w:ascii="宋体" w:hAnsi="宋体"/>
          <w:szCs w:val="21"/>
        </w:rPr>
      </w:pPr>
      <w:r>
        <w:rPr>
          <w:rFonts w:hint="eastAsia" w:ascii="宋体" w:hAnsi="宋体"/>
          <w:szCs w:val="21"/>
        </w:rPr>
        <w:t>2、负责组织项目的实施，保证进度和工作质量，并满足验收相关标准。</w:t>
      </w:r>
    </w:p>
    <w:p w14:paraId="0055DF0E">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向甲方提交资料等各套，一套电子版文件。</w:t>
      </w:r>
    </w:p>
    <w:p w14:paraId="795AD2EE">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2C5AF32B">
      <w:pPr>
        <w:ind w:firstLine="422" w:firstLineChars="200"/>
        <w:rPr>
          <w:rFonts w:hint="eastAsia" w:ascii="宋体" w:hAnsi="宋体"/>
          <w:b/>
          <w:bCs/>
          <w:szCs w:val="21"/>
        </w:rPr>
      </w:pPr>
      <w:r>
        <w:rPr>
          <w:rFonts w:hint="eastAsia" w:ascii="宋体" w:hAnsi="宋体"/>
          <w:b/>
          <w:bCs/>
          <w:szCs w:val="21"/>
        </w:rPr>
        <w:t>第八条  甲方的权利</w:t>
      </w:r>
    </w:p>
    <w:p w14:paraId="382F807A">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1160A995">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445663C3">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413E173E">
      <w:pPr>
        <w:ind w:firstLine="422" w:firstLineChars="200"/>
        <w:rPr>
          <w:rFonts w:hint="eastAsia" w:ascii="宋体" w:hAnsi="宋体"/>
          <w:b/>
          <w:bCs/>
          <w:szCs w:val="21"/>
        </w:rPr>
      </w:pPr>
      <w:r>
        <w:rPr>
          <w:rFonts w:hint="eastAsia" w:ascii="宋体" w:hAnsi="宋体"/>
          <w:b/>
          <w:bCs/>
          <w:szCs w:val="21"/>
        </w:rPr>
        <w:t>第九条  乙方的权利</w:t>
      </w:r>
    </w:p>
    <w:p w14:paraId="060E727B">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734A7AB3">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0B5210B4">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、乙方在本项目服务过程中，有到现场勘察的权利。</w:t>
      </w:r>
    </w:p>
    <w:p w14:paraId="66577D9D">
      <w:pPr>
        <w:ind w:firstLine="422" w:firstLineChars="200"/>
        <w:rPr>
          <w:rFonts w:hint="eastAsia" w:ascii="宋体" w:hAnsi="宋体"/>
          <w:b/>
          <w:bCs/>
          <w:szCs w:val="21"/>
        </w:rPr>
      </w:pPr>
      <w:r>
        <w:rPr>
          <w:rFonts w:hint="eastAsia" w:ascii="宋体" w:hAnsi="宋体"/>
          <w:b/>
          <w:bCs/>
          <w:szCs w:val="21"/>
        </w:rPr>
        <w:t>第十条  甲方的责任</w:t>
      </w:r>
    </w:p>
    <w:p w14:paraId="457AE107">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1617A017">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23653DF7">
      <w:pPr>
        <w:ind w:firstLine="422" w:firstLineChars="200"/>
        <w:rPr>
          <w:rFonts w:hint="eastAsia" w:ascii="宋体" w:hAnsi="宋体"/>
          <w:b/>
          <w:bCs/>
          <w:szCs w:val="21"/>
        </w:rPr>
      </w:pPr>
      <w:r>
        <w:rPr>
          <w:rFonts w:hint="eastAsia" w:ascii="宋体" w:hAnsi="宋体"/>
          <w:b/>
          <w:bCs/>
          <w:szCs w:val="21"/>
        </w:rPr>
        <w:t>第十一条  乙方的责任</w:t>
      </w:r>
    </w:p>
    <w:p w14:paraId="7E06FBA0">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CF03397">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55F81B78">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2A42AEED">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5B3D75E4">
      <w:pPr>
        <w:ind w:firstLine="422" w:firstLineChars="200"/>
        <w:rPr>
          <w:rFonts w:hint="eastAsia" w:ascii="宋体" w:hAnsi="宋体"/>
          <w:b/>
          <w:bCs/>
          <w:szCs w:val="21"/>
        </w:rPr>
      </w:pPr>
      <w:r>
        <w:rPr>
          <w:rFonts w:hint="eastAsia" w:ascii="宋体" w:hAnsi="宋体"/>
          <w:b/>
          <w:bCs/>
          <w:szCs w:val="21"/>
        </w:rPr>
        <w:t>第十二条  人员要求</w:t>
      </w:r>
    </w:p>
    <w:p w14:paraId="5FE083B8">
      <w:pPr>
        <w:ind w:firstLine="420" w:firstLineChars="200"/>
        <w:rPr>
          <w:rFonts w:hint="eastAsia"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432A0628">
      <w:pPr>
        <w:ind w:firstLine="420" w:firstLineChars="200"/>
        <w:rPr>
          <w:rFonts w:hint="eastAsia"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14:paraId="3E3AFDFB">
      <w:pPr>
        <w:ind w:firstLine="420" w:firstLineChars="200"/>
        <w:rPr>
          <w:rFonts w:hint="eastAsia" w:ascii="宋体" w:hAnsi="宋体" w:cs="宋体"/>
          <w:szCs w:val="21"/>
        </w:rPr>
      </w:pPr>
      <w:r>
        <w:rPr>
          <w:rFonts w:hint="eastAsia" w:ascii="宋体" w:hAnsi="宋体" w:cs="宋体"/>
          <w:szCs w:val="21"/>
        </w:rPr>
        <w:t>3.执行项目的档案整理员政治历史和社会关系清楚，无犯罪记录。</w:t>
      </w:r>
    </w:p>
    <w:p w14:paraId="782E4AAA">
      <w:pPr>
        <w:ind w:firstLine="420" w:firstLineChars="200"/>
        <w:rPr>
          <w:rFonts w:hint="eastAsia" w:ascii="宋体" w:hAnsi="宋体" w:cs="宋体"/>
          <w:szCs w:val="21"/>
        </w:rPr>
      </w:pPr>
      <w:r>
        <w:rPr>
          <w:rFonts w:hint="eastAsia" w:ascii="宋体" w:hAnsi="宋体" w:cs="宋体"/>
          <w:szCs w:val="21"/>
        </w:rPr>
        <w:t>4.执行项目的档案整理员应当遵守甲方相关工作纪律，接受甲方的管理。</w:t>
      </w:r>
    </w:p>
    <w:p w14:paraId="22F35CB6">
      <w:pPr>
        <w:ind w:firstLine="420" w:firstLineChars="200"/>
        <w:rPr>
          <w:rFonts w:hint="eastAsia" w:ascii="宋体" w:hAnsi="宋体" w:cs="宋体"/>
          <w:szCs w:val="21"/>
        </w:rPr>
      </w:pPr>
      <w:r>
        <w:rPr>
          <w:rFonts w:hint="eastAsia" w:ascii="宋体" w:hAnsi="宋体" w:cs="宋体"/>
          <w:szCs w:val="21"/>
        </w:rPr>
        <w:t>5.如遇特殊情况需要加班或增加工作人员的，乙方需无条件进行保障。</w:t>
      </w:r>
    </w:p>
    <w:p w14:paraId="6D387CD1">
      <w:pPr>
        <w:ind w:firstLine="422" w:firstLineChars="200"/>
        <w:rPr>
          <w:rFonts w:hint="eastAsia" w:ascii="宋体" w:hAnsi="宋体"/>
          <w:b/>
          <w:bCs/>
          <w:szCs w:val="21"/>
        </w:rPr>
      </w:pPr>
      <w:r>
        <w:rPr>
          <w:rFonts w:hint="eastAsia" w:ascii="宋体" w:hAnsi="宋体"/>
          <w:b/>
          <w:bCs/>
          <w:szCs w:val="21"/>
        </w:rPr>
        <w:t>第十三条  乙方服务工具要求</w:t>
      </w:r>
    </w:p>
    <w:p w14:paraId="2B1961CD">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07C9C354">
      <w:pPr>
        <w:ind w:firstLine="420" w:firstLineChars="200"/>
        <w:rPr>
          <w:rFonts w:hint="eastAsia" w:ascii="宋体" w:hAnsi="宋体"/>
          <w:szCs w:val="21"/>
        </w:rPr>
      </w:pPr>
      <w:r>
        <w:rPr>
          <w:rFonts w:hint="eastAsia" w:ascii="宋体" w:hAnsi="宋体"/>
          <w:szCs w:val="21"/>
        </w:rPr>
        <w:t>2、乙方在提供服务过程中应自备车辆。</w:t>
      </w:r>
    </w:p>
    <w:p w14:paraId="6257166D">
      <w:pPr>
        <w:ind w:firstLine="422" w:firstLineChars="200"/>
        <w:rPr>
          <w:rFonts w:hint="eastAsia" w:ascii="宋体" w:hAnsi="宋体"/>
          <w:b/>
          <w:bCs/>
          <w:szCs w:val="21"/>
        </w:rPr>
      </w:pPr>
      <w:r>
        <w:rPr>
          <w:rFonts w:hint="eastAsia" w:ascii="宋体" w:hAnsi="宋体"/>
          <w:b/>
          <w:bCs/>
          <w:szCs w:val="21"/>
        </w:rPr>
        <w:t>第十四条  保密要求</w:t>
      </w:r>
    </w:p>
    <w:p w14:paraId="4204342E">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652A7B9">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1BF923F9">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3FE5D109">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6E912E58">
      <w:pPr>
        <w:ind w:firstLine="422" w:firstLineChars="200"/>
        <w:rPr>
          <w:rFonts w:hint="eastAsia" w:ascii="宋体" w:hAnsi="宋体"/>
          <w:b/>
          <w:bCs/>
          <w:szCs w:val="21"/>
        </w:rPr>
      </w:pPr>
      <w:r>
        <w:rPr>
          <w:rFonts w:hint="eastAsia" w:ascii="宋体" w:hAnsi="宋体"/>
          <w:b/>
          <w:bCs/>
          <w:szCs w:val="21"/>
        </w:rPr>
        <w:t xml:space="preserve">第十五条  验收     </w:t>
      </w:r>
    </w:p>
    <w:p w14:paraId="52ABCB45">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23A20616">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19D042AD">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659AA1AA">
      <w:pPr>
        <w:ind w:firstLine="422" w:firstLineChars="200"/>
        <w:rPr>
          <w:rFonts w:hint="eastAsia" w:ascii="宋体" w:hAnsi="宋体"/>
          <w:b/>
          <w:bCs/>
          <w:szCs w:val="21"/>
        </w:rPr>
      </w:pPr>
      <w:r>
        <w:rPr>
          <w:rFonts w:hint="eastAsia" w:ascii="宋体" w:hAnsi="宋体"/>
          <w:b/>
          <w:bCs/>
          <w:szCs w:val="21"/>
        </w:rPr>
        <w:t>第十六条  付款方式</w:t>
      </w:r>
    </w:p>
    <w:p w14:paraId="7838E726">
      <w:pPr>
        <w:ind w:firstLine="420" w:firstLineChars="200"/>
        <w:rPr>
          <w:rFonts w:hint="eastAsia" w:ascii="宋体" w:hAnsi="宋体"/>
          <w:szCs w:val="21"/>
        </w:rPr>
      </w:pPr>
      <w:r>
        <w:rPr>
          <w:rFonts w:hint="eastAsia" w:ascii="宋体" w:hAnsi="宋体"/>
          <w:szCs w:val="21"/>
        </w:rPr>
        <w:t>1.该项目以人民币结算，合同签定后，甲方收到乙方提供的等额税务发票后15日内，支付合同总价款50%的款项；</w:t>
      </w:r>
    </w:p>
    <w:p w14:paraId="3A088854">
      <w:pPr>
        <w:ind w:firstLine="420" w:firstLineChars="200"/>
        <w:rPr>
          <w:rFonts w:hint="eastAsia"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14:paraId="7462CB2A">
      <w:pPr>
        <w:ind w:firstLine="420" w:firstLineChars="200"/>
        <w:rPr>
          <w:rFonts w:hint="eastAsia"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14:paraId="0D19037F">
      <w:pPr>
        <w:ind w:firstLine="422" w:firstLineChars="200"/>
        <w:rPr>
          <w:rFonts w:hint="eastAsia" w:ascii="宋体" w:hAnsi="宋体"/>
          <w:b/>
          <w:bCs/>
          <w:szCs w:val="21"/>
        </w:rPr>
      </w:pPr>
      <w:r>
        <w:rPr>
          <w:rFonts w:hint="eastAsia" w:ascii="宋体" w:hAnsi="宋体"/>
          <w:b/>
          <w:bCs/>
          <w:szCs w:val="21"/>
        </w:rPr>
        <w:t>第十七条  争议解决办法</w:t>
      </w:r>
    </w:p>
    <w:p w14:paraId="13A7CEB8">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27B2296F">
      <w:pPr>
        <w:ind w:firstLine="422" w:firstLineChars="200"/>
        <w:rPr>
          <w:rFonts w:hint="eastAsia" w:ascii="宋体" w:hAnsi="宋体"/>
          <w:b/>
          <w:bCs/>
          <w:szCs w:val="21"/>
        </w:rPr>
      </w:pPr>
      <w:r>
        <w:rPr>
          <w:rFonts w:hint="eastAsia" w:ascii="宋体" w:hAnsi="宋体"/>
          <w:b/>
          <w:bCs/>
          <w:szCs w:val="21"/>
        </w:rPr>
        <w:t>第十八条  风险责任</w:t>
      </w:r>
    </w:p>
    <w:p w14:paraId="78EC50D3">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1CE5B620">
      <w:pPr>
        <w:ind w:firstLine="420" w:firstLineChars="200"/>
        <w:rPr>
          <w:rFonts w:hint="eastAsia" w:ascii="宋体" w:hAnsi="宋体"/>
          <w:szCs w:val="21"/>
        </w:rPr>
      </w:pPr>
      <w:r>
        <w:rPr>
          <w:rFonts w:hint="eastAsia" w:ascii="宋体" w:hAnsi="宋体"/>
          <w:szCs w:val="21"/>
        </w:rPr>
        <w:t>2、乙方在实施过程中应对自身的安全生产负责，若非因甲方原因发生的各种事故甲方不承担任何责任。</w:t>
      </w:r>
    </w:p>
    <w:p w14:paraId="3388ACB0">
      <w:pPr>
        <w:ind w:firstLine="422" w:firstLineChars="200"/>
        <w:rPr>
          <w:rFonts w:hint="eastAsia" w:ascii="宋体" w:hAnsi="宋体"/>
          <w:b/>
          <w:bCs/>
          <w:szCs w:val="21"/>
        </w:rPr>
      </w:pPr>
      <w:r>
        <w:rPr>
          <w:rFonts w:hint="eastAsia" w:ascii="宋体" w:hAnsi="宋体"/>
          <w:b/>
          <w:bCs/>
          <w:szCs w:val="21"/>
        </w:rPr>
        <w:t>第十九条  违约责任</w:t>
      </w:r>
    </w:p>
    <w:p w14:paraId="1D55A538">
      <w:pPr>
        <w:pStyle w:val="21"/>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79B0218B">
      <w:pPr>
        <w:ind w:firstLine="420" w:firstLineChars="200"/>
        <w:rPr>
          <w:rFonts w:hint="eastAsia" w:ascii="宋体" w:hAnsi="宋体"/>
          <w:szCs w:val="21"/>
        </w:rPr>
      </w:pPr>
      <w:r>
        <w:rPr>
          <w:rFonts w:hint="eastAsia" w:ascii="宋体" w:hAnsi="宋体"/>
          <w:szCs w:val="21"/>
        </w:rPr>
        <w:t>2、由于乙方原因造成成果质量低劣，不能满足要求时，应继续完善工作，其费用由乙方承担。</w:t>
      </w:r>
    </w:p>
    <w:p w14:paraId="7503C748">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2D0103AD">
      <w:pPr>
        <w:ind w:firstLine="420" w:firstLineChars="200"/>
        <w:rPr>
          <w:rFonts w:hint="eastAsia"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1AF6DAB1">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0B307FC9">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5EA3006F">
      <w:pPr>
        <w:ind w:firstLine="422" w:firstLineChars="200"/>
        <w:rPr>
          <w:rFonts w:hint="eastAsia" w:ascii="宋体" w:hAnsi="宋体"/>
          <w:b/>
          <w:bCs/>
          <w:szCs w:val="21"/>
        </w:rPr>
      </w:pPr>
      <w:r>
        <w:rPr>
          <w:rFonts w:hint="eastAsia" w:ascii="宋体" w:hAnsi="宋体"/>
          <w:b/>
          <w:bCs/>
          <w:szCs w:val="21"/>
        </w:rPr>
        <w:t>第二十条  其他</w:t>
      </w:r>
    </w:p>
    <w:p w14:paraId="2E5487EE">
      <w:pPr>
        <w:ind w:firstLine="420" w:firstLineChars="200"/>
        <w:rPr>
          <w:rFonts w:hint="eastAsia" w:ascii="宋体" w:hAnsi="宋体"/>
          <w:szCs w:val="21"/>
        </w:rPr>
      </w:pPr>
      <w:r>
        <w:rPr>
          <w:rFonts w:hint="eastAsia" w:ascii="宋体" w:hAnsi="宋体"/>
          <w:szCs w:val="21"/>
        </w:rPr>
        <w:t>1、本合同与招标文件、乙方投标文件如有抵触之处，以本合同条款为准。</w:t>
      </w:r>
    </w:p>
    <w:p w14:paraId="7BEF749F">
      <w:pPr>
        <w:ind w:firstLine="420" w:firstLineChars="200"/>
        <w:rPr>
          <w:rFonts w:hint="eastAsia" w:ascii="宋体" w:hAnsi="宋体"/>
          <w:szCs w:val="21"/>
        </w:rPr>
      </w:pPr>
      <w:r>
        <w:rPr>
          <w:rFonts w:hint="eastAsia" w:ascii="宋体" w:hAnsi="宋体"/>
          <w:szCs w:val="21"/>
        </w:rPr>
        <w:t>2、下列文件均为本合同的组成部分：</w:t>
      </w:r>
    </w:p>
    <w:p w14:paraId="2C59FCB0">
      <w:pPr>
        <w:ind w:firstLine="420" w:firstLineChars="200"/>
        <w:rPr>
          <w:rFonts w:hint="eastAsia" w:ascii="宋体" w:hAnsi="宋体"/>
          <w:szCs w:val="21"/>
        </w:rPr>
      </w:pPr>
      <w:r>
        <w:rPr>
          <w:rFonts w:hint="eastAsia" w:ascii="宋体" w:hAnsi="宋体"/>
          <w:szCs w:val="21"/>
        </w:rPr>
        <w:t>（1）号招标文件、答疑及补充通知；</w:t>
      </w:r>
    </w:p>
    <w:p w14:paraId="133FA868">
      <w:pPr>
        <w:ind w:firstLine="420" w:firstLineChars="200"/>
        <w:rPr>
          <w:rFonts w:hint="eastAsia" w:ascii="宋体" w:hAnsi="宋体"/>
          <w:szCs w:val="21"/>
        </w:rPr>
      </w:pPr>
      <w:r>
        <w:rPr>
          <w:rFonts w:hint="eastAsia" w:ascii="宋体" w:hAnsi="宋体"/>
          <w:szCs w:val="21"/>
        </w:rPr>
        <w:t>（2）投标文件；</w:t>
      </w:r>
    </w:p>
    <w:p w14:paraId="0C2C67AA">
      <w:pPr>
        <w:ind w:firstLine="420" w:firstLineChars="200"/>
        <w:rPr>
          <w:rFonts w:hint="eastAsia" w:ascii="宋体" w:hAnsi="宋体"/>
          <w:szCs w:val="21"/>
        </w:rPr>
      </w:pPr>
      <w:r>
        <w:rPr>
          <w:rFonts w:hint="eastAsia" w:ascii="宋体" w:hAnsi="宋体"/>
          <w:szCs w:val="21"/>
        </w:rPr>
        <w:t>（3）本合同执行中共同签署的补充与修正文件。</w:t>
      </w:r>
    </w:p>
    <w:p w14:paraId="1E919BFB">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5319C100">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1E0E0E85">
      <w:pPr>
        <w:ind w:firstLine="420" w:firstLineChars="200"/>
        <w:rPr>
          <w:rFonts w:hint="eastAsia" w:ascii="宋体" w:hAnsi="宋体"/>
          <w:szCs w:val="21"/>
        </w:rPr>
      </w:pPr>
    </w:p>
    <w:p w14:paraId="1C4FBEEA">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3A5BCC22">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6EB305DF">
      <w:pPr>
        <w:spacing w:line="360" w:lineRule="auto"/>
        <w:ind w:firstLine="560"/>
        <w:jc w:val="left"/>
        <w:rPr>
          <w:rFonts w:hint="eastAsia" w:ascii="宋体" w:hAnsi="宋体"/>
          <w:szCs w:val="21"/>
        </w:rPr>
      </w:pPr>
      <w:r>
        <w:rPr>
          <w:rFonts w:hint="eastAsia" w:ascii="宋体" w:hAnsi="宋体"/>
          <w:szCs w:val="21"/>
        </w:rPr>
        <w:t>委托代理人：                     委托代理人：</w:t>
      </w:r>
    </w:p>
    <w:p w14:paraId="64F52DD3">
      <w:pPr>
        <w:widowControl/>
        <w:jc w:val="left"/>
        <w:rPr>
          <w:rFonts w:hint="eastAsia" w:ascii="宋体" w:hAnsi="宋体"/>
          <w:szCs w:val="21"/>
        </w:rPr>
      </w:pPr>
      <w:r>
        <w:rPr>
          <w:rFonts w:ascii="宋体" w:hAnsi="宋体"/>
          <w:szCs w:val="21"/>
        </w:rPr>
        <w:br w:type="page"/>
      </w:r>
    </w:p>
    <w:p w14:paraId="2CEBF48F">
      <w:pPr>
        <w:pStyle w:val="7"/>
        <w:spacing w:before="120" w:beforeLines="50" w:after="120" w:afterLines="50"/>
        <w:ind w:left="562"/>
        <w:rPr>
          <w:rFonts w:hint="eastAsia"/>
          <w:sz w:val="28"/>
          <w:szCs w:val="28"/>
        </w:rPr>
      </w:pPr>
      <w:r>
        <w:rPr>
          <w:rFonts w:hint="eastAsia"/>
          <w:sz w:val="28"/>
          <w:szCs w:val="28"/>
        </w:rPr>
        <w:t>第二册  通用条款（公开招标）</w:t>
      </w:r>
    </w:p>
    <w:p w14:paraId="7311E3EB">
      <w:pPr>
        <w:pStyle w:val="78"/>
        <w:keepNext/>
        <w:keepLines/>
        <w:numPr>
          <w:ilvl w:val="0"/>
          <w:numId w:val="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7" w:name="_Hlk72399513"/>
      <w:bookmarkStart w:id="48" w:name="_Hlk72439706"/>
      <w:r>
        <w:rPr>
          <w:rFonts w:hint="eastAsia" w:asciiTheme="majorHAnsi" w:hAnsiTheme="majorHAnsi" w:eastAsiaTheme="majorEastAsia" w:cstheme="majorBidi"/>
          <w:b/>
          <w:bCs/>
          <w:sz w:val="28"/>
          <w:szCs w:val="28"/>
        </w:rPr>
        <w:t>总则</w:t>
      </w:r>
    </w:p>
    <w:bookmarkEnd w:id="47"/>
    <w:p w14:paraId="1061A3A3">
      <w:pPr>
        <w:ind w:firstLine="420" w:firstLineChars="200"/>
        <w:rPr>
          <w:rFonts w:hint="eastAsia" w:ascii="黑体" w:hAnsi="宋体" w:eastAsia="黑体"/>
          <w:szCs w:val="21"/>
        </w:rPr>
      </w:pPr>
      <w:r>
        <w:rPr>
          <w:rFonts w:hint="eastAsia" w:ascii="黑体" w:hAnsi="宋体" w:eastAsia="黑体"/>
          <w:szCs w:val="21"/>
        </w:rPr>
        <w:t>1. 通用条款说明</w:t>
      </w:r>
    </w:p>
    <w:p w14:paraId="0CCF6209">
      <w:pPr>
        <w:ind w:firstLine="420" w:firstLineChars="200"/>
        <w:rPr>
          <w:rFonts w:hint="eastAsia"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49" w:name="_Hlk72399729"/>
      <w:r>
        <w:rPr>
          <w:rFonts w:hint="eastAsia" w:ascii="宋体" w:hAnsi="宋体"/>
          <w:szCs w:val="21"/>
        </w:rPr>
        <w:t>如有需要，政府集中采购机构可以对通用条款的内容进行补充。</w:t>
      </w:r>
      <w:bookmarkEnd w:id="49"/>
    </w:p>
    <w:p w14:paraId="0AF0A121">
      <w:pPr>
        <w:ind w:firstLine="420" w:firstLineChars="200"/>
        <w:rPr>
          <w:rFonts w:hint="eastAsia" w:ascii="宋体" w:hAnsi="宋体"/>
          <w:szCs w:val="21"/>
        </w:rPr>
      </w:pPr>
      <w:r>
        <w:rPr>
          <w:rFonts w:hint="eastAsia" w:ascii="宋体" w:hAnsi="宋体"/>
          <w:szCs w:val="21"/>
        </w:rPr>
        <w:t>1.2招标文件分为第一册“专用条款”和第二册“通用条款”。</w:t>
      </w:r>
    </w:p>
    <w:p w14:paraId="4C6228C2">
      <w:pPr>
        <w:ind w:firstLine="420" w:firstLineChars="200"/>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6CC27609">
      <w:pPr>
        <w:ind w:firstLine="420" w:firstLineChars="200"/>
        <w:rPr>
          <w:rFonts w:hint="eastAsia" w:ascii="宋体" w:hAnsi="宋体"/>
          <w:szCs w:val="21"/>
        </w:rPr>
      </w:pPr>
      <w:r>
        <w:rPr>
          <w:rFonts w:hint="eastAsia" w:ascii="宋体" w:hAnsi="宋体"/>
          <w:szCs w:val="21"/>
        </w:rPr>
        <w:t>1.4“通用条款”是适用于自行采购公开招标项目的基础性条款，具有普遍性和通用性。</w:t>
      </w:r>
    </w:p>
    <w:p w14:paraId="7B37361F">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14:paraId="10243109">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14:paraId="5779DDCA">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14:paraId="793E7F12">
      <w:pPr>
        <w:ind w:firstLine="420" w:firstLineChars="200"/>
        <w:rPr>
          <w:rFonts w:hint="eastAsia" w:ascii="黑体" w:hAnsi="宋体" w:eastAsia="黑体"/>
          <w:szCs w:val="21"/>
        </w:rPr>
      </w:pPr>
      <w:r>
        <w:rPr>
          <w:rFonts w:hint="eastAsia" w:ascii="黑体" w:hAnsi="宋体" w:eastAsia="黑体"/>
          <w:szCs w:val="21"/>
        </w:rPr>
        <w:t>3．定义</w:t>
      </w:r>
    </w:p>
    <w:p w14:paraId="6D9DDCEF">
      <w:pPr>
        <w:ind w:firstLine="420" w:firstLineChars="200"/>
        <w:rPr>
          <w:rFonts w:hint="eastAsia" w:ascii="宋体" w:hAnsi="宋体"/>
          <w:szCs w:val="21"/>
        </w:rPr>
      </w:pPr>
      <w:r>
        <w:rPr>
          <w:rFonts w:hint="eastAsia" w:ascii="宋体" w:hAnsi="宋体"/>
          <w:szCs w:val="21"/>
        </w:rPr>
        <w:t>招标</w:t>
      </w:r>
      <w:r>
        <w:rPr>
          <w:rFonts w:ascii="宋体" w:hAnsi="宋体"/>
          <w:szCs w:val="21"/>
        </w:rPr>
        <w:t>文件中下列术语应解释为：</w:t>
      </w:r>
    </w:p>
    <w:p w14:paraId="5C319F5B">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76BB3A80">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7C0358B">
      <w:pPr>
        <w:ind w:firstLine="420" w:firstLineChars="200"/>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73D2BE7B">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76E25C3B">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64F944D5">
      <w:pPr>
        <w:ind w:firstLine="420" w:firstLineChars="200"/>
        <w:rPr>
          <w:rFonts w:hint="eastAsia" w:ascii="宋体" w:hAnsi="宋体"/>
          <w:szCs w:val="21"/>
        </w:rPr>
      </w:pPr>
      <w:r>
        <w:rPr>
          <w:rFonts w:hint="eastAsia" w:ascii="宋体" w:hAnsi="宋体"/>
          <w:szCs w:val="21"/>
        </w:rPr>
        <w:t>3.6“合同”指由本次招标所产生的合同或合约文件；</w:t>
      </w:r>
    </w:p>
    <w:p w14:paraId="49D293E4">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2E807CFA">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14:paraId="124752EC">
      <w:pPr>
        <w:ind w:firstLine="420" w:firstLineChars="200"/>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5544E1E1">
      <w:pPr>
        <w:ind w:firstLine="420" w:firstLineChars="200"/>
        <w:rPr>
          <w:rFonts w:hint="eastAsia" w:ascii="黑体" w:hAnsi="宋体" w:eastAsia="黑体"/>
          <w:szCs w:val="21"/>
        </w:rPr>
      </w:pPr>
      <w:r>
        <w:rPr>
          <w:rFonts w:hint="eastAsia" w:ascii="黑体" w:hAnsi="宋体" w:eastAsia="黑体"/>
          <w:szCs w:val="21"/>
        </w:rPr>
        <w:t xml:space="preserve">4. </w:t>
      </w:r>
      <w:bookmarkStart w:id="50" w:name="_Hlk72398643"/>
      <w:r>
        <w:rPr>
          <w:rFonts w:hint="eastAsia" w:ascii="黑体" w:hAnsi="宋体" w:eastAsia="黑体"/>
          <w:szCs w:val="21"/>
        </w:rPr>
        <w:t>自行采购供应商责任</w:t>
      </w:r>
    </w:p>
    <w:p w14:paraId="4E9A4CC7">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14:paraId="1080588B">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26D195B4">
      <w:pPr>
        <w:ind w:firstLine="420" w:firstLineChars="200"/>
        <w:rPr>
          <w:rFonts w:hint="eastAsia" w:ascii="黑体" w:hAnsi="宋体" w:eastAsia="黑体"/>
          <w:szCs w:val="21"/>
        </w:rPr>
      </w:pPr>
      <w:r>
        <w:rPr>
          <w:rFonts w:hint="eastAsia" w:ascii="黑体" w:hAnsi="宋体" w:eastAsia="黑体"/>
          <w:szCs w:val="21"/>
        </w:rPr>
        <w:t>5．投标人参加自行采购的条件</w:t>
      </w:r>
    </w:p>
    <w:p w14:paraId="5168DFA0">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3F57D0AC">
      <w:pPr>
        <w:ind w:firstLine="420" w:firstLineChars="200"/>
        <w:rPr>
          <w:rFonts w:hint="eastAsia" w:ascii="宋体" w:hAnsi="宋体"/>
          <w:szCs w:val="21"/>
        </w:rPr>
      </w:pPr>
      <w:r>
        <w:rPr>
          <w:rFonts w:hint="eastAsia" w:ascii="宋体" w:hAnsi="宋体"/>
          <w:szCs w:val="21"/>
        </w:rPr>
        <w:t>5.2投标人资格要求</w:t>
      </w:r>
    </w:p>
    <w:p w14:paraId="26ED1E44">
      <w:pPr>
        <w:ind w:firstLine="420" w:firstLineChars="200"/>
        <w:rPr>
          <w:rFonts w:hint="eastAsia" w:ascii="宋体" w:hAnsi="宋体"/>
          <w:szCs w:val="21"/>
        </w:rPr>
      </w:pPr>
      <w:r>
        <w:rPr>
          <w:rFonts w:hint="eastAsia" w:ascii="宋体" w:hAnsi="宋体"/>
          <w:szCs w:val="21"/>
        </w:rPr>
        <w:t>参加本项目的投标人应具备的资格条件详见本项目招标公告中 “投标人资格要求”的内容。</w:t>
      </w:r>
    </w:p>
    <w:p w14:paraId="71AEF0FD">
      <w:pPr>
        <w:ind w:firstLine="420" w:firstLineChars="200"/>
        <w:rPr>
          <w:rFonts w:hint="eastAsia" w:ascii="宋体" w:hAnsi="宋体"/>
          <w:szCs w:val="21"/>
        </w:rPr>
      </w:pPr>
      <w:r>
        <w:rPr>
          <w:rFonts w:hint="eastAsia" w:ascii="宋体" w:hAnsi="宋体"/>
          <w:szCs w:val="21"/>
        </w:rPr>
        <w:t>5.3联合体投标</w:t>
      </w:r>
    </w:p>
    <w:p w14:paraId="5F601564">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14:paraId="0421845C">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14DF6789">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14:paraId="5993A964">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14:paraId="10D64B21">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080CF6C0">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7462DB58">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0F85B6A2">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14:paraId="17BC1B7A">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14:paraId="2676DAC2">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14:paraId="38B30A3C">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479C7DC2">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14:paraId="59914CC6">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14:paraId="363B24D7">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16012EF0">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14:paraId="46727711">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304EA4C3">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14:paraId="5413A1A8">
      <w:pPr>
        <w:ind w:firstLine="420" w:firstLineChars="200"/>
        <w:rPr>
          <w:rFonts w:hint="eastAsia" w:ascii="黑体" w:hAnsi="宋体" w:eastAsia="黑体"/>
          <w:szCs w:val="21"/>
        </w:rPr>
      </w:pPr>
      <w:r>
        <w:rPr>
          <w:rFonts w:hint="eastAsia" w:ascii="黑体" w:hAnsi="宋体" w:eastAsia="黑体"/>
          <w:szCs w:val="21"/>
        </w:rPr>
        <w:t>6．政策导向</w:t>
      </w:r>
    </w:p>
    <w:p w14:paraId="102D9B8D">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14:paraId="40B52AD1">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01386F6B">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14:paraId="6D170707">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2775895D">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14:paraId="63237080">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19FD5C9">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1"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14:paraId="4BD96074">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D561336">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1A2BECFD">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14:paraId="222F6ED1">
      <w:pPr>
        <w:ind w:firstLine="420" w:firstLineChars="200"/>
        <w:rPr>
          <w:rFonts w:hint="eastAsia" w:ascii="黑体" w:hAnsi="宋体" w:eastAsia="黑体"/>
          <w:szCs w:val="21"/>
        </w:rPr>
      </w:pPr>
      <w:r>
        <w:rPr>
          <w:rFonts w:hint="eastAsia" w:ascii="黑体" w:hAnsi="宋体" w:eastAsia="黑体"/>
          <w:szCs w:val="21"/>
        </w:rPr>
        <w:t>8．投标费用</w:t>
      </w:r>
    </w:p>
    <w:p w14:paraId="10BB17A7">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74871F55">
      <w:pPr>
        <w:ind w:firstLine="420" w:firstLineChars="200"/>
        <w:rPr>
          <w:rFonts w:hint="eastAsia" w:ascii="黑体" w:hAnsi="宋体" w:eastAsia="黑体"/>
          <w:szCs w:val="21"/>
        </w:rPr>
      </w:pPr>
      <w:r>
        <w:rPr>
          <w:rFonts w:hint="eastAsia" w:ascii="黑体" w:hAnsi="宋体" w:eastAsia="黑体"/>
          <w:szCs w:val="21"/>
        </w:rPr>
        <w:t>9．踏勘现场</w:t>
      </w:r>
    </w:p>
    <w:p w14:paraId="7EC9EC85">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383B935">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14:paraId="0F64E8B8">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14:paraId="2D4092BE">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214A49D5">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39FF3CCE">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0FCC8F2B">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359D206A">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67F15A66">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0"/>
    <w:p w14:paraId="3125D75E">
      <w:pPr>
        <w:ind w:firstLine="411" w:firstLineChars="196"/>
        <w:rPr>
          <w:rFonts w:hint="eastAsia" w:ascii="宋体" w:hAnsi="宋体"/>
        </w:rPr>
      </w:pPr>
    </w:p>
    <w:p w14:paraId="13C40299">
      <w:pPr>
        <w:pStyle w:val="78"/>
        <w:keepNext/>
        <w:keepLines/>
        <w:numPr>
          <w:ilvl w:val="0"/>
          <w:numId w:val="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14:paraId="61A46C11">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2" w:name="_Hlk72399819"/>
      <w:r>
        <w:rPr>
          <w:rFonts w:hint="eastAsia" w:ascii="黑体" w:hAnsi="宋体" w:eastAsia="黑体"/>
          <w:szCs w:val="21"/>
        </w:rPr>
        <w:t>招标文件的编制与组成</w:t>
      </w:r>
    </w:p>
    <w:p w14:paraId="7BD2A2C3">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5ABB03D5">
      <w:pPr>
        <w:ind w:firstLine="420" w:firstLineChars="200"/>
        <w:rPr>
          <w:rFonts w:hint="eastAsia" w:ascii="宋体" w:hAnsi="宋体"/>
          <w:szCs w:val="21"/>
        </w:rPr>
      </w:pPr>
      <w:r>
        <w:rPr>
          <w:rFonts w:hint="eastAsia" w:ascii="宋体" w:hAnsi="宋体"/>
          <w:szCs w:val="21"/>
        </w:rPr>
        <w:t>招标文件包括下列内容：</w:t>
      </w:r>
    </w:p>
    <w:p w14:paraId="538ED8EC">
      <w:pPr>
        <w:ind w:firstLine="422" w:firstLineChars="200"/>
        <w:rPr>
          <w:rFonts w:hint="eastAsia" w:ascii="宋体" w:hAnsi="宋体"/>
          <w:b/>
          <w:szCs w:val="21"/>
        </w:rPr>
      </w:pPr>
      <w:r>
        <w:rPr>
          <w:rFonts w:hint="eastAsia" w:ascii="宋体" w:hAnsi="宋体"/>
          <w:b/>
          <w:szCs w:val="21"/>
        </w:rPr>
        <w:t>第一册  专用条款</w:t>
      </w:r>
    </w:p>
    <w:p w14:paraId="2A24A7B5">
      <w:pPr>
        <w:ind w:firstLine="422" w:firstLineChars="200"/>
        <w:rPr>
          <w:rFonts w:hint="eastAsia" w:ascii="宋体" w:hAnsi="宋体"/>
          <w:b/>
          <w:szCs w:val="21"/>
        </w:rPr>
      </w:pPr>
      <w:r>
        <w:rPr>
          <w:rFonts w:hint="eastAsia" w:ascii="宋体" w:hAnsi="宋体"/>
          <w:b/>
          <w:szCs w:val="21"/>
        </w:rPr>
        <w:t>关键信息</w:t>
      </w:r>
    </w:p>
    <w:p w14:paraId="5B4299A7">
      <w:pPr>
        <w:ind w:firstLine="420" w:firstLineChars="200"/>
        <w:rPr>
          <w:rFonts w:hint="eastAsia" w:ascii="宋体" w:hAnsi="宋体"/>
          <w:szCs w:val="21"/>
        </w:rPr>
      </w:pPr>
      <w:r>
        <w:rPr>
          <w:rFonts w:hint="eastAsia" w:ascii="宋体" w:hAnsi="宋体"/>
          <w:szCs w:val="21"/>
        </w:rPr>
        <w:t>第一章  招标公告</w:t>
      </w:r>
    </w:p>
    <w:p w14:paraId="250D7FC6">
      <w:pPr>
        <w:ind w:firstLine="420" w:firstLineChars="200"/>
        <w:rPr>
          <w:rFonts w:hint="eastAsia" w:ascii="宋体" w:hAnsi="宋体"/>
          <w:szCs w:val="21"/>
        </w:rPr>
      </w:pPr>
      <w:r>
        <w:rPr>
          <w:rFonts w:hint="eastAsia" w:ascii="宋体" w:hAnsi="宋体"/>
          <w:szCs w:val="21"/>
        </w:rPr>
        <w:t>第二章  对通用条款的补充内容及其他关键信息</w:t>
      </w:r>
    </w:p>
    <w:p w14:paraId="11EB9C2F">
      <w:pPr>
        <w:ind w:firstLine="420" w:firstLineChars="200"/>
        <w:rPr>
          <w:rFonts w:hint="eastAsia" w:ascii="宋体" w:hAnsi="宋体"/>
          <w:szCs w:val="21"/>
        </w:rPr>
      </w:pPr>
      <w:r>
        <w:rPr>
          <w:rFonts w:hint="eastAsia" w:ascii="宋体" w:hAnsi="宋体"/>
          <w:szCs w:val="21"/>
        </w:rPr>
        <w:t>第三章  用户需求书</w:t>
      </w:r>
    </w:p>
    <w:p w14:paraId="16D374F8">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493B02EB">
      <w:pPr>
        <w:ind w:firstLine="420" w:firstLineChars="200"/>
        <w:rPr>
          <w:rFonts w:hint="eastAsia" w:ascii="宋体" w:hAnsi="宋体"/>
          <w:szCs w:val="21"/>
        </w:rPr>
      </w:pPr>
      <w:r>
        <w:rPr>
          <w:rFonts w:hint="eastAsia" w:ascii="宋体" w:hAnsi="宋体"/>
          <w:szCs w:val="21"/>
        </w:rPr>
        <w:t>第五章  合同条款及格式</w:t>
      </w:r>
    </w:p>
    <w:p w14:paraId="77EBCD61">
      <w:pPr>
        <w:ind w:firstLine="422" w:firstLineChars="200"/>
        <w:rPr>
          <w:rFonts w:hint="eastAsia" w:ascii="宋体" w:hAnsi="宋体"/>
          <w:b/>
          <w:szCs w:val="21"/>
        </w:rPr>
      </w:pPr>
      <w:r>
        <w:rPr>
          <w:rFonts w:hint="eastAsia" w:ascii="宋体" w:hAnsi="宋体"/>
          <w:b/>
          <w:szCs w:val="21"/>
        </w:rPr>
        <w:t>第二册  通用条款</w:t>
      </w:r>
    </w:p>
    <w:p w14:paraId="2C33048A">
      <w:pPr>
        <w:ind w:firstLine="420" w:firstLineChars="200"/>
        <w:rPr>
          <w:rFonts w:hint="eastAsia" w:ascii="宋体" w:hAnsi="宋体"/>
          <w:szCs w:val="21"/>
        </w:rPr>
      </w:pPr>
      <w:r>
        <w:rPr>
          <w:rFonts w:hint="eastAsia" w:ascii="宋体" w:hAnsi="宋体"/>
          <w:szCs w:val="21"/>
        </w:rPr>
        <w:t>第一章  总则</w:t>
      </w:r>
    </w:p>
    <w:p w14:paraId="3C41F72D">
      <w:pPr>
        <w:ind w:firstLine="420" w:firstLineChars="200"/>
        <w:rPr>
          <w:rFonts w:hint="eastAsia" w:ascii="宋体" w:hAnsi="宋体"/>
          <w:szCs w:val="21"/>
        </w:rPr>
      </w:pPr>
      <w:r>
        <w:rPr>
          <w:rFonts w:hint="eastAsia" w:ascii="宋体" w:hAnsi="宋体"/>
          <w:szCs w:val="21"/>
        </w:rPr>
        <w:t>第二章  招标文件</w:t>
      </w:r>
    </w:p>
    <w:p w14:paraId="49B45968">
      <w:pPr>
        <w:ind w:firstLine="420" w:firstLineChars="200"/>
        <w:rPr>
          <w:rFonts w:hint="eastAsia" w:ascii="宋体" w:hAnsi="宋体"/>
          <w:szCs w:val="21"/>
        </w:rPr>
      </w:pPr>
      <w:r>
        <w:rPr>
          <w:rFonts w:hint="eastAsia" w:ascii="宋体" w:hAnsi="宋体"/>
          <w:szCs w:val="21"/>
        </w:rPr>
        <w:t>第三章  投标文件的编制</w:t>
      </w:r>
    </w:p>
    <w:p w14:paraId="26D6BF61">
      <w:pPr>
        <w:ind w:firstLine="420" w:firstLineChars="200"/>
        <w:rPr>
          <w:rFonts w:hint="eastAsia" w:ascii="宋体" w:hAnsi="宋体"/>
          <w:szCs w:val="21"/>
        </w:rPr>
      </w:pPr>
      <w:r>
        <w:rPr>
          <w:rFonts w:hint="eastAsia" w:ascii="宋体" w:hAnsi="宋体"/>
          <w:szCs w:val="21"/>
        </w:rPr>
        <w:t>第四章  投标文件的递交</w:t>
      </w:r>
    </w:p>
    <w:p w14:paraId="1778A27D">
      <w:pPr>
        <w:ind w:firstLine="420" w:firstLineChars="200"/>
        <w:rPr>
          <w:rFonts w:hint="eastAsia" w:ascii="宋体" w:hAnsi="宋体"/>
          <w:szCs w:val="21"/>
        </w:rPr>
      </w:pPr>
      <w:r>
        <w:rPr>
          <w:rFonts w:hint="eastAsia" w:ascii="宋体" w:hAnsi="宋体"/>
          <w:szCs w:val="21"/>
        </w:rPr>
        <w:t>第五章  开标</w:t>
      </w:r>
    </w:p>
    <w:p w14:paraId="09FE5C5F">
      <w:pPr>
        <w:ind w:firstLine="420" w:firstLineChars="200"/>
        <w:rPr>
          <w:rFonts w:hint="eastAsia" w:ascii="宋体" w:hAnsi="宋体"/>
          <w:szCs w:val="21"/>
        </w:rPr>
      </w:pPr>
      <w:r>
        <w:rPr>
          <w:rFonts w:hint="eastAsia" w:ascii="宋体" w:hAnsi="宋体"/>
          <w:szCs w:val="21"/>
        </w:rPr>
        <w:t>第六章  评审要求</w:t>
      </w:r>
    </w:p>
    <w:p w14:paraId="7E2A5C82">
      <w:pPr>
        <w:ind w:firstLine="420" w:firstLineChars="200"/>
        <w:rPr>
          <w:rFonts w:hint="eastAsia" w:ascii="宋体" w:hAnsi="宋体"/>
          <w:szCs w:val="21"/>
        </w:rPr>
      </w:pPr>
      <w:r>
        <w:rPr>
          <w:rFonts w:hint="eastAsia" w:ascii="宋体" w:hAnsi="宋体"/>
          <w:szCs w:val="21"/>
        </w:rPr>
        <w:t>第七章  评审程序及评审方法</w:t>
      </w:r>
    </w:p>
    <w:p w14:paraId="3A2BE9AD">
      <w:pPr>
        <w:ind w:firstLine="420" w:firstLineChars="200"/>
        <w:rPr>
          <w:rFonts w:hint="eastAsia" w:ascii="宋体" w:hAnsi="宋体"/>
          <w:szCs w:val="21"/>
        </w:rPr>
      </w:pPr>
      <w:r>
        <w:rPr>
          <w:rFonts w:hint="eastAsia" w:ascii="宋体" w:hAnsi="宋体"/>
          <w:szCs w:val="21"/>
        </w:rPr>
        <w:t>第八章  定标及公示</w:t>
      </w:r>
    </w:p>
    <w:p w14:paraId="41B074D4">
      <w:pPr>
        <w:ind w:firstLine="420" w:firstLineChars="200"/>
        <w:rPr>
          <w:rFonts w:hint="eastAsia" w:ascii="宋体" w:hAnsi="宋体"/>
          <w:szCs w:val="21"/>
        </w:rPr>
      </w:pPr>
      <w:r>
        <w:rPr>
          <w:rFonts w:hint="eastAsia" w:ascii="宋体" w:hAnsi="宋体"/>
          <w:szCs w:val="21"/>
        </w:rPr>
        <w:t>第九章  公开招标失败的后续处理</w:t>
      </w:r>
    </w:p>
    <w:p w14:paraId="297EC0D5">
      <w:pPr>
        <w:ind w:firstLine="420" w:firstLineChars="200"/>
        <w:rPr>
          <w:rFonts w:hint="eastAsia" w:ascii="宋体" w:hAnsi="宋体"/>
          <w:szCs w:val="21"/>
        </w:rPr>
      </w:pPr>
      <w:r>
        <w:rPr>
          <w:rFonts w:hint="eastAsia" w:ascii="宋体" w:hAnsi="宋体"/>
          <w:szCs w:val="21"/>
        </w:rPr>
        <w:t>第十章  合同的授予与备案</w:t>
      </w:r>
    </w:p>
    <w:p w14:paraId="7EB880B8">
      <w:pPr>
        <w:ind w:firstLine="420" w:firstLineChars="200"/>
        <w:rPr>
          <w:rFonts w:hint="eastAsia" w:ascii="宋体" w:hAnsi="宋体"/>
          <w:szCs w:val="21"/>
        </w:rPr>
      </w:pPr>
      <w:r>
        <w:rPr>
          <w:rFonts w:hint="eastAsia" w:ascii="宋体" w:hAnsi="宋体"/>
          <w:szCs w:val="21"/>
        </w:rPr>
        <w:t>第十一章  质疑处理</w:t>
      </w:r>
    </w:p>
    <w:p w14:paraId="072F0EC7">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356AC8E">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1F268946">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14:paraId="246CF30F">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02B55BDF">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.2投标人如对招标文件内容有疑问，应当在招标公告规定的澄清（提问）截止时间前将疑问内容加盖公章书面提交至政府集中采购机构。</w:t>
      </w:r>
    </w:p>
    <w:p w14:paraId="02923030">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3D4F616E">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3．招标文件的修改</w:t>
      </w:r>
    </w:p>
    <w:p w14:paraId="29598815">
      <w:pPr>
        <w:ind w:firstLine="420" w:firstLineChars="200"/>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6AC658A1">
      <w:pPr>
        <w:ind w:firstLine="420" w:firstLineChars="200"/>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564311DF">
      <w:pPr>
        <w:ind w:firstLine="420" w:firstLineChars="200"/>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66117BBD">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2"/>
    </w:p>
    <w:p w14:paraId="47C4F8CC">
      <w:pPr>
        <w:rPr>
          <w:rFonts w:hint="eastAsia" w:ascii="宋体" w:hAnsi="宋体"/>
          <w:szCs w:val="21"/>
        </w:rPr>
      </w:pPr>
    </w:p>
    <w:p w14:paraId="6A897C9A">
      <w:pPr>
        <w:pStyle w:val="78"/>
        <w:keepNext/>
        <w:keepLines/>
        <w:numPr>
          <w:ilvl w:val="0"/>
          <w:numId w:val="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377E1FA0">
      <w:pPr>
        <w:ind w:firstLine="420" w:firstLineChars="200"/>
        <w:rPr>
          <w:rFonts w:hint="eastAsia" w:ascii="黑体" w:hAnsi="宋体" w:eastAsia="黑体"/>
          <w:szCs w:val="21"/>
        </w:rPr>
      </w:pPr>
      <w:r>
        <w:rPr>
          <w:rFonts w:hint="eastAsia" w:ascii="黑体" w:hAnsi="宋体" w:eastAsia="黑体"/>
          <w:szCs w:val="21"/>
        </w:rPr>
        <w:t>14．</w:t>
      </w:r>
      <w:bookmarkStart w:id="53" w:name="_Hlk72400236"/>
      <w:r>
        <w:rPr>
          <w:rFonts w:hint="eastAsia" w:ascii="黑体" w:hAnsi="宋体" w:eastAsia="黑体"/>
          <w:szCs w:val="21"/>
        </w:rPr>
        <w:t>投标文件的语言及度量单位</w:t>
      </w:r>
    </w:p>
    <w:p w14:paraId="7C900461">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C04F37A">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3"/>
    <w:p w14:paraId="24FD5B13">
      <w:pPr>
        <w:ind w:firstLine="420" w:firstLineChars="200"/>
        <w:rPr>
          <w:rFonts w:hint="eastAsia" w:ascii="黑体" w:hAnsi="宋体" w:eastAsia="黑体"/>
          <w:szCs w:val="21"/>
        </w:rPr>
      </w:pPr>
      <w:r>
        <w:rPr>
          <w:rFonts w:hint="eastAsia" w:ascii="黑体" w:hAnsi="宋体" w:eastAsia="黑体"/>
          <w:szCs w:val="21"/>
        </w:rPr>
        <w:t>15．</w:t>
      </w:r>
      <w:bookmarkStart w:id="54" w:name="_Hlk72401567"/>
      <w:r>
        <w:rPr>
          <w:rFonts w:hint="eastAsia" w:ascii="黑体" w:hAnsi="宋体" w:eastAsia="黑体"/>
          <w:szCs w:val="21"/>
        </w:rPr>
        <w:t>投标文件的组成</w:t>
      </w:r>
    </w:p>
    <w:p w14:paraId="269BB3E2">
      <w:pPr>
        <w:ind w:firstLine="420" w:firstLineChars="200"/>
        <w:rPr>
          <w:rFonts w:hint="eastAsia" w:ascii="宋体" w:hAnsi="宋体"/>
          <w:szCs w:val="21"/>
        </w:rPr>
      </w:pPr>
      <w:r>
        <w:rPr>
          <w:rFonts w:hint="eastAsia" w:ascii="宋体" w:hAnsi="宋体"/>
          <w:szCs w:val="21"/>
        </w:rPr>
        <w:t>具体内容在招标文件专用条款中进行规定。</w:t>
      </w:r>
    </w:p>
    <w:p w14:paraId="3E509F9F">
      <w:pPr>
        <w:ind w:firstLine="420" w:firstLineChars="200"/>
        <w:rPr>
          <w:rFonts w:hint="eastAsia" w:ascii="黑体" w:hAnsi="宋体" w:eastAsia="黑体"/>
          <w:szCs w:val="21"/>
        </w:rPr>
      </w:pPr>
      <w:r>
        <w:rPr>
          <w:rFonts w:ascii="黑体" w:hAnsi="宋体" w:eastAsia="黑体"/>
          <w:szCs w:val="21"/>
        </w:rPr>
        <w:t>16．投标文件格式</w:t>
      </w:r>
    </w:p>
    <w:p w14:paraId="36086B48">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7C087ECC">
      <w:pPr>
        <w:ind w:firstLine="420" w:firstLineChars="200"/>
        <w:rPr>
          <w:rFonts w:hint="eastAsia" w:ascii="黑体" w:hAnsi="宋体" w:eastAsia="黑体"/>
          <w:szCs w:val="21"/>
        </w:rPr>
      </w:pPr>
      <w:r>
        <w:rPr>
          <w:rFonts w:hint="eastAsia" w:ascii="黑体" w:hAnsi="宋体" w:eastAsia="黑体"/>
          <w:szCs w:val="21"/>
        </w:rPr>
        <w:t>17．投标货币</w:t>
      </w:r>
    </w:p>
    <w:p w14:paraId="6CF5498C">
      <w:pPr>
        <w:ind w:firstLine="420" w:firstLineChars="200"/>
        <w:rPr>
          <w:rFonts w:hint="eastAsia" w:ascii="宋体" w:hAnsi="宋体"/>
          <w:szCs w:val="21"/>
        </w:rPr>
      </w:pPr>
      <w:r>
        <w:rPr>
          <w:rFonts w:hint="eastAsia" w:ascii="宋体" w:hAnsi="宋体"/>
          <w:szCs w:val="21"/>
        </w:rPr>
        <w:t>本项目的投标报价应以人民币计。</w:t>
      </w:r>
    </w:p>
    <w:bookmarkEnd w:id="54"/>
    <w:p w14:paraId="1913805D">
      <w:pPr>
        <w:ind w:firstLine="420" w:firstLineChars="200"/>
        <w:rPr>
          <w:rFonts w:hint="eastAsia" w:ascii="黑体" w:hAnsi="宋体" w:eastAsia="黑体"/>
          <w:szCs w:val="21"/>
        </w:rPr>
      </w:pPr>
      <w:r>
        <w:rPr>
          <w:rFonts w:hint="eastAsia" w:ascii="黑体" w:hAnsi="宋体" w:eastAsia="黑体"/>
          <w:szCs w:val="21"/>
        </w:rPr>
        <w:t>18．</w:t>
      </w:r>
      <w:bookmarkStart w:id="55" w:name="_Hlk72401735"/>
      <w:r>
        <w:rPr>
          <w:rFonts w:hint="eastAsia" w:ascii="黑体" w:hAnsi="宋体" w:eastAsia="黑体"/>
          <w:szCs w:val="21"/>
        </w:rPr>
        <w:t>证明投标文件投标技术方案的合格性和符合招标文件规定的文件要求</w:t>
      </w:r>
    </w:p>
    <w:p w14:paraId="1C30370B">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00BC70E0">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842E69D">
      <w:pPr>
        <w:ind w:firstLine="420" w:firstLineChars="200"/>
        <w:rPr>
          <w:rFonts w:hint="eastAsia" w:ascii="宋体" w:hAnsi="宋体"/>
          <w:szCs w:val="21"/>
        </w:rPr>
      </w:pPr>
      <w:r>
        <w:rPr>
          <w:rFonts w:hint="eastAsia" w:ascii="宋体" w:hAnsi="宋体"/>
          <w:szCs w:val="21"/>
        </w:rPr>
        <w:t>18.2.1主要技术指标和性能的详细说明。</w:t>
      </w:r>
    </w:p>
    <w:p w14:paraId="1995F971">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298F3247">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588998B">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14775BD7">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420B01C6">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3B4FEB63">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14:paraId="0406025F">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5"/>
    <w:p w14:paraId="75959BF9">
      <w:pPr>
        <w:ind w:firstLine="420" w:firstLineChars="200"/>
        <w:rPr>
          <w:rFonts w:hint="eastAsia" w:ascii="黑体" w:hAnsi="宋体" w:eastAsia="黑体"/>
          <w:szCs w:val="21"/>
        </w:rPr>
      </w:pPr>
      <w:r>
        <w:rPr>
          <w:rFonts w:hint="eastAsia" w:ascii="黑体" w:hAnsi="宋体" w:eastAsia="黑体"/>
          <w:szCs w:val="21"/>
        </w:rPr>
        <w:t>19．</w:t>
      </w:r>
      <w:bookmarkStart w:id="56" w:name="_Hlk72402034"/>
      <w:r>
        <w:rPr>
          <w:rFonts w:hint="eastAsia" w:ascii="黑体" w:hAnsi="宋体" w:eastAsia="黑体"/>
          <w:szCs w:val="21"/>
        </w:rPr>
        <w:t>投标文件其他证明文件的要求</w:t>
      </w:r>
    </w:p>
    <w:p w14:paraId="078D98C5">
      <w:pPr>
        <w:ind w:firstLine="420" w:firstLineChars="200"/>
        <w:rPr>
          <w:rFonts w:hint="eastAsia"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7" w:name="_Hlk71407299"/>
    </w:p>
    <w:bookmarkEnd w:id="57"/>
    <w:p w14:paraId="5E2A740A">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DB27F7F">
      <w:pPr>
        <w:ind w:firstLine="420" w:firstLineChars="200"/>
        <w:rPr>
          <w:rFonts w:hint="eastAsia" w:ascii="黑体" w:hAnsi="宋体" w:eastAsia="黑体"/>
          <w:szCs w:val="21"/>
        </w:rPr>
      </w:pPr>
      <w:r>
        <w:rPr>
          <w:rFonts w:hint="eastAsia" w:ascii="黑体" w:hAnsi="宋体" w:eastAsia="黑体"/>
          <w:szCs w:val="21"/>
        </w:rPr>
        <w:t>20．投标有效期</w:t>
      </w:r>
    </w:p>
    <w:bookmarkEnd w:id="56"/>
    <w:p w14:paraId="63D1F923">
      <w:pPr>
        <w:ind w:firstLine="420" w:firstLineChars="200"/>
        <w:rPr>
          <w:rFonts w:hint="eastAsia" w:ascii="宋体" w:hAnsi="宋体"/>
          <w:szCs w:val="21"/>
        </w:rPr>
      </w:pPr>
      <w:bookmarkStart w:id="5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94F90EE">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C77AC70">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8"/>
    <w:p w14:paraId="261F2473">
      <w:pPr>
        <w:ind w:firstLine="420" w:firstLineChars="200"/>
        <w:rPr>
          <w:rFonts w:hint="eastAsia" w:ascii="黑体" w:hAnsi="宋体" w:eastAsia="黑体"/>
          <w:szCs w:val="21"/>
        </w:rPr>
      </w:pPr>
      <w:r>
        <w:rPr>
          <w:rFonts w:hint="eastAsia" w:ascii="黑体" w:hAnsi="宋体" w:eastAsia="黑体"/>
          <w:szCs w:val="21"/>
        </w:rPr>
        <w:t>21．</w:t>
      </w:r>
      <w:bookmarkStart w:id="59" w:name="_Hlk72402325"/>
      <w:r>
        <w:rPr>
          <w:rFonts w:hint="eastAsia" w:ascii="黑体" w:hAnsi="宋体" w:eastAsia="黑体"/>
          <w:szCs w:val="21"/>
        </w:rPr>
        <w:t xml:space="preserve">关于投标保证金 </w:t>
      </w:r>
    </w:p>
    <w:p w14:paraId="13C60880">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2F40DD3C">
      <w:pPr>
        <w:ind w:firstLine="420" w:firstLineChars="200"/>
        <w:rPr>
          <w:rFonts w:hint="eastAsia" w:ascii="黑体" w:hAnsi="宋体" w:eastAsia="黑体"/>
          <w:szCs w:val="21"/>
        </w:rPr>
      </w:pPr>
      <w:r>
        <w:rPr>
          <w:rFonts w:hint="eastAsia" w:ascii="黑体" w:hAnsi="宋体" w:eastAsia="黑体"/>
          <w:szCs w:val="21"/>
        </w:rPr>
        <w:t>22．投标人的替代方案</w:t>
      </w:r>
    </w:p>
    <w:p w14:paraId="66740C41">
      <w:pPr>
        <w:ind w:firstLine="420" w:firstLineChars="200"/>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D070211">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9"/>
    <w:p w14:paraId="60E70198">
      <w:pPr>
        <w:ind w:firstLine="420" w:firstLineChars="200"/>
        <w:rPr>
          <w:rFonts w:hint="eastAsia" w:ascii="黑体" w:hAnsi="宋体" w:eastAsia="黑体"/>
          <w:szCs w:val="21"/>
        </w:rPr>
      </w:pPr>
      <w:r>
        <w:rPr>
          <w:rFonts w:hint="eastAsia" w:ascii="黑体" w:hAnsi="宋体" w:eastAsia="黑体"/>
          <w:szCs w:val="21"/>
        </w:rPr>
        <w:t>23．</w:t>
      </w:r>
      <w:bookmarkStart w:id="60"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1934FFA2">
      <w:pPr>
        <w:ind w:firstLine="420" w:firstLineChars="200"/>
        <w:rPr>
          <w:rFonts w:hint="eastAsia" w:ascii="宋体" w:hAnsi="宋体"/>
          <w:szCs w:val="21"/>
        </w:rPr>
      </w:pPr>
      <w:r>
        <w:rPr>
          <w:rFonts w:hint="eastAsia" w:ascii="宋体" w:hAnsi="宋体"/>
          <w:szCs w:val="21"/>
        </w:rPr>
        <w:t>23.1投标人应准备所投项目的电子投标文件一份。</w:t>
      </w:r>
    </w:p>
    <w:p w14:paraId="213FB468">
      <w:pPr>
        <w:ind w:firstLine="420" w:firstLineChars="200"/>
        <w:rPr>
          <w:rFonts w:hint="eastAsia" w:ascii="宋体" w:hAnsi="宋体"/>
          <w:szCs w:val="21"/>
        </w:rPr>
      </w:pPr>
      <w:r>
        <w:rPr>
          <w:rFonts w:hint="eastAsia" w:ascii="宋体" w:hAnsi="宋体"/>
          <w:szCs w:val="21"/>
        </w:rPr>
        <w:t>23.2投标人在使用《投标书编制软件》编制投标书时须注意：</w:t>
      </w:r>
    </w:p>
    <w:p w14:paraId="23F8C95B">
      <w:pPr>
        <w:ind w:firstLine="420" w:firstLineChars="200"/>
        <w:rPr>
          <w:rFonts w:hint="eastAsia"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14:paraId="1A517E27">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14:paraId="43616CB1">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14:paraId="0B93A9EE">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14:paraId="3AEACAF4">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5C78D505">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22910D9D">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14:paraId="31C40FFC">
      <w:pPr>
        <w:ind w:firstLine="420" w:firstLineChars="200"/>
        <w:rPr>
          <w:rFonts w:hint="eastAsia" w:ascii="宋体" w:hAnsi="宋体"/>
          <w:szCs w:val="21"/>
        </w:rPr>
      </w:pPr>
      <w:r>
        <w:rPr>
          <w:rFonts w:hint="eastAsia" w:ascii="宋体" w:hAnsi="宋体"/>
          <w:szCs w:val="21"/>
        </w:rPr>
        <w:t>23.3电报、电话、传真形式的投标概不接受。</w:t>
      </w:r>
    </w:p>
    <w:p w14:paraId="49A6091E">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14:paraId="01B8A42F">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0"/>
    </w:p>
    <w:p w14:paraId="237F6236">
      <w:pPr>
        <w:ind w:firstLine="411" w:firstLineChars="196"/>
        <w:rPr>
          <w:rFonts w:hint="eastAsia" w:ascii="宋体" w:hAnsi="宋体"/>
          <w:szCs w:val="21"/>
        </w:rPr>
      </w:pPr>
    </w:p>
    <w:p w14:paraId="68E781DE">
      <w:pPr>
        <w:pStyle w:val="78"/>
        <w:keepNext/>
        <w:keepLines/>
        <w:numPr>
          <w:ilvl w:val="0"/>
          <w:numId w:val="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146E00BC">
      <w:pPr>
        <w:ind w:firstLine="420" w:firstLineChars="200"/>
        <w:rPr>
          <w:rFonts w:hint="eastAsia" w:ascii="黑体" w:hAnsi="宋体" w:eastAsia="黑体"/>
          <w:szCs w:val="21"/>
        </w:rPr>
      </w:pPr>
      <w:bookmarkStart w:id="61" w:name="_Hlk72405459"/>
      <w:r>
        <w:rPr>
          <w:rFonts w:hint="eastAsia" w:ascii="黑体" w:hAnsi="宋体" w:eastAsia="黑体"/>
          <w:szCs w:val="21"/>
        </w:rPr>
        <w:t>24．投标文件的保密</w:t>
      </w:r>
    </w:p>
    <w:p w14:paraId="5B1EF307">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4D5E3F5D">
      <w:pPr>
        <w:ind w:firstLine="422" w:firstLineChars="200"/>
        <w:rPr>
          <w:rFonts w:hint="eastAsia" w:ascii="宋体" w:hAnsi="宋体"/>
          <w:b/>
          <w:szCs w:val="21"/>
        </w:rPr>
      </w:pPr>
      <w:r>
        <w:rPr>
          <w:rFonts w:hint="eastAsia" w:ascii="宋体" w:hAnsi="宋体"/>
          <w:b/>
          <w:szCs w:val="21"/>
        </w:rPr>
        <w:t>24.2若采购项目出现延期情况：</w:t>
      </w:r>
    </w:p>
    <w:p w14:paraId="33B1BB3C">
      <w:pPr>
        <w:ind w:firstLine="422" w:firstLineChars="200"/>
        <w:rPr>
          <w:rFonts w:hint="eastAsia"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14:paraId="4468CE94">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14:paraId="03C9DF2F">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7283B243">
      <w:pPr>
        <w:ind w:firstLine="420" w:firstLineChars="200"/>
        <w:rPr>
          <w:rFonts w:hint="eastAsia"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15AAA47">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1"/>
    <w:p w14:paraId="4E433C09">
      <w:pPr>
        <w:ind w:firstLine="420" w:firstLineChars="200"/>
        <w:rPr>
          <w:rFonts w:hint="eastAsia" w:ascii="黑体" w:hAnsi="宋体" w:eastAsia="黑体"/>
          <w:szCs w:val="21"/>
        </w:rPr>
      </w:pPr>
      <w:r>
        <w:rPr>
          <w:rFonts w:hint="eastAsia" w:ascii="黑体" w:hAnsi="宋体" w:eastAsia="黑体"/>
          <w:szCs w:val="21"/>
        </w:rPr>
        <w:t>26. 样品、现场演示、方案讲解</w:t>
      </w:r>
    </w:p>
    <w:p w14:paraId="046301BC">
      <w:pPr>
        <w:ind w:firstLine="420" w:firstLineChars="200"/>
        <w:rPr>
          <w:rFonts w:hint="eastAsia" w:ascii="宋体" w:hAnsi="宋体"/>
          <w:szCs w:val="21"/>
        </w:rPr>
      </w:pPr>
      <w:r>
        <w:rPr>
          <w:rFonts w:hint="eastAsia" w:ascii="宋体" w:hAnsi="宋体"/>
          <w:szCs w:val="21"/>
        </w:rPr>
        <w:t>26.1 样品、现场演示、方案讲解等事项在招标文件专用条款中进行规定。</w:t>
      </w:r>
    </w:p>
    <w:p w14:paraId="65464251">
      <w:pPr>
        <w:ind w:firstLine="420" w:firstLineChars="200"/>
        <w:rPr>
          <w:rFonts w:hint="eastAsia" w:ascii="黑体" w:hAnsi="宋体" w:eastAsia="黑体"/>
          <w:szCs w:val="21"/>
        </w:rPr>
      </w:pPr>
      <w:bookmarkStart w:id="62"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536B0008">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4AED0E3E">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03484A7A">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075DD7A8">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62"/>
    <w:p w14:paraId="3626F764">
      <w:pPr>
        <w:pStyle w:val="78"/>
        <w:keepNext/>
        <w:keepLines/>
        <w:numPr>
          <w:ilvl w:val="0"/>
          <w:numId w:val="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0FED7A02">
      <w:pPr>
        <w:ind w:firstLine="420" w:firstLineChars="200"/>
        <w:rPr>
          <w:rFonts w:hint="eastAsia" w:ascii="黑体" w:hAnsi="宋体" w:eastAsia="黑体"/>
          <w:szCs w:val="21"/>
        </w:rPr>
      </w:pPr>
      <w:r>
        <w:rPr>
          <w:rFonts w:hint="eastAsia" w:ascii="黑体" w:hAnsi="宋体" w:eastAsia="黑体"/>
          <w:szCs w:val="21"/>
        </w:rPr>
        <w:t>28．开标</w:t>
      </w:r>
    </w:p>
    <w:p w14:paraId="246E5C3F">
      <w:pPr>
        <w:wordWrap w:val="0"/>
        <w:ind w:firstLine="420" w:firstLineChars="200"/>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38D5953C">
      <w:pPr>
        <w:wordWrap w:val="0"/>
        <w:ind w:firstLine="420" w:firstLineChars="20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74CAE90C">
      <w:pPr>
        <w:ind w:firstLine="315" w:firstLineChars="150"/>
        <w:rPr>
          <w:rFonts w:hint="eastAsia" w:ascii="宋体" w:hAnsi="宋体"/>
          <w:szCs w:val="21"/>
        </w:rPr>
      </w:pPr>
    </w:p>
    <w:p w14:paraId="275B71CA">
      <w:pPr>
        <w:pStyle w:val="78"/>
        <w:keepNext/>
        <w:keepLines/>
        <w:numPr>
          <w:ilvl w:val="0"/>
          <w:numId w:val="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7A2912BE">
      <w:pPr>
        <w:ind w:firstLine="420" w:firstLineChars="200"/>
        <w:rPr>
          <w:rFonts w:hint="eastAsia" w:ascii="黑体" w:hAnsi="宋体" w:eastAsia="黑体"/>
          <w:szCs w:val="21"/>
        </w:rPr>
      </w:pPr>
      <w:r>
        <w:rPr>
          <w:rFonts w:hint="eastAsia" w:ascii="黑体" w:hAnsi="宋体" w:eastAsia="黑体"/>
          <w:szCs w:val="21"/>
        </w:rPr>
        <w:t>29．评审委员会组成</w:t>
      </w:r>
    </w:p>
    <w:p w14:paraId="14C1045A">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14:paraId="4BD0B7F4">
      <w:pPr>
        <w:ind w:firstLine="420" w:firstLineChars="200"/>
        <w:rPr>
          <w:rFonts w:hint="eastAsia" w:ascii="宋体" w:hAnsi="宋体"/>
          <w:szCs w:val="21"/>
        </w:rPr>
      </w:pPr>
      <w:bookmarkStart w:id="63"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3"/>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212DDB84">
      <w:pPr>
        <w:ind w:firstLine="420" w:firstLineChars="200"/>
        <w:rPr>
          <w:rFonts w:hint="eastAsia" w:ascii="宋体" w:hAnsi="宋体"/>
          <w:szCs w:val="21"/>
        </w:rPr>
      </w:pPr>
      <w:r>
        <w:rPr>
          <w:rFonts w:hint="eastAsia" w:ascii="宋体" w:hAnsi="宋体"/>
          <w:szCs w:val="21"/>
        </w:rPr>
        <w:t>29.2评审定标应当遵循公平、公正、科学、择优的原则。</w:t>
      </w:r>
    </w:p>
    <w:p w14:paraId="774B228D">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14:paraId="187985FE">
      <w:pPr>
        <w:ind w:firstLine="420" w:firstLineChars="200"/>
        <w:rPr>
          <w:rFonts w:hint="eastAsia" w:ascii="宋体" w:hAnsi="宋体"/>
          <w:szCs w:val="21"/>
        </w:rPr>
      </w:pPr>
      <w:r>
        <w:rPr>
          <w:rFonts w:hint="eastAsia" w:ascii="宋体" w:hAnsi="宋体"/>
          <w:szCs w:val="21"/>
        </w:rPr>
        <w:t>29.4评审过程中不允许违背评标程序或采用招标文件未载明的评标方法或评标因素进行评标。</w:t>
      </w:r>
    </w:p>
    <w:p w14:paraId="0916240A">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3171410A">
      <w:pPr>
        <w:ind w:firstLine="420" w:firstLineChars="200"/>
        <w:rPr>
          <w:rFonts w:hint="eastAsia" w:ascii="黑体" w:hAnsi="宋体" w:eastAsia="黑体"/>
          <w:szCs w:val="21"/>
        </w:rPr>
      </w:pPr>
      <w:r>
        <w:rPr>
          <w:rFonts w:hint="eastAsia" w:ascii="黑体" w:hAnsi="宋体" w:eastAsia="黑体"/>
          <w:szCs w:val="21"/>
        </w:rPr>
        <w:t>30．向评审委员会提供的资料</w:t>
      </w:r>
    </w:p>
    <w:p w14:paraId="60D8F951">
      <w:pPr>
        <w:ind w:firstLine="420" w:firstLineChars="200"/>
        <w:rPr>
          <w:rFonts w:hint="eastAsia" w:ascii="宋体" w:hAnsi="宋体"/>
          <w:szCs w:val="21"/>
        </w:rPr>
      </w:pPr>
      <w:r>
        <w:rPr>
          <w:rFonts w:hint="eastAsia" w:ascii="宋体" w:hAnsi="宋体"/>
          <w:szCs w:val="21"/>
        </w:rPr>
        <w:t>30.1公开发布的招标文件，包括图纸、服务清单、答疑文件等；</w:t>
      </w:r>
    </w:p>
    <w:p w14:paraId="7EE18CB6">
      <w:pPr>
        <w:ind w:firstLine="420" w:firstLineChars="200"/>
        <w:rPr>
          <w:rFonts w:hint="eastAsia" w:ascii="宋体" w:hAnsi="宋体"/>
          <w:szCs w:val="21"/>
        </w:rPr>
      </w:pPr>
      <w:r>
        <w:rPr>
          <w:rFonts w:hint="eastAsia" w:ascii="宋体" w:hAnsi="宋体"/>
          <w:szCs w:val="21"/>
        </w:rPr>
        <w:t>30.2其他评标必须的资料。</w:t>
      </w:r>
    </w:p>
    <w:p w14:paraId="2DE01EB9">
      <w:pPr>
        <w:ind w:firstLine="420" w:firstLineChars="200"/>
        <w:rPr>
          <w:rFonts w:hint="eastAsia" w:ascii="宋体" w:hAnsi="宋体"/>
          <w:szCs w:val="21"/>
        </w:rPr>
      </w:pPr>
      <w:r>
        <w:rPr>
          <w:rFonts w:hint="eastAsia" w:ascii="宋体" w:hAnsi="宋体"/>
          <w:szCs w:val="21"/>
        </w:rPr>
        <w:t>30.3评审委员会应当认真研究招标文件，至少应了解熟悉以下内容：</w:t>
      </w:r>
    </w:p>
    <w:p w14:paraId="0A077BBF">
      <w:pPr>
        <w:ind w:firstLine="420" w:firstLineChars="200"/>
        <w:rPr>
          <w:rFonts w:hint="eastAsia" w:ascii="宋体" w:hAnsi="宋体"/>
          <w:szCs w:val="21"/>
        </w:rPr>
      </w:pPr>
      <w:r>
        <w:rPr>
          <w:rFonts w:hint="eastAsia" w:ascii="宋体" w:hAnsi="宋体"/>
          <w:szCs w:val="21"/>
        </w:rPr>
        <w:t>（1）招标的目的；</w:t>
      </w:r>
    </w:p>
    <w:p w14:paraId="5C230E60">
      <w:pPr>
        <w:ind w:firstLine="420" w:firstLineChars="200"/>
        <w:rPr>
          <w:rFonts w:hint="eastAsia" w:ascii="宋体" w:hAnsi="宋体"/>
          <w:szCs w:val="21"/>
        </w:rPr>
      </w:pPr>
      <w:r>
        <w:rPr>
          <w:rFonts w:hint="eastAsia" w:ascii="宋体" w:hAnsi="宋体"/>
          <w:szCs w:val="21"/>
        </w:rPr>
        <w:t>（2）招标项目需求的范围和性质；</w:t>
      </w:r>
    </w:p>
    <w:p w14:paraId="47EB575C">
      <w:pPr>
        <w:ind w:firstLine="420" w:firstLineChars="200"/>
        <w:rPr>
          <w:rFonts w:hint="eastAsia" w:ascii="宋体" w:hAnsi="宋体"/>
          <w:szCs w:val="21"/>
        </w:rPr>
      </w:pPr>
      <w:r>
        <w:rPr>
          <w:rFonts w:hint="eastAsia" w:ascii="宋体" w:hAnsi="宋体"/>
          <w:szCs w:val="21"/>
        </w:rPr>
        <w:t>（3）招标文件规定的投标人的资格、财政预算限额、商务条款；</w:t>
      </w:r>
    </w:p>
    <w:p w14:paraId="2A834023">
      <w:pPr>
        <w:ind w:firstLine="420" w:firstLineChars="200"/>
        <w:rPr>
          <w:rFonts w:hint="eastAsia" w:ascii="宋体" w:hAnsi="宋体"/>
          <w:szCs w:val="21"/>
        </w:rPr>
      </w:pPr>
      <w:r>
        <w:rPr>
          <w:rFonts w:hint="eastAsia" w:ascii="宋体" w:hAnsi="宋体"/>
          <w:szCs w:val="21"/>
        </w:rPr>
        <w:t>（4）招标文件规定的评标程序、评标方法和评标因素；</w:t>
      </w:r>
    </w:p>
    <w:p w14:paraId="08403EC8">
      <w:pPr>
        <w:ind w:firstLine="420" w:firstLineChars="200"/>
        <w:rPr>
          <w:rFonts w:hint="eastAsia" w:ascii="宋体" w:hAnsi="宋体"/>
          <w:szCs w:val="21"/>
        </w:rPr>
      </w:pPr>
      <w:r>
        <w:rPr>
          <w:rFonts w:hint="eastAsia" w:ascii="宋体" w:hAnsi="宋体"/>
          <w:szCs w:val="21"/>
        </w:rPr>
        <w:t>（5）招标文件所列示的资格性审查表及符合性审查表。</w:t>
      </w:r>
    </w:p>
    <w:p w14:paraId="23B53DBF">
      <w:pPr>
        <w:ind w:firstLine="420" w:firstLineChars="200"/>
        <w:rPr>
          <w:rFonts w:hint="eastAsia" w:ascii="黑体" w:hAnsi="宋体" w:eastAsia="黑体"/>
          <w:szCs w:val="21"/>
        </w:rPr>
      </w:pPr>
      <w:r>
        <w:rPr>
          <w:rFonts w:hint="eastAsia" w:ascii="黑体" w:hAnsi="宋体" w:eastAsia="黑体"/>
          <w:szCs w:val="21"/>
        </w:rPr>
        <w:t>31．独立评审</w:t>
      </w:r>
    </w:p>
    <w:p w14:paraId="7B0E9FFA">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7B1C209E">
      <w:pPr>
        <w:ind w:firstLine="411" w:firstLineChars="196"/>
        <w:rPr>
          <w:rFonts w:hint="eastAsia" w:ascii="宋体" w:hAnsi="宋体"/>
          <w:bCs/>
          <w:szCs w:val="21"/>
        </w:rPr>
      </w:pPr>
    </w:p>
    <w:p w14:paraId="011C55B2">
      <w:pPr>
        <w:pStyle w:val="78"/>
        <w:keepNext/>
        <w:keepLines/>
        <w:numPr>
          <w:ilvl w:val="0"/>
          <w:numId w:val="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371050BA">
      <w:pPr>
        <w:ind w:firstLine="420" w:firstLineChars="200"/>
        <w:rPr>
          <w:rFonts w:hint="eastAsia" w:ascii="黑体" w:hAnsi="宋体" w:eastAsia="黑体"/>
          <w:szCs w:val="21"/>
        </w:rPr>
      </w:pPr>
      <w:r>
        <w:rPr>
          <w:rFonts w:hint="eastAsia" w:ascii="黑体" w:hAnsi="宋体" w:eastAsia="黑体"/>
          <w:szCs w:val="21"/>
        </w:rPr>
        <w:t>32．投标文件初审</w:t>
      </w:r>
    </w:p>
    <w:p w14:paraId="07F5B8DB">
      <w:pPr>
        <w:ind w:firstLine="420" w:firstLineChars="200"/>
        <w:rPr>
          <w:rFonts w:hint="eastAsia" w:ascii="宋体" w:hAnsi="宋体"/>
          <w:szCs w:val="21"/>
        </w:rPr>
      </w:pPr>
      <w:r>
        <w:rPr>
          <w:rFonts w:hint="eastAsia" w:ascii="宋体" w:hAnsi="宋体"/>
          <w:szCs w:val="21"/>
        </w:rPr>
        <w:t>32.1投标文件初审包括资格性审查和符合性审查。</w:t>
      </w:r>
    </w:p>
    <w:p w14:paraId="78C15ADC">
      <w:pPr>
        <w:ind w:firstLine="420" w:firstLineChars="200"/>
        <w:rPr>
          <w:rFonts w:hint="eastAsia"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14:paraId="2CC797B1">
      <w:pPr>
        <w:ind w:firstLine="420" w:firstLineChars="200"/>
        <w:rPr>
          <w:rFonts w:hint="eastAsia"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14:paraId="00133F31">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7D6BDEC3">
      <w:pPr>
        <w:ind w:firstLine="420" w:firstLineChars="200"/>
        <w:rPr>
          <w:rFonts w:hint="eastAsia" w:ascii="宋体" w:hAnsi="宋体"/>
          <w:bCs/>
          <w:szCs w:val="21"/>
        </w:rPr>
      </w:pPr>
      <w:r>
        <w:rPr>
          <w:rFonts w:hint="eastAsia" w:ascii="宋体" w:hAnsi="宋体"/>
          <w:bCs/>
          <w:szCs w:val="21"/>
        </w:rPr>
        <w:t>32.3 投标文件初审中关于供应商家数的计算:</w:t>
      </w:r>
    </w:p>
    <w:p w14:paraId="2E4DE63D">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D867BF6">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B4E8959">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14:paraId="7EF7F445">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14:paraId="0962EC36">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330C91E2">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044562C6">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14:paraId="74EAE6F8">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14:paraId="72ABBC44">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4162666D">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14:paraId="770048D3">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60F6AFB3">
      <w:pPr>
        <w:ind w:firstLine="420" w:firstLineChars="200"/>
        <w:rPr>
          <w:rFonts w:hint="eastAsia" w:ascii="宋体" w:hAnsi="宋体"/>
          <w:szCs w:val="21"/>
        </w:rPr>
      </w:pPr>
      <w:r>
        <w:rPr>
          <w:rFonts w:hint="eastAsia" w:ascii="宋体" w:hAnsi="宋体"/>
          <w:szCs w:val="21"/>
        </w:rPr>
        <w:t>32.4.8不同投标供应商的投标文件内容存在非正常一致；</w:t>
      </w:r>
    </w:p>
    <w:p w14:paraId="72BF5957">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14:paraId="31D34D5A">
      <w:pPr>
        <w:ind w:firstLine="420" w:firstLineChars="200"/>
        <w:rPr>
          <w:rFonts w:hint="eastAsia" w:ascii="宋体" w:hAnsi="宋体"/>
          <w:szCs w:val="21"/>
        </w:rPr>
      </w:pPr>
      <w:r>
        <w:rPr>
          <w:rFonts w:hint="eastAsia" w:ascii="宋体" w:hAnsi="宋体"/>
          <w:szCs w:val="21"/>
        </w:rPr>
        <w:t>32.4.10主管部门依照法律、法规认定的其他情形。</w:t>
      </w:r>
    </w:p>
    <w:p w14:paraId="124B3B28">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6B292F9E">
      <w:pPr>
        <w:ind w:firstLine="420" w:firstLineChars="200"/>
        <w:rPr>
          <w:rFonts w:hint="eastAsia" w:ascii="黑体" w:hAnsi="宋体" w:eastAsia="黑体"/>
          <w:szCs w:val="21"/>
        </w:rPr>
      </w:pPr>
      <w:r>
        <w:rPr>
          <w:rFonts w:hint="eastAsia" w:ascii="黑体" w:hAnsi="宋体" w:eastAsia="黑体"/>
          <w:szCs w:val="21"/>
        </w:rPr>
        <w:t>33．澄清有关问题</w:t>
      </w:r>
    </w:p>
    <w:p w14:paraId="2614A22F">
      <w:pPr>
        <w:ind w:firstLine="420" w:firstLineChars="200"/>
        <w:rPr>
          <w:rFonts w:hint="eastAsia" w:ascii="宋体" w:hAnsi="宋体"/>
          <w:szCs w:val="21"/>
        </w:rPr>
      </w:pPr>
      <w:bookmarkStart w:id="64"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4"/>
    </w:p>
    <w:p w14:paraId="009E9A34">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5F8E680C">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753A862C">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13A4E47">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14D9E338">
      <w:pPr>
        <w:ind w:firstLine="420" w:firstLineChars="200"/>
        <w:rPr>
          <w:rFonts w:hint="eastAsia" w:ascii="黑体" w:hAnsi="宋体" w:eastAsia="黑体"/>
          <w:szCs w:val="21"/>
        </w:rPr>
      </w:pPr>
      <w:bookmarkStart w:id="65" w:name="_Toc100052400"/>
      <w:bookmarkStart w:id="66" w:name="_Toc73521581"/>
      <w:bookmarkStart w:id="67" w:name="_Toc73518151"/>
      <w:bookmarkStart w:id="68" w:name="_Toc73521669"/>
      <w:bookmarkStart w:id="69" w:name="_Toc73517673"/>
      <w:r>
        <w:rPr>
          <w:rFonts w:hint="eastAsia" w:ascii="黑体" w:hAnsi="宋体" w:eastAsia="黑体"/>
          <w:szCs w:val="21"/>
        </w:rPr>
        <w:t>34．错误的修正</w:t>
      </w:r>
      <w:bookmarkEnd w:id="65"/>
      <w:bookmarkEnd w:id="66"/>
      <w:bookmarkEnd w:id="67"/>
      <w:bookmarkEnd w:id="68"/>
      <w:bookmarkEnd w:id="69"/>
    </w:p>
    <w:p w14:paraId="05EEA4A1">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14:paraId="2F2E5A54">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204C17F1">
      <w:pPr>
        <w:ind w:firstLine="420" w:firstLineChars="200"/>
        <w:rPr>
          <w:rFonts w:hint="eastAsia" w:ascii="宋体" w:hAnsi="宋体"/>
          <w:szCs w:val="21"/>
        </w:rPr>
      </w:pPr>
      <w:r>
        <w:rPr>
          <w:rFonts w:hint="eastAsia" w:ascii="宋体" w:hAnsi="宋体"/>
          <w:szCs w:val="21"/>
        </w:rPr>
        <w:t>34.2大写金额和小写金额不一致的，以大写金额为准；</w:t>
      </w:r>
    </w:p>
    <w:p w14:paraId="223F40B5">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14:paraId="6FA23685">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14:paraId="3D127332">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07DA07C7">
      <w:pPr>
        <w:ind w:firstLine="420" w:firstLineChars="200"/>
        <w:rPr>
          <w:rFonts w:hint="eastAsia" w:ascii="黑体" w:hAnsi="宋体" w:eastAsia="黑体"/>
          <w:szCs w:val="21"/>
        </w:rPr>
      </w:pPr>
      <w:r>
        <w:rPr>
          <w:rFonts w:hint="eastAsia" w:ascii="黑体" w:hAnsi="宋体" w:eastAsia="黑体"/>
          <w:szCs w:val="21"/>
        </w:rPr>
        <w:t>35．投标文件的比较与评价</w:t>
      </w:r>
    </w:p>
    <w:p w14:paraId="52692320">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675678E">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01127FC4">
      <w:pPr>
        <w:ind w:firstLine="420" w:firstLineChars="200"/>
        <w:rPr>
          <w:rFonts w:hint="eastAsia" w:ascii="黑体" w:hAnsi="宋体" w:eastAsia="黑体"/>
          <w:szCs w:val="21"/>
        </w:rPr>
      </w:pPr>
      <w:r>
        <w:rPr>
          <w:rFonts w:hint="eastAsia" w:ascii="黑体" w:hAnsi="宋体" w:eastAsia="黑体"/>
          <w:szCs w:val="21"/>
        </w:rPr>
        <w:t>36. 实地考察或资料查验</w:t>
      </w:r>
    </w:p>
    <w:p w14:paraId="3DBC3920">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78E85FEF">
      <w:pPr>
        <w:ind w:firstLine="420" w:firstLineChars="200"/>
        <w:rPr>
          <w:rFonts w:hint="eastAsia" w:ascii="黑体" w:hAnsi="宋体" w:eastAsia="黑体"/>
          <w:szCs w:val="21"/>
        </w:rPr>
      </w:pPr>
      <w:r>
        <w:rPr>
          <w:rFonts w:hint="eastAsia" w:ascii="黑体" w:hAnsi="宋体" w:eastAsia="黑体"/>
          <w:szCs w:val="21"/>
        </w:rPr>
        <w:t>37．评审方法</w:t>
      </w:r>
    </w:p>
    <w:p w14:paraId="05B53AEE">
      <w:pPr>
        <w:ind w:firstLine="422" w:firstLineChars="200"/>
        <w:rPr>
          <w:rFonts w:hint="eastAsia" w:ascii="宋体" w:hAnsi="宋体"/>
          <w:b/>
          <w:bCs/>
          <w:szCs w:val="21"/>
        </w:rPr>
      </w:pPr>
      <w:r>
        <w:rPr>
          <w:rFonts w:hint="eastAsia" w:ascii="宋体" w:hAnsi="宋体"/>
          <w:b/>
          <w:bCs/>
          <w:szCs w:val="21"/>
        </w:rPr>
        <w:t>37.1.1最低价法</w:t>
      </w:r>
    </w:p>
    <w:p w14:paraId="14A26D8B">
      <w:pPr>
        <w:ind w:firstLine="420" w:firstLineChars="200"/>
        <w:rPr>
          <w:rFonts w:hint="eastAsia" w:ascii="ˎ̥" w:hAnsi="ˎ̥"/>
          <w:szCs w:val="21"/>
        </w:rPr>
      </w:pPr>
      <w:bookmarkStart w:id="70"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14:paraId="36512000">
      <w:pPr>
        <w:ind w:firstLine="422" w:firstLineChars="200"/>
        <w:rPr>
          <w:rFonts w:hint="eastAsia" w:ascii="宋体" w:hAnsi="宋体"/>
          <w:b/>
          <w:bCs/>
          <w:szCs w:val="21"/>
        </w:rPr>
      </w:pPr>
      <w:r>
        <w:rPr>
          <w:rFonts w:hint="eastAsia" w:ascii="宋体" w:hAnsi="宋体"/>
          <w:b/>
          <w:bCs/>
          <w:szCs w:val="21"/>
        </w:rPr>
        <w:t>37.1.2综合评分法</w:t>
      </w:r>
    </w:p>
    <w:p w14:paraId="614563CF">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70"/>
      <w:r>
        <w:rPr>
          <w:rFonts w:hint="eastAsia" w:ascii="宋体" w:hAnsi="宋体"/>
          <w:bCs/>
          <w:color w:val="FF0000"/>
          <w:szCs w:val="21"/>
        </w:rPr>
        <w:t xml:space="preserve">  </w:t>
      </w:r>
      <w:r>
        <w:rPr>
          <w:rFonts w:hint="eastAsia" w:ascii="宋体" w:hAnsi="宋体"/>
          <w:bCs/>
          <w:szCs w:val="21"/>
        </w:rPr>
        <w:t xml:space="preserve">                                                                                                                                                                                                                                                                                                                                                                                                                                                                                                                                                                                                                                                                                                                                                                                                                                                                                                                                                                                                                                                                                                                                                                                                                                                                                                                                                                                                                                                                                                                                                                                                                                                                                                                                                                                                                                                                                                                                                                                                                                                                                                                                                                                                                                                                                                                                                                                                                                                                                                                                                                                                                                                                                                                                                                                                                                                                                                                                                                                                                           </w:t>
      </w:r>
    </w:p>
    <w:p w14:paraId="3E12E4CD">
      <w:pPr>
        <w:ind w:firstLine="422" w:firstLineChars="200"/>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75E055D3">
      <w:pPr>
        <w:ind w:firstLine="422" w:firstLineChars="200"/>
        <w:rPr>
          <w:rFonts w:hint="eastAsia" w:ascii="宋体" w:hAnsi="宋体"/>
          <w:b/>
          <w:bCs/>
          <w:szCs w:val="21"/>
        </w:rPr>
      </w:pPr>
      <w:r>
        <w:rPr>
          <w:rFonts w:hint="eastAsia" w:ascii="宋体" w:hAnsi="宋体"/>
          <w:b/>
          <w:bCs/>
          <w:szCs w:val="21"/>
        </w:rPr>
        <w:t>37.3重新评审的情形</w:t>
      </w:r>
    </w:p>
    <w:p w14:paraId="3A497930">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2FBAF1E4">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14:paraId="31DE8E4C">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14:paraId="4205C49D">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72548E0E">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14:paraId="30DA92D1">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C3F2CC6">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2EA58165">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14:paraId="1E61D4E3">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2A30D019">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2DAC1B6F">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3EA54EAF">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66C875D9">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335E03B6">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38C13CF4">
      <w:pPr>
        <w:ind w:firstLine="411" w:firstLineChars="196"/>
        <w:rPr>
          <w:rFonts w:hint="eastAsia" w:ascii="宋体" w:hAnsi="宋体"/>
          <w:szCs w:val="21"/>
        </w:rPr>
      </w:pPr>
    </w:p>
    <w:p w14:paraId="684C1C54">
      <w:pPr>
        <w:pStyle w:val="78"/>
        <w:keepNext/>
        <w:keepLines/>
        <w:numPr>
          <w:ilvl w:val="0"/>
          <w:numId w:val="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4AE7AB7D">
      <w:pPr>
        <w:ind w:firstLine="420" w:firstLineChars="200"/>
        <w:rPr>
          <w:rFonts w:hint="eastAsia" w:ascii="黑体" w:hAnsi="宋体" w:eastAsia="黑体"/>
          <w:szCs w:val="21"/>
        </w:rPr>
      </w:pPr>
      <w:r>
        <w:rPr>
          <w:rFonts w:hint="eastAsia" w:ascii="黑体" w:hAnsi="宋体" w:eastAsia="黑体"/>
          <w:szCs w:val="21"/>
        </w:rPr>
        <w:t>38．定标方法</w:t>
      </w:r>
    </w:p>
    <w:p w14:paraId="34AAC69C">
      <w:pPr>
        <w:ind w:firstLine="420" w:firstLineChars="200"/>
        <w:rPr>
          <w:rFonts w:hint="eastAsia" w:ascii="宋体" w:hAnsi="宋体"/>
          <w:szCs w:val="21"/>
        </w:rPr>
      </w:pPr>
      <w:bookmarkStart w:id="71" w:name="_Hlk73782795"/>
      <w:r>
        <w:rPr>
          <w:rFonts w:hint="eastAsia" w:ascii="宋体" w:hAnsi="宋体"/>
          <w:szCs w:val="21"/>
        </w:rPr>
        <w:t>38.1非评定分离项目定标方法</w:t>
      </w:r>
    </w:p>
    <w:p w14:paraId="16920D3D">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7C12AA55">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72" w:name="_Hlk73821177"/>
      <w:r>
        <w:rPr>
          <w:rFonts w:hint="eastAsia" w:ascii="ˎ̥" w:hAnsi="ˎ̥"/>
          <w:szCs w:val="21"/>
        </w:rPr>
        <w:t>唯一候选中标供应商</w:t>
      </w:r>
      <w:bookmarkEnd w:id="72"/>
      <w:r>
        <w:rPr>
          <w:rFonts w:ascii="ˎ̥" w:hAnsi="ˎ̥"/>
          <w:szCs w:val="21"/>
        </w:rPr>
        <w:t>。</w:t>
      </w:r>
    </w:p>
    <w:p w14:paraId="731D8286">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4E25546D">
      <w:pPr>
        <w:ind w:firstLine="420" w:firstLineChars="200"/>
        <w:rPr>
          <w:rFonts w:hint="eastAsia" w:ascii="宋体" w:hAnsi="宋体"/>
          <w:szCs w:val="21"/>
        </w:rPr>
      </w:pPr>
      <w:r>
        <w:rPr>
          <w:rFonts w:hint="eastAsia" w:ascii="宋体" w:hAnsi="宋体"/>
          <w:szCs w:val="21"/>
        </w:rPr>
        <w:t>38.2评定分离项目定标方法</w:t>
      </w:r>
    </w:p>
    <w:p w14:paraId="0924BC48">
      <w:pPr>
        <w:ind w:firstLine="420" w:firstLineChars="200"/>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157D219">
      <w:pPr>
        <w:ind w:firstLine="420" w:firstLineChars="200"/>
        <w:rPr>
          <w:szCs w:val="21"/>
        </w:rPr>
      </w:pPr>
      <w:r>
        <w:rPr>
          <w:rFonts w:ascii="宋体" w:hAnsi="宋体"/>
          <w:szCs w:val="21"/>
        </w:rPr>
        <w:t xml:space="preserve">38.2.2 </w:t>
      </w:r>
      <w:bookmarkStart w:id="73"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0123EEEA">
      <w:pPr>
        <w:ind w:firstLine="420" w:firstLineChars="200"/>
        <w:rPr>
          <w:rFonts w:hint="eastAsia" w:ascii="宋体" w:hAnsi="宋体"/>
          <w:szCs w:val="21"/>
        </w:rPr>
      </w:pPr>
      <w:r>
        <w:rPr>
          <w:rFonts w:hint="eastAsia" w:ascii="宋体" w:hAnsi="宋体"/>
          <w:szCs w:val="21"/>
        </w:rPr>
        <w:t>38.2.3</w:t>
      </w:r>
      <w:bookmarkStart w:id="74"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3"/>
      <w:bookmarkEnd w:id="74"/>
    </w:p>
    <w:p w14:paraId="5A9134B6">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0FA022AE">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14:paraId="0D5F361F">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71"/>
    </w:p>
    <w:p w14:paraId="18ABECA0">
      <w:pPr>
        <w:ind w:firstLine="420" w:firstLineChars="200"/>
        <w:rPr>
          <w:rFonts w:hint="eastAsia" w:ascii="黑体" w:hAnsi="宋体" w:eastAsia="黑体"/>
          <w:szCs w:val="21"/>
        </w:rPr>
      </w:pPr>
      <w:r>
        <w:rPr>
          <w:rFonts w:hint="eastAsia" w:ascii="黑体" w:hAnsi="宋体" w:eastAsia="黑体"/>
          <w:szCs w:val="21"/>
        </w:rPr>
        <w:t>39．编写评审报告</w:t>
      </w:r>
    </w:p>
    <w:p w14:paraId="16A173CB">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AE3F907">
      <w:pPr>
        <w:ind w:firstLine="420" w:firstLineChars="200"/>
        <w:rPr>
          <w:rFonts w:hint="eastAsia" w:ascii="黑体" w:hAnsi="宋体" w:eastAsia="黑体"/>
          <w:szCs w:val="21"/>
        </w:rPr>
      </w:pPr>
      <w:r>
        <w:rPr>
          <w:rFonts w:hint="eastAsia" w:ascii="黑体" w:hAnsi="宋体" w:eastAsia="黑体"/>
          <w:szCs w:val="21"/>
        </w:rPr>
        <w:t>40．中标（成交）公告</w:t>
      </w:r>
    </w:p>
    <w:p w14:paraId="26D569EC">
      <w:pPr>
        <w:ind w:firstLine="420" w:firstLineChars="200"/>
        <w:rPr>
          <w:rFonts w:hint="eastAsia" w:ascii="宋体" w:hAnsi="宋体"/>
          <w:szCs w:val="21"/>
        </w:rPr>
      </w:pPr>
      <w:r>
        <w:rPr>
          <w:rFonts w:hint="eastAsia" w:ascii="宋体" w:hAnsi="宋体"/>
          <w:szCs w:val="21"/>
        </w:rPr>
        <w:t>40.1</w:t>
      </w:r>
      <w:bookmarkStart w:id="75"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5"/>
      <w:bookmarkStart w:id="76"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6"/>
    <w:p w14:paraId="644D372F">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14:paraId="014AE59D">
      <w:pPr>
        <w:ind w:firstLine="420" w:firstLineChars="200"/>
        <w:rPr>
          <w:rFonts w:hint="eastAsia" w:ascii="黑体" w:hAnsi="宋体" w:eastAsia="黑体"/>
          <w:szCs w:val="21"/>
        </w:rPr>
      </w:pPr>
      <w:r>
        <w:rPr>
          <w:rFonts w:hint="eastAsia" w:ascii="黑体" w:hAnsi="宋体" w:eastAsia="黑体"/>
          <w:szCs w:val="21"/>
        </w:rPr>
        <w:t>41．中标通知书</w:t>
      </w:r>
    </w:p>
    <w:p w14:paraId="31575BDA">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7"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7"/>
    </w:p>
    <w:p w14:paraId="7F6B8D4A">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5C184615">
      <w:pPr>
        <w:ind w:firstLine="420" w:firstLineChars="200"/>
        <w:rPr>
          <w:rFonts w:hint="eastAsia" w:ascii="宋体" w:hAnsi="宋体"/>
          <w:szCs w:val="21"/>
        </w:rPr>
      </w:pPr>
      <w:bookmarkStart w:id="78" w:name="_Hlk71407340"/>
      <w:r>
        <w:rPr>
          <w:rFonts w:hint="eastAsia" w:ascii="宋体" w:hAnsi="宋体"/>
          <w:szCs w:val="21"/>
        </w:rPr>
        <w:t>41.3因质疑投诉或其他原因导致项目结果变更或采购终止的，政府集中采购机构有权吊销中标通知书。</w:t>
      </w:r>
    </w:p>
    <w:bookmarkEnd w:id="78"/>
    <w:p w14:paraId="2A456EF8">
      <w:pPr>
        <w:ind w:firstLine="411" w:firstLineChars="196"/>
        <w:rPr>
          <w:rFonts w:hint="eastAsia" w:ascii="宋体" w:hAnsi="宋体"/>
          <w:szCs w:val="21"/>
        </w:rPr>
      </w:pPr>
    </w:p>
    <w:p w14:paraId="44BEE3AE">
      <w:pPr>
        <w:pStyle w:val="78"/>
        <w:keepNext/>
        <w:keepLines/>
        <w:numPr>
          <w:ilvl w:val="0"/>
          <w:numId w:val="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14:paraId="6A315DE7">
      <w:pPr>
        <w:ind w:firstLine="420" w:firstLineChars="200"/>
        <w:rPr>
          <w:rFonts w:hint="eastAsia" w:ascii="黑体" w:hAnsi="宋体" w:eastAsia="黑体"/>
          <w:szCs w:val="21"/>
        </w:rPr>
      </w:pPr>
      <w:r>
        <w:rPr>
          <w:rFonts w:hint="eastAsia" w:ascii="黑体" w:hAnsi="宋体" w:eastAsia="黑体"/>
          <w:szCs w:val="21"/>
        </w:rPr>
        <w:t>42．公开招标失败的处理</w:t>
      </w:r>
    </w:p>
    <w:p w14:paraId="02EC6301">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419EC90C">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393A73C">
      <w:pPr>
        <w:ind w:firstLine="411" w:firstLineChars="196"/>
        <w:rPr>
          <w:rFonts w:hint="eastAsia" w:ascii="宋体" w:hAnsi="宋体"/>
          <w:szCs w:val="21"/>
        </w:rPr>
      </w:pPr>
      <w:r>
        <w:rPr>
          <w:rFonts w:hint="eastAsia" w:ascii="宋体" w:hAnsi="宋体"/>
          <w:szCs w:val="21"/>
        </w:rPr>
        <w:t>42.3重新组织采购有以下两种组织形式：</w:t>
      </w:r>
    </w:p>
    <w:p w14:paraId="5283530E">
      <w:pPr>
        <w:ind w:firstLine="411" w:firstLineChars="196"/>
        <w:rPr>
          <w:rFonts w:hint="eastAsia" w:ascii="宋体" w:hAnsi="宋体"/>
        </w:rPr>
      </w:pPr>
      <w:r>
        <w:rPr>
          <w:rFonts w:hint="eastAsia" w:ascii="宋体" w:hAnsi="宋体"/>
        </w:rPr>
        <w:t>（1）由政府集中采购机构重新组织公开招标；</w:t>
      </w:r>
    </w:p>
    <w:p w14:paraId="13162B03">
      <w:pPr>
        <w:ind w:firstLine="411" w:firstLineChars="196"/>
        <w:rPr>
          <w:rFonts w:hint="eastAsia"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14:paraId="547CCD48">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52DC3007">
      <w:pPr>
        <w:ind w:firstLine="420" w:firstLineChars="200"/>
        <w:rPr>
          <w:rFonts w:hint="eastAsia"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14:paraId="642B5375">
      <w:pPr>
        <w:ind w:firstLine="420" w:firstLineChars="200"/>
        <w:rPr>
          <w:rFonts w:hint="eastAsia" w:ascii="宋体" w:hAnsi="宋体"/>
          <w:szCs w:val="21"/>
        </w:rPr>
      </w:pPr>
    </w:p>
    <w:p w14:paraId="6D2DA451">
      <w:pPr>
        <w:rPr>
          <w:rFonts w:hint="eastAsia" w:ascii="黑体" w:hAnsi="宋体" w:eastAsia="黑体"/>
          <w:sz w:val="24"/>
        </w:rPr>
      </w:pPr>
    </w:p>
    <w:p w14:paraId="0B059816">
      <w:pPr>
        <w:pStyle w:val="78"/>
        <w:keepNext/>
        <w:keepLines/>
        <w:numPr>
          <w:ilvl w:val="0"/>
          <w:numId w:val="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79" w:name="_Hlk72439043"/>
      <w:r>
        <w:rPr>
          <w:rFonts w:hint="eastAsia" w:asciiTheme="majorHAnsi" w:hAnsiTheme="majorHAnsi" w:eastAsiaTheme="majorEastAsia" w:cstheme="majorBidi"/>
          <w:b/>
          <w:bCs/>
          <w:sz w:val="28"/>
          <w:szCs w:val="28"/>
        </w:rPr>
        <w:t>合同的授予与备案</w:t>
      </w:r>
      <w:bookmarkEnd w:id="79"/>
    </w:p>
    <w:p w14:paraId="70A843C1">
      <w:pPr>
        <w:ind w:firstLine="420" w:firstLineChars="200"/>
        <w:rPr>
          <w:rFonts w:hint="eastAsia" w:ascii="黑体" w:hAnsi="宋体" w:eastAsia="黑体"/>
          <w:szCs w:val="21"/>
        </w:rPr>
      </w:pPr>
      <w:bookmarkStart w:id="80" w:name="_Toc73521586"/>
      <w:bookmarkStart w:id="81" w:name="_Toc73521674"/>
      <w:bookmarkStart w:id="82" w:name="_Toc73518157"/>
      <w:bookmarkStart w:id="83" w:name="_Toc100052408"/>
      <w:bookmarkStart w:id="84" w:name="_Toc73517679"/>
      <w:bookmarkStart w:id="85" w:name="_Hlk72439088"/>
      <w:r>
        <w:rPr>
          <w:rFonts w:hint="eastAsia" w:ascii="黑体" w:hAnsi="宋体" w:eastAsia="黑体"/>
          <w:szCs w:val="21"/>
        </w:rPr>
        <w:t>43．合同授予标准</w:t>
      </w:r>
      <w:bookmarkEnd w:id="80"/>
      <w:bookmarkEnd w:id="81"/>
      <w:bookmarkEnd w:id="82"/>
      <w:bookmarkEnd w:id="83"/>
      <w:bookmarkEnd w:id="84"/>
    </w:p>
    <w:p w14:paraId="023C330F">
      <w:pPr>
        <w:ind w:firstLine="420" w:firstLineChars="200"/>
        <w:rPr>
          <w:rFonts w:hint="eastAsia" w:ascii="宋体" w:hAnsi="宋体"/>
          <w:szCs w:val="21"/>
        </w:rPr>
      </w:pPr>
      <w:r>
        <w:rPr>
          <w:rFonts w:hint="eastAsia" w:ascii="宋体" w:hAnsi="宋体"/>
          <w:szCs w:val="21"/>
        </w:rPr>
        <w:t>本项目的合同将授予经本招标文件规定评审确定的中标供应商。</w:t>
      </w:r>
    </w:p>
    <w:p w14:paraId="5A7F884F">
      <w:pPr>
        <w:ind w:firstLine="420" w:firstLineChars="200"/>
        <w:rPr>
          <w:rFonts w:hint="eastAsia" w:ascii="黑体" w:hAnsi="宋体" w:eastAsia="黑体"/>
          <w:szCs w:val="21"/>
        </w:rPr>
      </w:pPr>
      <w:bookmarkStart w:id="86" w:name="_Toc100052409"/>
      <w:bookmarkStart w:id="87" w:name="_Toc73521675"/>
      <w:bookmarkStart w:id="88" w:name="_Toc73521587"/>
      <w:bookmarkStart w:id="89" w:name="_Toc73518158"/>
      <w:bookmarkStart w:id="90" w:name="_Toc73517680"/>
      <w:r>
        <w:rPr>
          <w:rFonts w:hint="eastAsia" w:ascii="黑体" w:hAnsi="宋体" w:eastAsia="黑体"/>
          <w:szCs w:val="21"/>
        </w:rPr>
        <w:t>44．</w:t>
      </w:r>
      <w:bookmarkEnd w:id="86"/>
      <w:bookmarkEnd w:id="87"/>
      <w:bookmarkEnd w:id="88"/>
      <w:bookmarkEnd w:id="89"/>
      <w:bookmarkEnd w:id="90"/>
      <w:r>
        <w:rPr>
          <w:rFonts w:hint="eastAsia" w:ascii="黑体" w:hAnsi="宋体" w:eastAsia="黑体"/>
          <w:szCs w:val="21"/>
        </w:rPr>
        <w:t>接受和拒绝任何或所有投标的权力</w:t>
      </w:r>
    </w:p>
    <w:p w14:paraId="699D31F0">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E91C2F7">
      <w:pPr>
        <w:ind w:firstLine="420" w:firstLineChars="200"/>
        <w:rPr>
          <w:rFonts w:hint="eastAsia" w:ascii="黑体" w:hAnsi="宋体" w:eastAsia="黑体"/>
          <w:szCs w:val="21"/>
        </w:rPr>
      </w:pPr>
      <w:bookmarkStart w:id="91" w:name="_Toc73517682"/>
      <w:bookmarkStart w:id="92" w:name="_Toc100052410"/>
      <w:bookmarkStart w:id="93" w:name="_Toc73521677"/>
      <w:bookmarkStart w:id="94" w:name="_Toc73521589"/>
      <w:bookmarkStart w:id="95" w:name="_Toc73518160"/>
      <w:r>
        <w:rPr>
          <w:rFonts w:hint="eastAsia" w:ascii="黑体" w:hAnsi="宋体" w:eastAsia="黑体"/>
          <w:szCs w:val="21"/>
        </w:rPr>
        <w:t>45．合同的签订</w:t>
      </w:r>
      <w:bookmarkEnd w:id="91"/>
      <w:bookmarkEnd w:id="92"/>
      <w:bookmarkEnd w:id="93"/>
      <w:bookmarkEnd w:id="94"/>
      <w:bookmarkEnd w:id="95"/>
    </w:p>
    <w:p w14:paraId="48F16475">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14:paraId="6FA7B777">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14:paraId="10363DB4">
      <w:pPr>
        <w:ind w:firstLine="420" w:firstLineChars="200"/>
        <w:rPr>
          <w:rFonts w:hint="eastAsia" w:ascii="黑体" w:hAnsi="宋体" w:eastAsia="黑体"/>
          <w:szCs w:val="21"/>
        </w:rPr>
      </w:pPr>
      <w:bookmarkStart w:id="96" w:name="_Toc73521678"/>
      <w:bookmarkStart w:id="97" w:name="_Toc100052411"/>
      <w:bookmarkStart w:id="98" w:name="_Toc73517683"/>
      <w:bookmarkStart w:id="99" w:name="_Toc73518161"/>
      <w:bookmarkStart w:id="100" w:name="_Toc73521590"/>
      <w:r>
        <w:rPr>
          <w:rFonts w:hint="eastAsia" w:ascii="黑体" w:hAnsi="宋体" w:eastAsia="黑体"/>
          <w:szCs w:val="21"/>
        </w:rPr>
        <w:t>46．履约担保</w:t>
      </w:r>
      <w:bookmarkEnd w:id="96"/>
      <w:bookmarkEnd w:id="97"/>
      <w:bookmarkEnd w:id="98"/>
      <w:bookmarkEnd w:id="99"/>
      <w:bookmarkEnd w:id="100"/>
    </w:p>
    <w:p w14:paraId="0BE9E468">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26EC1E3C">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4B509CF8">
      <w:pPr>
        <w:ind w:firstLine="420" w:firstLineChars="200"/>
        <w:rPr>
          <w:rFonts w:hint="eastAsia" w:ascii="黑体" w:hAnsi="宋体" w:eastAsia="黑体"/>
          <w:szCs w:val="21"/>
        </w:rPr>
      </w:pPr>
      <w:r>
        <w:rPr>
          <w:rFonts w:hint="eastAsia" w:ascii="黑体" w:hAnsi="宋体" w:eastAsia="黑体"/>
          <w:szCs w:val="21"/>
        </w:rPr>
        <w:t>47. 合同备案</w:t>
      </w:r>
    </w:p>
    <w:p w14:paraId="6EA2A045">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6FEB7086">
      <w:pPr>
        <w:ind w:firstLine="420" w:firstLineChars="200"/>
        <w:rPr>
          <w:rFonts w:hint="eastAsia" w:ascii="黑体" w:hAnsi="宋体" w:eastAsia="黑体"/>
          <w:szCs w:val="21"/>
        </w:rPr>
      </w:pPr>
      <w:r>
        <w:rPr>
          <w:rFonts w:hint="eastAsia" w:ascii="黑体" w:hAnsi="宋体" w:eastAsia="黑体"/>
          <w:szCs w:val="21"/>
        </w:rPr>
        <w:t>48. 合同变更</w:t>
      </w:r>
    </w:p>
    <w:p w14:paraId="3648AF74">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1D7FC8D7">
      <w:pPr>
        <w:ind w:firstLine="420" w:firstLineChars="200"/>
        <w:rPr>
          <w:rFonts w:hint="eastAsia" w:ascii="黑体" w:hAnsi="宋体" w:eastAsia="黑体"/>
          <w:szCs w:val="21"/>
        </w:rPr>
      </w:pPr>
      <w:r>
        <w:rPr>
          <w:rFonts w:hint="eastAsia" w:ascii="黑体" w:hAnsi="宋体" w:eastAsia="黑体"/>
          <w:szCs w:val="21"/>
        </w:rPr>
        <w:t>49. 项目验收</w:t>
      </w:r>
    </w:p>
    <w:p w14:paraId="4A488F76">
      <w:pPr>
        <w:widowControl/>
        <w:ind w:firstLine="420" w:firstLineChars="200"/>
        <w:jc w:val="left"/>
        <w:rPr>
          <w:rFonts w:hint="eastAsia"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14:paraId="5CB473EA">
      <w:pPr>
        <w:ind w:firstLine="420" w:firstLineChars="200"/>
        <w:rPr>
          <w:rFonts w:hint="eastAsia" w:ascii="黑体" w:hAnsi="宋体" w:eastAsia="黑体"/>
          <w:szCs w:val="21"/>
        </w:rPr>
      </w:pPr>
      <w:r>
        <w:rPr>
          <w:rFonts w:hint="eastAsia" w:ascii="黑体" w:hAnsi="宋体" w:eastAsia="黑体"/>
          <w:szCs w:val="21"/>
        </w:rPr>
        <w:t>50. 宣传</w:t>
      </w:r>
    </w:p>
    <w:p w14:paraId="11CFADE1">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674E4A5B">
      <w:pPr>
        <w:ind w:firstLine="420" w:firstLineChars="200"/>
        <w:rPr>
          <w:rFonts w:hint="eastAsia" w:ascii="宋体" w:hAnsi="宋体"/>
          <w:szCs w:val="21"/>
        </w:rPr>
      </w:pPr>
      <w:r>
        <w:rPr>
          <w:rFonts w:hint="eastAsia" w:ascii="宋体" w:hAnsi="宋体"/>
          <w:szCs w:val="21"/>
        </w:rPr>
        <w:t>a.名片、宣传册、广告标语等；</w:t>
      </w:r>
    </w:p>
    <w:p w14:paraId="4187790C">
      <w:pPr>
        <w:ind w:firstLine="420" w:firstLineChars="200"/>
        <w:rPr>
          <w:rFonts w:hint="eastAsia" w:ascii="宋体" w:hAnsi="宋体"/>
          <w:szCs w:val="21"/>
        </w:rPr>
      </w:pPr>
      <w:r>
        <w:rPr>
          <w:rFonts w:hint="eastAsia" w:ascii="宋体" w:hAnsi="宋体"/>
          <w:szCs w:val="21"/>
        </w:rPr>
        <w:t>b.案例介绍、推广等；</w:t>
      </w:r>
    </w:p>
    <w:p w14:paraId="053BA219">
      <w:pPr>
        <w:ind w:firstLine="420" w:firstLineChars="200"/>
        <w:rPr>
          <w:rFonts w:hint="eastAsia" w:ascii="宋体" w:hAnsi="宋体"/>
          <w:szCs w:val="21"/>
        </w:rPr>
      </w:pPr>
      <w:r>
        <w:rPr>
          <w:rFonts w:hint="eastAsia" w:ascii="宋体" w:hAnsi="宋体"/>
          <w:szCs w:val="21"/>
        </w:rPr>
        <w:t>c.工作人员向其他消费群体宣传。</w:t>
      </w:r>
    </w:p>
    <w:p w14:paraId="5BC6394D">
      <w:pPr>
        <w:ind w:firstLine="420" w:firstLineChars="200"/>
        <w:rPr>
          <w:rFonts w:hint="eastAsia" w:ascii="黑体" w:hAnsi="宋体" w:eastAsia="黑体"/>
          <w:szCs w:val="21"/>
        </w:rPr>
      </w:pPr>
      <w:r>
        <w:rPr>
          <w:rFonts w:hint="eastAsia" w:ascii="黑体" w:hAnsi="宋体" w:eastAsia="黑体"/>
          <w:szCs w:val="21"/>
        </w:rPr>
        <w:t>51. 供应商违法责任</w:t>
      </w:r>
    </w:p>
    <w:p w14:paraId="5E911CDB">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00CEE41">
      <w:pPr>
        <w:ind w:firstLine="420" w:firstLineChars="200"/>
        <w:rPr>
          <w:rFonts w:hint="eastAsia" w:ascii="宋体" w:hAnsi="宋体"/>
          <w:szCs w:val="21"/>
        </w:rPr>
      </w:pPr>
      <w:r>
        <w:rPr>
          <w:rFonts w:hint="eastAsia" w:ascii="宋体" w:hAnsi="宋体"/>
          <w:szCs w:val="21"/>
        </w:rPr>
        <w:t>（1）在采购活动中应当回避而未回避的；</w:t>
      </w:r>
    </w:p>
    <w:p w14:paraId="0B1CEE49">
      <w:pPr>
        <w:ind w:firstLine="420" w:firstLineChars="200"/>
        <w:rPr>
          <w:rFonts w:hint="eastAsia" w:ascii="宋体" w:hAnsi="宋体"/>
          <w:szCs w:val="21"/>
        </w:rPr>
      </w:pPr>
      <w:r>
        <w:rPr>
          <w:rFonts w:hint="eastAsia" w:ascii="宋体" w:hAnsi="宋体"/>
          <w:szCs w:val="21"/>
        </w:rPr>
        <w:t>（2）未按本条例规定签订、履行采购合同，造成严重后果的；</w:t>
      </w:r>
    </w:p>
    <w:p w14:paraId="6FEE229C">
      <w:pPr>
        <w:ind w:firstLine="420" w:firstLineChars="200"/>
        <w:rPr>
          <w:rFonts w:hint="eastAsia" w:ascii="宋体" w:hAnsi="宋体"/>
          <w:szCs w:val="21"/>
        </w:rPr>
      </w:pPr>
      <w:r>
        <w:rPr>
          <w:rFonts w:hint="eastAsia" w:ascii="宋体" w:hAnsi="宋体"/>
          <w:szCs w:val="21"/>
        </w:rPr>
        <w:t>（3）隐瞒真实情况，提供虚假资料的；</w:t>
      </w:r>
    </w:p>
    <w:p w14:paraId="1DB2BC18">
      <w:pPr>
        <w:ind w:firstLine="420" w:firstLineChars="200"/>
        <w:rPr>
          <w:rFonts w:hint="eastAsia" w:ascii="宋体" w:hAnsi="宋体"/>
          <w:szCs w:val="21"/>
        </w:rPr>
      </w:pPr>
      <w:r>
        <w:rPr>
          <w:rFonts w:hint="eastAsia" w:ascii="宋体" w:hAnsi="宋体"/>
          <w:szCs w:val="21"/>
        </w:rPr>
        <w:t>（4）以非法手段排斥其他供应商参与竞争的；</w:t>
      </w:r>
    </w:p>
    <w:p w14:paraId="6CE6AB13">
      <w:pPr>
        <w:ind w:firstLine="420" w:firstLineChars="200"/>
        <w:rPr>
          <w:rFonts w:hint="eastAsia" w:ascii="宋体" w:hAnsi="宋体"/>
          <w:szCs w:val="21"/>
        </w:rPr>
      </w:pPr>
      <w:r>
        <w:rPr>
          <w:rFonts w:hint="eastAsia" w:ascii="宋体" w:hAnsi="宋体"/>
          <w:szCs w:val="21"/>
        </w:rPr>
        <w:t>（5）与其他采购参加人串通投标的；</w:t>
      </w:r>
    </w:p>
    <w:p w14:paraId="683DE73E">
      <w:pPr>
        <w:ind w:firstLine="420" w:firstLineChars="200"/>
        <w:rPr>
          <w:rFonts w:hint="eastAsia" w:ascii="宋体" w:hAnsi="宋体"/>
          <w:szCs w:val="21"/>
        </w:rPr>
      </w:pPr>
      <w:r>
        <w:rPr>
          <w:rFonts w:hint="eastAsia" w:ascii="宋体" w:hAnsi="宋体"/>
          <w:szCs w:val="21"/>
        </w:rPr>
        <w:t>（6）恶意投诉的；</w:t>
      </w:r>
    </w:p>
    <w:p w14:paraId="29DD32BB">
      <w:pPr>
        <w:ind w:firstLine="420" w:firstLineChars="200"/>
        <w:rPr>
          <w:rFonts w:hint="eastAsia" w:ascii="宋体" w:hAnsi="宋体"/>
          <w:szCs w:val="21"/>
        </w:rPr>
      </w:pPr>
      <w:r>
        <w:rPr>
          <w:rFonts w:hint="eastAsia" w:ascii="宋体" w:hAnsi="宋体"/>
          <w:szCs w:val="21"/>
        </w:rPr>
        <w:t>（7）向采购项目相关人行贿或者提供其他不当利益的；</w:t>
      </w:r>
    </w:p>
    <w:p w14:paraId="25EFF76B">
      <w:pPr>
        <w:ind w:firstLine="420" w:firstLineChars="200"/>
        <w:rPr>
          <w:rFonts w:hint="eastAsia" w:ascii="宋体" w:hAnsi="宋体"/>
          <w:szCs w:val="21"/>
        </w:rPr>
      </w:pPr>
      <w:r>
        <w:rPr>
          <w:rFonts w:hint="eastAsia" w:ascii="宋体" w:hAnsi="宋体"/>
          <w:szCs w:val="21"/>
        </w:rPr>
        <w:t>（8）阻碍、抗拒主管部门监督检查的；</w:t>
      </w:r>
    </w:p>
    <w:p w14:paraId="01F3824A">
      <w:pPr>
        <w:ind w:firstLine="420" w:firstLineChars="200"/>
        <w:rPr>
          <w:rFonts w:hint="eastAsia" w:ascii="宋体" w:hAnsi="宋体"/>
          <w:szCs w:val="21"/>
        </w:rPr>
      </w:pPr>
      <w:r>
        <w:rPr>
          <w:rFonts w:hint="eastAsia" w:ascii="宋体" w:hAnsi="宋体"/>
          <w:szCs w:val="21"/>
        </w:rPr>
        <w:t>（9）其他违反本条例规定的行为。</w:t>
      </w:r>
    </w:p>
    <w:p w14:paraId="75DA101F">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1" w:name="_Hlk72440769"/>
      <w:r>
        <w:rPr>
          <w:rFonts w:hint="eastAsia" w:ascii="宋体" w:hAnsi="宋体"/>
          <w:szCs w:val="21"/>
        </w:rPr>
        <w:t>政府集中采购机构或采购人不予退还其交纳的谈判保证金，情节严重的，并由主管部门</w:t>
      </w:r>
      <w:bookmarkEnd w:id="101"/>
      <w:r>
        <w:rPr>
          <w:rFonts w:hint="eastAsia" w:ascii="宋体" w:hAnsi="宋体"/>
          <w:szCs w:val="21"/>
        </w:rPr>
        <w:t>记入供应商诚信档案，予以通报：</w:t>
      </w:r>
    </w:p>
    <w:p w14:paraId="49A95ACB">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14:paraId="010CECF3">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67EAD987">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14:paraId="37A7F32D">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4128D034">
      <w:pPr>
        <w:pStyle w:val="19"/>
      </w:pPr>
    </w:p>
    <w:bookmarkEnd w:id="85"/>
    <w:p w14:paraId="55C81FF9">
      <w:pPr>
        <w:pStyle w:val="78"/>
        <w:keepNext/>
        <w:keepLines/>
        <w:numPr>
          <w:ilvl w:val="0"/>
          <w:numId w:val="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797F7F6D">
      <w:pPr>
        <w:ind w:firstLine="420" w:firstLineChars="200"/>
        <w:rPr>
          <w:rFonts w:hint="eastAsia" w:ascii="黑体" w:hAnsi="宋体" w:eastAsia="黑体"/>
          <w:szCs w:val="21"/>
        </w:rPr>
      </w:pPr>
      <w:r>
        <w:rPr>
          <w:rFonts w:hint="eastAsia" w:ascii="黑体" w:hAnsi="宋体" w:eastAsia="黑体"/>
          <w:szCs w:val="21"/>
        </w:rPr>
        <w:t>52.质疑提出与答复</w:t>
      </w:r>
    </w:p>
    <w:p w14:paraId="2B486EFC">
      <w:pPr>
        <w:ind w:firstLine="420" w:firstLineChars="200"/>
        <w:rPr>
          <w:rFonts w:hint="eastAsia" w:ascii="宋体" w:hAnsi="宋体"/>
          <w:szCs w:val="21"/>
        </w:rPr>
      </w:pPr>
      <w:r>
        <w:rPr>
          <w:rFonts w:hint="eastAsia" w:ascii="宋体" w:hAnsi="宋体"/>
          <w:szCs w:val="21"/>
        </w:rPr>
        <w:t>52.1提出质疑</w:t>
      </w:r>
    </w:p>
    <w:p w14:paraId="14D69317">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06D58F28">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14:paraId="49E1B50B">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72EB33B8">
      <w:pPr>
        <w:ind w:firstLine="420" w:firstLineChars="200"/>
        <w:rPr>
          <w:rFonts w:hint="eastAsia" w:ascii="宋体" w:hAnsi="宋体"/>
          <w:szCs w:val="21"/>
        </w:rPr>
      </w:pPr>
      <w:r>
        <w:rPr>
          <w:rFonts w:hint="eastAsia" w:ascii="宋体" w:hAnsi="宋体"/>
          <w:szCs w:val="21"/>
        </w:rPr>
        <w:t>52.3质疑条件</w:t>
      </w:r>
    </w:p>
    <w:p w14:paraId="442C1A0C">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02" w:name="_Hlk75374941"/>
      <w:r>
        <w:rPr>
          <w:rFonts w:hint="eastAsia" w:ascii="宋体" w:hAnsi="宋体"/>
          <w:szCs w:val="21"/>
        </w:rPr>
        <w:t>以联合体形式参与的，质疑应当由组成联合体的所有成员共同提出</w:t>
      </w:r>
      <w:bookmarkEnd w:id="102"/>
      <w:r>
        <w:rPr>
          <w:rFonts w:hint="eastAsia" w:ascii="宋体" w:hAnsi="宋体"/>
          <w:szCs w:val="21"/>
        </w:rPr>
        <w:t>；</w:t>
      </w:r>
    </w:p>
    <w:p w14:paraId="6AF0101B">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6A6BC2B">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58D87E1">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14:paraId="71A27670">
      <w:pPr>
        <w:ind w:firstLine="420" w:firstLineChars="200"/>
        <w:rPr>
          <w:rFonts w:hint="eastAsia" w:ascii="宋体" w:hAnsi="宋体"/>
          <w:szCs w:val="21"/>
        </w:rPr>
      </w:pPr>
      <w:r>
        <w:rPr>
          <w:rFonts w:hint="eastAsia" w:ascii="宋体" w:hAnsi="宋体"/>
          <w:szCs w:val="21"/>
        </w:rPr>
        <w:t>（2）质疑项目的名称、编号；</w:t>
      </w:r>
    </w:p>
    <w:p w14:paraId="00A68D45">
      <w:pPr>
        <w:ind w:firstLine="420" w:firstLineChars="200"/>
        <w:rPr>
          <w:rFonts w:hint="eastAsia" w:ascii="宋体" w:hAnsi="宋体"/>
          <w:szCs w:val="21"/>
        </w:rPr>
      </w:pPr>
      <w:r>
        <w:rPr>
          <w:rFonts w:hint="eastAsia" w:ascii="宋体" w:hAnsi="宋体"/>
          <w:szCs w:val="21"/>
        </w:rPr>
        <w:t>（3）具体、明确的质疑对象、质疑事项和质疑请求；</w:t>
      </w:r>
    </w:p>
    <w:p w14:paraId="108636CF">
      <w:pPr>
        <w:ind w:firstLine="420" w:firstLineChars="200"/>
        <w:rPr>
          <w:rFonts w:hint="eastAsia" w:ascii="宋体" w:hAnsi="宋体"/>
          <w:szCs w:val="21"/>
        </w:rPr>
      </w:pPr>
      <w:r>
        <w:rPr>
          <w:rFonts w:hint="eastAsia" w:ascii="宋体" w:hAnsi="宋体"/>
          <w:szCs w:val="21"/>
        </w:rPr>
        <w:t>（4）因质疑事项而受损害的权益；</w:t>
      </w:r>
    </w:p>
    <w:p w14:paraId="07F15329">
      <w:pPr>
        <w:ind w:firstLine="420" w:firstLineChars="200"/>
        <w:rPr>
          <w:rFonts w:hint="eastAsia" w:ascii="宋体" w:hAnsi="宋体"/>
          <w:szCs w:val="21"/>
        </w:rPr>
      </w:pPr>
      <w:r>
        <w:rPr>
          <w:rFonts w:hint="eastAsia" w:ascii="宋体" w:hAnsi="宋体"/>
          <w:szCs w:val="21"/>
        </w:rPr>
        <w:t>（5）事实依据；</w:t>
      </w:r>
    </w:p>
    <w:p w14:paraId="500FEE19">
      <w:pPr>
        <w:ind w:firstLine="420" w:firstLineChars="200"/>
        <w:rPr>
          <w:rFonts w:hint="eastAsia" w:ascii="宋体" w:hAnsi="宋体"/>
          <w:szCs w:val="21"/>
        </w:rPr>
      </w:pPr>
      <w:r>
        <w:rPr>
          <w:rFonts w:hint="eastAsia" w:ascii="宋体" w:hAnsi="宋体"/>
          <w:szCs w:val="21"/>
        </w:rPr>
        <w:t>（6）必要的法律依据；</w:t>
      </w:r>
    </w:p>
    <w:p w14:paraId="0E2E1EFF">
      <w:pPr>
        <w:ind w:firstLine="420" w:firstLineChars="200"/>
        <w:rPr>
          <w:rFonts w:hint="eastAsia" w:ascii="宋体" w:hAnsi="宋体"/>
          <w:szCs w:val="21"/>
        </w:rPr>
      </w:pPr>
      <w:r>
        <w:rPr>
          <w:rFonts w:hint="eastAsia" w:ascii="宋体" w:hAnsi="宋体"/>
          <w:szCs w:val="21"/>
        </w:rPr>
        <w:t>（7）提出质疑的日期。</w:t>
      </w:r>
    </w:p>
    <w:p w14:paraId="1A67D9A2">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D14C9C9">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418DE4C2">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B8DBDEA">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7BBB93D">
      <w:pPr>
        <w:ind w:firstLine="420" w:firstLineChars="200"/>
        <w:rPr>
          <w:rFonts w:hint="eastAsia" w:ascii="宋体" w:hAnsi="宋体"/>
          <w:szCs w:val="21"/>
        </w:rPr>
      </w:pPr>
      <w:r>
        <w:rPr>
          <w:rFonts w:hint="eastAsia" w:ascii="宋体" w:hAnsi="宋体"/>
          <w:szCs w:val="21"/>
        </w:rPr>
        <w:t>52.5收文地点</w:t>
      </w:r>
    </w:p>
    <w:p w14:paraId="47BE1D1F">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636FFE6F">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5A80CFCD">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AB0BF65">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14:paraId="09AB49F4">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0B40DB54">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522AD625">
      <w:pPr>
        <w:ind w:firstLine="420" w:firstLineChars="200"/>
        <w:rPr>
          <w:rFonts w:hint="eastAsia" w:ascii="宋体" w:hAnsi="宋体"/>
          <w:szCs w:val="21"/>
        </w:rPr>
      </w:pPr>
      <w:r>
        <w:rPr>
          <w:rFonts w:hint="eastAsia" w:ascii="宋体" w:hAnsi="宋体"/>
          <w:szCs w:val="21"/>
        </w:rPr>
        <w:t>（1）质疑主体不满足要求的；</w:t>
      </w:r>
    </w:p>
    <w:p w14:paraId="50661EDC">
      <w:pPr>
        <w:ind w:firstLine="420" w:firstLineChars="200"/>
        <w:rPr>
          <w:rFonts w:hint="eastAsia" w:ascii="宋体" w:hAnsi="宋体"/>
          <w:szCs w:val="21"/>
        </w:rPr>
      </w:pPr>
      <w:r>
        <w:rPr>
          <w:rFonts w:hint="eastAsia" w:ascii="宋体" w:hAnsi="宋体"/>
          <w:szCs w:val="21"/>
        </w:rPr>
        <w:t>（2）供应商自身权益未受到损害的；</w:t>
      </w:r>
    </w:p>
    <w:p w14:paraId="78BABA75">
      <w:pPr>
        <w:ind w:firstLine="420" w:firstLineChars="200"/>
        <w:rPr>
          <w:rFonts w:hint="eastAsia" w:ascii="宋体" w:hAnsi="宋体"/>
          <w:szCs w:val="21"/>
        </w:rPr>
      </w:pPr>
      <w:r>
        <w:rPr>
          <w:rFonts w:hint="eastAsia" w:ascii="宋体" w:hAnsi="宋体"/>
          <w:szCs w:val="21"/>
        </w:rPr>
        <w:t>（3）供应商未在法定质疑期限内提出质疑的；</w:t>
      </w:r>
    </w:p>
    <w:p w14:paraId="2E9000DB">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657DB031">
      <w:pPr>
        <w:ind w:firstLine="420" w:firstLineChars="200"/>
        <w:rPr>
          <w:rFonts w:hint="eastAsia" w:ascii="宋体" w:hAnsi="宋体"/>
          <w:szCs w:val="21"/>
        </w:rPr>
      </w:pPr>
      <w:r>
        <w:rPr>
          <w:rFonts w:hint="eastAsia" w:ascii="宋体" w:hAnsi="宋体"/>
          <w:szCs w:val="21"/>
        </w:rPr>
        <w:t>（5）其他不符合受理条件情形的。</w:t>
      </w:r>
    </w:p>
    <w:p w14:paraId="21DD3174">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3DBEE6F6">
      <w:pPr>
        <w:ind w:firstLine="420" w:firstLineChars="200"/>
        <w:rPr>
          <w:rFonts w:hint="eastAsia" w:ascii="宋体" w:hAnsi="宋体"/>
          <w:szCs w:val="21"/>
        </w:rPr>
      </w:pPr>
      <w:r>
        <w:rPr>
          <w:rFonts w:hint="eastAsia" w:ascii="宋体" w:hAnsi="宋体"/>
          <w:szCs w:val="21"/>
        </w:rPr>
        <w:t>52.7质疑答复时限</w:t>
      </w:r>
    </w:p>
    <w:p w14:paraId="5FAF5191">
      <w:pPr>
        <w:ind w:firstLine="420" w:firstLineChars="200"/>
        <w:rPr>
          <w:rFonts w:hint="eastAsia" w:ascii="宋体" w:hAnsi="宋体"/>
          <w:szCs w:val="21"/>
        </w:rPr>
      </w:pPr>
      <w:r>
        <w:rPr>
          <w:rFonts w:hint="eastAsia" w:ascii="宋体" w:hAnsi="宋体"/>
          <w:szCs w:val="21"/>
        </w:rPr>
        <w:t>自收文之日起七个工作日内。</w:t>
      </w:r>
    </w:p>
    <w:p w14:paraId="63D91E96">
      <w:pPr>
        <w:ind w:firstLine="420" w:firstLineChars="200"/>
        <w:rPr>
          <w:rFonts w:hint="eastAsia" w:ascii="宋体" w:hAnsi="宋体"/>
          <w:szCs w:val="21"/>
        </w:rPr>
      </w:pPr>
      <w:r>
        <w:rPr>
          <w:rFonts w:hint="eastAsia" w:ascii="宋体" w:hAnsi="宋体"/>
          <w:szCs w:val="21"/>
        </w:rPr>
        <w:t>52.8争议（投诉）</w:t>
      </w:r>
    </w:p>
    <w:p w14:paraId="1B774473">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4989AF17">
      <w:pPr>
        <w:ind w:firstLine="420" w:firstLineChars="200"/>
        <w:rPr>
          <w:rFonts w:hint="eastAsia" w:ascii="黑体" w:hAnsi="宋体" w:eastAsia="黑体"/>
          <w:szCs w:val="21"/>
        </w:rPr>
      </w:pPr>
      <w:r>
        <w:rPr>
          <w:rFonts w:hint="eastAsia" w:ascii="黑体" w:hAnsi="宋体" w:eastAsia="黑体"/>
          <w:szCs w:val="21"/>
        </w:rPr>
        <w:t>53. 质疑后续处理</w:t>
      </w:r>
    </w:p>
    <w:p w14:paraId="420EF1DA">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14:paraId="526112A2">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114B3E7">
      <w:pPr>
        <w:jc w:val="center"/>
      </w:pPr>
      <w:r>
        <w:t>---- END ----</w:t>
      </w:r>
      <w:bookmarkEnd w:id="48"/>
    </w:p>
    <w:p w14:paraId="4246AA11">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422D">
    <w:pPr>
      <w:pStyle w:val="3"/>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4DB7818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F0D6">
    <w:pPr>
      <w:pStyle w:val="3"/>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265B098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A773">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76FC">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3">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4A48"/>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66B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63"/>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39A"/>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5646"/>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0DA6"/>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AEA30C3"/>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A8380B"/>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6DC4EA2"/>
    <w:rsid w:val="27BF3329"/>
    <w:rsid w:val="27D72D69"/>
    <w:rsid w:val="28C768EF"/>
    <w:rsid w:val="28DD6E23"/>
    <w:rsid w:val="29032171"/>
    <w:rsid w:val="29422464"/>
    <w:rsid w:val="2A2A14DB"/>
    <w:rsid w:val="2A31206B"/>
    <w:rsid w:val="2ACE1AD5"/>
    <w:rsid w:val="2B152B9A"/>
    <w:rsid w:val="2B9C7E34"/>
    <w:rsid w:val="2BA96061"/>
    <w:rsid w:val="2CED6C3A"/>
    <w:rsid w:val="2D0C788F"/>
    <w:rsid w:val="2D295F9A"/>
    <w:rsid w:val="2DA11878"/>
    <w:rsid w:val="2E2B27AB"/>
    <w:rsid w:val="2E921DA5"/>
    <w:rsid w:val="2EBB09DD"/>
    <w:rsid w:val="2FCA01E7"/>
    <w:rsid w:val="30006A18"/>
    <w:rsid w:val="30045057"/>
    <w:rsid w:val="30667B76"/>
    <w:rsid w:val="307410C2"/>
    <w:rsid w:val="313C5E2A"/>
    <w:rsid w:val="33052E4F"/>
    <w:rsid w:val="34CC52D7"/>
    <w:rsid w:val="34FF745B"/>
    <w:rsid w:val="35AF558A"/>
    <w:rsid w:val="364A5420"/>
    <w:rsid w:val="37FA3B07"/>
    <w:rsid w:val="38125841"/>
    <w:rsid w:val="393435C0"/>
    <w:rsid w:val="3A660185"/>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4EC68F1"/>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377228B"/>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904C50"/>
    <w:rsid w:val="6DE55656"/>
    <w:rsid w:val="6DFD472A"/>
    <w:rsid w:val="6E261BA7"/>
    <w:rsid w:val="732E2E41"/>
    <w:rsid w:val="73762E92"/>
    <w:rsid w:val="74B75416"/>
    <w:rsid w:val="751050E8"/>
    <w:rsid w:val="76574066"/>
    <w:rsid w:val="768C6099"/>
    <w:rsid w:val="77736FF8"/>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2"/>
    <w:link w:val="85"/>
    <w:qFormat/>
    <w:uiPriority w:val="0"/>
    <w:pPr>
      <w:keepNext/>
      <w:keepLines/>
      <w:spacing w:before="280" w:after="290" w:line="376" w:lineRule="auto"/>
      <w:outlineLvl w:val="4"/>
    </w:pPr>
    <w:rPr>
      <w:b/>
      <w:sz w:val="28"/>
      <w:szCs w:val="20"/>
    </w:rPr>
  </w:style>
  <w:style w:type="paragraph" w:styleId="9">
    <w:name w:val="heading 6"/>
    <w:basedOn w:val="1"/>
    <w:next w:val="2"/>
    <w:link w:val="8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2"/>
    <w:link w:val="89"/>
    <w:qFormat/>
    <w:uiPriority w:val="0"/>
    <w:pPr>
      <w:keepNext/>
      <w:keepLines/>
      <w:spacing w:before="240" w:after="64" w:line="320" w:lineRule="auto"/>
      <w:outlineLvl w:val="6"/>
    </w:pPr>
    <w:rPr>
      <w:b/>
      <w:sz w:val="24"/>
      <w:szCs w:val="20"/>
    </w:rPr>
  </w:style>
  <w:style w:type="paragraph" w:styleId="11">
    <w:name w:val="heading 8"/>
    <w:basedOn w:val="1"/>
    <w:next w:val="2"/>
    <w:link w:val="90"/>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2"/>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62"/>
    <w:qFormat/>
    <w:uiPriority w:val="0"/>
    <w:pPr>
      <w:ind w:firstLine="420"/>
    </w:pPr>
    <w:rPr>
      <w:szCs w:val="20"/>
    </w:rPr>
  </w:style>
  <w:style w:type="paragraph" w:styleId="3">
    <w:name w:val="footer"/>
    <w:basedOn w:val="1"/>
    <w:link w:val="102"/>
    <w:qFormat/>
    <w:uiPriority w:val="0"/>
    <w:pPr>
      <w:tabs>
        <w:tab w:val="center" w:pos="4153"/>
        <w:tab w:val="right" w:pos="8306"/>
      </w:tabs>
      <w:snapToGrid w:val="0"/>
      <w:jc w:val="left"/>
    </w:pPr>
    <w:rPr>
      <w:sz w:val="18"/>
      <w:szCs w:val="18"/>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3"/>
    <w:qFormat/>
    <w:uiPriority w:val="0"/>
    <w:pPr>
      <w:spacing w:after="120"/>
    </w:pPr>
    <w:rPr>
      <w:sz w:val="16"/>
      <w:szCs w:val="16"/>
    </w:rPr>
  </w:style>
  <w:style w:type="paragraph" w:styleId="19">
    <w:name w:val="Body Text"/>
    <w:basedOn w:val="1"/>
    <w:next w:val="20"/>
    <w:link w:val="97"/>
    <w:qFormat/>
    <w:uiPriority w:val="0"/>
    <w:pPr>
      <w:spacing w:line="360" w:lineRule="auto"/>
    </w:pPr>
    <w:rPr>
      <w:b/>
      <w:bCs/>
      <w:sz w:val="24"/>
    </w:rPr>
  </w:style>
  <w:style w:type="paragraph" w:styleId="20">
    <w:name w:val="Body Text 2"/>
    <w:basedOn w:val="1"/>
    <w:link w:val="101"/>
    <w:qFormat/>
    <w:uiPriority w:val="0"/>
    <w:pPr>
      <w:spacing w:line="360" w:lineRule="auto"/>
    </w:pPr>
    <w:rPr>
      <w:sz w:val="24"/>
    </w:rPr>
  </w:style>
  <w:style w:type="paragraph" w:styleId="21">
    <w:name w:val="Body Text Indent"/>
    <w:basedOn w:val="1"/>
    <w:link w:val="84"/>
    <w:qFormat/>
    <w:uiPriority w:val="0"/>
    <w:pPr>
      <w:spacing w:line="360" w:lineRule="auto"/>
      <w:ind w:firstLine="420" w:firstLineChars="200"/>
    </w:p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95"/>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93"/>
    <w:qFormat/>
    <w:uiPriority w:val="0"/>
    <w:rPr>
      <w:rFonts w:ascii="宋体" w:hAnsi="Courier New"/>
      <w:sz w:val="32"/>
      <w:szCs w:val="20"/>
    </w:rPr>
  </w:style>
  <w:style w:type="paragraph" w:styleId="27">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104"/>
    <w:semiHidden/>
    <w:qFormat/>
    <w:uiPriority w:val="99"/>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19"/>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4"/>
    <w:qFormat/>
    <w:uiPriority w:val="0"/>
    <w:rPr>
      <w:rFonts w:ascii="宋体" w:hAnsi="宋体" w:eastAsia="黑体"/>
      <w:b/>
      <w:bCs/>
      <w:kern w:val="44"/>
      <w:sz w:val="28"/>
      <w:szCs w:val="44"/>
      <w:lang w:val="en-US" w:eastAsia="zh-CN" w:bidi="ar-SA"/>
    </w:rPr>
  </w:style>
  <w:style w:type="character" w:customStyle="1" w:styleId="62">
    <w:name w:val="正文缩进 字符"/>
    <w:link w:val="2"/>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1"/>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1"/>
    <w:qFormat/>
    <w:uiPriority w:val="0"/>
    <w:rPr>
      <w:rFonts w:eastAsia="宋体"/>
      <w:kern w:val="2"/>
      <w:sz w:val="21"/>
      <w:szCs w:val="24"/>
      <w:lang w:val="en-US" w:eastAsia="zh-CN" w:bidi="ar-SA"/>
    </w:rPr>
  </w:style>
  <w:style w:type="character" w:customStyle="1" w:styleId="85">
    <w:name w:val="标题 5 字符"/>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9"/>
    <w:qFormat/>
    <w:uiPriority w:val="0"/>
    <w:rPr>
      <w:rFonts w:ascii="Arial" w:hAnsi="Arial" w:eastAsia="黑体"/>
      <w:b/>
      <w:kern w:val="2"/>
      <w:sz w:val="24"/>
      <w:lang w:val="en-US" w:eastAsia="zh-CN" w:bidi="ar-SA"/>
    </w:rPr>
  </w:style>
  <w:style w:type="character" w:customStyle="1" w:styleId="89">
    <w:name w:val="标题 7 字符"/>
    <w:link w:val="10"/>
    <w:qFormat/>
    <w:uiPriority w:val="0"/>
    <w:rPr>
      <w:rFonts w:eastAsia="宋体"/>
      <w:b/>
      <w:kern w:val="2"/>
      <w:sz w:val="24"/>
      <w:lang w:val="en-US" w:eastAsia="zh-CN" w:bidi="ar-SA"/>
    </w:rPr>
  </w:style>
  <w:style w:type="character" w:customStyle="1" w:styleId="90">
    <w:name w:val="标题 8 字符"/>
    <w:link w:val="11"/>
    <w:qFormat/>
    <w:uiPriority w:val="0"/>
    <w:rPr>
      <w:rFonts w:ascii="Arial" w:hAnsi="Arial" w:eastAsia="黑体"/>
      <w:kern w:val="2"/>
      <w:sz w:val="24"/>
      <w:lang w:val="en-US" w:eastAsia="zh-CN" w:bidi="ar-SA"/>
    </w:rPr>
  </w:style>
  <w:style w:type="character" w:customStyle="1" w:styleId="91">
    <w:name w:val="标题 9 字符"/>
    <w:link w:val="12"/>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6"/>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4"/>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19"/>
    <w:qFormat/>
    <w:uiPriority w:val="0"/>
    <w:rPr>
      <w:rFonts w:eastAsia="宋体"/>
      <w:b/>
      <w:bCs/>
      <w:kern w:val="2"/>
      <w:sz w:val="24"/>
      <w:szCs w:val="24"/>
      <w:lang w:val="en-US" w:eastAsia="zh-CN" w:bidi="ar-SA"/>
    </w:rPr>
  </w:style>
  <w:style w:type="character" w:customStyle="1" w:styleId="98">
    <w:name w:val="正文文本缩进 2 字符"/>
    <w:link w:val="27"/>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20"/>
    <w:qFormat/>
    <w:uiPriority w:val="0"/>
    <w:rPr>
      <w:rFonts w:eastAsia="宋体"/>
      <w:kern w:val="2"/>
      <w:sz w:val="24"/>
      <w:szCs w:val="24"/>
      <w:lang w:val="en-US" w:eastAsia="zh-CN" w:bidi="ar-SA"/>
    </w:rPr>
  </w:style>
  <w:style w:type="character" w:customStyle="1" w:styleId="102">
    <w:name w:val="页脚 字符"/>
    <w:link w:val="3"/>
    <w:qFormat/>
    <w:uiPriority w:val="0"/>
    <w:rPr>
      <w:rFonts w:eastAsia="宋体"/>
      <w:kern w:val="2"/>
      <w:sz w:val="18"/>
      <w:szCs w:val="18"/>
      <w:lang w:val="en-US" w:eastAsia="zh-CN" w:bidi="ar-SA"/>
    </w:rPr>
  </w:style>
  <w:style w:type="character" w:customStyle="1" w:styleId="103">
    <w:name w:val="正文文本 3 字符"/>
    <w:link w:val="18"/>
    <w:qFormat/>
    <w:uiPriority w:val="0"/>
    <w:rPr>
      <w:rFonts w:eastAsia="宋体"/>
      <w:kern w:val="2"/>
      <w:sz w:val="16"/>
      <w:szCs w:val="16"/>
      <w:lang w:val="en-US" w:eastAsia="zh-CN" w:bidi="ar-SA"/>
    </w:rPr>
  </w:style>
  <w:style w:type="character" w:customStyle="1" w:styleId="104">
    <w:name w:val="批注框文本 字符"/>
    <w:link w:val="28"/>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19"/>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2"/>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1"/>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4"/>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7"/>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1152</Words>
  <Characters>1204</Characters>
  <Lines>69</Lines>
  <Paragraphs>99</Paragraphs>
  <TotalTime>7</TotalTime>
  <ScaleCrop>false</ScaleCrop>
  <LinksUpToDate>false</LinksUpToDate>
  <CharactersWithSpaces>1212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董馨如</cp:lastModifiedBy>
  <cp:lastPrinted>2021-05-09T08:02:00Z</cp:lastPrinted>
  <dcterms:modified xsi:type="dcterms:W3CDTF">2025-05-21T07:18:26Z</dcterms:modified>
  <dc:title>招  标　文　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8611166F0E4C47AD8D99684972C31993_13</vt:lpwstr>
  </property>
  <property fmtid="{D5CDD505-2E9C-101B-9397-08002B2CF9AE}" pid="4" name="KSOTemplateDocerSaveRecord">
    <vt:lpwstr>eyJoZGlkIjoiMzZmOWE0ZjkzZmMzMjQ4ZTNkY2JhZjljNTYwOTA4YzciLCJ1c2VySWQiOiIyNzgzNjc0MzMifQ==</vt:lpwstr>
  </property>
</Properties>
</file>