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360" w:lineRule="auto"/>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hint="eastAsia" w:ascii="宋体" w:hAnsi="宋体"/>
          <w:color w:val="FF0000"/>
          <w:sz w:val="20"/>
          <w:szCs w:val="20"/>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pPr>
        <w:keepNext w:val="0"/>
        <w:keepLines w:val="0"/>
        <w:pageBreakBefore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22" w:firstLineChars="200"/>
        <w:textAlignment w:val="auto"/>
        <w:rPr>
          <w:rFonts w:hint="eastAsia"/>
          <w:b/>
          <w:color w:val="FF0000"/>
        </w:rPr>
      </w:pP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color w:val="FF0000"/>
          <w:kern w:val="2"/>
          <w:sz w:val="21"/>
          <w:szCs w:val="24"/>
          <w:lang w:val="en-US" w:eastAsia="zh-CN" w:bidi="ar-SA"/>
        </w:rPr>
      </w:pPr>
    </w:p>
    <w:p>
      <w:pPr>
        <w:keepNext w:val="0"/>
        <w:keepLines w:val="0"/>
        <w:pageBreakBefore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360" w:lineRule="auto"/>
        <w:ind w:firstLine="422" w:firstLineChars="200"/>
        <w:textAlignment w:val="auto"/>
        <w:rPr>
          <w:rFonts w:hint="eastAsia" w:ascii="黑体" w:hAnsi="宋体" w:eastAsia="黑体" w:cs="黑体"/>
          <w:kern w:val="0"/>
          <w:sz w:val="40"/>
          <w:szCs w:val="40"/>
        </w:rPr>
        <w:sectPr>
          <w:headerReference r:id="rId3" w:type="first"/>
          <w:footerReference r:id="rId6" w:type="first"/>
          <w:footerReference r:id="rId4" w:type="default"/>
          <w:footerReference r:id="rId5" w:type="even"/>
          <w:pgSz w:w="11907" w:h="16840"/>
          <w:pgMar w:top="1440" w:right="1417" w:bottom="1440" w:left="1417" w:header="851" w:footer="992" w:gutter="0"/>
          <w:pgNumType w:fmt="decimal"/>
          <w:cols w:space="425" w:num="1"/>
          <w:titlePg/>
          <w:docGrid w:linePitch="462" w:charSpace="0"/>
        </w:sect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pPr>
        <w:widowControl/>
        <w:spacing w:beforeAutospacing="1" w:afterAutospacing="1"/>
        <w:jc w:val="center"/>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23"/>
        <w:tblW w:w="7938" w:type="dxa"/>
        <w:jc w:val="center"/>
        <w:tblCellSpacing w:w="0" w:type="dxa"/>
        <w:tblLayout w:type="fixed"/>
        <w:tblCellMar>
          <w:top w:w="36" w:type="dxa"/>
          <w:left w:w="36" w:type="dxa"/>
          <w:bottom w:w="36" w:type="dxa"/>
          <w:right w:w="36" w:type="dxa"/>
        </w:tblCellMar>
      </w:tblPr>
      <w:tblGrid>
        <w:gridCol w:w="2116"/>
        <w:gridCol w:w="5822"/>
      </w:tblGrid>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项目编号：</w:t>
            </w:r>
          </w:p>
        </w:tc>
        <w:tc>
          <w:tcPr>
            <w:tcW w:w="5822" w:type="dxa"/>
            <w:vAlign w:val="center"/>
          </w:tcPr>
          <w:p>
            <w:pPr>
              <w:rPr>
                <w:rFonts w:hint="eastAsia" w:eastAsiaTheme="minorEastAsia"/>
                <w:b/>
                <w:bCs/>
                <w:sz w:val="30"/>
                <w:szCs w:val="30"/>
                <w:lang w:eastAsia="zh-CN"/>
              </w:rPr>
            </w:pPr>
            <w:r>
              <w:rPr>
                <w:rFonts w:hint="eastAsia"/>
                <w:b w:val="0"/>
                <w:bCs w:val="0"/>
                <w:sz w:val="30"/>
                <w:szCs w:val="30"/>
              </w:rPr>
              <w:t>LHAZXCG-2025-00040-00</w:t>
            </w:r>
            <w:r>
              <w:rPr>
                <w:rFonts w:hint="eastAsia"/>
                <w:b w:val="0"/>
                <w:bCs w:val="0"/>
                <w:sz w:val="30"/>
                <w:szCs w:val="30"/>
                <w:lang w:val="en-US" w:eastAsia="zh-CN"/>
              </w:rPr>
              <w:t>2</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项目名称：</w:t>
            </w:r>
          </w:p>
        </w:tc>
        <w:tc>
          <w:tcPr>
            <w:tcW w:w="5822" w:type="dxa"/>
            <w:vAlign w:val="center"/>
          </w:tcPr>
          <w:p>
            <w:pPr>
              <w:rPr>
                <w:rFonts w:hint="default" w:eastAsiaTheme="minorEastAsia"/>
                <w:sz w:val="30"/>
                <w:szCs w:val="30"/>
                <w:lang w:val="en-US" w:eastAsia="zh-CN"/>
              </w:rPr>
            </w:pPr>
            <w:r>
              <w:rPr>
                <w:rFonts w:hint="eastAsia"/>
                <w:sz w:val="30"/>
                <w:szCs w:val="30"/>
              </w:rPr>
              <w:t>2025年深圳市龙华区总工会法律服务工作项目</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包</w:t>
            </w:r>
            <w:r>
              <w:rPr>
                <w:rFonts w:hint="eastAsia"/>
                <w:sz w:val="30"/>
                <w:szCs w:val="30"/>
              </w:rPr>
              <w:t xml:space="preserve">    </w:t>
            </w:r>
            <w:r>
              <w:rPr>
                <w:sz w:val="30"/>
                <w:szCs w:val="30"/>
              </w:rPr>
              <w:t>号：</w:t>
            </w:r>
          </w:p>
        </w:tc>
        <w:tc>
          <w:tcPr>
            <w:tcW w:w="5822" w:type="dxa"/>
            <w:vAlign w:val="center"/>
          </w:tcPr>
          <w:p>
            <w:pPr>
              <w:rPr>
                <w:rFonts w:hint="eastAsia" w:eastAsiaTheme="minorEastAsia"/>
                <w:sz w:val="30"/>
                <w:szCs w:val="30"/>
                <w:lang w:val="en-US" w:eastAsia="zh-CN"/>
              </w:rPr>
            </w:pPr>
            <w:r>
              <w:rPr>
                <w:rFonts w:hint="eastAsia"/>
                <w:sz w:val="30"/>
                <w:szCs w:val="30"/>
                <w:lang w:val="en-US" w:eastAsia="zh-CN"/>
              </w:rPr>
              <w:t>B</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项目类型：</w:t>
            </w:r>
          </w:p>
        </w:tc>
        <w:tc>
          <w:tcPr>
            <w:tcW w:w="5822" w:type="dxa"/>
            <w:vAlign w:val="center"/>
          </w:tcPr>
          <w:p>
            <w:pPr>
              <w:rPr>
                <w:sz w:val="30"/>
                <w:szCs w:val="30"/>
              </w:rPr>
            </w:pPr>
            <w:r>
              <w:rPr>
                <w:rFonts w:hint="eastAsia"/>
                <w:sz w:val="30"/>
                <w:szCs w:val="30"/>
              </w:rPr>
              <w:t>服务</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采购方式：</w:t>
            </w:r>
          </w:p>
        </w:tc>
        <w:tc>
          <w:tcPr>
            <w:tcW w:w="5822" w:type="dxa"/>
            <w:vAlign w:val="center"/>
          </w:tcPr>
          <w:p>
            <w:pPr>
              <w:rPr>
                <w:sz w:val="30"/>
                <w:szCs w:val="30"/>
              </w:rPr>
            </w:pPr>
            <w:r>
              <w:rPr>
                <w:sz w:val="30"/>
                <w:szCs w:val="30"/>
              </w:rPr>
              <w:t>公开招标</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货币类型：</w:t>
            </w:r>
          </w:p>
        </w:tc>
        <w:tc>
          <w:tcPr>
            <w:tcW w:w="5822" w:type="dxa"/>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评标方法：</w:t>
            </w:r>
          </w:p>
        </w:tc>
        <w:tc>
          <w:tcPr>
            <w:tcW w:w="5822" w:type="dxa"/>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jc w:val="center"/>
        <w:outlineLvl w:val="0"/>
        <w:rPr>
          <w:rFonts w:ascii="黑体" w:hAnsi="黑体" w:eastAsia="黑体" w:cs="Times New Roman"/>
          <w:sz w:val="40"/>
          <w:szCs w:val="40"/>
        </w:rPr>
      </w:pPr>
      <w:bookmarkStart w:id="0" w:name="OLE_LINK47"/>
      <w:r>
        <w:rPr>
          <w:rFonts w:hint="eastAsia" w:ascii="黑体" w:hAnsi="黑体" w:eastAsia="黑体" w:cs="Times New Roman"/>
          <w:sz w:val="40"/>
          <w:szCs w:val="40"/>
        </w:rPr>
        <w:t>资格性审查</w:t>
      </w:r>
      <w:bookmarkEnd w:id="0"/>
      <w:r>
        <w:rPr>
          <w:rFonts w:hint="eastAsia" w:ascii="黑体" w:hAnsi="黑体" w:eastAsia="黑体" w:cs="Times New Roman"/>
          <w:sz w:val="40"/>
          <w:szCs w:val="40"/>
        </w:rPr>
        <w:t>表</w:t>
      </w:r>
    </w:p>
    <w:tbl>
      <w:tblPr>
        <w:tblStyle w:val="23"/>
        <w:tblW w:w="89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81"/>
        <w:gridCol w:w="81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16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1"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164"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tabs>
          <w:tab w:val="left" w:pos="2790"/>
        </w:tabs>
        <w:snapToGrid w:val="0"/>
        <w:jc w:val="center"/>
        <w:outlineLvl w:val="0"/>
        <w:rPr>
          <w:rFonts w:ascii="黑体" w:hAnsi="黑体" w:eastAsia="黑体" w:cs="Times New Roman"/>
          <w:sz w:val="40"/>
          <w:szCs w:val="40"/>
        </w:rPr>
      </w:pPr>
      <w:bookmarkStart w:id="1" w:name="OLE_LINK48"/>
      <w:r>
        <w:rPr>
          <w:rFonts w:hint="eastAsia" w:ascii="黑体" w:hAnsi="黑体" w:eastAsia="黑体" w:cs="Times New Roman"/>
          <w:sz w:val="40"/>
          <w:szCs w:val="40"/>
        </w:rPr>
        <w:t>符合性审查</w:t>
      </w:r>
      <w:bookmarkEnd w:id="1"/>
      <w:r>
        <w:rPr>
          <w:rFonts w:hint="eastAsia" w:ascii="黑体" w:hAnsi="黑体" w:eastAsia="黑体" w:cs="Times New Roman"/>
          <w:sz w:val="40"/>
          <w:szCs w:val="40"/>
        </w:rPr>
        <w:t>表</w:t>
      </w:r>
    </w:p>
    <w:tbl>
      <w:tblPr>
        <w:tblStyle w:val="23"/>
        <w:tblW w:w="89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1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1"/>
                <w:szCs w:val="21"/>
                <w:lang w:bidi="ar"/>
              </w:rPr>
              <w:t>序号</w:t>
            </w:r>
          </w:p>
        </w:tc>
        <w:tc>
          <w:tcPr>
            <w:tcW w:w="815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1"/>
                <w:szCs w:val="21"/>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kern w:val="0"/>
                <w:sz w:val="21"/>
                <w:szCs w:val="21"/>
                <w:lang w:bidi="ar"/>
              </w:rPr>
              <w:t>3</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Theme="minorEastAsia" w:hAnsiTheme="minorEastAsia" w:eastAsiaTheme="minorEastAsia" w:cstheme="minorEastAsia"/>
              </w:rPr>
              <w:t>分项报价或投标总价</w:t>
            </w:r>
            <w:r>
              <w:rPr>
                <w:rFonts w:hint="eastAsia" w:asciiTheme="minorEastAsia" w:hAnsiTheme="minorEastAsia" w:eastAsiaTheme="minorEastAsia" w:cstheme="minorEastAsia"/>
                <w:lang w:val="en-US" w:eastAsia="zh-CN"/>
              </w:rPr>
              <w:t>不得</w:t>
            </w:r>
            <w:r>
              <w:rPr>
                <w:rFonts w:hint="eastAsia" w:asciiTheme="minorEastAsia" w:hAnsiTheme="minorEastAsia" w:eastAsiaTheme="minorEastAsia" w:cstheme="minorEastAsia"/>
              </w:rPr>
              <w:t>高于</w:t>
            </w:r>
            <w:bookmarkStart w:id="2" w:name="_Hlk71832186"/>
            <w:r>
              <w:rPr>
                <w:rFonts w:hint="eastAsia" w:asciiTheme="minorEastAsia" w:hAnsiTheme="minorEastAsia" w:eastAsiaTheme="minorEastAsia" w:cstheme="minorEastAsia"/>
              </w:rPr>
              <w:t>相应预算金额（或设定的预算金额下的最高限价）</w:t>
            </w:r>
            <w:bookmarkEnd w:id="2"/>
            <w:r>
              <w:rPr>
                <w:rFonts w:hint="eastAsia" w:asciiTheme="minorEastAsia" w:hAnsiTheme="minorEastAsia" w:eastAsiaTheme="minorEastAsia" w:cstheme="minor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kern w:val="0"/>
                <w:sz w:val="21"/>
                <w:szCs w:val="21"/>
                <w:lang w:bidi="ar"/>
              </w:rPr>
              <w:t>4</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kern w:val="0"/>
                <w:sz w:val="21"/>
                <w:szCs w:val="21"/>
                <w:lang w:bidi="ar"/>
              </w:rPr>
              <w:t>5</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kern w:val="0"/>
                <w:sz w:val="21"/>
                <w:szCs w:val="21"/>
                <w:lang w:bidi="ar"/>
              </w:rPr>
              <w:t>6</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rPr>
            </w:pPr>
            <w:r>
              <w:rPr>
                <w:rFonts w:hint="eastAsia" w:ascii="宋体" w:hAnsi="宋体" w:eastAsia="宋体" w:cs="宋体"/>
                <w:sz w:val="21"/>
                <w:szCs w:val="21"/>
              </w:rPr>
              <w:t>7</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采购标的/所投产品/货物清单/报价等任意一类有缺漏项或响应不全，或者对招标文件规定的项目需求内容或者需求数量进行修改，评审委员会判定投标响应不满足采购需求；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ar"/>
              </w:rPr>
              <w:t>8</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ar"/>
              </w:rPr>
              <w:t>9</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不同投标供应商投标文件“文件制作机器码”一致；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不同投标供应商投标文件“文件创建标识码”一致；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default" w:ascii="宋体" w:hAnsi="宋体" w:eastAsia="宋体" w:cs="宋体"/>
                <w:sz w:val="21"/>
                <w:szCs w:val="21"/>
                <w:lang w:val="en-US" w:eastAsia="zh-CN"/>
              </w:rPr>
            </w:pPr>
            <w:r>
              <w:rPr>
                <w:rFonts w:hint="eastAsia" w:ascii="宋体" w:hAnsi="宋体" w:eastAsia="宋体" w:cs="宋体"/>
                <w:kern w:val="0"/>
                <w:sz w:val="21"/>
                <w:szCs w:val="21"/>
                <w:lang w:val="en-US" w:eastAsia="zh-CN" w:bidi="ar"/>
              </w:rPr>
              <w:t>12</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宋体" w:hAnsi="宋体" w:eastAsia="宋体" w:cs="宋体"/>
                <w:sz w:val="21"/>
                <w:szCs w:val="21"/>
              </w:rPr>
              <w:t>法律、法规、规章、规范性文件规定的其他情形。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13</w:t>
            </w:r>
          </w:p>
        </w:tc>
        <w:tc>
          <w:tcPr>
            <w:tcW w:w="8153"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eastAsia="宋体" w:cs="宋体"/>
                <w:sz w:val="21"/>
                <w:szCs w:val="21"/>
              </w:rPr>
            </w:pPr>
            <w:r>
              <w:rPr>
                <w:rFonts w:hint="eastAsia" w:asciiTheme="minorEastAsia" w:hAnsiTheme="minorEastAsia" w:eastAsiaTheme="minorEastAsia"/>
                <w:szCs w:val="21"/>
              </w:rPr>
              <w:t>不符合招标文件第二章“多包组要求”中规定的中标原则（兼投不兼中原则）。</w:t>
            </w:r>
          </w:p>
        </w:tc>
      </w:tr>
    </w:tbl>
    <w:p>
      <w:pPr>
        <w:pStyle w:val="20"/>
        <w:jc w:val="center"/>
        <w:outlineLvl w:val="0"/>
        <w:rPr>
          <w:rFonts w:hint="eastAsia" w:ascii="黑体" w:hAnsi="黑体" w:eastAsia="黑体"/>
          <w:sz w:val="40"/>
          <w:szCs w:val="40"/>
        </w:rPr>
      </w:pPr>
      <w:r>
        <w:rPr>
          <w:rFonts w:hint="eastAsia" w:ascii="黑体" w:hAnsi="黑体" w:eastAsia="黑体"/>
          <w:sz w:val="40"/>
          <w:szCs w:val="40"/>
        </w:rPr>
        <w:t>评标信息</w:t>
      </w:r>
    </w:p>
    <w:p>
      <w:pPr>
        <w:spacing w:line="240" w:lineRule="auto"/>
        <w:ind w:firstLine="420"/>
        <w:rPr>
          <w:rFonts w:hint="eastAsia" w:ascii="宋体" w:hAnsi="宋体" w:eastAsia="宋体" w:cs="宋体"/>
          <w:b/>
          <w:bCs/>
          <w:sz w:val="21"/>
          <w:szCs w:val="21"/>
        </w:rPr>
      </w:pPr>
      <w:r>
        <w:rPr>
          <w:rFonts w:hint="eastAsia" w:ascii="宋体" w:hAnsi="宋体" w:eastAsia="宋体" w:cs="宋体"/>
          <w:b/>
          <w:bCs/>
          <w:sz w:val="21"/>
          <w:szCs w:val="21"/>
        </w:rPr>
        <w:t>评标方法：综合评分法</w:t>
      </w:r>
    </w:p>
    <w:p>
      <w:pPr>
        <w:spacing w:line="240" w:lineRule="auto"/>
        <w:ind w:firstLine="420"/>
        <w:rPr>
          <w:rFonts w:hint="eastAsia" w:ascii="宋体" w:hAnsi="宋体" w:eastAsia="宋体" w:cs="宋体"/>
          <w:sz w:val="21"/>
          <w:szCs w:val="21"/>
        </w:rPr>
      </w:pPr>
      <w:r>
        <w:rPr>
          <w:rFonts w:hint="eastAsia" w:ascii="宋体" w:hAnsi="宋体" w:eastAsia="宋体" w:cs="宋体"/>
          <w:sz w:val="21"/>
          <w:szCs w:val="21"/>
        </w:rPr>
        <w:t>综合评分法，是指投标文件满足招标文件全部实质性要求，且按照评审因素的量化指标评审得分排名前列的投标人为中标候选人的评标方法。</w:t>
      </w:r>
    </w:p>
    <w:p>
      <w:pPr>
        <w:spacing w:line="240" w:lineRule="auto"/>
        <w:ind w:firstLine="420"/>
        <w:rPr>
          <w:rFonts w:hint="eastAsia" w:ascii="宋体" w:hAnsi="宋体" w:eastAsia="宋体" w:cs="宋体"/>
          <w:sz w:val="21"/>
          <w:szCs w:val="21"/>
        </w:rPr>
      </w:pPr>
      <w:r>
        <w:rPr>
          <w:rFonts w:hint="eastAsia" w:ascii="宋体" w:hAnsi="宋体" w:eastAsia="宋体" w:cs="宋体"/>
          <w:sz w:val="21"/>
          <w:szCs w:val="21"/>
        </w:rPr>
        <w:t>价格分计算方法：</w:t>
      </w:r>
    </w:p>
    <w:p>
      <w:pPr>
        <w:pStyle w:val="20"/>
        <w:spacing w:beforeAutospacing="0" w:afterAutospacing="0" w:line="240" w:lineRule="auto"/>
        <w:ind w:left="420"/>
        <w:rPr>
          <w:rFonts w:hint="eastAsia" w:ascii="宋体" w:hAnsi="宋体" w:eastAsia="宋体" w:cs="宋体"/>
          <w:sz w:val="21"/>
          <w:szCs w:val="21"/>
        </w:rPr>
      </w:pPr>
      <w:r>
        <w:rPr>
          <w:rFonts w:hint="eastAsia" w:ascii="宋体" w:hAnsi="宋体" w:eastAsia="宋体" w:cs="宋体"/>
          <w:sz w:val="21"/>
          <w:szCs w:val="21"/>
        </w:rPr>
        <w:t xml:space="preserve">采用低价优先法计算，即满足招标文件要求且投标价格最低的投标报价为评标基准价，其价格分为满分。其他投标人的价格分统一按照下列公式计算： </w:t>
      </w:r>
    </w:p>
    <w:p>
      <w:pPr>
        <w:pStyle w:val="20"/>
        <w:spacing w:beforeAutospacing="0" w:afterAutospacing="0" w:line="240" w:lineRule="auto"/>
        <w:ind w:left="420"/>
        <w:rPr>
          <w:rFonts w:hint="eastAsia" w:ascii="宋体" w:hAnsi="宋体" w:eastAsia="宋体" w:cs="宋体"/>
          <w:sz w:val="21"/>
          <w:szCs w:val="21"/>
        </w:rPr>
      </w:pPr>
      <w:r>
        <w:rPr>
          <w:rFonts w:hint="eastAsia" w:ascii="宋体" w:hAnsi="宋体" w:eastAsia="宋体" w:cs="宋体"/>
          <w:sz w:val="21"/>
          <w:szCs w:val="21"/>
        </w:rPr>
        <w:t>投标报价得分=</w:t>
      </w:r>
      <w:r>
        <w:rPr>
          <w:rFonts w:hint="eastAsia" w:ascii="宋体" w:hAnsi="宋体" w:eastAsia="宋体" w:cs="宋体"/>
          <w:sz w:val="21"/>
          <w:szCs w:val="21"/>
          <w:lang w:eastAsia="zh-CN"/>
        </w:rPr>
        <w:t>（</w:t>
      </w:r>
      <w:r>
        <w:rPr>
          <w:rFonts w:hint="eastAsia" w:ascii="宋体" w:hAnsi="宋体" w:eastAsia="宋体" w:cs="宋体"/>
          <w:sz w:val="21"/>
          <w:szCs w:val="21"/>
        </w:rPr>
        <w:t>评标基准价／投标报价</w:t>
      </w:r>
      <w:r>
        <w:rPr>
          <w:rFonts w:hint="eastAsia" w:ascii="宋体" w:hAnsi="宋体" w:eastAsia="宋体" w:cs="宋体"/>
          <w:sz w:val="21"/>
          <w:szCs w:val="21"/>
          <w:lang w:eastAsia="zh-CN"/>
        </w:rPr>
        <w:t>）</w:t>
      </w:r>
      <w:r>
        <w:rPr>
          <w:rFonts w:hint="eastAsia" w:ascii="宋体" w:hAnsi="宋体" w:eastAsia="宋体" w:cs="宋体"/>
          <w:sz w:val="21"/>
          <w:szCs w:val="21"/>
        </w:rPr>
        <w:t xml:space="preserve">×100 </w:t>
      </w:r>
    </w:p>
    <w:p>
      <w:pPr>
        <w:pStyle w:val="20"/>
        <w:spacing w:beforeAutospacing="0" w:afterAutospacing="0" w:line="240" w:lineRule="auto"/>
        <w:ind w:left="420"/>
        <w:rPr>
          <w:rFonts w:hint="eastAsia" w:ascii="宋体" w:hAnsi="宋体" w:eastAsia="宋体" w:cs="宋体"/>
          <w:sz w:val="21"/>
          <w:szCs w:val="21"/>
        </w:rPr>
      </w:pPr>
      <w:r>
        <w:rPr>
          <w:rFonts w:hint="eastAsia" w:ascii="宋体" w:hAnsi="宋体" w:eastAsia="宋体" w:cs="宋体"/>
          <w:sz w:val="21"/>
          <w:szCs w:val="21"/>
        </w:rPr>
        <w:t xml:space="preserve">评标总得分＝F1×A1＋F2×A2＋……＋Fn×An </w:t>
      </w:r>
    </w:p>
    <w:p>
      <w:pPr>
        <w:pStyle w:val="20"/>
        <w:spacing w:beforeAutospacing="0" w:afterAutospacing="0" w:line="240" w:lineRule="auto"/>
        <w:ind w:left="420"/>
        <w:rPr>
          <w:rFonts w:hint="eastAsia" w:ascii="宋体" w:hAnsi="宋体" w:eastAsia="宋体" w:cs="宋体"/>
          <w:sz w:val="21"/>
          <w:szCs w:val="21"/>
        </w:rPr>
      </w:pPr>
      <w:r>
        <w:rPr>
          <w:rFonts w:hint="eastAsia" w:ascii="宋体" w:hAnsi="宋体" w:eastAsia="宋体" w:cs="宋体"/>
          <w:sz w:val="21"/>
          <w:szCs w:val="21"/>
        </w:rPr>
        <w:t xml:space="preserve">F1、F2……Fn分别为各项评审因素的得分； </w:t>
      </w:r>
    </w:p>
    <w:p>
      <w:pPr>
        <w:pStyle w:val="20"/>
        <w:spacing w:beforeAutospacing="0" w:afterAutospacing="0" w:line="240" w:lineRule="auto"/>
        <w:ind w:left="420"/>
        <w:rPr>
          <w:rFonts w:hint="eastAsia" w:ascii="宋体" w:hAnsi="宋体" w:eastAsia="宋体" w:cs="宋体"/>
          <w:sz w:val="21"/>
          <w:szCs w:val="21"/>
        </w:rPr>
      </w:pPr>
      <w:r>
        <w:rPr>
          <w:rFonts w:hint="eastAsia" w:ascii="宋体" w:hAnsi="宋体" w:eastAsia="宋体" w:cs="宋体"/>
          <w:sz w:val="21"/>
          <w:szCs w:val="21"/>
        </w:rPr>
        <w:t>A1、A2、……An 分别为各项评审因素所占的权重</w:t>
      </w:r>
      <w:r>
        <w:rPr>
          <w:rFonts w:hint="eastAsia" w:ascii="宋体" w:hAnsi="宋体" w:eastAsia="宋体" w:cs="宋体"/>
          <w:sz w:val="21"/>
          <w:szCs w:val="21"/>
          <w:lang w:eastAsia="zh-CN"/>
        </w:rPr>
        <w:t>（</w:t>
      </w:r>
      <w:r>
        <w:rPr>
          <w:rFonts w:hint="eastAsia" w:ascii="宋体" w:hAnsi="宋体" w:eastAsia="宋体" w:cs="宋体"/>
          <w:sz w:val="21"/>
          <w:szCs w:val="21"/>
        </w:rPr>
        <w:t>A1＋A2＋……＋An＝1</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pStyle w:val="20"/>
        <w:spacing w:beforeAutospacing="0" w:afterAutospacing="0"/>
        <w:ind w:left="420"/>
        <w:jc w:val="left"/>
        <w:outlineLvl w:val="9"/>
        <w:rPr>
          <w:rFonts w:hint="eastAsia" w:ascii="宋体" w:hAnsi="宋体" w:eastAsia="宋体" w:cs="宋体"/>
          <w:sz w:val="21"/>
          <w:szCs w:val="21"/>
        </w:rPr>
      </w:pPr>
      <w:r>
        <w:rPr>
          <w:rFonts w:hint="eastAsia" w:ascii="宋体" w:hAnsi="宋体" w:eastAsia="宋体" w:cs="宋体"/>
          <w:sz w:val="21"/>
          <w:szCs w:val="21"/>
        </w:rPr>
        <w:t>评标过程中，不得去掉报价中的最高报价和最低报价。</w:t>
      </w:r>
    </w:p>
    <w:p>
      <w:pPr>
        <w:pStyle w:val="20"/>
        <w:spacing w:beforeAutospacing="0" w:afterAutospacing="0"/>
        <w:ind w:left="420"/>
        <w:jc w:val="left"/>
        <w:outlineLvl w:val="9"/>
        <w:rPr>
          <w:rFonts w:hint="eastAsia" w:ascii="黑体" w:hAnsi="黑体" w:eastAsia="黑体"/>
          <w:sz w:val="40"/>
          <w:szCs w:val="40"/>
        </w:rPr>
      </w:pPr>
      <w:r>
        <w:rPr>
          <w:rFonts w:hint="eastAsia" w:ascii="宋体" w:hAnsi="宋体" w:eastAsia="宋体" w:cs="宋体"/>
          <w:sz w:val="21"/>
          <w:szCs w:val="21"/>
        </w:rPr>
        <w:t>因落实政府采购政策进行价格调整的，以调整后的价格计算评标基准价和投标报价。</w:t>
      </w:r>
    </w:p>
    <w:tbl>
      <w:tblPr>
        <w:tblStyle w:val="23"/>
        <w:tblW w:w="9365"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24"/>
        <w:gridCol w:w="681"/>
        <w:gridCol w:w="19"/>
        <w:gridCol w:w="2689"/>
        <w:gridCol w:w="827"/>
        <w:gridCol w:w="44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tcBorders>
              <w:top w:val="single" w:color="000000" w:sz="8" w:space="0"/>
              <w:left w:val="single" w:color="000000" w:sz="8" w:space="0"/>
              <w:bottom w:val="single" w:color="000000" w:sz="8" w:space="0"/>
              <w:right w:val="single" w:color="000000" w:sz="8"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4216" w:type="dxa"/>
            <w:gridSpan w:val="4"/>
            <w:tcBorders>
              <w:top w:val="single" w:color="000000" w:sz="8" w:space="0"/>
              <w:left w:val="single" w:color="000000" w:sz="8" w:space="0"/>
              <w:bottom w:val="single" w:color="000000" w:sz="8" w:space="0"/>
              <w:right w:val="single" w:color="000000" w:sz="8"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4425" w:type="dxa"/>
            <w:tcBorders>
              <w:top w:val="single" w:color="000000" w:sz="8" w:space="0"/>
              <w:left w:val="single" w:color="000000" w:sz="8" w:space="0"/>
              <w:bottom w:val="single" w:color="000000" w:sz="8" w:space="0"/>
              <w:right w:val="single" w:color="000000" w:sz="8"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rHeight w:val="90" w:hRule="atLeast"/>
          <w:tblCellSpacing w:w="0" w:type="dxa"/>
          <w:jc w:val="center"/>
        </w:trPr>
        <w:tc>
          <w:tcPr>
            <w:tcW w:w="724" w:type="dxa"/>
            <w:vMerge w:val="restart"/>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4216" w:type="dxa"/>
            <w:gridSpan w:val="4"/>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4425" w:type="dxa"/>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8641" w:type="dxa"/>
            <w:gridSpan w:val="5"/>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restart"/>
            <w:tcBorders>
              <w:top w:val="single" w:color="000000" w:sz="8" w:space="0"/>
              <w:left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bookmarkStart w:id="3" w:name="OLE_LINK4" w:colFirst="0" w:colLast="4"/>
            <w:r>
              <w:rPr>
                <w:rFonts w:hint="eastAsia" w:ascii="宋体" w:hAnsi="宋体" w:eastAsia="宋体" w:cs="宋体"/>
                <w:b/>
                <w:bCs/>
                <w:color w:val="0000FF"/>
                <w:sz w:val="21"/>
                <w:szCs w:val="21"/>
                <w:highlight w:val="none"/>
                <w:lang w:eastAsia="zh-CN"/>
              </w:rPr>
              <w:t>2</w:t>
            </w:r>
          </w:p>
        </w:tc>
        <w:tc>
          <w:tcPr>
            <w:tcW w:w="4216" w:type="dxa"/>
            <w:gridSpan w:val="4"/>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lang w:eastAsia="zh-CN"/>
              </w:rPr>
            </w:pPr>
            <w:r>
              <w:rPr>
                <w:rFonts w:hint="eastAsia" w:ascii="宋体" w:hAnsi="宋体" w:eastAsia="宋体" w:cs="宋体"/>
                <w:b/>
                <w:bCs/>
                <w:color w:val="0000FF"/>
                <w:sz w:val="21"/>
                <w:szCs w:val="21"/>
                <w:highlight w:val="none"/>
                <w:lang w:eastAsia="zh-CN"/>
              </w:rPr>
              <w:t>商务部分</w:t>
            </w:r>
          </w:p>
        </w:tc>
        <w:tc>
          <w:tcPr>
            <w:tcW w:w="4425" w:type="dxa"/>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8641" w:type="dxa"/>
            <w:gridSpan w:val="5"/>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shd w:val="clear" w:color="auto" w:fill="E6EFFA"/>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708"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827"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val="0"/>
                <w:bCs w:val="0"/>
                <w:color w:val="auto"/>
                <w:sz w:val="21"/>
                <w:szCs w:val="21"/>
                <w:highlight w:val="none"/>
              </w:rPr>
              <w:t>权重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p>
        </w:tc>
        <w:tc>
          <w:tcPr>
            <w:tcW w:w="4425"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bookmarkStart w:id="4" w:name="OLE_LINK5" w:colFirst="2" w:colLast="2"/>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数智化特色法律服务经验</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考察内容：</w:t>
            </w:r>
          </w:p>
          <w:p>
            <w:pPr>
              <w:pageBreakBefore w:val="0"/>
              <w:kinsoku/>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投标人自</w:t>
            </w:r>
            <w:r>
              <w:rPr>
                <w:rFonts w:hint="eastAsia" w:ascii="宋体" w:hAnsi="宋体" w:eastAsia="宋体" w:cs="宋体"/>
                <w:color w:val="000000" w:themeColor="text1"/>
                <w:sz w:val="21"/>
                <w:szCs w:val="21"/>
                <w:highlight w:val="none"/>
                <w:lang w:val="en-US" w:eastAsia="zh-CN"/>
                <w14:textFill>
                  <w14:solidFill>
                    <w14:schemeClr w14:val="tx1"/>
                  </w14:solidFill>
                </w14:textFill>
              </w:rPr>
              <w:t>2022</w:t>
            </w:r>
            <w:r>
              <w:rPr>
                <w:rFonts w:hint="eastAsia" w:ascii="宋体" w:hAnsi="宋体" w:eastAsia="宋体" w:cs="宋体"/>
                <w:color w:val="000000" w:themeColor="text1"/>
                <w:sz w:val="21"/>
                <w:szCs w:val="21"/>
                <w:highlight w:val="none"/>
                <w14:textFill>
                  <w14:solidFill>
                    <w14:schemeClr w14:val="tx1"/>
                  </w14:solidFill>
                </w14:textFill>
              </w:rPr>
              <w:t>年1月1日起至本项目开标日止（以合同签订时间为准），具有为</w:t>
            </w:r>
            <w:r>
              <w:rPr>
                <w:rFonts w:hint="eastAsia" w:ascii="宋体" w:hAnsi="宋体" w:eastAsia="宋体" w:cs="宋体"/>
                <w:color w:val="000000" w:themeColor="text1"/>
                <w:sz w:val="21"/>
                <w:szCs w:val="21"/>
                <w:highlight w:val="none"/>
                <w:lang w:eastAsia="zh-CN"/>
                <w14:textFill>
                  <w14:solidFill>
                    <w14:schemeClr w14:val="tx1"/>
                  </w14:solidFill>
                </w14:textFill>
              </w:rPr>
              <w:t>区级或以上</w:t>
            </w:r>
            <w:r>
              <w:rPr>
                <w:rFonts w:hint="eastAsia" w:ascii="宋体" w:hAnsi="宋体" w:eastAsia="宋体" w:cs="宋体"/>
                <w:color w:val="000000" w:themeColor="text1"/>
                <w:sz w:val="21"/>
                <w:szCs w:val="21"/>
                <w:highlight w:val="none"/>
                <w14:textFill>
                  <w14:solidFill>
                    <w14:schemeClr w14:val="tx1"/>
                  </w14:solidFill>
                </w14:textFill>
              </w:rPr>
              <w:t>行政机关</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事业单位</w:t>
            </w:r>
            <w:r>
              <w:rPr>
                <w:rFonts w:hint="eastAsia" w:ascii="宋体" w:hAnsi="宋体" w:eastAsia="宋体" w:cs="宋体"/>
                <w:color w:val="000000" w:themeColor="text1"/>
                <w:sz w:val="21"/>
                <w:szCs w:val="21"/>
                <w:highlight w:val="none"/>
                <w:lang w:eastAsia="zh-CN"/>
                <w14:textFill>
                  <w14:solidFill>
                    <w14:schemeClr w14:val="tx1"/>
                  </w14:solidFill>
                </w14:textFill>
              </w:rPr>
              <w:t>或工会</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提供在线法律直播答疑、在线调解法律</w:t>
            </w:r>
            <w:r>
              <w:rPr>
                <w:rFonts w:hint="eastAsia" w:ascii="宋体" w:hAnsi="宋体" w:eastAsia="宋体" w:cs="宋体"/>
                <w:bCs/>
                <w:color w:val="000000" w:themeColor="text1"/>
                <w:sz w:val="21"/>
                <w:szCs w:val="21"/>
                <w:highlight w:val="none"/>
                <w14:textFill>
                  <w14:solidFill>
                    <w14:schemeClr w14:val="tx1"/>
                  </w14:solidFill>
                </w14:textFill>
              </w:rPr>
              <w:t>服务经验的</w:t>
            </w:r>
            <w:r>
              <w:rPr>
                <w:rFonts w:hint="eastAsia" w:ascii="宋体" w:hAnsi="宋体" w:eastAsia="宋体" w:cs="宋体"/>
                <w:color w:val="000000" w:themeColor="text1"/>
                <w:sz w:val="21"/>
                <w:szCs w:val="21"/>
                <w:highlight w:val="none"/>
                <w14:textFill>
                  <w14:solidFill>
                    <w14:schemeClr w14:val="tx1"/>
                  </w14:solidFill>
                </w14:textFill>
              </w:rPr>
              <w:t>，每提供1</w:t>
            </w:r>
            <w:r>
              <w:rPr>
                <w:rFonts w:hint="eastAsia" w:ascii="宋体" w:hAnsi="宋体" w:eastAsia="宋体" w:cs="宋体"/>
                <w:color w:val="000000" w:themeColor="text1"/>
                <w:sz w:val="21"/>
                <w:szCs w:val="21"/>
                <w:highlight w:val="none"/>
                <w:lang w:val="en-US" w:eastAsia="zh-CN"/>
                <w14:textFill>
                  <w14:solidFill>
                    <w14:schemeClr w14:val="tx1"/>
                  </w14:solidFill>
                </w14:textFill>
              </w:rPr>
              <w:t>份合同</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分，此项满分为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证明文件：</w:t>
            </w:r>
          </w:p>
          <w:p>
            <w:pPr>
              <w:pageBreakBefore w:val="0"/>
              <w:kinsoku/>
              <w:wordWrap w:val="0"/>
              <w:overflowPunct/>
              <w:topLinePunct w:val="0"/>
              <w:autoSpaceDE/>
              <w:autoSpaceDN/>
              <w:bidi w:val="0"/>
              <w:spacing w:beforeAutospacing="0" w:afterAutospacing="0" w:line="240" w:lineRule="auto"/>
              <w:ind w:left="0" w:leftChars="0" w:right="0" w:rightChars="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合同关键页</w:t>
            </w:r>
            <w:r>
              <w:rPr>
                <w:rFonts w:hint="eastAsia" w:ascii="宋体" w:hAnsi="宋体" w:eastAsia="宋体" w:cs="宋体"/>
                <w:color w:val="000000" w:themeColor="text1"/>
                <w:sz w:val="21"/>
                <w:szCs w:val="21"/>
                <w:highlight w:val="none"/>
                <w14:textFill>
                  <w14:solidFill>
                    <w14:schemeClr w14:val="tx1"/>
                  </w14:solidFill>
                </w14:textFill>
              </w:rPr>
              <w:t>（含签订合同双方的单位名称、合同项目名称与合同双方的落款盖章、签订日期的关键页）</w:t>
            </w:r>
            <w:r>
              <w:rPr>
                <w:rFonts w:hint="eastAsia" w:ascii="宋体" w:hAnsi="宋体" w:eastAsia="宋体" w:cs="宋体"/>
                <w:color w:val="000000" w:themeColor="text1"/>
                <w:sz w:val="21"/>
                <w:szCs w:val="21"/>
                <w:highlight w:val="none"/>
                <w:lang w:eastAsia="zh-CN"/>
                <w14:textFill>
                  <w14:solidFill>
                    <w14:schemeClr w14:val="tx1"/>
                  </w14:solidFill>
                </w14:textFill>
              </w:rPr>
              <w:t>，若合同无法体现的还需提供合同甲方出具的证明文件。</w:t>
            </w:r>
          </w:p>
          <w:p>
            <w:pPr>
              <w:pageBreakBefore w:val="0"/>
              <w:kinsoku/>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以上资料均要求提供</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，原件备查，证明文件未按要求提供相关材料或</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不清晰导致无法识别的不计得分。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法律援助案件经验</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10</w:t>
            </w:r>
          </w:p>
        </w:tc>
        <w:tc>
          <w:tcPr>
            <w:tcW w:w="44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考察内容：</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自202</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年1月1日至本项目投标截止之日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投标人名下执业律师承办</w:t>
            </w:r>
            <w:r>
              <w:rPr>
                <w:rFonts w:hint="eastAsia" w:ascii="宋体" w:hAnsi="宋体" w:eastAsia="宋体" w:cs="宋体"/>
                <w:color w:val="000000" w:themeColor="text1"/>
                <w:sz w:val="21"/>
                <w:szCs w:val="21"/>
                <w:highlight w:val="none"/>
                <w:lang w:val="en-US" w:eastAsia="zh-CN"/>
                <w14:textFill>
                  <w14:solidFill>
                    <w14:schemeClr w14:val="tx1"/>
                  </w14:solidFill>
                </w14:textFill>
              </w:rPr>
              <w:t>区级或以上</w:t>
            </w:r>
            <w:r>
              <w:rPr>
                <w:rFonts w:hint="eastAsia" w:ascii="宋体" w:hAnsi="宋体" w:eastAsia="宋体" w:cs="宋体"/>
                <w:color w:val="000000" w:themeColor="text1"/>
                <w:sz w:val="21"/>
                <w:szCs w:val="21"/>
                <w:highlight w:val="none"/>
                <w14:textFill>
                  <w14:solidFill>
                    <w14:schemeClr w14:val="tx1"/>
                  </w14:solidFill>
                </w14:textFill>
              </w:rPr>
              <w:t>行政机关</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事业单位</w:t>
            </w:r>
            <w:r>
              <w:rPr>
                <w:rFonts w:hint="eastAsia" w:ascii="宋体" w:hAnsi="宋体" w:eastAsia="宋体" w:cs="宋体"/>
                <w:color w:val="000000" w:themeColor="text1"/>
                <w:sz w:val="21"/>
                <w:szCs w:val="21"/>
                <w:highlight w:val="none"/>
                <w:lang w:eastAsia="zh-CN"/>
                <w14:textFill>
                  <w14:solidFill>
                    <w14:schemeClr w14:val="tx1"/>
                  </w14:solidFill>
                </w14:textFill>
              </w:rPr>
              <w:t>或工会</w:t>
            </w:r>
            <w:r>
              <w:rPr>
                <w:rFonts w:hint="eastAsia" w:ascii="宋体" w:hAnsi="宋体" w:eastAsia="宋体" w:cs="宋体"/>
                <w:color w:val="000000" w:themeColor="text1"/>
                <w:sz w:val="21"/>
                <w:szCs w:val="21"/>
                <w:highlight w:val="none"/>
                <w14:textFill>
                  <w14:solidFill>
                    <w14:schemeClr w14:val="tx1"/>
                  </w14:solidFill>
                </w14:textFill>
              </w:rPr>
              <w:t>法律援助案件，每宗得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right="0" w:firstLine="0" w:firstLineChars="0"/>
              <w:jc w:val="both"/>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证明文件：</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要求提供区级或以上</w:t>
            </w:r>
            <w:r>
              <w:rPr>
                <w:rFonts w:hint="eastAsia" w:ascii="宋体" w:hAnsi="宋体" w:eastAsia="宋体" w:cs="宋体"/>
                <w:color w:val="000000" w:themeColor="text1"/>
                <w:sz w:val="21"/>
                <w:szCs w:val="21"/>
                <w:highlight w:val="none"/>
                <w14:textFill>
                  <w14:solidFill>
                    <w14:schemeClr w14:val="tx1"/>
                  </w14:solidFill>
                </w14:textFill>
              </w:rPr>
              <w:t>行政机关</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事业单位</w:t>
            </w:r>
            <w:r>
              <w:rPr>
                <w:rFonts w:hint="eastAsia"/>
                <w:szCs w:val="21"/>
                <w:highlight w:val="none"/>
                <w:lang w:val="en-US" w:eastAsia="zh-CN"/>
              </w:rPr>
              <w:t>或工会</w:t>
            </w:r>
            <w:r>
              <w:rPr>
                <w:rFonts w:hint="eastAsia" w:ascii="宋体" w:hAnsi="宋体" w:eastAsia="宋体" w:cs="宋体"/>
                <w:sz w:val="21"/>
                <w:szCs w:val="21"/>
                <w:highlight w:val="none"/>
              </w:rPr>
              <w:t>出具的</w:t>
            </w:r>
            <w:r>
              <w:rPr>
                <w:rFonts w:hint="eastAsia" w:ascii="宋体" w:hAnsi="宋体" w:eastAsia="宋体" w:cs="宋体"/>
                <w:sz w:val="21"/>
                <w:szCs w:val="21"/>
                <w:highlight w:val="none"/>
                <w:lang w:val="en-US" w:eastAsia="zh-CN"/>
              </w:rPr>
              <w:t>法律援助函</w:t>
            </w:r>
            <w:r>
              <w:rPr>
                <w:rFonts w:hint="eastAsia" w:ascii="宋体" w:hAnsi="宋体" w:eastAsia="宋体" w:cs="宋体"/>
                <w:sz w:val="21"/>
                <w:szCs w:val="21"/>
                <w:highlight w:val="none"/>
              </w:rPr>
              <w:t>作为得分依据，</w:t>
            </w:r>
            <w:r>
              <w:rPr>
                <w:rFonts w:hint="eastAsia" w:ascii="宋体" w:hAnsi="宋体" w:eastAsia="宋体" w:cs="宋体"/>
                <w:sz w:val="21"/>
                <w:szCs w:val="21"/>
                <w:highlight w:val="none"/>
                <w:lang w:val="en-US" w:eastAsia="zh-CN"/>
              </w:rPr>
              <w:t>法律援助函</w:t>
            </w:r>
            <w:r>
              <w:rPr>
                <w:rFonts w:hint="eastAsia" w:ascii="宋体" w:hAnsi="宋体" w:eastAsia="宋体" w:cs="宋体"/>
                <w:sz w:val="21"/>
                <w:szCs w:val="21"/>
                <w:highlight w:val="none"/>
              </w:rPr>
              <w:t>须体现律所名称。</w:t>
            </w:r>
          </w:p>
          <w:p>
            <w:pPr>
              <w:keepNext w:val="0"/>
              <w:keepLines w:val="0"/>
              <w:pageBreakBefore w:val="0"/>
              <w:widowControl w:val="0"/>
              <w:kinsoku/>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以上资料均要求提供</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，原件备查，证明文件未按要求提供相关材料或</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不清晰导致无法识别的不计得分。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履约评价</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10</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考察内容</w:t>
            </w:r>
            <w:r>
              <w:rPr>
                <w:rFonts w:hint="eastAsia" w:ascii="宋体" w:hAnsi="宋体" w:eastAsia="宋体" w:cs="宋体"/>
                <w:b/>
                <w:bCs/>
                <w:color w:val="000000" w:themeColor="text1"/>
                <w:sz w:val="21"/>
                <w:szCs w:val="21"/>
                <w:highlight w:val="none"/>
                <w14:textFill>
                  <w14:solidFill>
                    <w14:schemeClr w14:val="tx1"/>
                  </w14:solidFill>
                </w14:textFill>
              </w:rPr>
              <w:t>：</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自202</w:t>
            </w:r>
            <w:r>
              <w:rPr>
                <w:rFonts w:hint="eastAsia" w:ascii="宋体" w:hAnsi="宋体" w:eastAsia="宋体" w:cs="宋体"/>
                <w:color w:val="000000" w:themeColor="text1"/>
                <w:sz w:val="21"/>
                <w:szCs w:val="21"/>
                <w:highlight w:val="none"/>
                <w:lang w:val="en-US"/>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年1月1日至本项目投标截止之日（以合同签订时间为准）</w:t>
            </w:r>
            <w:r>
              <w:rPr>
                <w:rFonts w:hint="eastAsia" w:ascii="宋体" w:hAnsi="宋体" w:eastAsia="宋体" w:cs="宋体"/>
                <w:color w:val="000000" w:themeColor="text1"/>
                <w:sz w:val="21"/>
                <w:szCs w:val="21"/>
                <w:highlight w:val="none"/>
                <w:lang w:eastAsia="zh-CN"/>
                <w14:textFill>
                  <w14:solidFill>
                    <w14:schemeClr w14:val="tx1"/>
                  </w14:solidFill>
                </w14:textFill>
              </w:rPr>
              <w:t>，投标人具有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区级或以上</w:t>
            </w:r>
            <w:r>
              <w:rPr>
                <w:rFonts w:hint="eastAsia" w:ascii="宋体" w:hAnsi="宋体" w:eastAsia="宋体" w:cs="宋体"/>
                <w:color w:val="000000" w:themeColor="text1"/>
                <w:sz w:val="21"/>
                <w:szCs w:val="21"/>
                <w:highlight w:val="none"/>
                <w14:textFill>
                  <w14:solidFill>
                    <w14:schemeClr w14:val="tx1"/>
                  </w14:solidFill>
                </w14:textFill>
              </w:rPr>
              <w:t>行政机关</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事业单位</w:t>
            </w:r>
            <w:r>
              <w:rPr>
                <w:rFonts w:hint="eastAsia" w:ascii="宋体" w:hAnsi="宋体" w:eastAsia="宋体" w:cs="宋体"/>
                <w:color w:val="000000" w:themeColor="text1"/>
                <w:sz w:val="21"/>
                <w:szCs w:val="21"/>
                <w:highlight w:val="none"/>
                <w:lang w:eastAsia="zh-CN"/>
                <w14:textFill>
                  <w14:solidFill>
                    <w14:schemeClr w14:val="tx1"/>
                  </w14:solidFill>
                </w14:textFill>
              </w:rPr>
              <w:t>或工会</w:t>
            </w:r>
            <w:r>
              <w:rPr>
                <w:rFonts w:hint="eastAsia"/>
                <w:lang w:val="en-US" w:eastAsia="zh-CN"/>
              </w:rPr>
              <w:t>劳动纠纷案件经验、普法宣传经验、法律援助案件经验、</w:t>
            </w:r>
            <w:r>
              <w:rPr>
                <w:rFonts w:hint="eastAsia" w:ascii="宋体" w:hAnsi="宋体" w:eastAsia="宋体" w:cs="宋体"/>
                <w:sz w:val="21"/>
                <w:szCs w:val="21"/>
                <w:highlight w:val="none"/>
                <w:lang w:val="en-US" w:eastAsia="zh-CN"/>
              </w:rPr>
              <w:t>数智化特色法律服务</w:t>
            </w:r>
            <w:r>
              <w:rPr>
                <w:rFonts w:hint="eastAsia"/>
                <w:lang w:val="en-US" w:eastAsia="zh-CN"/>
              </w:rPr>
              <w:t>经验</w:t>
            </w:r>
            <w:r>
              <w:rPr>
                <w:rFonts w:hint="eastAsia" w:ascii="宋体" w:hAnsi="宋体" w:eastAsia="宋体" w:cs="宋体"/>
                <w:sz w:val="21"/>
                <w:szCs w:val="21"/>
                <w:highlight w:val="none"/>
                <w:lang w:val="en-US" w:eastAsia="zh-CN"/>
              </w:rPr>
              <w:t>、担任法律顾问经验、开展集体协商经验、驻点咨询经验</w:t>
            </w:r>
            <w:r>
              <w:rPr>
                <w:rFonts w:hint="eastAsia" w:ascii="宋体" w:hAnsi="宋体" w:eastAsia="宋体" w:cs="宋体"/>
                <w:color w:val="000000" w:themeColor="text1"/>
                <w:sz w:val="21"/>
                <w:szCs w:val="21"/>
                <w:highlight w:val="none"/>
                <w14:textFill>
                  <w14:solidFill>
                    <w14:schemeClr w14:val="tx1"/>
                  </w14:solidFill>
                </w14:textFill>
              </w:rPr>
              <w:t>经评审有效的业绩，且经采购单位或被服务单位</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履约评价结果为“优”或“优秀”或“满意”</w:t>
            </w:r>
            <w:r>
              <w:rPr>
                <w:rFonts w:hint="eastAsia" w:ascii="宋体" w:hAnsi="宋体" w:eastAsia="宋体" w:cs="宋体"/>
                <w:color w:val="000000" w:themeColor="text1"/>
                <w:sz w:val="21"/>
                <w:szCs w:val="21"/>
                <w:highlight w:val="none"/>
                <w:lang w:eastAsia="zh-CN"/>
                <w14:textFill>
                  <w14:solidFill>
                    <w14:schemeClr w14:val="tx1"/>
                  </w14:solidFill>
                </w14:textFill>
              </w:rPr>
              <w:t>或其他同等</w:t>
            </w:r>
            <w:r>
              <w:rPr>
                <w:rFonts w:hint="eastAsia" w:ascii="宋体" w:hAnsi="宋体" w:eastAsia="宋体" w:cs="宋体"/>
                <w:color w:val="000000" w:themeColor="text1"/>
                <w:sz w:val="21"/>
                <w:szCs w:val="21"/>
                <w:highlight w:val="none"/>
                <w14:textFill>
                  <w14:solidFill>
                    <w14:schemeClr w14:val="tx1"/>
                  </w14:solidFill>
                </w14:textFill>
              </w:rPr>
              <w:t>评价等级的，每提供一</w:t>
            </w:r>
            <w:r>
              <w:rPr>
                <w:rFonts w:hint="eastAsia" w:ascii="宋体" w:hAnsi="宋体" w:eastAsia="宋体" w:cs="宋体"/>
                <w:color w:val="000000" w:themeColor="text1"/>
                <w:sz w:val="21"/>
                <w:szCs w:val="21"/>
                <w:highlight w:val="none"/>
                <w:lang w:val="en-US" w:eastAsia="zh-CN"/>
                <w14:textFill>
                  <w14:solidFill>
                    <w14:schemeClr w14:val="tx1"/>
                  </w14:solidFill>
                </w14:textFill>
              </w:rPr>
              <w:t>份</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分，累计最高得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证明文件</w:t>
            </w:r>
            <w:r>
              <w:rPr>
                <w:rFonts w:hint="eastAsia" w:ascii="宋体" w:hAnsi="宋体" w:eastAsia="宋体" w:cs="宋体"/>
                <w:b/>
                <w:bCs/>
                <w:color w:val="000000" w:themeColor="text1"/>
                <w:sz w:val="21"/>
                <w:szCs w:val="21"/>
                <w:highlight w:val="none"/>
                <w14:textFill>
                  <w14:solidFill>
                    <w14:schemeClr w14:val="tx1"/>
                  </w14:solidFill>
                </w14:textFill>
              </w:rPr>
              <w:t>：</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合同关键页</w:t>
            </w:r>
            <w:r>
              <w:rPr>
                <w:rFonts w:hint="eastAsia" w:ascii="宋体" w:hAnsi="宋体" w:eastAsia="宋体" w:cs="宋体"/>
                <w:color w:val="000000" w:themeColor="text1"/>
                <w:sz w:val="21"/>
                <w:szCs w:val="21"/>
                <w:highlight w:val="none"/>
                <w14:textFill>
                  <w14:solidFill>
                    <w14:schemeClr w14:val="tx1"/>
                  </w14:solidFill>
                </w14:textFill>
              </w:rPr>
              <w:t>（含签订合同双方的单位名称、合同项目名称与合同双方的落款盖章、签订日期的关键页）</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采购单位或被服务单位盖章出具的履约评价的相关证明文件。</w:t>
            </w:r>
          </w:p>
          <w:p>
            <w:pPr>
              <w:pStyle w:val="15"/>
              <w:spacing w:line="240" w:lineRule="auto"/>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以上资料均要求提供</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，原件备查，证明文件未按要求提供相关材料或</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不清晰导致无法识别的不计得分。</w:t>
            </w:r>
          </w:p>
        </w:tc>
      </w:tr>
      <w:bookmarkEnd w:id="3"/>
      <w:bookmarkEnd w:id="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restart"/>
            <w:tcBorders>
              <w:top w:val="single" w:color="000000" w:sz="8" w:space="0"/>
              <w:left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lang w:eastAsia="zh-CN"/>
              </w:rPr>
            </w:pPr>
            <w:r>
              <w:rPr>
                <w:rFonts w:hint="eastAsia" w:ascii="宋体" w:hAnsi="宋体" w:eastAsia="宋体" w:cs="宋体"/>
                <w:b/>
                <w:bCs/>
                <w:color w:val="0000FF"/>
                <w:sz w:val="21"/>
                <w:szCs w:val="21"/>
                <w:highlight w:val="none"/>
                <w:lang w:val="en-US" w:eastAsia="zh-CN"/>
              </w:rPr>
              <w:t>3</w:t>
            </w:r>
          </w:p>
        </w:tc>
        <w:tc>
          <w:tcPr>
            <w:tcW w:w="4216" w:type="dxa"/>
            <w:gridSpan w:val="4"/>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4425" w:type="dxa"/>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8641" w:type="dxa"/>
            <w:gridSpan w:val="5"/>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shd w:val="clear" w:color="auto" w:fill="E6EFFA"/>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700"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689"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827"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tc>
        <w:tc>
          <w:tcPr>
            <w:tcW w:w="4425"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bookmarkStart w:id="5" w:name="OLE_LINK6" w:colFirst="2" w:colLast="2"/>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实施方案</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8</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wordWrap/>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考察内容：</w:t>
            </w:r>
          </w:p>
          <w:p>
            <w:pPr>
              <w:wordWrap/>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工作方案内容；</w:t>
            </w:r>
          </w:p>
          <w:p>
            <w:pPr>
              <w:wordWrap/>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工作项目背景理解及重难点分析</w:t>
            </w:r>
          </w:p>
          <w:p>
            <w:pPr>
              <w:wordWrap/>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工作方法和工作流程；</w:t>
            </w:r>
          </w:p>
          <w:p>
            <w:pPr>
              <w:wordWrap/>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沟通回应机制；</w:t>
            </w:r>
          </w:p>
          <w:p>
            <w:pPr>
              <w:wordWrap/>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应急机制；</w:t>
            </w:r>
          </w:p>
          <w:p>
            <w:pPr>
              <w:pageBreakBefore w:val="0"/>
              <w:kinsoku/>
              <w:wordWrap/>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评审标准：</w:t>
            </w:r>
          </w:p>
          <w:p>
            <w:pPr>
              <w:pageBreakBefore w:val="0"/>
              <w:kinsoku/>
              <w:wordWrap/>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评审委员会根据招标文件的需求和投标文件的响应情况，进行评价及分档评分： </w:t>
            </w:r>
          </w:p>
          <w:p>
            <w:pPr>
              <w:pageBreakBefore w:val="0"/>
              <w:kinsoku/>
              <w:wordWrap/>
              <w:overflowPunct/>
              <w:topLinePunct w:val="0"/>
              <w:autoSpaceDE/>
              <w:autoSpaceDN/>
              <w:bidi w:val="0"/>
              <w:spacing w:beforeAutospacing="0" w:afterAutospacing="0" w:line="240" w:lineRule="auto"/>
              <w:ind w:left="0" w:leftChars="0" w:right="0" w:righ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1.提供以上</w:t>
            </w:r>
            <w:r>
              <w:rPr>
                <w:rFonts w:hint="eastAsia" w:ascii="宋体" w:hAnsi="宋体" w:eastAsia="宋体" w:cs="宋体"/>
                <w:sz w:val="21"/>
                <w:szCs w:val="21"/>
                <w:highlight w:val="none"/>
                <w:lang w:val="en-US" w:eastAsia="zh-CN"/>
              </w:rPr>
              <w:t>任意</w:t>
            </w:r>
            <w:r>
              <w:rPr>
                <w:rFonts w:hint="eastAsia" w:ascii="宋体" w:hAnsi="宋体" w:eastAsia="宋体" w:cs="宋体"/>
                <w:sz w:val="21"/>
                <w:szCs w:val="21"/>
                <w:highlight w:val="none"/>
              </w:rPr>
              <w:t>1项内容得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分，本项最高得</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p>
            <w:pPr>
              <w:pageBreakBefore w:val="0"/>
              <w:kinsoku/>
              <w:wordWrap/>
              <w:overflowPunct/>
              <w:topLinePunct w:val="0"/>
              <w:autoSpaceDE/>
              <w:autoSpaceDN/>
              <w:bidi w:val="0"/>
              <w:spacing w:beforeAutospacing="0" w:afterAutospacing="0" w:line="240" w:lineRule="auto"/>
              <w:ind w:left="0" w:leftChars="0" w:right="0" w:righ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2.在此基础上，专家根据内容的合理性进行评分</w:t>
            </w:r>
            <w:r>
              <w:rPr>
                <w:rFonts w:hint="eastAsia" w:ascii="宋体" w:hAnsi="宋体" w:eastAsia="宋体" w:cs="宋体"/>
                <w:sz w:val="21"/>
                <w:szCs w:val="21"/>
                <w:highlight w:val="none"/>
                <w:lang w:eastAsia="zh-CN"/>
              </w:rPr>
              <w:t>：</w:t>
            </w:r>
          </w:p>
          <w:p>
            <w:pPr>
              <w:pageBreakBefore w:val="0"/>
              <w:kinsoku/>
              <w:wordWrap/>
              <w:overflowPunct/>
              <w:topLinePunct w:val="0"/>
              <w:autoSpaceDE/>
              <w:autoSpaceDN/>
              <w:bidi w:val="0"/>
              <w:spacing w:beforeAutospacing="0" w:afterAutospacing="0" w:line="240" w:lineRule="auto"/>
              <w:ind w:left="0" w:leftChars="0" w:right="0" w:righ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优评分标准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方案符合实际、完整、规范、思路清晰，内容合理性强，得</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p>
            <w:pPr>
              <w:pageBreakBefore w:val="0"/>
              <w:kinsoku/>
              <w:wordWrap/>
              <w:overflowPunct/>
              <w:topLinePunct w:val="0"/>
              <w:autoSpaceDE/>
              <w:autoSpaceDN/>
              <w:bidi w:val="0"/>
              <w:spacing w:beforeAutospacing="0" w:afterAutospacing="0" w:line="240" w:lineRule="auto"/>
              <w:ind w:left="0" w:leftChars="0" w:right="0" w:righ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良评分标准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方案较符合实际、较完整规范、思路较清晰，内容合理性较强，得</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pageBreakBefore w:val="0"/>
              <w:kinsoku/>
              <w:wordWrap/>
              <w:overflowPunct/>
              <w:topLinePunct w:val="0"/>
              <w:autoSpaceDE/>
              <w:autoSpaceDN/>
              <w:bidi w:val="0"/>
              <w:spacing w:beforeAutospacing="0" w:afterAutospacing="0" w:line="240" w:lineRule="auto"/>
              <w:ind w:left="0" w:leftChars="0" w:right="0" w:righ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中评分标准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方案较普通、完整性规范性一般，思路不够清晰，内容合理性一般，得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wordWrap/>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差评分标准：方案不完整、不规范，思路不清晰，内容合理性较差或未提供，不得分。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质量保障措施及方案</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10</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wordWrap/>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考察内容：</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投标人提供的方案包括：</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项目工作内容的完成时间安排；</w:t>
            </w:r>
          </w:p>
          <w:p>
            <w:pPr>
              <w:spacing w:line="24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人员变动</w:t>
            </w:r>
            <w:r>
              <w:rPr>
                <w:rFonts w:hint="eastAsia" w:ascii="宋体" w:hAnsi="宋体" w:eastAsia="宋体" w:cs="宋体"/>
                <w:color w:val="000000" w:themeColor="text1"/>
                <w:sz w:val="21"/>
                <w:szCs w:val="21"/>
                <w:highlight w:val="none"/>
                <w:lang w:val="en-US" w:eastAsia="zh-CN"/>
                <w14:textFill>
                  <w14:solidFill>
                    <w14:schemeClr w14:val="tx1"/>
                  </w14:solidFill>
                </w14:textFill>
              </w:rPr>
              <w:t>交接方案；</w:t>
            </w:r>
          </w:p>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项目整体质量把控的方案</w:t>
            </w:r>
            <w:r>
              <w:rPr>
                <w:rFonts w:hint="eastAsia" w:ascii="宋体" w:hAnsi="宋体" w:eastAsia="宋体" w:cs="宋体"/>
                <w:sz w:val="21"/>
                <w:szCs w:val="21"/>
                <w:highlight w:val="none"/>
                <w:lang w:eastAsia="zh-CN"/>
              </w:rPr>
              <w:t>；</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服务质量目标；</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机制保障。</w:t>
            </w:r>
          </w:p>
          <w:p>
            <w:pPr>
              <w:pageBreakBefore w:val="0"/>
              <w:kinsoku/>
              <w:wordWrap/>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评审标准：</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1.提供以上</w:t>
            </w:r>
            <w:r>
              <w:rPr>
                <w:rFonts w:hint="eastAsia" w:ascii="宋体" w:hAnsi="宋体" w:eastAsia="宋体" w:cs="宋体"/>
                <w:color w:val="000000" w:themeColor="text1"/>
                <w:sz w:val="21"/>
                <w:szCs w:val="21"/>
                <w:highlight w:val="none"/>
                <w:lang w:val="en-US" w:eastAsia="zh-CN"/>
                <w14:textFill>
                  <w14:solidFill>
                    <w14:schemeClr w14:val="tx1"/>
                  </w14:solidFill>
                </w14:textFill>
              </w:rPr>
              <w:t>任意</w:t>
            </w:r>
            <w:r>
              <w:rPr>
                <w:rFonts w:hint="eastAsia" w:ascii="宋体" w:hAnsi="宋体" w:eastAsia="宋体" w:cs="宋体"/>
                <w:color w:val="000000" w:themeColor="text1"/>
                <w:sz w:val="21"/>
                <w:szCs w:val="21"/>
                <w:highlight w:val="none"/>
                <w14:textFill>
                  <w14:solidFill>
                    <w14:schemeClr w14:val="tx1"/>
                  </w14:solidFill>
                </w14:textFill>
              </w:rPr>
              <w:t>1项内容得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分，本项最高得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2.在此基础上，专家根据内容的合理性进行评分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优评分标准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方案符合实际、完整、规范、思路清晰，内容合理性强，</w:t>
            </w:r>
            <w:r>
              <w:rPr>
                <w:rFonts w:hint="eastAsia" w:ascii="宋体" w:hAnsi="宋体" w:eastAsia="宋体" w:cs="宋体"/>
                <w:color w:val="000000" w:themeColor="text1"/>
                <w:sz w:val="21"/>
                <w:szCs w:val="21"/>
                <w:highlight w:val="none"/>
                <w:lang w:val="en-US" w:eastAsia="zh-CN"/>
                <w14:textFill>
                  <w14:solidFill>
                    <w14:schemeClr w14:val="tx1"/>
                  </w14:solidFill>
                </w14:textFill>
              </w:rPr>
              <w:t>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确实保证服务质量落地</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分；</w:t>
            </w:r>
          </w:p>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良评分标准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方案较符合实际、较完整规范、思路较清晰，内容合理性较强，得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中评分标准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方案较普通、完整性规范性一般，思路不够清晰，内容合理性一般，得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差评分标准：方案不完整、不规范，思路不清晰，内容合理性较差或未提供，不得分。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档案管理及保密措施</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3</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wordWrap/>
              <w:overflowPunct/>
              <w:topLinePunct w:val="0"/>
              <w:autoSpaceDE/>
              <w:autoSpaceDN/>
              <w:bidi w:val="0"/>
              <w:spacing w:beforeAutospacing="0" w:afterAutospacing="0" w:line="24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考察内容：</w:t>
            </w:r>
          </w:p>
          <w:p>
            <w:pPr>
              <w:wordWrap/>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针对本项目的需求制定档案管理及保密措施，内容包括但不限于：</w:t>
            </w:r>
          </w:p>
          <w:p>
            <w:pPr>
              <w:wordWrap/>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档案管理措施；</w:t>
            </w:r>
          </w:p>
          <w:p>
            <w:pPr>
              <w:wordWrap/>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保密措施。</w:t>
            </w:r>
          </w:p>
          <w:p>
            <w:pPr>
              <w:pageBreakBefore w:val="0"/>
              <w:kinsoku/>
              <w:wordWrap/>
              <w:overflowPunct/>
              <w:topLinePunct w:val="0"/>
              <w:autoSpaceDE/>
              <w:autoSpaceDN/>
              <w:bidi w:val="0"/>
              <w:adjustRightInd/>
              <w:spacing w:beforeAutospacing="0" w:afterAutospacing="0" w:line="240" w:lineRule="auto"/>
              <w:ind w:left="0" w:leftChars="0" w:right="0" w:firstLine="0" w:firstLineChars="0"/>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评审标准：</w:t>
            </w:r>
          </w:p>
          <w:p>
            <w:pPr>
              <w:pageBreakBefore w:val="0"/>
              <w:kinsoku/>
              <w:wordWrap/>
              <w:overflowPunct/>
              <w:topLinePunct w:val="0"/>
              <w:autoSpaceDE/>
              <w:autoSpaceDN/>
              <w:bidi w:val="0"/>
              <w:spacing w:beforeAutospacing="0" w:afterAutospacing="0" w:line="24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1.提供以上</w:t>
            </w:r>
            <w:r>
              <w:rPr>
                <w:rFonts w:hint="eastAsia" w:ascii="宋体" w:hAnsi="宋体" w:eastAsia="宋体" w:cs="宋体"/>
                <w:sz w:val="21"/>
                <w:szCs w:val="21"/>
                <w:highlight w:val="none"/>
                <w:lang w:val="en-US" w:eastAsia="zh-CN"/>
              </w:rPr>
              <w:t>任意</w:t>
            </w:r>
            <w:r>
              <w:rPr>
                <w:rFonts w:hint="eastAsia" w:ascii="宋体" w:hAnsi="宋体" w:eastAsia="宋体" w:cs="宋体"/>
                <w:sz w:val="21"/>
                <w:szCs w:val="21"/>
                <w:highlight w:val="none"/>
              </w:rPr>
              <w:t>1项内容得</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分，本项最高得</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p>
            <w:pPr>
              <w:pageBreakBefore w:val="0"/>
              <w:kinsoku/>
              <w:wordWrap/>
              <w:overflowPunct/>
              <w:topLinePunct w:val="0"/>
              <w:autoSpaceDE/>
              <w:autoSpaceDN/>
              <w:bidi w:val="0"/>
              <w:spacing w:beforeAutospacing="0" w:afterAutospacing="0" w:line="240" w:lineRule="auto"/>
              <w:ind w:left="0" w:leftChars="0" w:right="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2.在此基础上，专家根据内容的合理性进行评分</w:t>
            </w:r>
            <w:r>
              <w:rPr>
                <w:rFonts w:hint="eastAsia" w:ascii="宋体" w:hAnsi="宋体" w:eastAsia="宋体" w:cs="宋体"/>
                <w:sz w:val="21"/>
                <w:szCs w:val="21"/>
                <w:highlight w:val="none"/>
                <w:lang w:eastAsia="zh-CN"/>
              </w:rPr>
              <w:t>：</w:t>
            </w:r>
          </w:p>
          <w:p>
            <w:pPr>
              <w:pageBreakBefore w:val="0"/>
              <w:kinsoku/>
              <w:wordWrap/>
              <w:overflowPunct/>
              <w:topLinePunct w:val="0"/>
              <w:autoSpaceDE/>
              <w:autoSpaceDN/>
              <w:bidi w:val="0"/>
              <w:spacing w:beforeAutospacing="0" w:afterAutospacing="0" w:line="240" w:lineRule="auto"/>
              <w:ind w:left="0" w:leftChars="0" w:right="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优评分标准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方案符合实际、完整、规范、思路清晰，内容合理性强，得</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分；</w:t>
            </w:r>
          </w:p>
          <w:p>
            <w:pPr>
              <w:pageBreakBefore w:val="0"/>
              <w:kinsoku/>
              <w:wordWrap/>
              <w:overflowPunct/>
              <w:topLinePunct w:val="0"/>
              <w:autoSpaceDE/>
              <w:autoSpaceDN/>
              <w:bidi w:val="0"/>
              <w:spacing w:beforeAutospacing="0" w:afterAutospacing="0" w:line="240" w:lineRule="auto"/>
              <w:ind w:left="0" w:leftChars="0" w:right="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良评分标准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方案较符合实际、较完整规范、思路较清晰，内容合理性较强，得</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pageBreakBefore w:val="0"/>
              <w:kinsoku/>
              <w:wordWrap/>
              <w:overflowPunct/>
              <w:topLinePunct w:val="0"/>
              <w:autoSpaceDE/>
              <w:autoSpaceDN/>
              <w:bidi w:val="0"/>
              <w:spacing w:beforeAutospacing="0" w:afterAutospacing="0" w:line="240" w:lineRule="auto"/>
              <w:ind w:left="0" w:leftChars="0" w:right="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中评分标准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方案较普通、完整性规范性一般，思路不够清晰，内容合理性一般，得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pageBreakBefore w:val="0"/>
              <w:kinsoku/>
              <w:wordWrap/>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差评分标准：方案不完整、不规范，思路不清晰，内容合理性较差或未提供，不得分。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项目完成（服务期满）后的服务承诺</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考察内容：</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投标人承诺以下全部四项的得</w:t>
            </w:r>
            <w:r>
              <w:rPr>
                <w:rFonts w:hint="eastAsia" w:ascii="宋体" w:hAnsi="宋体" w:eastAsia="宋体" w:cs="宋体"/>
                <w:sz w:val="21"/>
                <w:szCs w:val="21"/>
                <w:highlight w:val="none"/>
                <w:u w:val="none"/>
                <w:lang w:val="en-US" w:eastAsia="zh-CN"/>
              </w:rPr>
              <w:t>100</w:t>
            </w:r>
            <w:r>
              <w:rPr>
                <w:rFonts w:hint="eastAsia" w:ascii="宋体" w:hAnsi="宋体" w:eastAsia="宋体" w:cs="宋体"/>
                <w:sz w:val="21"/>
                <w:szCs w:val="21"/>
                <w:highlight w:val="none"/>
                <w:u w:val="none"/>
              </w:rPr>
              <w:t>分，否则不得分。</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rPr>
              <w:t>承诺服务期满后主动离岗；</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rPr>
              <w:t>承诺与后续中标人进行工作交接；</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rPr>
              <w:t>承诺服务期满后，在后续中标人未到位前仍按原合同约定提供服务；</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承诺合同终止后，履行附随义务。</w:t>
            </w:r>
          </w:p>
          <w:p>
            <w:pPr>
              <w:pageBreakBefore w:val="0"/>
              <w:kinsoku/>
              <w:wordWrap w:val="0"/>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评审标准</w:t>
            </w:r>
            <w:r>
              <w:rPr>
                <w:rFonts w:hint="eastAsia" w:ascii="宋体" w:hAnsi="宋体" w:eastAsia="宋体" w:cs="宋体"/>
                <w:sz w:val="21"/>
                <w:szCs w:val="21"/>
                <w:highlight w:val="none"/>
              </w:rPr>
              <w:t>：</w:t>
            </w:r>
          </w:p>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投标人承诺以上全部</w:t>
            </w: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项的得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分，提供承诺</w:t>
            </w:r>
            <w:r>
              <w:rPr>
                <w:rFonts w:hint="eastAsia" w:ascii="宋体" w:hAnsi="宋体" w:eastAsia="宋体" w:cs="宋体"/>
                <w:color w:val="000000" w:themeColor="text1"/>
                <w:sz w:val="21"/>
                <w:szCs w:val="21"/>
                <w:highlight w:val="none"/>
                <w:lang w:eastAsia="zh-CN"/>
                <w14:textFill>
                  <w14:solidFill>
                    <w14:schemeClr w14:val="tx1"/>
                  </w14:solidFill>
                </w14:textFill>
              </w:rPr>
              <w:t>函</w:t>
            </w:r>
            <w:r>
              <w:rPr>
                <w:rFonts w:hint="eastAsia" w:ascii="宋体" w:hAnsi="宋体" w:eastAsia="宋体" w:cs="宋体"/>
                <w:color w:val="000000" w:themeColor="text1"/>
                <w:sz w:val="21"/>
                <w:szCs w:val="21"/>
                <w:highlight w:val="none"/>
                <w14:textFill>
                  <w14:solidFill>
                    <w14:schemeClr w14:val="tx1"/>
                  </w14:solidFill>
                </w14:textFill>
              </w:rPr>
              <w:t>（格式自</w:t>
            </w:r>
            <w:r>
              <w:rPr>
                <w:rFonts w:hint="eastAsia" w:ascii="宋体" w:hAnsi="宋体" w:eastAsia="宋体" w:cs="宋体"/>
                <w:color w:val="000000" w:themeColor="text1"/>
                <w:sz w:val="21"/>
                <w:szCs w:val="21"/>
                <w:highlight w:val="none"/>
                <w:lang w:eastAsia="zh-CN"/>
                <w14:textFill>
                  <w14:solidFill>
                    <w14:schemeClr w14:val="tx1"/>
                  </w14:solidFill>
                </w14:textFill>
              </w:rPr>
              <w:t>拟</w:t>
            </w:r>
            <w:bookmarkStart w:id="6" w:name="OLE_LINK2"/>
            <w:r>
              <w:rPr>
                <w:rFonts w:hint="eastAsia" w:ascii="宋体" w:hAnsi="宋体" w:eastAsia="宋体" w:cs="宋体"/>
                <w:color w:val="000000" w:themeColor="text1"/>
                <w:sz w:val="21"/>
                <w:szCs w:val="21"/>
                <w:highlight w:val="none"/>
                <w:lang w:eastAsia="zh-CN"/>
                <w14:textFill>
                  <w14:solidFill>
                    <w14:schemeClr w14:val="tx1"/>
                  </w14:solidFill>
                </w14:textFill>
              </w:rPr>
              <w:t>，并加盖投标人</w:t>
            </w:r>
            <w:bookmarkEnd w:id="6"/>
            <w:r>
              <w:rPr>
                <w:rFonts w:hint="eastAsia" w:ascii="宋体" w:hAnsi="宋体" w:eastAsia="宋体" w:cs="宋体"/>
                <w:color w:val="000000" w:themeColor="text1"/>
                <w:sz w:val="21"/>
                <w:szCs w:val="21"/>
                <w:highlight w:val="none"/>
                <w:lang w:eastAsia="zh-CN"/>
                <w14:textFill>
                  <w14:solidFill>
                    <w14:schemeClr w14:val="tx1"/>
                  </w14:solidFill>
                </w14:textFill>
              </w:rPr>
              <w:t>公章）</w:t>
            </w:r>
            <w:r>
              <w:rPr>
                <w:rFonts w:hint="eastAsia" w:ascii="宋体" w:hAnsi="宋体" w:eastAsia="宋体" w:cs="宋体"/>
                <w:color w:val="000000" w:themeColor="text1"/>
                <w:sz w:val="21"/>
                <w:szCs w:val="21"/>
                <w:highlight w:val="none"/>
                <w14:textFill>
                  <w14:solidFill>
                    <w14:schemeClr w14:val="tx1"/>
                  </w14:solidFill>
                </w14:textFill>
              </w:rPr>
              <w:t>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违约承诺</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考察内容：</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1.服务质量达到招标文件要求；</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2.对未能达到的管理要求承担管理责任。</w:t>
            </w:r>
          </w:p>
          <w:p>
            <w:pPr>
              <w:pageBreakBefore w:val="0"/>
              <w:kinsoku/>
              <w:wordWrap w:val="0"/>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证明文件</w:t>
            </w:r>
            <w:r>
              <w:rPr>
                <w:rFonts w:hint="eastAsia" w:ascii="宋体" w:hAnsi="宋体" w:eastAsia="宋体" w:cs="宋体"/>
                <w:sz w:val="21"/>
                <w:szCs w:val="21"/>
                <w:highlight w:val="none"/>
              </w:rPr>
              <w:t>：</w:t>
            </w:r>
          </w:p>
          <w:p>
            <w:pPr>
              <w:pageBreakBefore w:val="0"/>
              <w:kinsoku/>
              <w:wordWrap w:val="0"/>
              <w:overflowPunct/>
              <w:topLinePunct w:val="0"/>
              <w:autoSpaceDE/>
              <w:autoSpaceDN/>
              <w:bidi w:val="0"/>
              <w:spacing w:beforeAutospacing="0" w:afterAutospacing="0" w:line="240" w:lineRule="auto"/>
              <w:ind w:left="0" w:leftChars="0" w:right="0" w:rightChars="0" w:firstLine="0" w:firstLineChars="0"/>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投标人承诺以上全部二项的得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分，提供承诺</w:t>
            </w:r>
            <w:r>
              <w:rPr>
                <w:rFonts w:hint="eastAsia" w:ascii="宋体" w:hAnsi="宋体" w:eastAsia="宋体" w:cs="宋体"/>
                <w:color w:val="000000" w:themeColor="text1"/>
                <w:sz w:val="21"/>
                <w:szCs w:val="21"/>
                <w:highlight w:val="none"/>
                <w:lang w:eastAsia="zh-CN"/>
                <w14:textFill>
                  <w14:solidFill>
                    <w14:schemeClr w14:val="tx1"/>
                  </w14:solidFill>
                </w14:textFill>
              </w:rPr>
              <w:t>函</w:t>
            </w:r>
            <w:r>
              <w:rPr>
                <w:rFonts w:hint="eastAsia" w:ascii="宋体" w:hAnsi="宋体" w:eastAsia="宋体" w:cs="宋体"/>
                <w:color w:val="000000" w:themeColor="text1"/>
                <w:sz w:val="21"/>
                <w:szCs w:val="21"/>
                <w:highlight w:val="none"/>
                <w14:textFill>
                  <w14:solidFill>
                    <w14:schemeClr w14:val="tx1"/>
                  </w14:solidFill>
                </w14:textFill>
              </w:rPr>
              <w:t>（格式自</w:t>
            </w:r>
            <w:r>
              <w:rPr>
                <w:rFonts w:hint="eastAsia" w:ascii="宋体" w:hAnsi="宋体" w:eastAsia="宋体" w:cs="宋体"/>
                <w:color w:val="000000" w:themeColor="text1"/>
                <w:sz w:val="21"/>
                <w:szCs w:val="21"/>
                <w:highlight w:val="none"/>
                <w:lang w:eastAsia="zh-CN"/>
                <w14:textFill>
                  <w14:solidFill>
                    <w14:schemeClr w14:val="tx1"/>
                  </w14:solidFill>
                </w14:textFill>
              </w:rPr>
              <w:t>拟，并加盖投标人公章）</w:t>
            </w:r>
            <w:r>
              <w:rPr>
                <w:rFonts w:hint="eastAsia" w:ascii="宋体" w:hAnsi="宋体" w:eastAsia="宋体" w:cs="宋体"/>
                <w:color w:val="000000" w:themeColor="text1"/>
                <w:sz w:val="21"/>
                <w:szCs w:val="21"/>
                <w:highlight w:val="none"/>
                <w14:textFill>
                  <w14:solidFill>
                    <w14:schemeClr w14:val="tx1"/>
                  </w14:solidFill>
                </w14:textFill>
              </w:rPr>
              <w:t>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拟安排项目负责人情况（仅限1人）</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10</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考察内容：</w:t>
            </w:r>
          </w:p>
          <w:p>
            <w:pPr>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w:t>
            </w:r>
            <w:r>
              <w:rPr>
                <w:rFonts w:hint="eastAsia" w:ascii="宋体" w:hAnsi="宋体" w:eastAsia="宋体" w:cs="宋体"/>
                <w:color w:val="000000" w:themeColor="text1"/>
                <w:sz w:val="21"/>
                <w:szCs w:val="21"/>
                <w:highlight w:val="none"/>
                <w:lang w:eastAsia="zh-CN"/>
                <w14:textFill>
                  <w14:solidFill>
                    <w14:schemeClr w14:val="tx1"/>
                  </w14:solidFill>
                </w14:textFill>
              </w:rPr>
              <w:t>为</w:t>
            </w:r>
            <w:r>
              <w:rPr>
                <w:rFonts w:hint="eastAsia" w:ascii="宋体" w:hAnsi="宋体" w:eastAsia="宋体" w:cs="宋体"/>
                <w:color w:val="000000" w:themeColor="text1"/>
                <w:sz w:val="21"/>
                <w:szCs w:val="21"/>
                <w:highlight w:val="none"/>
                <w14:textFill>
                  <w14:solidFill>
                    <w14:schemeClr w14:val="tx1"/>
                  </w14:solidFill>
                </w14:textFill>
              </w:rPr>
              <w:t>投标人的自有员工（提供社保</w:t>
            </w:r>
            <w:r>
              <w:rPr>
                <w:rFonts w:hint="eastAsia" w:ascii="宋体" w:hAnsi="宋体" w:eastAsia="宋体" w:cs="宋体"/>
                <w:color w:val="000000" w:themeColor="text1"/>
                <w:sz w:val="21"/>
                <w:szCs w:val="21"/>
                <w:highlight w:val="none"/>
                <w:lang w:eastAsia="zh-CN"/>
                <w14:textFill>
                  <w14:solidFill>
                    <w14:schemeClr w14:val="tx1"/>
                  </w14:solidFill>
                </w14:textFill>
              </w:rPr>
              <w:t>证明</w:t>
            </w:r>
            <w:r>
              <w:rPr>
                <w:rFonts w:hint="eastAsia" w:ascii="宋体" w:hAnsi="宋体" w:eastAsia="宋体" w:cs="宋体"/>
                <w:color w:val="000000" w:themeColor="text1"/>
                <w:sz w:val="21"/>
                <w:szCs w:val="21"/>
                <w:highlight w:val="none"/>
                <w14:textFill>
                  <w14:solidFill>
                    <w14:schemeClr w14:val="tx1"/>
                  </w14:solidFill>
                </w14:textFill>
              </w:rPr>
              <w:t>）且具备律师执业证，否则本项不得分，在此基础上：</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1.项目负责人具有法学类研究生学历，得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2.项目负责人取得律师执业证</w:t>
            </w:r>
            <w:r>
              <w:rPr>
                <w:rFonts w:hint="eastAsia" w:ascii="宋体" w:hAnsi="宋体" w:eastAsia="宋体" w:cs="宋体"/>
                <w:color w:val="000000" w:themeColor="text1"/>
                <w:sz w:val="21"/>
                <w:szCs w:val="21"/>
                <w:highlight w:val="none"/>
                <w:lang w:eastAsia="zh-CN"/>
                <w14:textFill>
                  <w14:solidFill>
                    <w14:schemeClr w14:val="tx1"/>
                  </w14:solidFill>
                </w14:textFill>
              </w:rPr>
              <w:t>时间：</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①5</w:t>
            </w:r>
            <w:r>
              <w:rPr>
                <w:rFonts w:hint="eastAsia" w:ascii="宋体" w:hAnsi="宋体" w:eastAsia="宋体" w:cs="宋体"/>
                <w:color w:val="000000" w:themeColor="text1"/>
                <w:sz w:val="21"/>
                <w:szCs w:val="21"/>
                <w:highlight w:val="none"/>
                <w14:textFill>
                  <w14:solidFill>
                    <w14:schemeClr w14:val="tx1"/>
                  </w14:solidFill>
                </w14:textFill>
              </w:rPr>
              <w:t>年≤律师执业证时间＜10年的，得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14:textFill>
                  <w14:solidFill>
                    <w14:schemeClr w14:val="tx1"/>
                  </w14:solidFill>
                </w14:textFill>
              </w:rPr>
              <w:t>10年≤律师执业证时间＜20年的，得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③20年≤律师执业证时间，得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本小项最高得</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自20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bCs/>
                <w:color w:val="000000" w:themeColor="text1"/>
                <w:sz w:val="21"/>
                <w:szCs w:val="21"/>
                <w:highlight w:val="none"/>
                <w14:textFill>
                  <w14:solidFill>
                    <w14:schemeClr w14:val="tx1"/>
                  </w14:solidFill>
                </w14:textFill>
              </w:rPr>
              <w:t>年1月1日起至本项目开标日止（以合同签订时间为准），</w:t>
            </w:r>
            <w:r>
              <w:rPr>
                <w:rFonts w:hint="eastAsia" w:ascii="宋体" w:hAnsi="宋体" w:eastAsia="宋体" w:cs="宋体"/>
                <w:color w:val="000000" w:themeColor="text1"/>
                <w:sz w:val="21"/>
                <w:szCs w:val="21"/>
                <w:highlight w:val="none"/>
                <w:lang w:val="en-US" w:eastAsia="zh-CN"/>
                <w14:textFill>
                  <w14:solidFill>
                    <w14:schemeClr w14:val="tx1"/>
                  </w14:solidFill>
                </w14:textFill>
              </w:rPr>
              <w:t>其中：</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①具有区级或以上工会法律顾问服务经验的，每提供一个得15分，本小项最高得30分；</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②具有除工会以外的其他区级或以上行政机关或事业单位法律顾问服务经验的，每提供一个得5分，本小项最高得30分。</w:t>
            </w:r>
          </w:p>
          <w:p>
            <w:pPr>
              <w:pStyle w:val="15"/>
              <w:spacing w:line="240" w:lineRule="auto"/>
              <w:rPr>
                <w:rFonts w:hint="eastAsia" w:ascii="宋体" w:hAnsi="宋体" w:eastAsia="宋体" w:cs="宋体"/>
                <w:sz w:val="21"/>
                <w:szCs w:val="21"/>
                <w:highlight w:val="none"/>
                <w:lang w:val="en-US"/>
              </w:rPr>
            </w:pPr>
            <w:r>
              <w:rPr>
                <w:rFonts w:hint="eastAsia" w:ascii="宋体" w:hAnsi="宋体" w:eastAsia="宋体" w:cs="宋体"/>
                <w:color w:val="000000" w:themeColor="text1"/>
                <w:sz w:val="21"/>
                <w:szCs w:val="21"/>
                <w:highlight w:val="none"/>
                <w14:textFill>
                  <w14:solidFill>
                    <w14:schemeClr w14:val="tx1"/>
                  </w14:solidFill>
                </w14:textFill>
              </w:rPr>
              <w:t>以上1-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项累计最高得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wordWrap w:val="0"/>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证明文件</w:t>
            </w:r>
            <w:r>
              <w:rPr>
                <w:rFonts w:hint="eastAsia" w:ascii="宋体" w:hAnsi="宋体" w:eastAsia="宋体" w:cs="宋体"/>
                <w:sz w:val="21"/>
                <w:szCs w:val="21"/>
                <w:highlight w:val="none"/>
              </w:rPr>
              <w:t>：</w:t>
            </w:r>
          </w:p>
          <w:p>
            <w:pPr>
              <w:numPr>
                <w:ilvl w:val="-1"/>
                <w:numId w:val="0"/>
              </w:num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提供开标日前由投标人为</w:t>
            </w:r>
            <w:r>
              <w:rPr>
                <w:rFonts w:hint="eastAsia" w:ascii="宋体" w:hAnsi="宋体" w:eastAsia="宋体" w:cs="宋体"/>
                <w:color w:val="000000" w:themeColor="text1"/>
                <w:sz w:val="21"/>
                <w:szCs w:val="21"/>
                <w:highlight w:val="none"/>
                <w:lang w:eastAsia="zh-CN"/>
                <w14:textFill>
                  <w14:solidFill>
                    <w14:schemeClr w14:val="tx1"/>
                  </w14:solidFill>
                </w14:textFill>
              </w:rPr>
              <w:t>相关人员</w:t>
            </w:r>
            <w:r>
              <w:rPr>
                <w:rFonts w:hint="eastAsia" w:ascii="宋体" w:hAnsi="宋体" w:eastAsia="宋体" w:cs="宋体"/>
                <w:color w:val="000000" w:themeColor="text1"/>
                <w:sz w:val="21"/>
                <w:szCs w:val="21"/>
                <w:highlight w:val="none"/>
                <w14:textFill>
                  <w14:solidFill>
                    <w14:schemeClr w14:val="tx1"/>
                  </w14:solidFill>
                </w14:textFill>
              </w:rPr>
              <w:t>缴交的载有政府部门公章（或专用章）的202</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月的社保缴交证明材料（已退休返聘人员需提供聘用合同），如开标日上一个月的社保材料因政府部门原因暂时无法取得，则可以往前顺延一个月；</w:t>
            </w:r>
            <w:r>
              <w:rPr>
                <w:rFonts w:hint="eastAsia" w:ascii="宋体" w:hAnsi="宋体" w:eastAsia="宋体" w:cs="宋体"/>
                <w:sz w:val="21"/>
                <w:szCs w:val="21"/>
                <w:highlight w:val="none"/>
              </w:rPr>
              <w:t>如投标人注册成立时间不足</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个月的，可提供承诺函（格式自拟）。</w:t>
            </w:r>
          </w:p>
          <w:p>
            <w:pPr>
              <w:wordWrap w:val="0"/>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（评分1）</w:t>
            </w:r>
            <w:r>
              <w:rPr>
                <w:rFonts w:hint="eastAsia" w:ascii="宋体" w:hAnsi="宋体" w:eastAsia="宋体" w:cs="宋体"/>
                <w:color w:val="000000" w:themeColor="text1"/>
                <w:sz w:val="21"/>
                <w:szCs w:val="21"/>
                <w:highlight w:val="none"/>
                <w14:textFill>
                  <w14:solidFill>
                    <w14:schemeClr w14:val="tx1"/>
                  </w14:solidFill>
                </w14:textFill>
              </w:rPr>
              <w:t>提供学历证书</w:t>
            </w:r>
            <w:r>
              <w:rPr>
                <w:rFonts w:hint="eastAsia" w:ascii="宋体" w:hAnsi="宋体" w:eastAsia="宋体" w:cs="宋体"/>
                <w:b/>
                <w:bCs/>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学历信息在学信网查询结果截图（https://www.chsi.com.cn/xlcx/index.jsp）官网查询截图，由于日期较早无法查询的，需提供毕业院校或者人社部门出具的证明，国外学历证书提供教育部留学服务中心出具的国外学历认证书以及教育部留学服务中心官网查询截图（查询网址：http://zwfw.cscse.edu.cn/）；</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（评分2）</w:t>
            </w:r>
            <w:r>
              <w:rPr>
                <w:rFonts w:hint="eastAsia" w:ascii="宋体" w:hAnsi="宋体" w:eastAsia="宋体" w:cs="宋体"/>
                <w:color w:val="000000" w:themeColor="text1"/>
                <w:sz w:val="21"/>
                <w:szCs w:val="21"/>
                <w:highlight w:val="none"/>
                <w14:textFill>
                  <w14:solidFill>
                    <w14:schemeClr w14:val="tx1"/>
                  </w14:solidFill>
                </w14:textFill>
              </w:rPr>
              <w:t>提供律师执业证</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司法行政部门或律师行业协会出具的律师执业年限证明文件。</w:t>
            </w:r>
          </w:p>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（评分3）</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项目负责人参与过区级或以上工会、或其他区级或以上</w:t>
            </w:r>
            <w:r>
              <w:rPr>
                <w:rFonts w:hint="eastAsia" w:ascii="宋体" w:hAnsi="宋体" w:eastAsia="宋体" w:cs="宋体"/>
                <w:color w:val="000000" w:themeColor="text1"/>
                <w:sz w:val="21"/>
                <w:szCs w:val="21"/>
                <w:highlight w:val="none"/>
                <w14:textFill>
                  <w14:solidFill>
                    <w14:schemeClr w14:val="tx1"/>
                  </w14:solidFill>
                </w14:textFill>
              </w:rPr>
              <w:t>行政机关或事业单位法律</w:t>
            </w:r>
            <w:r>
              <w:rPr>
                <w:rFonts w:hint="eastAsia" w:ascii="宋体" w:hAnsi="宋体" w:eastAsia="宋体" w:cs="宋体"/>
                <w:color w:val="000000" w:themeColor="text1"/>
                <w:sz w:val="21"/>
                <w:szCs w:val="21"/>
                <w:highlight w:val="none"/>
                <w:lang w:val="en-US" w:eastAsia="zh-CN"/>
                <w14:textFill>
                  <w14:solidFill>
                    <w14:schemeClr w14:val="tx1"/>
                  </w14:solidFill>
                </w14:textFill>
              </w:rPr>
              <w:t>顾问服务</w:t>
            </w:r>
            <w:r>
              <w:rPr>
                <w:rFonts w:hint="eastAsia" w:ascii="宋体" w:hAnsi="宋体" w:eastAsia="宋体" w:cs="宋体"/>
                <w:color w:val="000000" w:themeColor="text1"/>
                <w:sz w:val="21"/>
                <w:szCs w:val="21"/>
                <w:highlight w:val="none"/>
                <w14:textFill>
                  <w14:solidFill>
                    <w14:schemeClr w14:val="tx1"/>
                  </w14:solidFill>
                </w14:textFill>
              </w:rPr>
              <w:t>经验</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的合同关键页</w:t>
            </w:r>
            <w:r>
              <w:rPr>
                <w:rFonts w:hint="eastAsia" w:ascii="宋体" w:hAnsi="宋体" w:eastAsia="宋体" w:cs="宋体"/>
                <w:color w:val="000000" w:themeColor="text1"/>
                <w:sz w:val="21"/>
                <w:szCs w:val="21"/>
                <w:highlight w:val="none"/>
                <w14:textFill>
                  <w14:solidFill>
                    <w14:schemeClr w14:val="tx1"/>
                  </w14:solidFill>
                </w14:textFill>
              </w:rPr>
              <w:t>（含签订合同双方的单位名称、合同项目名称与含签订合同双方的落款盖章、签订日期的关键页）</w:t>
            </w:r>
            <w:r>
              <w:rPr>
                <w:rFonts w:hint="eastAsia" w:ascii="宋体" w:hAnsi="宋体" w:eastAsia="宋体" w:cs="宋体"/>
                <w:color w:val="000000" w:themeColor="text1"/>
                <w:sz w:val="21"/>
                <w:szCs w:val="21"/>
                <w:highlight w:val="none"/>
                <w:lang w:eastAsia="zh-CN"/>
                <w14:textFill>
                  <w14:solidFill>
                    <w14:schemeClr w14:val="tx1"/>
                  </w14:solidFill>
                </w14:textFill>
              </w:rPr>
              <w:t>，若合同无法体现的还需提供</w:t>
            </w:r>
            <w:r>
              <w:rPr>
                <w:rFonts w:hint="eastAsia" w:hAnsi="宋体" w:eastAsia="宋体" w:cs="宋体"/>
                <w:color w:val="000000" w:themeColor="text1"/>
                <w:sz w:val="21"/>
                <w:szCs w:val="21"/>
                <w:highlight w:val="none"/>
                <w:lang w:eastAsia="zh-CN"/>
                <w14:textFill>
                  <w14:solidFill>
                    <w14:schemeClr w14:val="tx1"/>
                  </w14:solidFill>
                </w14:textFill>
              </w:rPr>
              <w:t>甲方出具的</w:t>
            </w:r>
            <w:r>
              <w:rPr>
                <w:rFonts w:hint="eastAsia" w:ascii="宋体" w:hAnsi="宋体" w:eastAsia="宋体" w:cs="宋体"/>
                <w:color w:val="000000" w:themeColor="text1"/>
                <w:sz w:val="21"/>
                <w:szCs w:val="21"/>
                <w:highlight w:val="none"/>
                <w:lang w:eastAsia="zh-CN"/>
                <w14:textFill>
                  <w14:solidFill>
                    <w14:schemeClr w14:val="tx1"/>
                  </w14:solidFill>
                </w14:textFill>
              </w:rPr>
              <w:t>证明文件。</w:t>
            </w:r>
          </w:p>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以上资料均要求提供</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，原件备查，证明文件未按要求提供相关材料或</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不清晰导致无法识别的不计得分。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拟安排的</w:t>
            </w:r>
            <w:r>
              <w:rPr>
                <w:rFonts w:hint="eastAsia" w:ascii="宋体" w:hAnsi="宋体" w:eastAsia="宋体" w:cs="宋体"/>
                <w:b/>
                <w:bCs/>
                <w:sz w:val="21"/>
                <w:szCs w:val="21"/>
                <w:highlight w:val="none"/>
              </w:rPr>
              <w:t>项目团队成员</w:t>
            </w:r>
            <w:r>
              <w:rPr>
                <w:rFonts w:hint="eastAsia" w:ascii="宋体" w:hAnsi="宋体" w:eastAsia="宋体" w:cs="宋体"/>
                <w:sz w:val="21"/>
                <w:szCs w:val="21"/>
                <w:highlight w:val="none"/>
              </w:rPr>
              <w:t>（项目负责人除外）情况</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15</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考察内容：</w:t>
            </w:r>
          </w:p>
          <w:p>
            <w:pPr>
              <w:pageBreakBefore w:val="0"/>
              <w:kinsoku/>
              <w:wordWrap w:val="0"/>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项目团队成员</w:t>
            </w:r>
            <w:r>
              <w:rPr>
                <w:rFonts w:hint="eastAsia" w:ascii="宋体" w:hAnsi="宋体" w:eastAsia="宋体" w:cs="宋体"/>
                <w:color w:val="000000" w:themeColor="text1"/>
                <w:sz w:val="21"/>
                <w:szCs w:val="21"/>
                <w:highlight w:val="none"/>
                <w:lang w:eastAsia="zh-CN"/>
                <w14:textFill>
                  <w14:solidFill>
                    <w14:schemeClr w14:val="tx1"/>
                  </w14:solidFill>
                </w14:textFill>
              </w:rPr>
              <w:t>为</w:t>
            </w:r>
            <w:r>
              <w:rPr>
                <w:rFonts w:hint="eastAsia" w:ascii="宋体" w:hAnsi="宋体" w:eastAsia="宋体" w:cs="宋体"/>
                <w:color w:val="000000" w:themeColor="text1"/>
                <w:sz w:val="21"/>
                <w:szCs w:val="21"/>
                <w:highlight w:val="none"/>
                <w14:textFill>
                  <w14:solidFill>
                    <w14:schemeClr w14:val="tx1"/>
                  </w14:solidFill>
                </w14:textFill>
              </w:rPr>
              <w:t>投标人的自有员工（提供社保</w:t>
            </w:r>
            <w:r>
              <w:rPr>
                <w:rFonts w:hint="eastAsia" w:ascii="宋体" w:hAnsi="宋体" w:eastAsia="宋体" w:cs="宋体"/>
                <w:color w:val="000000" w:themeColor="text1"/>
                <w:sz w:val="21"/>
                <w:szCs w:val="21"/>
                <w:highlight w:val="none"/>
                <w:lang w:eastAsia="zh-CN"/>
                <w14:textFill>
                  <w14:solidFill>
                    <w14:schemeClr w14:val="tx1"/>
                  </w14:solidFill>
                </w14:textFill>
              </w:rPr>
              <w:t>证明</w:t>
            </w:r>
            <w:r>
              <w:rPr>
                <w:rFonts w:hint="eastAsia" w:ascii="宋体" w:hAnsi="宋体" w:eastAsia="宋体" w:cs="宋体"/>
                <w:color w:val="000000" w:themeColor="text1"/>
                <w:sz w:val="21"/>
                <w:szCs w:val="21"/>
                <w:highlight w:val="none"/>
                <w14:textFill>
                  <w14:solidFill>
                    <w14:schemeClr w14:val="tx1"/>
                  </w14:solidFill>
                </w14:textFill>
              </w:rPr>
              <w:t>），否则本项不得分，在此基础上</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具有法学</w:t>
            </w:r>
            <w:r>
              <w:rPr>
                <w:rFonts w:hint="eastAsia" w:ascii="宋体" w:hAnsi="宋体" w:eastAsia="宋体" w:cs="宋体"/>
                <w:color w:val="000000" w:themeColor="text1"/>
                <w:sz w:val="21"/>
                <w:szCs w:val="21"/>
                <w:highlight w:val="none"/>
                <w:lang w:val="en-US" w:eastAsia="zh-CN"/>
                <w14:textFill>
                  <w14:solidFill>
                    <w14:schemeClr w14:val="tx1"/>
                  </w14:solidFill>
                </w14:textFill>
              </w:rPr>
              <w:t>类</w:t>
            </w:r>
            <w:r>
              <w:rPr>
                <w:rFonts w:hint="eastAsia" w:ascii="宋体" w:hAnsi="宋体" w:eastAsia="宋体" w:cs="宋体"/>
                <w:color w:val="000000" w:themeColor="text1"/>
                <w:sz w:val="21"/>
                <w:szCs w:val="21"/>
                <w:highlight w:val="none"/>
                <w14:textFill>
                  <w14:solidFill>
                    <w14:schemeClr w14:val="tx1"/>
                  </w14:solidFill>
                </w14:textFill>
              </w:rPr>
              <w:t>研究生学历的，每提供1名得</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分，最高</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wordWrap w:val="0"/>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具有律师执业证</w:t>
            </w:r>
            <w:r>
              <w:rPr>
                <w:rFonts w:hint="eastAsia" w:ascii="宋体" w:hAnsi="宋体" w:eastAsia="宋体" w:cs="宋体"/>
                <w:color w:val="000000" w:themeColor="text1"/>
                <w:sz w:val="21"/>
                <w:szCs w:val="21"/>
                <w:highlight w:val="none"/>
                <w:lang w:val="en-US" w:eastAsia="zh-CN"/>
                <w14:textFill>
                  <w14:solidFill>
                    <w14:schemeClr w14:val="tx1"/>
                  </w14:solidFill>
                </w14:textFill>
              </w:rPr>
              <w:t>且执业年限满3年及以上的</w:t>
            </w:r>
            <w:r>
              <w:rPr>
                <w:rFonts w:hint="eastAsia" w:ascii="宋体" w:hAnsi="宋体" w:eastAsia="宋体" w:cs="宋体"/>
                <w:color w:val="000000" w:themeColor="text1"/>
                <w:sz w:val="21"/>
                <w:szCs w:val="21"/>
                <w:highlight w:val="none"/>
                <w14:textFill>
                  <w14:solidFill>
                    <w14:schemeClr w14:val="tx1"/>
                  </w14:solidFill>
                </w14:textFill>
              </w:rPr>
              <w:t>，每提供1名得</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分，最高</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wordWrap w:val="0"/>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担任街道或以上劳动争议调解组织劳动争议调解员经验的</w:t>
            </w:r>
            <w:r>
              <w:rPr>
                <w:rFonts w:hint="eastAsia" w:ascii="宋体" w:hAnsi="宋体" w:eastAsia="宋体" w:cs="宋体"/>
                <w:color w:val="000000" w:themeColor="text1"/>
                <w:sz w:val="21"/>
                <w:szCs w:val="21"/>
                <w:highlight w:val="none"/>
                <w14:textFill>
                  <w14:solidFill>
                    <w14:schemeClr w14:val="tx1"/>
                  </w14:solidFill>
                </w14:textFill>
              </w:rPr>
              <w:t>，每提供1名得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wordWrap w:val="0"/>
              <w:overflowPunct/>
              <w:topLinePunct w:val="0"/>
              <w:autoSpaceDE/>
              <w:autoSpaceDN/>
              <w:bidi w:val="0"/>
              <w:adjustRightInd/>
              <w:spacing w:beforeAutospacing="0" w:afterAutospacing="0" w:line="240" w:lineRule="auto"/>
              <w:ind w:left="0" w:leftChars="0" w:right="0" w:firstLine="0" w:firstLine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自20</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年1月1日起至本项目开标日止（以合同签订时间为准），具有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区级及以上工会法律服务经验的，</w:t>
            </w:r>
            <w:r>
              <w:rPr>
                <w:rFonts w:hint="eastAsia" w:ascii="宋体" w:hAnsi="宋体" w:eastAsia="宋体" w:cs="宋体"/>
                <w:color w:val="000000" w:themeColor="text1"/>
                <w:sz w:val="21"/>
                <w:szCs w:val="21"/>
                <w:highlight w:val="none"/>
                <w14:textFill>
                  <w14:solidFill>
                    <w14:schemeClr w14:val="tx1"/>
                  </w14:solidFill>
                </w14:textFill>
              </w:rPr>
              <w:t>每提供1名得</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同一人员具有多类工作经验的可重复计分；以上1-4项累计最高得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14:textFill>
                  <w14:solidFill>
                    <w14:schemeClr w14:val="tx1"/>
                  </w14:solidFill>
                </w14:textFill>
              </w:rPr>
              <w:t>分。</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证明文件</w:t>
            </w:r>
            <w:r>
              <w:rPr>
                <w:rFonts w:hint="eastAsia" w:ascii="宋体" w:hAnsi="宋体" w:eastAsia="宋体" w:cs="宋体"/>
                <w:b/>
                <w:bCs/>
                <w:sz w:val="21"/>
                <w:szCs w:val="21"/>
                <w:highlight w:val="none"/>
              </w:rPr>
              <w:t>：</w:t>
            </w:r>
          </w:p>
          <w:p>
            <w:pPr>
              <w:numPr>
                <w:ilvl w:val="0"/>
                <w:numId w:val="0"/>
              </w:num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1.提供开标日前由投标人为</w:t>
            </w:r>
            <w:r>
              <w:rPr>
                <w:rFonts w:hint="eastAsia" w:ascii="宋体" w:hAnsi="宋体" w:eastAsia="宋体" w:cs="宋体"/>
                <w:color w:val="000000" w:themeColor="text1"/>
                <w:sz w:val="21"/>
                <w:szCs w:val="21"/>
                <w:highlight w:val="none"/>
                <w:lang w:eastAsia="zh-CN"/>
                <w14:textFill>
                  <w14:solidFill>
                    <w14:schemeClr w14:val="tx1"/>
                  </w14:solidFill>
                </w14:textFill>
              </w:rPr>
              <w:t>相关人员</w:t>
            </w:r>
            <w:r>
              <w:rPr>
                <w:rFonts w:hint="eastAsia" w:ascii="宋体" w:hAnsi="宋体" w:eastAsia="宋体" w:cs="宋体"/>
                <w:color w:val="000000" w:themeColor="text1"/>
                <w:sz w:val="21"/>
                <w:szCs w:val="21"/>
                <w:highlight w:val="none"/>
                <w14:textFill>
                  <w14:solidFill>
                    <w14:schemeClr w14:val="tx1"/>
                  </w14:solidFill>
                </w14:textFill>
              </w:rPr>
              <w:t>缴交的载有政府部门公章（或专用章）的202</w:t>
            </w:r>
            <w:r>
              <w:rPr>
                <w:rFonts w:hint="eastAsia" w:ascii="宋体" w:hAnsi="宋体" w:eastAsia="宋体" w:cs="宋体"/>
                <w:color w:val="000000" w:themeColor="text1"/>
                <w:sz w:val="21"/>
                <w:szCs w:val="21"/>
                <w:highlight w:val="none"/>
                <w:lang w:val="en-US"/>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月的社保缴交证明材料（已退休返聘人员需提供聘用合同），如开标日上一个月的社保材料因政府部门原因暂时无法取得，则可以往前顺延一个月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sz w:val="21"/>
                <w:szCs w:val="21"/>
                <w:highlight w:val="none"/>
              </w:rPr>
              <w:t>如投标人注册成立时间不足</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个月的，可提供承诺函（格式自拟）。</w:t>
            </w:r>
          </w:p>
          <w:p>
            <w:pPr>
              <w:wordWrap w:val="0"/>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（评分1）</w:t>
            </w:r>
            <w:r>
              <w:rPr>
                <w:rFonts w:hint="eastAsia" w:ascii="宋体" w:hAnsi="宋体" w:eastAsia="宋体" w:cs="宋体"/>
                <w:color w:val="000000" w:themeColor="text1"/>
                <w:sz w:val="21"/>
                <w:szCs w:val="21"/>
                <w:highlight w:val="none"/>
                <w14:textFill>
                  <w14:solidFill>
                    <w14:schemeClr w14:val="tx1"/>
                  </w14:solidFill>
                </w14:textFill>
              </w:rPr>
              <w:t>提供学历证书</w:t>
            </w:r>
            <w:r>
              <w:rPr>
                <w:rFonts w:hint="eastAsia" w:ascii="宋体" w:hAnsi="宋体" w:eastAsia="宋体" w:cs="宋体"/>
                <w:b/>
                <w:bCs/>
                <w:color w:val="000000" w:themeColor="text1"/>
                <w:sz w:val="21"/>
                <w:szCs w:val="21"/>
                <w:highlight w:val="none"/>
                <w:lang w:eastAsia="zh-CN"/>
                <w14:textFill>
                  <w14:solidFill>
                    <w14:schemeClr w14:val="tx1"/>
                  </w14:solidFill>
                </w14:textFill>
              </w:rPr>
              <w:t>或</w:t>
            </w:r>
            <w:bookmarkStart w:id="111" w:name="_GoBack"/>
            <w:bookmarkEnd w:id="111"/>
            <w:r>
              <w:rPr>
                <w:rFonts w:hint="eastAsia" w:ascii="宋体" w:hAnsi="宋体" w:eastAsia="宋体" w:cs="宋体"/>
                <w:color w:val="000000" w:themeColor="text1"/>
                <w:sz w:val="21"/>
                <w:szCs w:val="21"/>
                <w:highlight w:val="none"/>
                <w14:textFill>
                  <w14:solidFill>
                    <w14:schemeClr w14:val="tx1"/>
                  </w14:solidFill>
                </w14:textFill>
              </w:rPr>
              <w:t>学历信息在学信网查询结果截图（https://www.chsi.com.cn/xlcx/index.jsp）官网查询截图，由于日期较早无法查询的，需提供毕业院校或者人社部门出具的证明，国外学历证书提供教育部留学服务中心出具的国外学历认证书以及教育部留学服务中心官网查询截图（查询网址：http://zwfw.cscse.edu.cn/）；</w:t>
            </w:r>
          </w:p>
          <w:p>
            <w:pPr>
              <w:spacing w:line="24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（评分2）</w:t>
            </w:r>
            <w:r>
              <w:rPr>
                <w:rFonts w:hint="eastAsia" w:ascii="宋体" w:hAnsi="宋体" w:eastAsia="宋体" w:cs="宋体"/>
                <w:color w:val="000000" w:themeColor="text1"/>
                <w:sz w:val="21"/>
                <w:szCs w:val="21"/>
                <w:highlight w:val="none"/>
                <w14:textFill>
                  <w14:solidFill>
                    <w14:schemeClr w14:val="tx1"/>
                  </w14:solidFill>
                </w14:textFill>
              </w:rPr>
              <w:t>提供律师执业证和司法行政部门或律师行业协会出具的律师执业年限证明文件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4.（评分3）</w:t>
            </w:r>
            <w:r>
              <w:rPr>
                <w:rFonts w:hint="eastAsia" w:ascii="宋体" w:hAnsi="宋体" w:eastAsia="宋体" w:cs="宋体"/>
                <w:color w:val="000000" w:themeColor="text1"/>
                <w:sz w:val="21"/>
                <w:szCs w:val="21"/>
                <w:lang w:val="en-US" w:eastAsia="zh-CN"/>
                <w14:textFill>
                  <w14:solidFill>
                    <w14:schemeClr w14:val="tx1"/>
                  </w14:solidFill>
                </w14:textFill>
              </w:rPr>
              <w:t>提供街道或以上人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劳动争议调解组织</w:t>
            </w:r>
            <w:r>
              <w:rPr>
                <w:rFonts w:hint="eastAsia" w:ascii="宋体" w:hAnsi="宋体" w:eastAsia="宋体" w:cs="宋体"/>
                <w:color w:val="000000" w:themeColor="text1"/>
                <w:sz w:val="21"/>
                <w:szCs w:val="21"/>
                <w:lang w:val="en-US" w:eastAsia="zh-CN"/>
                <w14:textFill>
                  <w14:solidFill>
                    <w14:schemeClr w14:val="tx1"/>
                  </w14:solidFill>
                </w14:textFill>
              </w:rPr>
              <w:t>出具的证明文件</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5.（评分4）</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相关人员参与</w:t>
            </w:r>
            <w:r>
              <w:rPr>
                <w:rFonts w:hint="eastAsia"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合同关键页</w:t>
            </w:r>
            <w:r>
              <w:rPr>
                <w:rFonts w:hint="eastAsia" w:ascii="宋体" w:hAnsi="宋体" w:eastAsia="宋体" w:cs="宋体"/>
                <w:color w:val="000000" w:themeColor="text1"/>
                <w:sz w:val="21"/>
                <w:szCs w:val="21"/>
                <w:highlight w:val="none"/>
                <w14:textFill>
                  <w14:solidFill>
                    <w14:schemeClr w14:val="tx1"/>
                  </w14:solidFill>
                </w14:textFill>
              </w:rPr>
              <w:t>（含签订合同双方的单位名称、合同项目名称与含签订合同双方的落款盖章、签订日期的关键页）</w:t>
            </w:r>
            <w:bookmarkStart w:id="7" w:name="OLE_LINK1"/>
            <w:r>
              <w:rPr>
                <w:rFonts w:hint="eastAsia" w:ascii="宋体" w:hAnsi="宋体" w:eastAsia="宋体" w:cs="宋体"/>
                <w:color w:val="000000" w:themeColor="text1"/>
                <w:sz w:val="21"/>
                <w:szCs w:val="21"/>
                <w:highlight w:val="none"/>
                <w:lang w:eastAsia="zh-CN"/>
                <w14:textFill>
                  <w14:solidFill>
                    <w14:schemeClr w14:val="tx1"/>
                  </w14:solidFill>
                </w14:textFill>
              </w:rPr>
              <w:t>，若合同无法体现的还需提供</w:t>
            </w:r>
            <w:r>
              <w:rPr>
                <w:rFonts w:hint="eastAsia" w:hAnsi="宋体" w:eastAsia="宋体" w:cs="宋体"/>
                <w:color w:val="000000" w:themeColor="text1"/>
                <w:sz w:val="21"/>
                <w:szCs w:val="21"/>
                <w:highlight w:val="none"/>
                <w:lang w:eastAsia="zh-CN"/>
                <w14:textFill>
                  <w14:solidFill>
                    <w14:schemeClr w14:val="tx1"/>
                  </w14:solidFill>
                </w14:textFill>
              </w:rPr>
              <w:t>甲方出具的</w:t>
            </w:r>
            <w:r>
              <w:rPr>
                <w:rFonts w:hint="eastAsia" w:ascii="宋体" w:hAnsi="宋体" w:eastAsia="宋体" w:cs="宋体"/>
                <w:color w:val="000000" w:themeColor="text1"/>
                <w:sz w:val="21"/>
                <w:szCs w:val="21"/>
                <w:highlight w:val="none"/>
                <w:lang w:eastAsia="zh-CN"/>
                <w14:textFill>
                  <w14:solidFill>
                    <w14:schemeClr w14:val="tx1"/>
                  </w14:solidFill>
                </w14:textFill>
              </w:rPr>
              <w:t>证明文件。</w:t>
            </w:r>
            <w:bookmarkEnd w:id="7"/>
          </w:p>
          <w:p>
            <w:pPr>
              <w:pageBreakBefore w:val="0"/>
              <w:kinsoku/>
              <w:wordWrap w:val="0"/>
              <w:overflowPunct/>
              <w:topLinePunct w:val="0"/>
              <w:autoSpaceDE/>
              <w:autoSpaceDN/>
              <w:bidi w:val="0"/>
              <w:spacing w:beforeAutospacing="0" w:afterAutospacing="0" w:line="240" w:lineRule="auto"/>
              <w:ind w:left="0" w:leftChars="0" w:right="0" w:rightChars="0" w:firstLine="0" w:firstLineChars="0"/>
              <w:jc w:val="left"/>
              <w:rPr>
                <w:rFonts w:hint="eastAsia" w:ascii="宋体" w:hAnsi="宋体" w:eastAsia="宋体" w:cs="宋体"/>
                <w:sz w:val="21"/>
                <w:szCs w:val="21"/>
                <w:highlight w:val="none"/>
              </w:rPr>
            </w:pPr>
            <w:bookmarkStart w:id="8" w:name="OLE_LINK3"/>
            <w:r>
              <w:rPr>
                <w:rFonts w:hint="eastAsia" w:ascii="宋体" w:hAnsi="宋体" w:eastAsia="宋体" w:cs="宋体"/>
                <w:color w:val="000000" w:themeColor="text1"/>
                <w:sz w:val="21"/>
                <w:szCs w:val="21"/>
                <w:highlight w:val="none"/>
                <w14:textFill>
                  <w14:solidFill>
                    <w14:schemeClr w14:val="tx1"/>
                  </w14:solidFill>
                </w14:textFill>
              </w:rPr>
              <w:t>以上资料均要求提供</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，原件备查，证明文件未按要求提供相关材料或</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不清晰导致无法识别的不计得分。</w:t>
            </w:r>
            <w:bookmarkEnd w:id="8"/>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left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代理劳动纠纷案件经验</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10</w:t>
            </w:r>
          </w:p>
        </w:tc>
        <w:tc>
          <w:tcPr>
            <w:tcW w:w="4425" w:type="dxa"/>
            <w:tcBorders>
              <w:top w:val="single" w:color="000000" w:sz="8" w:space="0"/>
              <w:left w:val="single" w:color="000000" w:sz="8" w:space="0"/>
              <w:bottom w:val="single" w:color="000000" w:sz="8" w:space="0"/>
              <w:right w:val="single" w:color="000000" w:sz="8" w:space="0"/>
            </w:tcBorders>
            <w:vAlign w:val="top"/>
          </w:tcPr>
          <w:p>
            <w:pPr>
              <w:pageBreakBefore w:val="0"/>
              <w:kinsoku/>
              <w:overflowPunct/>
              <w:topLinePunct w:val="0"/>
              <w:autoSpaceDE/>
              <w:autoSpaceDN/>
              <w:bidi w:val="0"/>
              <w:adjustRightInd/>
              <w:snapToGrid w:val="0"/>
              <w:spacing w:beforeAutospacing="0" w:afterAutospacing="0" w:line="240" w:lineRule="auto"/>
              <w:ind w:left="0" w:leftChars="0" w:right="0" w:firstLine="0" w:firstLineChars="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考察内容：</w:t>
            </w:r>
          </w:p>
          <w:p>
            <w:pPr>
              <w:pageBreakBefore w:val="0"/>
              <w:kinsoku/>
              <w:overflowPunct/>
              <w:topLinePunct w:val="0"/>
              <w:autoSpaceDE/>
              <w:autoSpaceDN/>
              <w:bidi w:val="0"/>
              <w:adjustRightInd/>
              <w:snapToGrid w:val="0"/>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自202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年1月1日起至本项目开标日止（以</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合同或委托协议</w:t>
            </w:r>
            <w:r>
              <w:rPr>
                <w:rFonts w:hint="eastAsia" w:ascii="宋体" w:hAnsi="宋体" w:eastAsia="宋体" w:cs="宋体"/>
                <w:color w:val="000000" w:themeColor="text1"/>
                <w:sz w:val="21"/>
                <w:szCs w:val="21"/>
                <w:highlight w:val="none"/>
                <w14:textFill>
                  <w14:solidFill>
                    <w14:schemeClr w14:val="tx1"/>
                  </w14:solidFill>
                </w14:textFill>
              </w:rPr>
              <w:t>签订时</w:t>
            </w:r>
            <w:r>
              <w:rPr>
                <w:rFonts w:hint="eastAsia" w:ascii="宋体" w:hAnsi="宋体" w:eastAsia="宋体" w:cs="宋体"/>
                <w:color w:val="000000" w:themeColor="text1"/>
                <w:sz w:val="21"/>
                <w:szCs w:val="21"/>
                <w:highlight w:val="none"/>
                <w:lang w:val="en-US" w:eastAsia="zh-CN"/>
                <w14:textFill>
                  <w14:solidFill>
                    <w14:schemeClr w14:val="tx1"/>
                  </w14:solidFill>
                </w14:textFill>
              </w:rPr>
              <w:t>间</w:t>
            </w:r>
            <w:r>
              <w:rPr>
                <w:rFonts w:hint="eastAsia" w:ascii="宋体" w:hAnsi="宋体" w:eastAsia="宋体" w:cs="宋体"/>
                <w:color w:val="000000" w:themeColor="text1"/>
                <w:sz w:val="21"/>
                <w:szCs w:val="21"/>
                <w:highlight w:val="none"/>
                <w14:textFill>
                  <w14:solidFill>
                    <w14:schemeClr w14:val="tx1"/>
                  </w14:solidFill>
                </w14:textFill>
              </w:rPr>
              <w:t>为准），</w:t>
            </w:r>
            <w:r>
              <w:rPr>
                <w:rFonts w:hint="eastAsia" w:ascii="宋体" w:hAnsi="宋体" w:eastAsia="宋体" w:cs="宋体"/>
                <w:b/>
                <w:bCs/>
                <w:sz w:val="21"/>
                <w:szCs w:val="21"/>
                <w:highlight w:val="none"/>
              </w:rPr>
              <w:t>拟安排的</w:t>
            </w:r>
            <w:r>
              <w:rPr>
                <w:rFonts w:hint="eastAsia" w:ascii="宋体" w:hAnsi="宋体" w:eastAsia="宋体" w:cs="宋体"/>
                <w:b/>
                <w:bCs/>
                <w:sz w:val="21"/>
                <w:szCs w:val="21"/>
                <w:highlight w:val="none"/>
                <w:lang w:eastAsia="zh-CN"/>
              </w:rPr>
              <w:t>项目</w:t>
            </w:r>
            <w:r>
              <w:rPr>
                <w:rFonts w:hint="eastAsia" w:ascii="宋体" w:hAnsi="宋体" w:eastAsia="宋体" w:cs="宋体"/>
                <w:b/>
                <w:bCs/>
                <w:color w:val="000000" w:themeColor="text1"/>
                <w:sz w:val="21"/>
                <w:szCs w:val="21"/>
                <w:highlight w:val="none"/>
                <w14:textFill>
                  <w14:solidFill>
                    <w14:schemeClr w14:val="tx1"/>
                  </w14:solidFill>
                </w14:textFill>
              </w:rPr>
              <w:t>团队成员</w:t>
            </w:r>
            <w:r>
              <w:rPr>
                <w:rFonts w:hint="eastAsia" w:ascii="宋体" w:hAnsi="宋体" w:eastAsia="宋体" w:cs="宋体"/>
                <w:color w:val="000000" w:themeColor="text1"/>
                <w:sz w:val="21"/>
                <w:szCs w:val="21"/>
                <w:highlight w:val="none"/>
                <w14:textFill>
                  <w14:solidFill>
                    <w14:schemeClr w14:val="tx1"/>
                  </w14:solidFill>
                </w14:textFill>
              </w:rPr>
              <w:t>代理的劳动争议</w:t>
            </w:r>
            <w:r>
              <w:rPr>
                <w:rFonts w:hint="eastAsia" w:ascii="宋体" w:hAnsi="宋体" w:eastAsia="宋体" w:cs="宋体"/>
                <w:color w:val="000000" w:themeColor="text1"/>
                <w:sz w:val="21"/>
                <w:szCs w:val="21"/>
                <w:highlight w:val="none"/>
                <w:lang w:val="en-US" w:eastAsia="zh-CN"/>
                <w14:textFill>
                  <w14:solidFill>
                    <w14:schemeClr w14:val="tx1"/>
                  </w14:solidFill>
                </w14:textFill>
              </w:rPr>
              <w:t>案件数</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每提供一宗得10分，本项最高得100分。</w:t>
            </w:r>
            <w:r>
              <w:rPr>
                <w:rFonts w:hint="eastAsia" w:ascii="宋体" w:hAnsi="宋体" w:eastAsia="宋体" w:cs="宋体"/>
                <w:color w:val="000000" w:themeColor="text1"/>
                <w:sz w:val="21"/>
                <w:szCs w:val="21"/>
                <w:highlight w:val="none"/>
                <w14:textFill>
                  <w14:solidFill>
                    <w14:schemeClr w14:val="tx1"/>
                  </w14:solidFill>
                </w14:textFill>
              </w:rPr>
              <w:t>不同成员代理的同一</w:t>
            </w:r>
            <w:r>
              <w:rPr>
                <w:rFonts w:hint="eastAsia" w:ascii="宋体" w:hAnsi="宋体" w:eastAsia="宋体" w:cs="宋体"/>
                <w:color w:val="000000" w:themeColor="text1"/>
                <w:sz w:val="21"/>
                <w:szCs w:val="21"/>
                <w:highlight w:val="none"/>
                <w:lang w:val="en-US" w:eastAsia="zh-CN"/>
                <w14:textFill>
                  <w14:solidFill>
                    <w14:schemeClr w14:val="tx1"/>
                  </w14:solidFill>
                </w14:textFill>
              </w:rPr>
              <w:t>宗案件</w:t>
            </w:r>
            <w:r>
              <w:rPr>
                <w:rFonts w:hint="eastAsia" w:ascii="宋体" w:hAnsi="宋体" w:eastAsia="宋体" w:cs="宋体"/>
                <w:color w:val="000000" w:themeColor="text1"/>
                <w:sz w:val="21"/>
                <w:szCs w:val="21"/>
                <w:highlight w:val="none"/>
                <w14:textFill>
                  <w14:solidFill>
                    <w14:schemeClr w14:val="tx1"/>
                  </w14:solidFill>
                </w14:textFill>
              </w:rPr>
              <w:t>按一</w:t>
            </w:r>
            <w:r>
              <w:rPr>
                <w:rFonts w:hint="eastAsia" w:ascii="宋体" w:hAnsi="宋体" w:eastAsia="宋体" w:cs="宋体"/>
                <w:color w:val="000000" w:themeColor="text1"/>
                <w:sz w:val="21"/>
                <w:szCs w:val="21"/>
                <w:highlight w:val="none"/>
                <w:lang w:val="en-US" w:eastAsia="zh-CN"/>
                <w14:textFill>
                  <w14:solidFill>
                    <w14:schemeClr w14:val="tx1"/>
                  </w14:solidFill>
                </w14:textFill>
              </w:rPr>
              <w:t>宗</w:t>
            </w:r>
            <w:r>
              <w:rPr>
                <w:rFonts w:hint="eastAsia" w:ascii="宋体" w:hAnsi="宋体" w:eastAsia="宋体" w:cs="宋体"/>
                <w:color w:val="000000" w:themeColor="text1"/>
                <w:sz w:val="21"/>
                <w:szCs w:val="21"/>
                <w:highlight w:val="none"/>
                <w14:textFill>
                  <w14:solidFill>
                    <w14:schemeClr w14:val="tx1"/>
                  </w14:solidFill>
                </w14:textFill>
              </w:rPr>
              <w:t>案</w:t>
            </w:r>
            <w:r>
              <w:rPr>
                <w:rFonts w:hint="eastAsia" w:ascii="宋体" w:hAnsi="宋体" w:eastAsia="宋体" w:cs="宋体"/>
                <w:color w:val="000000" w:themeColor="text1"/>
                <w:sz w:val="21"/>
                <w:szCs w:val="21"/>
                <w:highlight w:val="none"/>
                <w:lang w:val="en-US" w:eastAsia="zh-CN"/>
                <w14:textFill>
                  <w14:solidFill>
                    <w14:schemeClr w14:val="tx1"/>
                  </w14:solidFill>
                </w14:textFill>
              </w:rPr>
              <w:t>件</w:t>
            </w:r>
            <w:r>
              <w:rPr>
                <w:rFonts w:hint="eastAsia" w:ascii="宋体" w:hAnsi="宋体" w:eastAsia="宋体" w:cs="宋体"/>
                <w:color w:val="000000" w:themeColor="text1"/>
                <w:sz w:val="21"/>
                <w:szCs w:val="21"/>
                <w:highlight w:val="none"/>
                <w14:textFill>
                  <w14:solidFill>
                    <w14:schemeClr w14:val="tx1"/>
                  </w14:solidFill>
                </w14:textFill>
              </w:rPr>
              <w:t>计算。</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证明文件：</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val="en-US" w:eastAsia="zh-CN"/>
              </w:rPr>
              <w:t>要求提供体现</w:t>
            </w:r>
            <w:r>
              <w:rPr>
                <w:rFonts w:hint="eastAsia" w:ascii="宋体" w:hAnsi="宋体" w:eastAsia="宋体" w:cs="宋体"/>
                <w:b/>
                <w:bCs/>
                <w:sz w:val="21"/>
                <w:szCs w:val="21"/>
                <w:highlight w:val="none"/>
                <w:lang w:eastAsia="zh-CN"/>
              </w:rPr>
              <w:t>项目</w:t>
            </w:r>
            <w:r>
              <w:rPr>
                <w:rFonts w:hint="eastAsia" w:ascii="宋体" w:hAnsi="宋体" w:eastAsia="宋体" w:cs="宋体"/>
                <w:b/>
                <w:bCs/>
                <w:color w:val="000000" w:themeColor="text1"/>
                <w:sz w:val="21"/>
                <w:szCs w:val="21"/>
                <w:highlight w:val="none"/>
                <w14:textFill>
                  <w14:solidFill>
                    <w14:schemeClr w14:val="tx1"/>
                  </w14:solidFill>
                </w14:textFill>
              </w:rPr>
              <w:t>团队成员</w:t>
            </w:r>
            <w:r>
              <w:rPr>
                <w:rFonts w:hint="eastAsia" w:ascii="宋体" w:hAnsi="宋体" w:eastAsia="宋体" w:cs="宋体"/>
                <w:sz w:val="21"/>
                <w:szCs w:val="21"/>
                <w:highlight w:val="none"/>
                <w:lang w:val="en-US" w:eastAsia="zh-CN"/>
              </w:rPr>
              <w:t>名称的合同或委托协议关键页</w:t>
            </w:r>
            <w:r>
              <w:rPr>
                <w:rFonts w:hint="eastAsia" w:ascii="宋体" w:hAnsi="宋体" w:eastAsia="宋体" w:cs="宋体"/>
                <w:color w:val="000000" w:themeColor="text1"/>
                <w:sz w:val="21"/>
                <w:szCs w:val="21"/>
                <w:highlight w:val="none"/>
                <w14:textFill>
                  <w14:solidFill>
                    <w14:schemeClr w14:val="tx1"/>
                  </w14:solidFill>
                </w14:textFill>
              </w:rPr>
              <w:t>（含签订合同双方的单位名称、合同项目名称与合同双方的落款盖章、签订日期的关键页）</w:t>
            </w:r>
            <w:r>
              <w:rPr>
                <w:rFonts w:hint="eastAsia" w:ascii="宋体" w:hAnsi="宋体" w:eastAsia="宋体" w:cs="宋体"/>
                <w:color w:val="000000" w:themeColor="text1"/>
                <w:sz w:val="21"/>
                <w:szCs w:val="21"/>
                <w:highlight w:val="none"/>
                <w:lang w:eastAsia="zh-CN"/>
                <w14:textFill>
                  <w14:solidFill>
                    <w14:schemeClr w14:val="tx1"/>
                  </w14:solidFill>
                </w14:textFill>
              </w:rPr>
              <w:t>，若合同无法体现的还需提供</w:t>
            </w:r>
            <w:r>
              <w:rPr>
                <w:rFonts w:hint="eastAsia" w:hAnsi="宋体" w:eastAsia="宋体" w:cs="宋体"/>
                <w:color w:val="000000" w:themeColor="text1"/>
                <w:sz w:val="21"/>
                <w:szCs w:val="21"/>
                <w:highlight w:val="none"/>
                <w:lang w:eastAsia="zh-CN"/>
                <w14:textFill>
                  <w14:solidFill>
                    <w14:schemeClr w14:val="tx1"/>
                  </w14:solidFill>
                </w14:textFill>
              </w:rPr>
              <w:t>甲方出具的</w:t>
            </w:r>
            <w:r>
              <w:rPr>
                <w:rFonts w:hint="eastAsia" w:ascii="宋体" w:hAnsi="宋体" w:eastAsia="宋体" w:cs="宋体"/>
                <w:color w:val="000000" w:themeColor="text1"/>
                <w:sz w:val="21"/>
                <w:szCs w:val="21"/>
                <w:highlight w:val="none"/>
                <w:lang w:eastAsia="zh-CN"/>
                <w14:textFill>
                  <w14:solidFill>
                    <w14:schemeClr w14:val="tx1"/>
                  </w14:solidFill>
                </w14:textFill>
              </w:rPr>
              <w:t>证明文件。</w:t>
            </w:r>
          </w:p>
          <w:p>
            <w:pPr>
              <w:pageBreakBefore w:val="0"/>
              <w:kinsoku/>
              <w:overflowPunct/>
              <w:topLinePunct w:val="0"/>
              <w:autoSpaceDE/>
              <w:autoSpaceDN/>
              <w:bidi w:val="0"/>
              <w:snapToGrid w:val="0"/>
              <w:spacing w:beforeAutospacing="0" w:afterAutospacing="0" w:line="240" w:lineRule="auto"/>
              <w:ind w:left="0" w:leftChars="0" w:right="0" w:rightChars="0"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以上资料均要求提供</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，原件备查，证明文件未按要求提供相关材料或</w:t>
            </w:r>
            <w:r>
              <w:rPr>
                <w:rFonts w:hint="eastAsia" w:ascii="宋体" w:hAnsi="宋体" w:eastAsia="宋体" w:cs="宋体"/>
                <w:color w:val="000000" w:themeColor="text1"/>
                <w:sz w:val="21"/>
                <w:szCs w:val="21"/>
                <w:highlight w:val="none"/>
                <w:lang w:eastAsia="zh-CN"/>
                <w14:textFill>
                  <w14:solidFill>
                    <w14:schemeClr w14:val="tx1"/>
                  </w14:solidFill>
                </w14:textFill>
              </w:rPr>
              <w:t>扫描件</w:t>
            </w:r>
            <w:r>
              <w:rPr>
                <w:rFonts w:hint="eastAsia" w:ascii="宋体" w:hAnsi="宋体" w:eastAsia="宋体" w:cs="宋体"/>
                <w:color w:val="000000" w:themeColor="text1"/>
                <w:sz w:val="21"/>
                <w:szCs w:val="21"/>
                <w:highlight w:val="none"/>
                <w14:textFill>
                  <w14:solidFill>
                    <w14:schemeClr w14:val="tx1"/>
                  </w14:solidFill>
                </w14:textFill>
              </w:rPr>
              <w:t>不清晰导致无法识别的不计得分。</w:t>
            </w:r>
          </w:p>
        </w:tc>
      </w:tr>
      <w:bookmarkEnd w:id="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restart"/>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4</w:t>
            </w:r>
          </w:p>
        </w:tc>
        <w:tc>
          <w:tcPr>
            <w:tcW w:w="4216" w:type="dxa"/>
            <w:gridSpan w:val="4"/>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诚信情况</w:t>
            </w:r>
          </w:p>
        </w:tc>
        <w:tc>
          <w:tcPr>
            <w:tcW w:w="4425" w:type="dxa"/>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8641" w:type="dxa"/>
            <w:gridSpan w:val="5"/>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708"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827"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权重</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tc>
        <w:tc>
          <w:tcPr>
            <w:tcW w:w="4425" w:type="dxa"/>
            <w:tcBorders>
              <w:top w:val="outset" w:color="000000" w:sz="6" w:space="0"/>
              <w:left w:val="outset" w:color="000000" w:sz="6" w:space="0"/>
              <w:bottom w:val="outset" w:color="000000" w:sz="6" w:space="0"/>
              <w:right w:val="outset" w:color="000000" w:sz="6" w:space="0"/>
            </w:tcBorders>
            <w:shd w:val="clear" w:color="auto" w:fill="E6EFFA"/>
            <w:vAlign w:val="center"/>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708" w:type="dxa"/>
            <w:gridSpan w:val="2"/>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诚信情况</w:t>
            </w:r>
          </w:p>
        </w:tc>
        <w:tc>
          <w:tcPr>
            <w:tcW w:w="827" w:type="dxa"/>
            <w:tcBorders>
              <w:top w:val="single" w:color="000000" w:sz="8" w:space="0"/>
              <w:left w:val="single" w:color="000000" w:sz="8" w:space="0"/>
              <w:bottom w:val="single" w:color="000000" w:sz="8" w:space="0"/>
              <w:right w:val="single" w:color="000000" w:sz="8" w:space="0"/>
            </w:tcBorders>
            <w:vAlign w:val="top"/>
          </w:tcPr>
          <w:p>
            <w:pPr>
              <w:pageBreakBefore w:val="0"/>
              <w:kinsoku/>
              <w:wordWrap w:val="0"/>
              <w:overflowPunct/>
              <w:topLinePunct w:val="0"/>
              <w:autoSpaceDE/>
              <w:autoSpaceDN/>
              <w:bidi w:val="0"/>
              <w:spacing w:beforeAutospacing="0" w:afterAutospacing="0" w:line="240" w:lineRule="auto"/>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425" w:type="dxa"/>
            <w:tcBorders>
              <w:top w:val="single" w:color="000000" w:sz="8" w:space="0"/>
              <w:left w:val="single" w:color="000000" w:sz="8" w:space="0"/>
              <w:bottom w:val="single" w:color="000000" w:sz="8" w:space="0"/>
              <w:right w:val="single" w:color="000000" w:sz="8" w:space="0"/>
            </w:tcBorders>
          </w:tcPr>
          <w:p>
            <w:pPr>
              <w:pStyle w:val="2"/>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sz w:val="21"/>
                <w:szCs w:val="21"/>
                <w:highlight w:val="none"/>
                <w:lang w:val="en-US" w:eastAsia="zh-CN"/>
              </w:rPr>
              <w:t>有关</w:t>
            </w:r>
            <w:r>
              <w:rPr>
                <w:rFonts w:hint="eastAsia" w:asciiTheme="minorEastAsia" w:hAnsiTheme="minorEastAsia" w:eastAsiaTheme="minorEastAsia" w:cstheme="minorEastAsia"/>
                <w:b w:val="0"/>
                <w:bCs w:val="0"/>
                <w:sz w:val="21"/>
                <w:szCs w:val="21"/>
                <w:highlight w:val="none"/>
              </w:rPr>
              <w:t>供应商诚信查询结果。</w:t>
            </w:r>
          </w:p>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cantSplit/>
          <w:tblCellSpacing w:w="0" w:type="dxa"/>
          <w:jc w:val="center"/>
        </w:trPr>
        <w:tc>
          <w:tcPr>
            <w:tcW w:w="724"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kinsoku/>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b/>
                <w:bCs/>
                <w:color w:val="0000FF"/>
                <w:sz w:val="21"/>
                <w:szCs w:val="21"/>
                <w:highlight w:val="none"/>
              </w:rPr>
            </w:pPr>
          </w:p>
        </w:tc>
        <w:tc>
          <w:tcPr>
            <w:tcW w:w="8641" w:type="dxa"/>
            <w:gridSpan w:val="5"/>
            <w:tcBorders>
              <w:top w:val="single" w:color="000000" w:sz="8" w:space="0"/>
              <w:left w:val="single" w:color="000000" w:sz="8" w:space="0"/>
              <w:bottom w:val="single" w:color="000000" w:sz="8" w:space="0"/>
              <w:right w:val="single" w:color="000000" w:sz="8" w:space="0"/>
            </w:tcBorders>
          </w:tcPr>
          <w:p>
            <w:pPr>
              <w:pageBreakBefore w:val="0"/>
              <w:kinsoku/>
              <w:wordWrap w:val="0"/>
              <w:overflowPunct/>
              <w:topLinePunct w:val="0"/>
              <w:autoSpaceDE/>
              <w:autoSpaceDN/>
              <w:bidi w:val="0"/>
              <w:spacing w:beforeAutospacing="0" w:afterAutospacing="0" w:line="240" w:lineRule="auto"/>
              <w:ind w:left="0" w:leftChars="0" w:right="0" w:firstLine="0" w:firstLineChars="0"/>
              <w:rPr>
                <w:rFonts w:hint="eastAsia" w:ascii="宋体" w:hAnsi="宋体" w:eastAsia="宋体" w:cs="宋体"/>
                <w:sz w:val="21"/>
                <w:szCs w:val="21"/>
                <w:highlight w:val="none"/>
              </w:rPr>
            </w:pPr>
          </w:p>
        </w:tc>
      </w:tr>
    </w:tbl>
    <w:p>
      <w:pP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25</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4"/>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ascii="宋体" w:hAnsi="宋体" w:cs="宋体"/>
          <w:kern w:val="0"/>
          <w:szCs w:val="21"/>
          <w:highlight w:val="none"/>
        </w:rPr>
        <w:t>.</w:t>
      </w:r>
      <w:r>
        <w:rPr>
          <w:rFonts w:ascii="Times New Roman" w:hAnsi="Times New Roman" w:eastAsia="宋体" w:cs="Times New Roman"/>
          <w:b/>
          <w:bCs/>
          <w:color w:val="FF0000"/>
          <w:kern w:val="0"/>
          <w:szCs w:val="21"/>
        </w:rPr>
        <w:t>投标人必须是国家司法行政机关准予设立的律师事务所【提供有效的律师事务所执业许可证或律师事务所分所执业许可证（须含盖有年检章且考核处于有效期内的年检页或提供市级司法行政主管部门开具的无需年检的证明），原件备查】，各投标人若存在总所和分所的，只能总所或其中一家分所参与投标</w:t>
      </w:r>
      <w:r>
        <w:rPr>
          <w:rFonts w:hint="eastAsia" w:ascii="Times New Roman" w:hAnsi="Times New Roman" w:eastAsia="宋体" w:cs="Times New Roman"/>
          <w:b/>
          <w:bCs/>
          <w:color w:val="FF0000"/>
          <w:kern w:val="0"/>
          <w:szCs w:val="21"/>
          <w:lang w:eastAsia="zh-CN"/>
        </w:rPr>
        <w:t>。</w:t>
      </w:r>
      <w:r>
        <w:rPr>
          <w:rFonts w:ascii="Times New Roman" w:hAnsi="Times New Roman" w:eastAsia="宋体" w:cs="Times New Roman"/>
          <w:b/>
          <w:bCs/>
          <w:color w:val="FF0000"/>
          <w:kern w:val="0"/>
          <w:szCs w:val="21"/>
        </w:rPr>
        <w:t>以分所名义参与投标的，</w:t>
      </w:r>
      <w:r>
        <w:rPr>
          <w:rFonts w:hint="eastAsia" w:ascii="Times New Roman" w:hAnsi="Times New Roman" w:eastAsia="宋体" w:cs="Times New Roman"/>
          <w:b/>
          <w:bCs/>
          <w:color w:val="FF0000"/>
          <w:kern w:val="0"/>
          <w:szCs w:val="21"/>
          <w:lang w:eastAsia="zh-CN"/>
        </w:rPr>
        <w:t>还</w:t>
      </w:r>
      <w:r>
        <w:rPr>
          <w:rFonts w:ascii="Times New Roman" w:hAnsi="Times New Roman" w:eastAsia="宋体" w:cs="Times New Roman"/>
          <w:b/>
          <w:bCs/>
          <w:color w:val="FF0000"/>
          <w:kern w:val="0"/>
          <w:szCs w:val="21"/>
        </w:rPr>
        <w:t>须提供总所出具的愿为其参与本项目投标的行为以及履约等行为承担民事责任的授权函（加盖总所公章），以及提供总所和分所执业许可证，原件备查；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30" w:firstLineChars="3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2.本项目不接受联合体投标</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不接受投标人选用进口产品参与投标；</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w:t>
      </w:r>
      <w:r>
        <w:rPr>
          <w:rFonts w:hint="eastAsia" w:ascii="宋体" w:hAnsi="宋体" w:cs="宋体"/>
          <w:color w:val="auto"/>
          <w:kern w:val="0"/>
          <w:szCs w:val="21"/>
          <w:highlight w:val="none"/>
        </w:rPr>
        <w:t>具备《中华人民共和国政府采购法》第二十二条第一款的条件（由供应商在《政府采购投标及履约承诺函》中作出声明）；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未被列入失信被执行人、重大税收违法案件当事人名单、政府采购严重违法失信行为记录名单（由供应商在《政府采购投标及履约承诺函》中作出声明）</w:t>
      </w:r>
      <w:r>
        <w:rPr>
          <w:rFonts w:hint="eastAsia" w:ascii="宋体" w:hAnsi="宋体" w:cs="宋体"/>
          <w:color w:val="auto"/>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6.不存在《深圳市财政局政府采购供应商信用信息管理办法》（深财规〔2023〕3号）列明的严重违法失信行为</w:t>
      </w:r>
      <w:r>
        <w:rPr>
          <w:rFonts w:hint="eastAsia" w:ascii="宋体" w:hAnsi="宋体" w:cs="宋体"/>
          <w:color w:val="auto"/>
          <w:kern w:val="0"/>
          <w:szCs w:val="21"/>
          <w:highlight w:val="none"/>
        </w:rPr>
        <w:t>（由供应商在《政府采购投标及履约承诺函》中作出声明）</w:t>
      </w:r>
      <w:r>
        <w:rPr>
          <w:rFonts w:hint="eastAsia" w:ascii="宋体" w:hAnsi="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cs="宋体" w:eastAsiaTheme="minorEastAsia"/>
          <w:kern w:val="0"/>
          <w:szCs w:val="21"/>
          <w:highlight w:val="none"/>
          <w:lang w:eastAsia="zh-CN"/>
        </w:rPr>
      </w:pPr>
      <w:r>
        <w:rPr>
          <w:rFonts w:hint="eastAsia" w:ascii="宋体" w:hAnsi="宋体" w:cs="宋体"/>
          <w:kern w:val="0"/>
          <w:szCs w:val="21"/>
          <w:highlight w:val="none"/>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cs="宋体"/>
          <w:kern w:val="0"/>
          <w:szCs w:val="21"/>
          <w:highlight w:val="none"/>
          <w:lang w:eastAsia="zh-CN"/>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.本项目是（否）专门面向中小企业采购：</w:t>
      </w:r>
      <w:r>
        <w:rPr>
          <w:rFonts w:hint="eastAsia" w:ascii="宋体" w:hAnsi="宋体" w:cs="宋体"/>
          <w:kern w:val="0"/>
          <w:szCs w:val="21"/>
          <w:highlight w:val="none"/>
        </w:rPr>
        <w:t>否</w:t>
      </w:r>
      <w:r>
        <w:rPr>
          <w:rFonts w:hint="eastAsia" w:ascii="宋体" w:hAnsi="宋体" w:cs="宋体"/>
          <w:kern w:val="0"/>
          <w:szCs w:val="21"/>
          <w:highlight w:val="none"/>
          <w:lang w:eastAsia="zh-CN"/>
        </w:rPr>
        <w:t>。</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numPr>
          <w:ilvl w:val="0"/>
          <w:numId w:val="2"/>
        </w:numPr>
        <w:ind w:firstLine="420" w:firstLineChars="200"/>
        <w:rPr>
          <w:rFonts w:hint="eastAsia" w:ascii="宋体" w:hAnsi="宋体"/>
        </w:rPr>
      </w:pPr>
      <w:r>
        <w:rPr>
          <w:rFonts w:hint="eastAsia" w:ascii="宋体" w:hAnsi="宋体"/>
        </w:rPr>
        <w:t>供应商投标（上传投标文件）必须先行办理注册手续，具体请按照本公告“六、其他补充事宜</w:t>
      </w:r>
      <w:r>
        <w:rPr>
          <w:rFonts w:ascii="宋体" w:hAnsi="宋体"/>
        </w:rPr>
        <w:t>”</w:t>
      </w:r>
      <w:r>
        <w:rPr>
          <w:rFonts w:hint="eastAsia" w:ascii="宋体" w:hAnsi="宋体"/>
        </w:rPr>
        <w:t>相关内容指引办理。</w:t>
      </w:r>
    </w:p>
    <w:p>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w:t>
      </w:r>
      <w:bookmarkStart w:id="9" w:name="OLE_LINK52"/>
      <w:r>
        <w:rPr>
          <w:rFonts w:hint="eastAsia"/>
          <w:b/>
          <w:color w:val="FF0000"/>
          <w:sz w:val="30"/>
          <w:szCs w:val="30"/>
        </w:rPr>
        <w:t>https://zxcg.szggzy.com/home/index.html</w:t>
      </w:r>
      <w:bookmarkEnd w:id="9"/>
      <w:r>
        <w:rPr>
          <w:rFonts w:hint="eastAsia"/>
          <w:b/>
          <w:color w:val="FF0000"/>
          <w:sz w:val="30"/>
          <w:szCs w:val="30"/>
        </w:rPr>
        <w:t>）</w:t>
      </w: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10" w:name="OLE_LINK39"/>
      <w:bookmarkStart w:id="11" w:name="_Hlk71926094"/>
      <w:r>
        <w:rPr>
          <w:rFonts w:hint="eastAsia" w:ascii="宋体" w:hAnsi="宋体" w:eastAsia="宋体" w:cs="Times New Roman"/>
          <w:b/>
          <w:bCs/>
          <w:kern w:val="0"/>
          <w:sz w:val="28"/>
          <w:szCs w:val="28"/>
        </w:rPr>
        <w:t>对通用条款的补充内容及其他关键信息</w:t>
      </w:r>
      <w:bookmarkEnd w:id="10"/>
      <w:bookmarkEnd w:id="11"/>
    </w:p>
    <w:p>
      <w:pPr>
        <w:keepNext/>
        <w:keepLines/>
        <w:adjustRightInd w:val="0"/>
        <w:spacing w:before="156" w:beforeLines="50" w:after="156" w:afterLines="50"/>
        <w:jc w:val="center"/>
        <w:textAlignment w:val="baseline"/>
        <w:outlineLvl w:val="2"/>
        <w:rPr>
          <w:rFonts w:ascii="宋体" w:hAnsi="宋体" w:eastAsia="宋体" w:cs="Times New Roman"/>
          <w:b/>
          <w:bCs/>
          <w:kern w:val="0"/>
          <w:sz w:val="24"/>
          <w:szCs w:val="24"/>
        </w:rPr>
      </w:pPr>
      <w:bookmarkStart w:id="12" w:name="_Toc73521547"/>
      <w:bookmarkStart w:id="13" w:name="_Toc73521635"/>
      <w:bookmarkStart w:id="14" w:name="_Toc73518117"/>
      <w:bookmarkStart w:id="15" w:name="_Toc73517639"/>
      <w:bookmarkStart w:id="16" w:name="_Toc101074876"/>
      <w:bookmarkStart w:id="17" w:name="_Toc60631620"/>
      <w:bookmarkStart w:id="18" w:name="_Toc100052364"/>
      <w:bookmarkStart w:id="19" w:name="_Toc60560625"/>
      <w:r>
        <w:rPr>
          <w:rFonts w:hint="eastAsia" w:ascii="宋体" w:hAnsi="宋体" w:eastAsia="宋体" w:cs="Times New Roman"/>
          <w:b/>
          <w:bCs/>
          <w:kern w:val="0"/>
          <w:sz w:val="24"/>
          <w:szCs w:val="24"/>
        </w:rPr>
        <w:t>一、对通用条款的补充内容</w:t>
      </w:r>
    </w:p>
    <w:tbl>
      <w:tblPr>
        <w:tblStyle w:val="23"/>
        <w:tblW w:w="900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8"/>
        <w:gridCol w:w="1965"/>
        <w:gridCol w:w="6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b/>
                <w:bCs/>
              </w:rPr>
            </w:pPr>
            <w:r>
              <w:rPr>
                <w:rFonts w:hint="eastAsia" w:ascii="宋体" w:hAnsi="宋体"/>
                <w:b/>
                <w:bCs/>
              </w:rPr>
              <w:t>通用条款序号</w:t>
            </w:r>
          </w:p>
        </w:tc>
        <w:tc>
          <w:tcPr>
            <w:tcW w:w="1965" w:type="dxa"/>
            <w:vAlign w:val="center"/>
          </w:tcPr>
          <w:p>
            <w:pPr>
              <w:jc w:val="center"/>
              <w:rPr>
                <w:rFonts w:ascii="宋体" w:hAnsi="宋体"/>
                <w:b/>
                <w:bCs/>
              </w:rPr>
            </w:pPr>
            <w:r>
              <w:rPr>
                <w:rFonts w:hint="eastAsia" w:ascii="宋体" w:hAnsi="宋体"/>
                <w:b/>
                <w:bCs/>
              </w:rPr>
              <w:t>涉及事项</w:t>
            </w:r>
          </w:p>
        </w:tc>
        <w:tc>
          <w:tcPr>
            <w:tcW w:w="6162"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3</w:t>
            </w:r>
            <w:r>
              <w:rPr>
                <w:rFonts w:ascii="宋体" w:hAnsi="宋体"/>
              </w:rPr>
              <w:t>.1</w:t>
            </w:r>
          </w:p>
        </w:tc>
        <w:tc>
          <w:tcPr>
            <w:tcW w:w="1965" w:type="dxa"/>
            <w:vAlign w:val="center"/>
          </w:tcPr>
          <w:p>
            <w:pPr>
              <w:jc w:val="center"/>
            </w:pPr>
            <w:r>
              <w:rPr>
                <w:rFonts w:hint="eastAsia"/>
              </w:rPr>
              <w:t>采购人</w:t>
            </w:r>
          </w:p>
        </w:tc>
        <w:tc>
          <w:tcPr>
            <w:tcW w:w="6162" w:type="dxa"/>
            <w:vAlign w:val="center"/>
          </w:tcPr>
          <w:p>
            <w:pPr>
              <w:jc w:val="center"/>
              <w:rPr>
                <w:rFonts w:ascii="宋体" w:hAnsi="宋体"/>
              </w:rPr>
            </w:pPr>
            <w:r>
              <w:rPr>
                <w:rFonts w:hint="eastAsia" w:ascii="宋体" w:hAnsi="宋体"/>
                <w:color w:val="0000FF"/>
              </w:rPr>
              <w:t>深圳市龙华区总工会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3</w:t>
            </w:r>
            <w:r>
              <w:rPr>
                <w:rFonts w:ascii="宋体" w:hAnsi="宋体"/>
              </w:rPr>
              <w:t>.2</w:t>
            </w:r>
          </w:p>
        </w:tc>
        <w:tc>
          <w:tcPr>
            <w:tcW w:w="1965" w:type="dxa"/>
            <w:vAlign w:val="center"/>
          </w:tcPr>
          <w:p>
            <w:pPr>
              <w:jc w:val="center"/>
              <w:rPr>
                <w:rFonts w:ascii="宋体" w:hAnsi="宋体"/>
              </w:rPr>
            </w:pPr>
            <w:r>
              <w:rPr>
                <w:rFonts w:hint="eastAsia" w:ascii="宋体" w:hAnsi="宋体"/>
              </w:rPr>
              <w:t>政府集中采购机构</w:t>
            </w:r>
          </w:p>
        </w:tc>
        <w:tc>
          <w:tcPr>
            <w:tcW w:w="6162" w:type="dxa"/>
            <w:vAlign w:val="center"/>
          </w:tcPr>
          <w:p>
            <w:pPr>
              <w:jc w:val="center"/>
              <w:rPr>
                <w:rFonts w:hint="eastAsia" w:ascii="Arial" w:hAnsi="Arial" w:eastAsia="宋体" w:cs="Times New Roman"/>
                <w:szCs w:val="24"/>
              </w:rPr>
            </w:pPr>
            <w:r>
              <w:rPr>
                <w:rFonts w:hint="eastAsia" w:ascii="Arial" w:hAnsi="Arial" w:eastAsia="宋体" w:cs="Times New Roman"/>
                <w:szCs w:val="24"/>
              </w:rPr>
              <w:t>深圳公共资源交易中心</w:t>
            </w:r>
          </w:p>
          <w:p>
            <w:pPr>
              <w:jc w:val="center"/>
              <w:rPr>
                <w:rFonts w:ascii="宋体" w:hAnsi="宋体"/>
              </w:rPr>
            </w:pPr>
            <w:r>
              <w:rPr>
                <w:rFonts w:hint="eastAsia" w:ascii="Arial" w:hAnsi="Arial" w:eastAsia="宋体" w:cs="Times New Roman"/>
                <w:szCs w:val="24"/>
              </w:rPr>
              <w:t>（深圳交易集团有限公司龙华分公司）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9</w:t>
            </w:r>
          </w:p>
        </w:tc>
        <w:tc>
          <w:tcPr>
            <w:tcW w:w="1965" w:type="dxa"/>
            <w:vAlign w:val="center"/>
          </w:tcPr>
          <w:p>
            <w:pPr>
              <w:jc w:val="center"/>
              <w:rPr>
                <w:rFonts w:ascii="宋体" w:hAnsi="宋体"/>
              </w:rPr>
            </w:pPr>
            <w:r>
              <w:rPr>
                <w:rFonts w:hint="eastAsia" w:ascii="宋体" w:hAnsi="宋体"/>
              </w:rPr>
              <w:t>踏勘现场</w:t>
            </w:r>
          </w:p>
        </w:tc>
        <w:tc>
          <w:tcPr>
            <w:tcW w:w="6162" w:type="dxa"/>
            <w:vAlign w:val="center"/>
          </w:tcPr>
          <w:p>
            <w:pPr>
              <w:jc w:val="center"/>
              <w:rPr>
                <w:rFonts w:ascii="Arial" w:hAnsi="Arial" w:eastAsia="宋体" w:cs="Times New Roman"/>
                <w:szCs w:val="24"/>
                <w:highlight w:val="yellow"/>
              </w:rPr>
            </w:pPr>
            <w:r>
              <w:rPr>
                <w:rFonts w:hint="eastAsia" w:ascii="Arial" w:hAnsi="Arial" w:eastAsia="宋体" w:cs="Times New Roman"/>
                <w:szCs w:val="24"/>
                <w:highlight w:val="yellow"/>
                <w:lang w:eastAsia="zh-CN"/>
              </w:rPr>
              <w:t>不</w:t>
            </w:r>
            <w:r>
              <w:rPr>
                <w:rFonts w:hint="eastAsia" w:ascii="Arial" w:hAnsi="Arial" w:eastAsia="宋体" w:cs="Times New Roman"/>
                <w:szCs w:val="24"/>
                <w:highlight w:val="yellow"/>
              </w:rPr>
              <w:t>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1</w:t>
            </w:r>
            <w:r>
              <w:rPr>
                <w:rFonts w:ascii="宋体" w:hAnsi="宋体"/>
              </w:rPr>
              <w:t>0</w:t>
            </w:r>
          </w:p>
        </w:tc>
        <w:tc>
          <w:tcPr>
            <w:tcW w:w="1965" w:type="dxa"/>
            <w:vAlign w:val="center"/>
          </w:tcPr>
          <w:p>
            <w:pPr>
              <w:jc w:val="center"/>
              <w:rPr>
                <w:rFonts w:ascii="宋体" w:hAnsi="宋体"/>
              </w:rPr>
            </w:pPr>
            <w:r>
              <w:rPr>
                <w:rFonts w:hint="eastAsia" w:ascii="宋体" w:hAnsi="宋体"/>
              </w:rPr>
              <w:t>标前会议</w:t>
            </w:r>
          </w:p>
        </w:tc>
        <w:tc>
          <w:tcPr>
            <w:tcW w:w="6162" w:type="dxa"/>
            <w:vAlign w:val="center"/>
          </w:tcPr>
          <w:p>
            <w:pPr>
              <w:jc w:val="center"/>
              <w:rPr>
                <w:rFonts w:ascii="Arial" w:hAnsi="Arial" w:eastAsia="宋体" w:cs="Times New Roman"/>
                <w:szCs w:val="24"/>
                <w:highlight w:val="yellow"/>
              </w:rPr>
            </w:pPr>
            <w:r>
              <w:rPr>
                <w:rFonts w:hint="eastAsia" w:ascii="Arial" w:hAnsi="Arial" w:eastAsia="宋体" w:cs="Times New Roman"/>
                <w:szCs w:val="24"/>
                <w:highlight w:val="yellow"/>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965" w:type="dxa"/>
            <w:vAlign w:val="center"/>
          </w:tcPr>
          <w:p>
            <w:pPr>
              <w:jc w:val="center"/>
              <w:rPr>
                <w:rFonts w:ascii="宋体" w:hAnsi="宋体"/>
              </w:rPr>
            </w:pPr>
            <w:r>
              <w:rPr>
                <w:rFonts w:hint="eastAsia" w:ascii="宋体" w:hAnsi="宋体"/>
              </w:rPr>
              <w:t>招标文件的澄清和修改</w:t>
            </w:r>
          </w:p>
        </w:tc>
        <w:tc>
          <w:tcPr>
            <w:tcW w:w="6162"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2</w:t>
            </w:r>
            <w:r>
              <w:rPr>
                <w:rFonts w:ascii="宋体" w:hAnsi="宋体"/>
              </w:rPr>
              <w:t>0</w:t>
            </w:r>
          </w:p>
        </w:tc>
        <w:tc>
          <w:tcPr>
            <w:tcW w:w="1965" w:type="dxa"/>
            <w:vAlign w:val="center"/>
          </w:tcPr>
          <w:p>
            <w:pPr>
              <w:jc w:val="center"/>
              <w:rPr>
                <w:rFonts w:ascii="宋体" w:hAnsi="宋体"/>
              </w:rPr>
            </w:pPr>
            <w:r>
              <w:rPr>
                <w:rFonts w:hint="eastAsia" w:ascii="宋体" w:hAnsi="宋体"/>
              </w:rPr>
              <w:t>投标有效期</w:t>
            </w:r>
          </w:p>
        </w:tc>
        <w:tc>
          <w:tcPr>
            <w:tcW w:w="6162" w:type="dxa"/>
            <w:vAlign w:val="center"/>
          </w:tcPr>
          <w:p>
            <w:pPr>
              <w:jc w:val="center"/>
              <w:rPr>
                <w:rFonts w:ascii="宋体" w:hAnsi="宋体"/>
              </w:rPr>
            </w:pPr>
            <w:r>
              <w:rPr>
                <w:rFonts w:hint="eastAsia" w:ascii="宋体" w:hAnsi="宋体"/>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2</w:t>
            </w:r>
            <w:r>
              <w:rPr>
                <w:rFonts w:ascii="宋体" w:hAnsi="宋体"/>
              </w:rPr>
              <w:t>2</w:t>
            </w:r>
          </w:p>
        </w:tc>
        <w:tc>
          <w:tcPr>
            <w:tcW w:w="1965" w:type="dxa"/>
            <w:vAlign w:val="center"/>
          </w:tcPr>
          <w:p>
            <w:pPr>
              <w:jc w:val="center"/>
              <w:rPr>
                <w:rFonts w:ascii="宋体" w:hAnsi="宋体"/>
              </w:rPr>
            </w:pPr>
            <w:r>
              <w:rPr>
                <w:rFonts w:hint="eastAsia" w:ascii="宋体" w:hAnsi="宋体"/>
              </w:rPr>
              <w:t>投标人的替代方案</w:t>
            </w:r>
          </w:p>
        </w:tc>
        <w:tc>
          <w:tcPr>
            <w:tcW w:w="6162"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2</w:t>
            </w:r>
            <w:r>
              <w:rPr>
                <w:rFonts w:ascii="宋体" w:hAnsi="宋体"/>
              </w:rPr>
              <w:t>5</w:t>
            </w:r>
          </w:p>
        </w:tc>
        <w:tc>
          <w:tcPr>
            <w:tcW w:w="1965" w:type="dxa"/>
            <w:vAlign w:val="center"/>
          </w:tcPr>
          <w:p>
            <w:pPr>
              <w:jc w:val="center"/>
              <w:rPr>
                <w:rFonts w:ascii="宋体" w:hAnsi="宋体"/>
              </w:rPr>
            </w:pPr>
            <w:r>
              <w:rPr>
                <w:rFonts w:hint="eastAsia" w:ascii="宋体" w:hAnsi="宋体"/>
              </w:rPr>
              <w:t>投标文件的大小</w:t>
            </w:r>
          </w:p>
        </w:tc>
        <w:tc>
          <w:tcPr>
            <w:tcW w:w="6162"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2</w:t>
            </w:r>
            <w:r>
              <w:rPr>
                <w:rFonts w:ascii="宋体" w:hAnsi="宋体"/>
              </w:rPr>
              <w:t>6</w:t>
            </w:r>
          </w:p>
        </w:tc>
        <w:tc>
          <w:tcPr>
            <w:tcW w:w="1965" w:type="dxa"/>
            <w:vAlign w:val="center"/>
          </w:tcPr>
          <w:p>
            <w:pPr>
              <w:jc w:val="center"/>
              <w:rPr>
                <w:rFonts w:ascii="宋体" w:hAnsi="宋体"/>
              </w:rPr>
            </w:pPr>
            <w:bookmarkStart w:id="20" w:name="_Hlk71664860"/>
            <w:r>
              <w:rPr>
                <w:rFonts w:hint="eastAsia" w:ascii="宋体" w:hAnsi="宋体"/>
              </w:rPr>
              <w:t>样品、现场演示、方案讲解</w:t>
            </w:r>
            <w:bookmarkEnd w:id="20"/>
          </w:p>
        </w:tc>
        <w:tc>
          <w:tcPr>
            <w:tcW w:w="6162" w:type="dxa"/>
            <w:vAlign w:val="center"/>
          </w:tcPr>
          <w:p>
            <w:pPr>
              <w:jc w:val="center"/>
              <w:rPr>
                <w:rFonts w:hint="eastAsia" w:asciiTheme="minorEastAsia" w:hAnsiTheme="minorEastAsia" w:eastAsiaTheme="minorEastAsia"/>
              </w:rPr>
            </w:pPr>
            <w:r>
              <w:rPr>
                <w:rFonts w:hint="eastAsia" w:asciiTheme="minorEastAsia" w:hAnsiTheme="minorEastAsia" w:eastAsiaTheme="minorEastAsia"/>
              </w:rPr>
              <w:t>如有样品、</w:t>
            </w:r>
            <w:r>
              <w:rPr>
                <w:rFonts w:hint="eastAsia" w:asciiTheme="minorEastAsia" w:hAnsiTheme="minorEastAsia"/>
                <w:lang w:eastAsia="zh-CN"/>
              </w:rPr>
              <w:t>现场</w:t>
            </w:r>
            <w:r>
              <w:rPr>
                <w:rFonts w:hint="eastAsia" w:asciiTheme="minorEastAsia" w:hAnsiTheme="minorEastAsia" w:eastAsiaTheme="minorEastAsia"/>
              </w:rPr>
              <w:t>演示、方案讲解，</w:t>
            </w:r>
          </w:p>
          <w:p>
            <w:pPr>
              <w:jc w:val="center"/>
              <w:rPr>
                <w:rFonts w:ascii="宋体" w:hAnsi="宋体"/>
              </w:rPr>
            </w:pPr>
            <w:r>
              <w:rPr>
                <w:rFonts w:hint="eastAsia" w:asciiTheme="minorEastAsia" w:hAnsiTheme="minorEastAsia" w:eastAsiaTheme="minorEastAsia"/>
              </w:rPr>
              <w:t>具体安排见用户需求书相关要求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3</w:t>
            </w:r>
            <w:r>
              <w:rPr>
                <w:rFonts w:ascii="宋体" w:hAnsi="宋体"/>
              </w:rPr>
              <w:t>7</w:t>
            </w:r>
          </w:p>
        </w:tc>
        <w:tc>
          <w:tcPr>
            <w:tcW w:w="1965" w:type="dxa"/>
            <w:vAlign w:val="center"/>
          </w:tcPr>
          <w:p>
            <w:pPr>
              <w:jc w:val="center"/>
              <w:rPr>
                <w:rFonts w:ascii="宋体" w:hAnsi="宋体"/>
              </w:rPr>
            </w:pPr>
            <w:r>
              <w:rPr>
                <w:rFonts w:hint="eastAsia" w:ascii="宋体" w:hAnsi="宋体"/>
              </w:rPr>
              <w:t>评审方法</w:t>
            </w:r>
          </w:p>
        </w:tc>
        <w:tc>
          <w:tcPr>
            <w:tcW w:w="6162" w:type="dxa"/>
            <w:vAlign w:val="center"/>
          </w:tcPr>
          <w:p>
            <w:pPr>
              <w:jc w:val="center"/>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3</w:t>
            </w:r>
            <w:r>
              <w:rPr>
                <w:rFonts w:ascii="宋体" w:hAnsi="宋体"/>
              </w:rPr>
              <w:t>8</w:t>
            </w:r>
          </w:p>
        </w:tc>
        <w:tc>
          <w:tcPr>
            <w:tcW w:w="1965" w:type="dxa"/>
            <w:vAlign w:val="center"/>
          </w:tcPr>
          <w:p>
            <w:pPr>
              <w:jc w:val="center"/>
              <w:rPr>
                <w:rFonts w:ascii="宋体" w:hAnsi="宋体"/>
              </w:rPr>
            </w:pPr>
            <w:r>
              <w:rPr>
                <w:rFonts w:hint="eastAsia" w:ascii="宋体" w:hAnsi="宋体"/>
              </w:rPr>
              <w:t>定标方法</w:t>
            </w:r>
          </w:p>
        </w:tc>
        <w:tc>
          <w:tcPr>
            <w:tcW w:w="6162" w:type="dxa"/>
            <w:vAlign w:val="center"/>
          </w:tcPr>
          <w:p>
            <w:pPr>
              <w:jc w:val="center"/>
              <w:rPr>
                <w:rFonts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78" w:type="dxa"/>
            <w:vAlign w:val="center"/>
          </w:tcPr>
          <w:p>
            <w:pPr>
              <w:jc w:val="center"/>
              <w:rPr>
                <w:rFonts w:ascii="宋体" w:hAnsi="宋体"/>
              </w:rPr>
            </w:pPr>
            <w:r>
              <w:rPr>
                <w:rFonts w:hint="eastAsia" w:ascii="宋体" w:hAnsi="宋体"/>
              </w:rPr>
              <w:t>4</w:t>
            </w:r>
            <w:r>
              <w:rPr>
                <w:rFonts w:ascii="宋体" w:hAnsi="宋体"/>
              </w:rPr>
              <w:t>6</w:t>
            </w:r>
          </w:p>
        </w:tc>
        <w:tc>
          <w:tcPr>
            <w:tcW w:w="1965" w:type="dxa"/>
            <w:vAlign w:val="center"/>
          </w:tcPr>
          <w:p>
            <w:pPr>
              <w:jc w:val="center"/>
              <w:rPr>
                <w:rFonts w:ascii="宋体" w:hAnsi="宋体"/>
              </w:rPr>
            </w:pPr>
            <w:r>
              <w:rPr>
                <w:rFonts w:hint="eastAsia" w:ascii="宋体" w:hAnsi="宋体"/>
              </w:rPr>
              <w:t>履约担保</w:t>
            </w:r>
          </w:p>
        </w:tc>
        <w:tc>
          <w:tcPr>
            <w:tcW w:w="6162" w:type="dxa"/>
            <w:vAlign w:val="center"/>
          </w:tcPr>
          <w:p>
            <w:pPr>
              <w:jc w:val="center"/>
              <w:rPr>
                <w:rFonts w:ascii="宋体" w:hAnsi="宋体"/>
              </w:rPr>
            </w:pPr>
            <w:r>
              <w:rPr>
                <w:rFonts w:hint="eastAsia" w:ascii="宋体" w:hAnsi="宋体"/>
              </w:rPr>
              <w:t>不需要</w:t>
            </w:r>
          </w:p>
        </w:tc>
      </w:tr>
      <w:bookmarkEnd w:id="12"/>
      <w:bookmarkEnd w:id="13"/>
      <w:bookmarkEnd w:id="14"/>
      <w:bookmarkEnd w:id="15"/>
      <w:bookmarkEnd w:id="16"/>
      <w:bookmarkEnd w:id="17"/>
      <w:bookmarkEnd w:id="18"/>
      <w:bookmarkEnd w:id="19"/>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156" w:beforeLines="50" w:after="156"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w:t>
      </w:r>
      <w:bookmarkStart w:id="21" w:name="OLE_LINK36"/>
      <w:r>
        <w:rPr>
          <w:rFonts w:hint="eastAsia" w:ascii="宋体" w:hAnsi="宋体" w:eastAsia="宋体" w:cs="Times New Roman"/>
          <w:b/>
          <w:bCs/>
          <w:kern w:val="0"/>
          <w:sz w:val="24"/>
          <w:szCs w:val="24"/>
        </w:rPr>
        <w:t>其他关键信息</w:t>
      </w:r>
      <w:bookmarkEnd w:id="21"/>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ascii="黑体" w:hAnsi="宋体" w:eastAsia="黑体"/>
          <w:bCs/>
          <w:sz w:val="24"/>
        </w:rPr>
      </w:pPr>
      <w:r>
        <w:rPr>
          <w:rFonts w:hint="eastAsia" w:ascii="黑体" w:hAnsi="宋体" w:eastAsia="黑体"/>
          <w:bCs/>
          <w:sz w:val="24"/>
        </w:rPr>
        <w:t>1、评标定标信息</w:t>
      </w:r>
    </w:p>
    <w:p>
      <w:pPr>
        <w:jc w:val="center"/>
      </w:pPr>
      <w:r>
        <w:rPr>
          <w:rFonts w:hint="eastAsia"/>
          <w:b/>
        </w:rPr>
        <w:t>非评定分离项目</w:t>
      </w: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pPr>
              <w:jc w:val="center"/>
            </w:pPr>
            <w:r>
              <w:rPr>
                <w:rFonts w:hint="eastAsia"/>
              </w:rPr>
              <w:t>评标方法</w:t>
            </w:r>
          </w:p>
        </w:tc>
        <w:tc>
          <w:tcPr>
            <w:tcW w:w="3235" w:type="dxa"/>
          </w:tcPr>
          <w:p>
            <w:pPr>
              <w:jc w:val="center"/>
              <w:rPr>
                <w:rFonts w:eastAsia="宋体"/>
              </w:rPr>
            </w:pPr>
            <w:r>
              <w:rPr>
                <w:rFonts w:hint="eastAsia"/>
              </w:rPr>
              <w:sym w:font="Wingdings" w:char="00FE"/>
            </w:r>
            <w:r>
              <w:rPr>
                <w:rFonts w:hint="eastAsia"/>
              </w:rPr>
              <w:t>综合评分法</w:t>
            </w:r>
          </w:p>
        </w:tc>
        <w:tc>
          <w:tcPr>
            <w:tcW w:w="2450" w:type="dxa"/>
          </w:tcPr>
          <w:p>
            <w:pPr>
              <w:jc w:val="center"/>
            </w:pPr>
            <w:r>
              <w:rPr>
                <w:rFonts w:hint="eastAsia" w:ascii="Times New Roman" w:eastAsia="宋体"/>
              </w:rPr>
              <w:sym w:font="Wingdings" w:char="00A8"/>
            </w:r>
            <w:r>
              <w:rPr>
                <w:rFonts w:hint="eastAsia" w:ascii="Times New Roman" w:eastAsia="宋体"/>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pPr>
              <w:jc w:val="center"/>
            </w:pPr>
            <w:r>
              <w:rPr>
                <w:rFonts w:hint="eastAsia"/>
              </w:rPr>
              <w:t>候选中标供应商家数</w:t>
            </w:r>
          </w:p>
        </w:tc>
        <w:tc>
          <w:tcPr>
            <w:tcW w:w="3235" w:type="dxa"/>
          </w:tcPr>
          <w:p>
            <w:pPr>
              <w:jc w:val="center"/>
              <w:rPr>
                <w:rFonts w:hint="eastAsia" w:eastAsia="宋体"/>
                <w:lang w:eastAsia="zh-CN"/>
              </w:rPr>
            </w:pPr>
            <w:r>
              <w:rPr>
                <w:rFonts w:hint="default" w:eastAsia="宋体"/>
                <w:lang w:val="en-US"/>
              </w:rPr>
              <w:t>3</w:t>
            </w:r>
          </w:p>
        </w:tc>
        <w:tc>
          <w:tcPr>
            <w:tcW w:w="2450"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pPr>
              <w:jc w:val="center"/>
            </w:pPr>
            <w:r>
              <w:rPr>
                <w:rFonts w:hint="eastAsia"/>
              </w:rPr>
              <w:t>中标供应商家数</w:t>
            </w:r>
          </w:p>
        </w:tc>
        <w:tc>
          <w:tcPr>
            <w:tcW w:w="3235" w:type="dxa"/>
          </w:tcPr>
          <w:p>
            <w:pPr>
              <w:jc w:val="center"/>
              <w:rPr>
                <w:rFonts w:hint="eastAsia" w:eastAsiaTheme="minorEastAsia"/>
                <w:lang w:eastAsia="zh-CN"/>
              </w:rPr>
            </w:pPr>
            <w:r>
              <w:rPr>
                <w:rFonts w:hint="default"/>
                <w:lang w:val="en-US"/>
              </w:rPr>
              <w:t>1</w:t>
            </w:r>
          </w:p>
        </w:tc>
        <w:tc>
          <w:tcPr>
            <w:tcW w:w="2450" w:type="dxa"/>
          </w:tcPr>
          <w:p>
            <w:pPr>
              <w:jc w:val="center"/>
            </w:pPr>
            <w:r>
              <w:rPr>
                <w:rFonts w:hint="eastAsia"/>
              </w:rPr>
              <w:t>1</w:t>
            </w:r>
          </w:p>
        </w:tc>
      </w:tr>
    </w:tbl>
    <w:p>
      <w:pPr>
        <w:tabs>
          <w:tab w:val="left" w:pos="720"/>
        </w:tabs>
        <w:rPr>
          <w:rFonts w:ascii="黑体" w:hAnsi="宋体" w:eastAsia="黑体"/>
          <w:sz w:val="24"/>
        </w:rPr>
      </w:pPr>
    </w:p>
    <w:p>
      <w:pPr>
        <w:tabs>
          <w:tab w:val="left" w:pos="720"/>
        </w:tabs>
        <w:spacing w:line="240" w:lineRule="auto"/>
        <w:rPr>
          <w:rFonts w:ascii="黑体" w:hAnsi="宋体" w:eastAsia="黑体"/>
          <w:sz w:val="24"/>
        </w:rPr>
      </w:pPr>
      <w:r>
        <w:rPr>
          <w:rFonts w:hint="eastAsia" w:ascii="黑体" w:hAnsi="宋体" w:eastAsia="黑体"/>
          <w:sz w:val="24"/>
        </w:rPr>
        <w:t>（二）其他事项</w:t>
      </w:r>
    </w:p>
    <w:p>
      <w:pPr>
        <w:tabs>
          <w:tab w:val="left" w:pos="720"/>
        </w:tabs>
        <w:spacing w:line="240" w:lineRule="auto"/>
        <w:ind w:left="0" w:leftChars="0" w:firstLine="420" w:firstLineChars="175"/>
        <w:rPr>
          <w:rFonts w:ascii="黑体" w:hAnsi="宋体" w:eastAsia="黑体"/>
          <w:sz w:val="24"/>
        </w:rPr>
      </w:pPr>
      <w:r>
        <w:rPr>
          <w:rFonts w:hint="eastAsia" w:ascii="黑体" w:hAnsi="宋体" w:eastAsia="黑体"/>
          <w:sz w:val="24"/>
        </w:rPr>
        <w:t>1、关于享受优惠政策的主体、价格扣除比例及采购标的所属行业</w:t>
      </w:r>
    </w:p>
    <w:p>
      <w:pPr>
        <w:spacing w:line="240" w:lineRule="auto"/>
        <w:ind w:firstLine="413" w:firstLineChars="196"/>
        <w:rPr>
          <w:rFonts w:ascii="宋体" w:hAnsi="宋体"/>
          <w:b/>
          <w:bCs/>
        </w:rPr>
      </w:pPr>
      <w:r>
        <w:rPr>
          <w:rFonts w:hint="eastAsia" w:ascii="宋体" w:hAnsi="宋体"/>
          <w:b/>
          <w:bCs/>
        </w:rPr>
        <w:t>（1）</w:t>
      </w:r>
      <w:r>
        <w:rPr>
          <w:rFonts w:hint="eastAsia"/>
          <w:b/>
          <w:bCs/>
        </w:rPr>
        <w:t>专门面向中小企业采购的项目（包括联合体或分包预留中小企业份额的项目），不再执行价格扣除比例。</w:t>
      </w:r>
    </w:p>
    <w:p>
      <w:pPr>
        <w:spacing w:line="240" w:lineRule="auto"/>
        <w:ind w:firstLine="411" w:firstLineChars="196"/>
        <w:rPr>
          <w:rFonts w:ascii="Arial" w:hAnsi="Arial" w:eastAsia="宋体" w:cs="Times New Roman"/>
          <w:b/>
          <w:color w:val="0000FF"/>
          <w:szCs w:val="21"/>
          <w:highlight w:val="yellow"/>
        </w:rPr>
      </w:pPr>
      <w:r>
        <w:rPr>
          <w:rFonts w:hint="eastAsia" w:ascii="宋体" w:hAnsi="宋体"/>
        </w:rPr>
        <w:t>（2）</w:t>
      </w:r>
      <w:r>
        <w:rPr>
          <w:rFonts w:hint="eastAsia"/>
        </w:rPr>
        <w:t>非</w:t>
      </w:r>
      <w:r>
        <w:rPr>
          <w:rFonts w:hint="eastAsia" w:ascii="Times New Roman" w:eastAsia="宋体"/>
        </w:rPr>
        <w:t>专门面向中小企业采购的项目，</w:t>
      </w:r>
      <w:r>
        <w:rPr>
          <w:rFonts w:hint="eastAsia"/>
        </w:rPr>
        <w:t>应</w:t>
      </w:r>
      <w:r>
        <w:rPr>
          <w:rFonts w:hint="eastAsia" w:ascii="Times New Roman" w:eastAsia="宋体"/>
        </w:rPr>
        <w:t>执行价格扣除比例</w:t>
      </w:r>
      <w:r>
        <w:rPr>
          <w:rFonts w:hint="eastAsia"/>
        </w:rPr>
        <w:t>：</w:t>
      </w:r>
      <w:r>
        <w:rPr>
          <w:rFonts w:hint="eastAsia" w:ascii="宋体" w:hAnsi="宋体"/>
        </w:rPr>
        <w:t>投标人提供的货物（以招标文件用户需求书“货物需求明细”的“货物名称”一栏为准）全部均由优惠主体制造的，对其投标总价给予</w:t>
      </w:r>
      <w:r>
        <w:rPr>
          <w:rFonts w:hint="eastAsia" w:ascii="宋体" w:hAnsi="宋体"/>
          <w:b/>
          <w:bCs/>
          <w:color w:val="FF0000"/>
          <w:highlight w:val="yellow"/>
          <w:u w:val="single"/>
        </w:rPr>
        <w:t xml:space="preserve"> </w:t>
      </w:r>
      <w:r>
        <w:rPr>
          <w:rFonts w:hint="eastAsia" w:ascii="宋体" w:hAnsi="宋体"/>
          <w:b/>
          <w:bCs/>
          <w:color w:val="FF0000"/>
          <w:highlight w:val="yellow"/>
          <w:u w:val="single"/>
          <w:lang w:val="en-US" w:eastAsia="zh-CN"/>
        </w:rPr>
        <w:t xml:space="preserve"> </w:t>
      </w:r>
      <w:r>
        <w:rPr>
          <w:rFonts w:hint="eastAsia" w:ascii="宋体" w:hAnsi="宋体"/>
          <w:b/>
          <w:bCs/>
          <w:color w:val="FF0000"/>
          <w:highlight w:val="yellow"/>
          <w:u w:val="single"/>
        </w:rPr>
        <w:t>10%</w:t>
      </w:r>
      <w:r>
        <w:rPr>
          <w:rFonts w:hint="eastAsia" w:ascii="宋体" w:hAnsi="宋体" w:eastAsia="宋体" w:cs="Times New Roman"/>
          <w:b/>
          <w:bCs/>
          <w:color w:val="FF0000"/>
          <w:sz w:val="24"/>
          <w:szCs w:val="24"/>
          <w:highlight w:val="yellow"/>
          <w:u w:val="single"/>
        </w:rPr>
        <w:t xml:space="preserve">  </w:t>
      </w:r>
      <w:r>
        <w:rPr>
          <w:rFonts w:hint="eastAsia" w:ascii="宋体" w:hAnsi="宋体"/>
        </w:rPr>
        <w:t>的扣除，用扣除后的价格参与评审。满足多项优惠政策的企业，不重复享受多项价格扣除政策。</w:t>
      </w:r>
      <w:r>
        <w:rPr>
          <w:rFonts w:hint="eastAsia" w:ascii="Arial" w:hAnsi="Arial" w:eastAsia="宋体" w:cs="Times New Roman"/>
          <w:b/>
          <w:szCs w:val="21"/>
        </w:rPr>
        <w:t>政策调整后价格仅作为评审依据，不作为中标价格。</w:t>
      </w:r>
    </w:p>
    <w:p>
      <w:pPr>
        <w:spacing w:line="24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w:t>
      </w:r>
      <w:r>
        <w:rPr>
          <w:rFonts w:hint="eastAsia" w:ascii="宋体" w:hAnsi="宋体"/>
          <w:lang w:eastAsia="zh-CN"/>
        </w:rPr>
        <w:t>（</w:t>
      </w:r>
      <w:r>
        <w:rPr>
          <w:rFonts w:hint="eastAsia" w:ascii="宋体" w:hAnsi="宋体"/>
        </w:rPr>
        <w:t>财库〔2014〕68号</w:t>
      </w:r>
      <w:r>
        <w:rPr>
          <w:rFonts w:hint="eastAsia" w:ascii="宋体" w:hAnsi="宋体"/>
          <w:lang w:eastAsia="zh-CN"/>
        </w:rPr>
        <w:t>）</w:t>
      </w:r>
      <w:r>
        <w:rPr>
          <w:rFonts w:hint="eastAsia" w:ascii="宋体" w:hAnsi="宋体"/>
        </w:rPr>
        <w:t>，在政府采购活动中，监狱企业视同小型、微型企业；根据《关于促进残疾人就业政府采购政策的通知》</w:t>
      </w:r>
      <w:r>
        <w:rPr>
          <w:rFonts w:hint="eastAsia" w:ascii="宋体" w:hAnsi="宋体"/>
          <w:lang w:eastAsia="zh-CN"/>
        </w:rPr>
        <w:t>（</w:t>
      </w:r>
      <w:r>
        <w:rPr>
          <w:rFonts w:hint="eastAsia" w:ascii="宋体" w:hAnsi="宋体"/>
        </w:rPr>
        <w:t>财库〔2017〕141号</w:t>
      </w:r>
      <w:r>
        <w:rPr>
          <w:rFonts w:hint="eastAsia" w:ascii="宋体" w:hAnsi="宋体"/>
          <w:lang w:eastAsia="zh-CN"/>
        </w:rPr>
        <w:t>）</w:t>
      </w:r>
      <w:r>
        <w:rPr>
          <w:rFonts w:hint="eastAsia" w:ascii="宋体" w:hAnsi="宋体"/>
        </w:rPr>
        <w:t>，在政府采购活动中，残疾人福利性单位视同小型、微型企业；</w:t>
      </w:r>
      <w:r>
        <w:rPr>
          <w:rFonts w:hint="eastAsia" w:ascii="宋体" w:hAnsi="宋体"/>
          <w:lang w:eastAsia="zh-CN"/>
        </w:rPr>
        <w:t>（</w:t>
      </w:r>
      <w:r>
        <w:rPr>
          <w:rFonts w:hint="eastAsia" w:asciiTheme="minorEastAsia" w:hAnsiTheme="minorEastAsia" w:cstheme="minorEastAsia"/>
          <w:b/>
          <w:bCs/>
          <w:szCs w:val="21"/>
        </w:rPr>
        <w:t>b</w:t>
      </w:r>
      <w:r>
        <w:rPr>
          <w:rFonts w:hint="eastAsia" w:asciiTheme="minorEastAsia" w:hAnsiTheme="minorEastAsia" w:cstheme="minorEastAsia"/>
          <w:b/>
          <w:bCs/>
          <w:szCs w:val="21"/>
          <w:lang w:eastAsia="zh-CN"/>
        </w:rPr>
        <w:t>）</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pPr>
        <w:pStyle w:val="11"/>
        <w:rPr>
          <w:rFonts w:asciiTheme="minorEastAsia" w:hAnsiTheme="minorEastAsia" w:cstheme="minorEastAsia"/>
          <w:szCs w:val="21"/>
        </w:rPr>
      </w:pPr>
      <w:r>
        <w:rPr>
          <w:rFonts w:hint="eastAsia" w:asciiTheme="minorEastAsia" w:hAnsiTheme="minorEastAsia" w:cstheme="minorEastAsia"/>
          <w:szCs w:val="21"/>
        </w:rPr>
        <w:t>（3）</w:t>
      </w:r>
      <w:bookmarkStart w:id="2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cstheme="minorEastAsia"/>
          <w:b/>
          <w:bCs/>
          <w:color w:val="FF0000"/>
          <w:szCs w:val="21"/>
        </w:rPr>
        <w:t>《中小企业声明函》中相关企业所属行业应当与采购标的所属行业相一致。</w:t>
      </w:r>
      <w:r>
        <w:rPr>
          <w:rFonts w:hint="eastAsia" w:asciiTheme="minorEastAsia" w:hAnsiTheme="minorEastAsia" w:cstheme="minorEastAsia"/>
          <w:szCs w:val="21"/>
        </w:rPr>
        <w:t>本项目</w:t>
      </w:r>
      <w:bookmarkStart w:id="23" w:name="_Hlk71924718"/>
      <w:r>
        <w:rPr>
          <w:rFonts w:hint="eastAsia" w:asciiTheme="minorEastAsia" w:hAnsiTheme="minorEastAsia" w:cstheme="minorEastAsia"/>
          <w:szCs w:val="21"/>
        </w:rPr>
        <w:t>采购标的（货物）对应的中小企业划分标准所属行业</w:t>
      </w:r>
      <w:bookmarkEnd w:id="23"/>
      <w:r>
        <w:rPr>
          <w:rFonts w:hint="eastAsia" w:asciiTheme="minorEastAsia" w:hAnsiTheme="minorEastAsia" w:cstheme="minorEastAsia"/>
          <w:szCs w:val="21"/>
        </w:rPr>
        <w:t>为</w:t>
      </w:r>
      <w:r>
        <w:rPr>
          <w:rFonts w:hint="eastAsia" w:asciiTheme="minorEastAsia" w:hAnsiTheme="minorEastAsia" w:cstheme="minorEastAsia"/>
          <w:b/>
          <w:bCs/>
          <w:color w:val="FF0000"/>
          <w:szCs w:val="21"/>
          <w:highlight w:val="yellow"/>
          <w:u w:val="none"/>
        </w:rPr>
        <w:t xml:space="preserve"> </w:t>
      </w:r>
      <w:r>
        <w:rPr>
          <w:rFonts w:hint="eastAsia" w:asciiTheme="minorEastAsia" w:hAnsiTheme="minorEastAsia" w:cstheme="minorEastAsia"/>
          <w:b/>
          <w:bCs/>
          <w:color w:val="FF0000"/>
          <w:szCs w:val="21"/>
          <w:highlight w:val="yellow"/>
          <w:u w:val="none"/>
          <w:lang w:val="en-US" w:eastAsia="zh-CN"/>
        </w:rPr>
        <w:t xml:space="preserve"> </w:t>
      </w:r>
      <w:r>
        <w:rPr>
          <w:rFonts w:hint="eastAsia"/>
          <w:highlight w:val="yellow"/>
          <w:u w:val="none"/>
          <w:lang w:val="en-US" w:eastAsia="zh-CN"/>
        </w:rPr>
        <w:t>租赁和商务服务业</w:t>
      </w:r>
      <w:r>
        <w:rPr>
          <w:rFonts w:hint="eastAsia" w:asciiTheme="minorEastAsia" w:hAnsiTheme="minorEastAsia" w:cstheme="minorEastAsia"/>
          <w:b/>
          <w:bCs/>
          <w:color w:val="FF0000"/>
          <w:szCs w:val="21"/>
          <w:highlight w:val="yellow"/>
          <w:u w:val="none"/>
          <w:lang w:val="en-US" w:eastAsia="zh-CN"/>
        </w:rPr>
        <w:t xml:space="preserve"> </w:t>
      </w:r>
      <w:r>
        <w:rPr>
          <w:rFonts w:hint="eastAsia" w:asciiTheme="minorEastAsia" w:hAnsiTheme="minorEastAsia" w:cstheme="minorEastAsia"/>
          <w:b/>
          <w:bCs/>
          <w:color w:val="FF0000"/>
          <w:szCs w:val="21"/>
          <w:highlight w:val="yellow"/>
          <w:u w:val="none"/>
        </w:rPr>
        <w:t xml:space="preserve"> </w:t>
      </w:r>
      <w:r>
        <w:rPr>
          <w:rFonts w:hint="eastAsia" w:asciiTheme="minorEastAsia" w:hAnsiTheme="minorEastAsia" w:cstheme="minorEastAsia"/>
          <w:szCs w:val="21"/>
        </w:rPr>
        <w:t>。</w:t>
      </w:r>
      <w:bookmarkEnd w:id="22"/>
    </w:p>
    <w:p>
      <w:pPr>
        <w:spacing w:line="24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w:t>
      </w:r>
      <w:r>
        <w:rPr>
          <w:rFonts w:hint="eastAsia" w:asciiTheme="minorEastAsia" w:hAnsiTheme="minorEastAsia" w:cstheme="minorEastAsia"/>
          <w:szCs w:val="21"/>
          <w:lang w:eastAsia="zh-CN"/>
        </w:rPr>
        <w:t>》《</w:t>
      </w:r>
      <w:r>
        <w:rPr>
          <w:rFonts w:hint="eastAsia" w:asciiTheme="minorEastAsia" w:hAnsiTheme="minorEastAsia" w:cstheme="minorEastAsia"/>
          <w:szCs w:val="21"/>
        </w:rPr>
        <w:t>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pPr>
        <w:tabs>
          <w:tab w:val="left" w:pos="720"/>
        </w:tabs>
        <w:spacing w:line="24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pPr>
        <w:tabs>
          <w:tab w:val="left" w:pos="720"/>
        </w:tabs>
        <w:spacing w:line="240" w:lineRule="auto"/>
        <w:ind w:firstLine="422" w:firstLineChars="200"/>
        <w:rPr>
          <w:rFonts w:ascii="宋体" w:hAnsi="宋体"/>
          <w:b/>
          <w:bCs/>
          <w:color w:val="FF0000"/>
        </w:rPr>
      </w:pPr>
      <w:r>
        <w:rPr>
          <w:rFonts w:hint="eastAsia" w:ascii="宋体" w:hAnsi="宋体"/>
          <w:b/>
          <w:bCs/>
          <w:color w:val="FF0000"/>
          <w:lang w:val="en-US" w:eastAsia="zh-CN"/>
        </w:rPr>
        <w:t>2、</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pPr>
        <w:widowControl/>
        <w:spacing w:line="240" w:lineRule="auto"/>
        <w:ind w:firstLine="420"/>
        <w:jc w:val="left"/>
        <w:rPr>
          <w:rFonts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u w:val="single"/>
        </w:rPr>
        <w:t>服务采购</w:t>
      </w:r>
      <w:r>
        <w:rPr>
          <w:rFonts w:hint="eastAsia" w:ascii="宋体" w:hAnsi="宋体"/>
          <w:color w:val="FF0000"/>
          <w:szCs w:val="21"/>
        </w:rPr>
        <w:t>：</w:t>
      </w:r>
    </w:p>
    <w:p>
      <w:pPr>
        <w:widowControl/>
        <w:spacing w:line="240" w:lineRule="auto"/>
        <w:ind w:firstLine="420"/>
        <w:jc w:val="left"/>
        <w:rPr>
          <w:rFonts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pPr>
        <w:widowControl/>
        <w:spacing w:line="240" w:lineRule="auto"/>
        <w:ind w:firstLine="420"/>
        <w:jc w:val="left"/>
        <w:rPr>
          <w:rFonts w:ascii="宋体" w:hAnsi="宋体"/>
          <w:color w:val="FF0000"/>
          <w:szCs w:val="21"/>
        </w:rPr>
      </w:pPr>
      <w:r>
        <w:rPr>
          <w:rFonts w:hint="eastAsia" w:ascii="宋体" w:hAnsi="宋体"/>
          <w:color w:val="FF0000"/>
          <w:szCs w:val="21"/>
        </w:rPr>
        <w:t>（2）中标（成交）金额的各部分费率如下表：</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中标（成交）金额</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货物采购</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服务采购</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100万元以下</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100万元（含）-500万元</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1.1%</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0.8%</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500万元（含）-1000万元</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0.8%</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0.45%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1000万元（含）-5000万元</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0.25%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5000万元（含）-1亿元</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0.25%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0.1%</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1亿元（含）-5亿元</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5亿元（含）-10亿元</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0.035%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0.035%</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10亿元（含）-50亿元</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0.008%</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0.008%</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50亿元（含）-100亿元</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0.006%</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0.006%</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100亿元（含）以上</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0.004%</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0.004%</w:t>
            </w:r>
          </w:p>
        </w:tc>
        <w:tc>
          <w:tcPr>
            <w:tcW w:w="1799" w:type="dxa"/>
            <w:vAlign w:val="center"/>
          </w:tcPr>
          <w:p>
            <w:pPr>
              <w:widowControl/>
              <w:spacing w:line="240" w:lineRule="auto"/>
              <w:ind w:firstLine="420"/>
              <w:jc w:val="left"/>
              <w:rPr>
                <w:rFonts w:ascii="宋体" w:hAnsi="宋体"/>
                <w:color w:val="FF0000"/>
                <w:szCs w:val="21"/>
              </w:rPr>
            </w:pPr>
            <w:r>
              <w:rPr>
                <w:rFonts w:hint="eastAsia" w:ascii="宋体" w:hAnsi="宋体"/>
                <w:color w:val="FF0000"/>
                <w:szCs w:val="21"/>
              </w:rPr>
              <w:t>0.004%</w:t>
            </w:r>
          </w:p>
        </w:tc>
      </w:tr>
    </w:tbl>
    <w:p>
      <w:pPr>
        <w:widowControl/>
        <w:spacing w:line="240" w:lineRule="auto"/>
        <w:ind w:firstLine="420"/>
        <w:jc w:val="left"/>
        <w:rPr>
          <w:rFonts w:ascii="宋体" w:hAnsi="宋体"/>
          <w:color w:val="FF0000"/>
          <w:szCs w:val="21"/>
        </w:rPr>
      </w:pPr>
      <w:r>
        <w:rPr>
          <w:rFonts w:hint="eastAsia" w:ascii="宋体" w:hAnsi="宋体"/>
          <w:color w:val="FF0000"/>
          <w:szCs w:val="21"/>
        </w:rPr>
        <w:t>备注：1.每宗交易代理服务费不低于 5000 元；</w:t>
      </w:r>
    </w:p>
    <w:p>
      <w:pPr>
        <w:widowControl/>
        <w:spacing w:line="240" w:lineRule="auto"/>
        <w:ind w:firstLine="420"/>
        <w:jc w:val="left"/>
        <w:rPr>
          <w:rFonts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pPr>
        <w:widowControl/>
        <w:spacing w:line="240" w:lineRule="auto"/>
        <w:ind w:firstLine="420"/>
        <w:jc w:val="left"/>
        <w:rPr>
          <w:rFonts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spacing w:line="240" w:lineRule="auto"/>
        <w:ind w:firstLine="420"/>
        <w:jc w:val="left"/>
        <w:rPr>
          <w:rFonts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numPr>
          <w:ilvl w:val="0"/>
          <w:numId w:val="2"/>
        </w:numPr>
        <w:spacing w:line="240" w:lineRule="auto"/>
        <w:ind w:firstLine="420" w:firstLineChars="200"/>
        <w:jc w:val="left"/>
        <w:rPr>
          <w:rFonts w:hint="eastAsia" w:ascii="宋体" w:hAnsi="宋体"/>
          <w:color w:val="FF0000"/>
          <w:szCs w:val="21"/>
        </w:rPr>
      </w:pP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widowControl/>
        <w:ind w:firstLine="422" w:firstLineChars="200"/>
        <w:jc w:val="left"/>
        <w:rPr>
          <w:rFonts w:ascii="Times New Roman" w:hAnsi="Times New Roman" w:eastAsia="Times New Roman" w:cs="Times New Roman"/>
          <w:b/>
          <w:bCs/>
          <w:kern w:val="0"/>
          <w:sz w:val="24"/>
          <w:highlight w:val="none"/>
        </w:rPr>
      </w:pPr>
      <w:r>
        <w:rPr>
          <w:rFonts w:hint="eastAsia" w:ascii="宋体" w:hAnsi="宋体" w:cs="宋体"/>
          <w:b/>
          <w:bCs/>
          <w:lang w:val="en-US" w:eastAsia="zh-CN"/>
        </w:rPr>
        <w:t>3.</w:t>
      </w:r>
      <w:r>
        <w:rPr>
          <w:rFonts w:hint="eastAsia" w:ascii="Times New Roman" w:hAnsi="Times New Roman" w:eastAsia="Times New Roman" w:cs="Times New Roman"/>
          <w:b/>
          <w:bCs/>
          <w:kern w:val="0"/>
          <w:sz w:val="24"/>
          <w:highlight w:val="none"/>
        </w:rPr>
        <w:t>多包组要求：</w:t>
      </w:r>
    </w:p>
    <w:p>
      <w:pPr>
        <w:widowControl/>
        <w:ind w:firstLine="420" w:firstLineChars="200"/>
        <w:jc w:val="left"/>
        <w:rPr>
          <w:rFonts w:ascii="Times New Roman" w:hAnsi="Times New Roman" w:eastAsia="Times New Roman" w:cs="Times New Roman"/>
          <w:kern w:val="0"/>
          <w:sz w:val="24"/>
          <w:highlight w:val="none"/>
        </w:rPr>
      </w:pPr>
      <w:r>
        <w:rPr>
          <w:rFonts w:hint="eastAsia" w:ascii="Times New Roman" w:hAnsi="Times New Roman" w:eastAsia="宋体" w:cs="Times New Roman"/>
          <w:highlight w:val="none"/>
        </w:rPr>
        <w:t>a.本项目通过采购，将选择出</w:t>
      </w:r>
      <w:r>
        <w:rPr>
          <w:rFonts w:hint="eastAsia" w:ascii="Times New Roman" w:hAnsi="Times New Roman" w:eastAsia="宋体" w:cs="Times New Roman"/>
          <w:b/>
          <w:bCs/>
          <w:color w:val="FF0000"/>
          <w:kern w:val="0"/>
          <w:sz w:val="24"/>
          <w:highlight w:val="none"/>
          <w:u w:val="single"/>
          <w:lang w:val="en-US" w:eastAsia="zh-CN"/>
        </w:rPr>
        <w:t>2</w:t>
      </w:r>
      <w:r>
        <w:rPr>
          <w:rFonts w:hint="eastAsia" w:ascii="Times New Roman" w:hAnsi="Times New Roman" w:eastAsia="Times New Roman" w:cs="Times New Roman"/>
          <w:b/>
          <w:bCs/>
          <w:color w:val="FF0000"/>
          <w:kern w:val="0"/>
          <w:sz w:val="24"/>
          <w:highlight w:val="none"/>
          <w:u w:val="single"/>
        </w:rPr>
        <w:t>家</w:t>
      </w:r>
      <w:r>
        <w:rPr>
          <w:rFonts w:hint="eastAsia" w:ascii="Times New Roman" w:hAnsi="Times New Roman" w:eastAsia="宋体" w:cs="Times New Roman"/>
          <w:highlight w:val="none"/>
        </w:rPr>
        <w:t>优秀的专业单位</w:t>
      </w:r>
      <w:r>
        <w:rPr>
          <w:rFonts w:hint="eastAsia" w:ascii="Times New Roman" w:hAnsi="Times New Roman" w:eastAsia="宋体" w:cs="Times New Roman"/>
          <w:highlight w:val="none"/>
          <w:lang w:eastAsia="zh-CN"/>
        </w:rPr>
        <w:t>分别</w:t>
      </w:r>
      <w:r>
        <w:rPr>
          <w:rFonts w:hint="eastAsia" w:ascii="Times New Roman" w:hAnsi="Times New Roman" w:eastAsia="宋体" w:cs="Times New Roman"/>
          <w:highlight w:val="none"/>
        </w:rPr>
        <w:t>承担A、B包相关任务。</w:t>
      </w:r>
    </w:p>
    <w:p>
      <w:pPr>
        <w:widowControl/>
        <w:ind w:firstLine="420" w:firstLineChars="200"/>
        <w:jc w:val="left"/>
        <w:rPr>
          <w:rFonts w:ascii="Times New Roman" w:hAnsi="Times New Roman" w:eastAsia="宋体" w:cs="Times New Roman"/>
          <w:highlight w:val="none"/>
        </w:rPr>
      </w:pPr>
      <w:r>
        <w:rPr>
          <w:rFonts w:hint="eastAsia" w:ascii="Times New Roman" w:hAnsi="Times New Roman" w:eastAsia="宋体" w:cs="Times New Roman"/>
          <w:highlight w:val="none"/>
        </w:rPr>
        <w:t>b.投标原则：本项目将根据综合评分法，选择出优秀的专业供应商承担本项目任务。本项目共分为编号为A、B的</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个包，投标人可以选择投其中1个包或多个包，每个包需要独立制作1份投标文件，并按所投包号进行上传投标文件。</w:t>
      </w:r>
    </w:p>
    <w:p>
      <w:pPr>
        <w:widowControl/>
        <w:ind w:firstLine="420" w:firstLineChars="200"/>
        <w:jc w:val="left"/>
        <w:rPr>
          <w:rFonts w:ascii="Times New Roman" w:hAnsi="Times New Roman" w:eastAsia="Times New Roman" w:cs="Times New Roman"/>
          <w:kern w:val="0"/>
          <w:sz w:val="24"/>
          <w:highlight w:val="none"/>
        </w:rPr>
      </w:pPr>
      <w:r>
        <w:rPr>
          <w:rFonts w:hint="eastAsia" w:ascii="Times New Roman" w:hAnsi="Times New Roman" w:eastAsia="宋体" w:cs="Times New Roman"/>
          <w:highlight w:val="none"/>
        </w:rPr>
        <w:t>c.中标原则：本项目按A→B顺序分包进行评审，每个包均取排名第一名者为该包的候选中标供应商。各投标人可同时对多个包号进行投标，但最多只能中一个包，当某一投标人已在某个包号中综合得分排名第一时，则该投标人不得参与下一个包号评审</w:t>
      </w:r>
      <w:r>
        <w:rPr>
          <w:rFonts w:hint="eastAsia" w:ascii="Times New Roman" w:hAnsi="Times New Roman" w:eastAsia="Times New Roman" w:cs="Times New Roman"/>
          <w:color w:val="FF0000"/>
          <w:kern w:val="0"/>
          <w:sz w:val="24"/>
          <w:highlight w:val="yellow"/>
        </w:rPr>
        <w:t>（符合性审查条款不通过）</w:t>
      </w:r>
      <w:r>
        <w:rPr>
          <w:rFonts w:hint="eastAsia" w:ascii="Times New Roman" w:hAnsi="Times New Roman" w:eastAsia="宋体" w:cs="Times New Roman"/>
          <w:highlight w:val="none"/>
        </w:rPr>
        <w:t>，不得参与的包号按包的编号顺序（A→B）确定。所有包号有效投标人均需达到法定数量（三家或以上），有效投标人未达到法定数量的包组作废标处理。</w:t>
      </w:r>
    </w:p>
    <w:p>
      <w:pPr>
        <w:widowControl/>
        <w:ind w:firstLine="420" w:firstLineChars="200"/>
        <w:jc w:val="left"/>
        <w:rPr>
          <w:rFonts w:ascii="Times New Roman" w:hAnsi="Times New Roman" w:eastAsia="宋体" w:cs="Times New Roman"/>
          <w:highlight w:val="none"/>
        </w:rPr>
      </w:pPr>
      <w:r>
        <w:rPr>
          <w:rFonts w:hint="eastAsia" w:ascii="Times New Roman" w:hAnsi="Times New Roman" w:eastAsia="宋体" w:cs="Times New Roman"/>
          <w:highlight w:val="none"/>
        </w:rPr>
        <w:t>举例：甲单位同时投标三个包（A、C、D），且通过综合评分，在A包评审中综合得分排名第一时，不能再参与C、D包的评审。</w:t>
      </w:r>
    </w:p>
    <w:p>
      <w:pPr>
        <w:widowControl/>
        <w:numPr>
          <w:ilvl w:val="-1"/>
          <w:numId w:val="0"/>
        </w:numPr>
        <w:spacing w:line="240" w:lineRule="auto"/>
        <w:ind w:firstLine="432" w:firstLineChars="0"/>
        <w:jc w:val="left"/>
        <w:rPr>
          <w:rFonts w:hint="eastAsia" w:ascii="宋体" w:hAnsi="宋体" w:cs="宋体"/>
          <w:b w:val="0"/>
          <w:highlight w:val="yellow"/>
        </w:rPr>
      </w:pPr>
      <w:r>
        <w:rPr>
          <w:rFonts w:hint="eastAsia" w:ascii="Times New Roman" w:hAnsi="Times New Roman" w:eastAsia="宋体" w:cs="Times New Roman"/>
          <w:highlight w:val="none"/>
        </w:rPr>
        <w:t>为避免出现不同包组之间的“交叉感染”，如其中某一个包因质疑投诉或其他原因导致出现中标结果发生变化的情况，相关情况不影响其它包的招标投标程序及定标结果。</w:t>
      </w:r>
    </w:p>
    <w:p>
      <w:pPr>
        <w:keepNext/>
        <w:keepLines/>
        <w:adjustRightInd/>
        <w:spacing w:before="260" w:beforeLines="-2147483648" w:after="260" w:afterLines="-2147483648" w:line="416" w:lineRule="auto"/>
        <w:jc w:val="center"/>
        <w:textAlignment w:val="auto"/>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78" w:afterLines="25" w:line="240" w:lineRule="auto"/>
        <w:jc w:val="center"/>
        <w:outlineLvl w:val="2"/>
        <w:rPr>
          <w:rFonts w:ascii="Arial" w:hAnsi="Arial" w:eastAsia="宋体" w:cs="Times New Roman"/>
          <w:b/>
          <w:sz w:val="28"/>
          <w:szCs w:val="28"/>
        </w:rPr>
      </w:pPr>
      <w:r>
        <w:rPr>
          <w:rFonts w:hint="eastAsia" w:ascii="Arial" w:hAnsi="Arial" w:eastAsia="宋体" w:cs="Times New Roman"/>
          <w:b/>
          <w:sz w:val="28"/>
          <w:szCs w:val="28"/>
        </w:rPr>
        <w:t>一、项目基本信息</w:t>
      </w:r>
    </w:p>
    <w:tbl>
      <w:tblPr>
        <w:tblStyle w:val="23"/>
        <w:tblW w:w="823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494"/>
        <w:gridCol w:w="1799"/>
        <w:gridCol w:w="2893"/>
        <w:gridCol w:w="1087"/>
        <w:gridCol w:w="196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552" w:hRule="atLeast"/>
          <w:jc w:val="center"/>
        </w:trPr>
        <w:tc>
          <w:tcPr>
            <w:tcW w:w="494" w:type="dxa"/>
            <w:tcBorders>
              <w:bottom w:val="single" w:color="000000" w:sz="4" w:space="0"/>
              <w:right w:val="single" w:color="auto" w:sz="4" w:space="0"/>
            </w:tcBorders>
            <w:shd w:val="clear" w:color="auto" w:fill="C6D9F0" w:themeFill="text2" w:themeFillTint="33"/>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99" w:type="dxa"/>
            <w:tcBorders>
              <w:left w:val="single" w:color="auto" w:sz="4" w:space="0"/>
              <w:bottom w:val="single" w:color="000000" w:sz="4" w:space="0"/>
              <w:right w:val="single" w:color="000000" w:sz="4" w:space="0"/>
            </w:tcBorders>
            <w:shd w:val="clear" w:color="auto" w:fill="C6D9F0" w:themeFill="text2" w:themeFillTint="33"/>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2893" w:type="dxa"/>
            <w:tcBorders>
              <w:left w:val="single" w:color="000000" w:sz="4" w:space="0"/>
              <w:bottom w:val="single" w:color="000000" w:sz="4" w:space="0"/>
              <w:right w:val="single" w:color="000000" w:sz="4" w:space="0"/>
            </w:tcBorders>
            <w:shd w:val="clear" w:color="auto" w:fill="C6D9F0" w:themeFill="text2" w:themeFillTint="33"/>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采购项目名称</w:t>
            </w:r>
            <w:r>
              <w:rPr>
                <w:rFonts w:hint="eastAsia" w:ascii="宋体" w:hAnsi="宋体" w:eastAsia="宋体" w:cs="宋体"/>
                <w:sz w:val="21"/>
                <w:szCs w:val="21"/>
                <w:lang w:eastAsia="zh-CN"/>
              </w:rPr>
              <w:t>（标的名称）</w:t>
            </w:r>
          </w:p>
        </w:tc>
        <w:tc>
          <w:tcPr>
            <w:tcW w:w="1087" w:type="dxa"/>
            <w:tcBorders>
              <w:left w:val="single" w:color="000000" w:sz="4" w:space="0"/>
              <w:bottom w:val="single" w:color="000000" w:sz="4" w:space="0"/>
              <w:right w:val="single" w:color="000000" w:sz="4" w:space="0"/>
            </w:tcBorders>
            <w:shd w:val="clear" w:color="auto" w:fill="C6D9F0" w:themeFill="text2" w:themeFillTint="33"/>
            <w:vAlign w:val="center"/>
          </w:tcPr>
          <w:p>
            <w:pPr>
              <w:spacing w:line="240" w:lineRule="auto"/>
              <w:jc w:val="center"/>
              <w:rPr>
                <w:rFonts w:hint="eastAsia" w:eastAsia="宋体"/>
                <w:lang w:eastAsia="zh-CN"/>
              </w:rPr>
            </w:pPr>
            <w:r>
              <w:rPr>
                <w:rFonts w:hint="eastAsia" w:ascii="宋体" w:hAnsi="宋体" w:eastAsia="宋体" w:cs="宋体"/>
                <w:sz w:val="21"/>
                <w:szCs w:val="21"/>
                <w:lang w:eastAsia="zh-CN"/>
              </w:rPr>
              <w:t>包号</w:t>
            </w:r>
          </w:p>
        </w:tc>
        <w:tc>
          <w:tcPr>
            <w:tcW w:w="1963" w:type="dxa"/>
            <w:tcBorders>
              <w:left w:val="single" w:color="000000" w:sz="4" w:space="0"/>
              <w:bottom w:val="single" w:color="000000" w:sz="4" w:space="0"/>
            </w:tcBorders>
            <w:shd w:val="clear" w:color="auto" w:fill="C6D9F0" w:themeFill="text2" w:themeFillTint="33"/>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财政预算限额（元）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353" w:hRule="atLeast"/>
          <w:jc w:val="center"/>
        </w:trPr>
        <w:tc>
          <w:tcPr>
            <w:tcW w:w="494" w:type="dxa"/>
            <w:tcBorders>
              <w:top w:val="single" w:color="000000" w:sz="4" w:space="0"/>
              <w:right w:val="single" w:color="auto"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99" w:type="dxa"/>
            <w:tcBorders>
              <w:top w:val="single" w:color="000000" w:sz="4" w:space="0"/>
              <w:left w:val="single" w:color="auto" w:sz="4" w:space="0"/>
              <w:right w:val="single" w:color="000000" w:sz="4" w:space="0"/>
            </w:tcBorders>
            <w:vAlign w:val="center"/>
          </w:tcPr>
          <w:p>
            <w:pPr>
              <w:pStyle w:val="15"/>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LHAZXCG-2025-00040-00</w:t>
            </w:r>
            <w:r>
              <w:rPr>
                <w:rFonts w:hint="eastAsia" w:hAnsi="宋体" w:eastAsia="宋体" w:cs="宋体"/>
                <w:sz w:val="21"/>
                <w:szCs w:val="21"/>
                <w:lang w:val="en-US" w:eastAsia="zh-CN"/>
              </w:rPr>
              <w:t>2</w:t>
            </w:r>
          </w:p>
        </w:tc>
        <w:tc>
          <w:tcPr>
            <w:tcW w:w="2893" w:type="dxa"/>
            <w:tcBorders>
              <w:top w:val="single" w:color="000000" w:sz="4" w:space="0"/>
              <w:left w:val="single" w:color="000000" w:sz="4" w:space="0"/>
              <w:right w:val="single" w:color="000000" w:sz="4" w:space="0"/>
            </w:tcBorders>
            <w:vAlign w:val="center"/>
          </w:tcPr>
          <w:p>
            <w:pPr>
              <w:pStyle w:val="15"/>
              <w:spacing w:line="240" w:lineRule="auto"/>
              <w:jc w:val="center"/>
              <w:rPr>
                <w:rFonts w:hint="eastAsia" w:ascii="宋体" w:hAnsi="宋体" w:eastAsia="宋体" w:cs="宋体"/>
                <w:sz w:val="21"/>
                <w:szCs w:val="21"/>
              </w:rPr>
            </w:pPr>
            <w:bookmarkStart w:id="24" w:name="OLE_LINK8"/>
            <w:r>
              <w:rPr>
                <w:rFonts w:hint="eastAsia" w:ascii="宋体" w:hAnsi="宋体" w:eastAsia="宋体" w:cs="宋体"/>
                <w:sz w:val="21"/>
                <w:szCs w:val="21"/>
              </w:rPr>
              <w:t>2025年深圳市龙华区总工会法律服务工作项目</w:t>
            </w:r>
            <w:bookmarkEnd w:id="24"/>
          </w:p>
        </w:tc>
        <w:tc>
          <w:tcPr>
            <w:tcW w:w="1087" w:type="dxa"/>
            <w:tcBorders>
              <w:top w:val="single" w:color="000000" w:sz="4" w:space="0"/>
              <w:left w:val="single" w:color="000000" w:sz="4" w:space="0"/>
              <w:right w:val="single" w:color="000000" w:sz="4" w:space="0"/>
            </w:tcBorders>
            <w:vAlign w:val="center"/>
          </w:tcPr>
          <w:p>
            <w:pPr>
              <w:pStyle w:val="15"/>
              <w:spacing w:line="240" w:lineRule="auto"/>
              <w:jc w:val="center"/>
              <w:rPr>
                <w:rFonts w:hint="default" w:hAnsi="宋体" w:eastAsia="宋体" w:cs="宋体"/>
                <w:sz w:val="21"/>
                <w:szCs w:val="21"/>
                <w:lang w:val="en-US" w:eastAsia="zh-CN"/>
              </w:rPr>
            </w:pPr>
            <w:r>
              <w:rPr>
                <w:rFonts w:hint="eastAsia" w:hAnsi="宋体" w:eastAsia="宋体" w:cs="宋体"/>
                <w:sz w:val="21"/>
                <w:szCs w:val="21"/>
                <w:lang w:val="en-US" w:eastAsia="zh-CN"/>
              </w:rPr>
              <w:t>B</w:t>
            </w:r>
          </w:p>
        </w:tc>
        <w:tc>
          <w:tcPr>
            <w:tcW w:w="1963" w:type="dxa"/>
            <w:tcBorders>
              <w:top w:val="single" w:color="000000" w:sz="4" w:space="0"/>
              <w:left w:val="single" w:color="000000" w:sz="4" w:space="0"/>
            </w:tcBorders>
            <w:vAlign w:val="center"/>
          </w:tcPr>
          <w:p>
            <w:pPr>
              <w:pStyle w:val="15"/>
              <w:spacing w:line="240" w:lineRule="auto"/>
              <w:jc w:val="center"/>
              <w:rPr>
                <w:rFonts w:hint="eastAsia" w:hAnsi="宋体" w:eastAsia="宋体" w:cs="宋体"/>
                <w:sz w:val="21"/>
                <w:szCs w:val="21"/>
                <w:lang w:val="en-US" w:eastAsia="zh-CN"/>
              </w:rPr>
            </w:pPr>
            <w:r>
              <w:rPr>
                <w:rFonts w:hint="eastAsia" w:hAnsi="宋体" w:eastAsia="宋体" w:cs="宋体"/>
                <w:sz w:val="21"/>
                <w:szCs w:val="21"/>
                <w:lang w:val="en-US" w:eastAsia="zh-CN"/>
              </w:rPr>
              <w:t>750000</w:t>
            </w:r>
          </w:p>
        </w:tc>
      </w:tr>
    </w:tbl>
    <w:p>
      <w:pPr>
        <w:keepNext/>
        <w:keepLines/>
        <w:numPr>
          <w:ilvl w:val="0"/>
          <w:numId w:val="3"/>
        </w:numPr>
        <w:tabs>
          <w:tab w:val="left" w:pos="1680"/>
        </w:tabs>
        <w:spacing w:before="260" w:after="78" w:afterLines="25" w:line="240" w:lineRule="auto"/>
        <w:jc w:val="center"/>
        <w:outlineLvl w:val="2"/>
        <w:rPr>
          <w:rFonts w:ascii="Arial" w:hAnsi="Arial" w:eastAsia="宋体" w:cs="Times New Roman"/>
          <w:b/>
          <w:sz w:val="28"/>
          <w:szCs w:val="28"/>
        </w:rPr>
      </w:pPr>
      <w:r>
        <w:rPr>
          <w:rFonts w:hint="eastAsia" w:ascii="Arial" w:hAnsi="Arial" w:eastAsia="宋体" w:cs="Times New Roman"/>
          <w:b/>
          <w:sz w:val="28"/>
          <w:szCs w:val="28"/>
        </w:rPr>
        <w:t>项目背景</w:t>
      </w:r>
    </w:p>
    <w:p>
      <w:pPr>
        <w:pStyle w:val="15"/>
        <w:spacing w:line="240" w:lineRule="auto"/>
        <w:ind w:firstLine="420" w:firstLineChars="200"/>
        <w:rPr>
          <w:rFonts w:hint="eastAsia" w:ascii="宋体" w:hAnsi="宋体" w:eastAsia="宋体" w:cs="宋体"/>
          <w:kern w:val="0"/>
          <w:sz w:val="21"/>
          <w:szCs w:val="18"/>
          <w:lang w:bidi="ar"/>
        </w:rPr>
      </w:pPr>
      <w:r>
        <w:rPr>
          <w:rFonts w:hint="eastAsia" w:ascii="宋体" w:hAnsi="宋体" w:eastAsia="宋体" w:cs="宋体"/>
          <w:kern w:val="0"/>
          <w:sz w:val="21"/>
          <w:szCs w:val="18"/>
          <w:lang w:bidi="ar"/>
        </w:rPr>
        <w:t>根据《深圳市总工会关于进一步加强工会法律服务的工作方案》等有关文件要求，进一步构建完善以法律顾问、集体协商、法律援助等为核心的“3+N”工会法律服务工作体系，提高工会法律服务工作质量。</w:t>
      </w:r>
    </w:p>
    <w:p>
      <w:pPr>
        <w:pStyle w:val="6"/>
        <w:spacing w:line="240" w:lineRule="auto"/>
        <w:jc w:val="center"/>
        <w:rPr>
          <w:szCs w:val="28"/>
        </w:rPr>
      </w:pPr>
      <w:bookmarkStart w:id="25" w:name="_Toc128884461"/>
      <w:r>
        <w:rPr>
          <w:rFonts w:hint="eastAsia"/>
          <w:szCs w:val="28"/>
        </w:rPr>
        <w:t>三、实质性条款</w:t>
      </w:r>
    </w:p>
    <w:tbl>
      <w:tblPr>
        <w:tblStyle w:val="23"/>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pPr>
              <w:spacing w:line="240" w:lineRule="auto"/>
            </w:pPr>
            <w:r>
              <w:rPr>
                <w:rFonts w:hint="eastAsia"/>
              </w:rPr>
              <w:t>序号</w:t>
            </w:r>
          </w:p>
        </w:tc>
        <w:tc>
          <w:tcPr>
            <w:tcW w:w="7483" w:type="dxa"/>
            <w:vAlign w:val="center"/>
          </w:tcPr>
          <w:p>
            <w:pPr>
              <w:spacing w:line="240" w:lineRule="auto"/>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spacing w:line="240" w:lineRule="auto"/>
              <w:jc w:val="center"/>
            </w:pPr>
            <w:r>
              <w:rPr>
                <w:rFonts w:hint="eastAsia"/>
              </w:rPr>
              <w:t>1</w:t>
            </w:r>
          </w:p>
        </w:tc>
        <w:tc>
          <w:tcPr>
            <w:tcW w:w="7483" w:type="dxa"/>
          </w:tcPr>
          <w:p>
            <w:pPr>
              <w:spacing w:line="240" w:lineRule="auto"/>
              <w:jc w:val="center"/>
            </w:pPr>
            <w:r>
              <w:rPr>
                <w:rFonts w:hint="eastAsia"/>
              </w:rPr>
              <w:t>本项目招标文件中所有带★号条款内容</w:t>
            </w:r>
          </w:p>
        </w:tc>
      </w:tr>
      <w:bookmarkEnd w:id="25"/>
    </w:tbl>
    <w:p>
      <w:pPr>
        <w:spacing w:line="240" w:lineRule="auto"/>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w:t>
      </w:r>
    </w:p>
    <w:p>
      <w:pPr>
        <w:keepNext/>
        <w:keepLines/>
        <w:numPr>
          <w:ilvl w:val="0"/>
          <w:numId w:val="4"/>
        </w:numPr>
        <w:tabs>
          <w:tab w:val="left" w:pos="1680"/>
        </w:tabs>
        <w:spacing w:before="260" w:after="78" w:afterLines="25" w:line="240" w:lineRule="auto"/>
        <w:jc w:val="center"/>
        <w:outlineLvl w:val="2"/>
        <w:rPr>
          <w:rFonts w:ascii="Arial" w:hAnsi="Arial" w:eastAsia="宋体" w:cs="Times New Roman"/>
          <w:b/>
          <w:bCs/>
          <w:sz w:val="28"/>
          <w:szCs w:val="28"/>
        </w:rPr>
      </w:pPr>
      <w:r>
        <w:rPr>
          <w:rFonts w:hint="eastAsia" w:ascii="Arial" w:hAnsi="Arial" w:eastAsia="宋体" w:cs="Times New Roman"/>
          <w:b/>
          <w:bCs/>
          <w:sz w:val="28"/>
          <w:szCs w:val="28"/>
        </w:rPr>
        <w:t>★服务条款内容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（一）服务内容如下：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1.</w:t>
      </w:r>
      <w:r>
        <w:rPr>
          <w:rFonts w:hint="eastAsia" w:ascii="宋体" w:hAnsi="宋体" w:eastAsia="宋体" w:cs="宋体"/>
          <w:b w:val="0"/>
          <w:bCs/>
          <w:color w:val="auto"/>
          <w:sz w:val="21"/>
          <w:szCs w:val="21"/>
          <w:lang w:val="en-US" w:eastAsia="zh-CN"/>
        </w:rPr>
        <w:t>依托工会法律服务阵地开展驻点服务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i w:val="0"/>
          <w:iCs w:val="0"/>
          <w:color w:val="auto"/>
          <w:sz w:val="21"/>
          <w:szCs w:val="21"/>
          <w:lang w:val="en-US" w:eastAsia="zh-CN"/>
        </w:rPr>
      </w:pPr>
      <w:r>
        <w:rPr>
          <w:rFonts w:hint="eastAsia" w:ascii="宋体" w:hAnsi="宋体" w:eastAsia="宋体" w:cs="宋体"/>
          <w:b w:val="0"/>
          <w:bCs/>
          <w:color w:val="auto"/>
          <w:sz w:val="21"/>
          <w:szCs w:val="21"/>
          <w:lang w:val="en-US" w:eastAsia="zh-CN"/>
        </w:rPr>
        <w:t>依托1个区级法律服务站，6个街道级法律服务站，和n个社区、园区（楼宇）工联会或有条件的企业工联会法律服务点开展驻点服务，其中：</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（1）1个区级法律服务站要求每周定期提供2天的驻点服务；</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（2）6个街道级法律服务站要求每周定期提供2天的驻点服务；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（3）</w:t>
      </w:r>
      <w:r>
        <w:rPr>
          <w:rFonts w:hint="eastAsia" w:ascii="宋体" w:hAnsi="宋体" w:eastAsia="宋体" w:cs="宋体"/>
          <w:b w:val="0"/>
          <w:bCs/>
          <w:color w:val="auto"/>
          <w:sz w:val="21"/>
          <w:szCs w:val="21"/>
          <w:lang w:val="en-US" w:eastAsia="zh-CN"/>
        </w:rPr>
        <w:t>n个社区、园区（楼宇）工联会或有条件的企业工联会法律服务点不定期提供驻点服务，但不低于200天。</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备注：</w:t>
      </w:r>
      <w:r>
        <w:rPr>
          <w:rFonts w:hint="eastAsia"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val="en-US" w:eastAsia="zh-CN"/>
        </w:rPr>
        <w:t>驻点服务以天为单位，每天服务时长为8小时</w:t>
      </w:r>
      <w:r>
        <w:rPr>
          <w:rFonts w:hint="eastAsia" w:hAnsi="宋体" w:eastAsia="宋体" w:cs="宋体"/>
          <w:b w:val="0"/>
          <w:bCs/>
          <w:color w:val="auto"/>
          <w:sz w:val="21"/>
          <w:szCs w:val="21"/>
          <w:lang w:val="en-US" w:eastAsia="zh-CN"/>
        </w:rPr>
        <w:t>；（2）</w:t>
      </w:r>
      <w:r>
        <w:rPr>
          <w:rFonts w:hint="eastAsia" w:hAnsi="宋体" w:eastAsia="宋体" w:cs="宋体"/>
          <w:bCs/>
          <w:color w:val="auto"/>
          <w:sz w:val="21"/>
          <w:szCs w:val="21"/>
          <w:vertAlign w:val="baseline"/>
          <w:lang w:val="en-US" w:eastAsia="zh-CN"/>
        </w:rPr>
        <w:t>区级、街道级和社区的驻点服务天数可以根据实际情况调整，但总时长不得低于440天。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2.担任工会法律顾问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eastAsia="zh-Hans"/>
        </w:rPr>
        <w:t>为辖区一级、二级工联会和部分重点工会</w:t>
      </w:r>
      <w:r>
        <w:rPr>
          <w:rFonts w:hint="eastAsia" w:ascii="宋体" w:hAnsi="宋体" w:eastAsia="宋体" w:cs="宋体"/>
          <w:color w:val="auto"/>
          <w:sz w:val="21"/>
          <w:szCs w:val="21"/>
          <w:lang w:val="en-US" w:eastAsia="zh-CN"/>
        </w:rPr>
        <w:t>工会联合会</w:t>
      </w:r>
      <w:r>
        <w:rPr>
          <w:rFonts w:hint="eastAsia" w:ascii="宋体" w:hAnsi="宋体" w:eastAsia="宋体" w:cs="宋体"/>
          <w:color w:val="auto"/>
          <w:sz w:val="21"/>
          <w:szCs w:val="21"/>
          <w:lang w:eastAsia="zh-Hans"/>
        </w:rPr>
        <w:t>提供法律顾问服务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要求每年服务不少于</w:t>
      </w:r>
      <w:r>
        <w:rPr>
          <w:rFonts w:hint="default" w:ascii="宋体" w:hAnsi="宋体" w:eastAsia="宋体" w:cs="宋体"/>
          <w:color w:val="auto"/>
          <w:sz w:val="21"/>
          <w:szCs w:val="21"/>
          <w:lang w:val="en-US" w:eastAsia="zh-CN"/>
        </w:rPr>
        <w:t>8</w:t>
      </w:r>
      <w:r>
        <w:rPr>
          <w:rFonts w:hint="eastAsia" w:ascii="宋体" w:hAnsi="宋体" w:eastAsia="宋体" w:cs="宋体"/>
          <w:color w:val="auto"/>
          <w:sz w:val="21"/>
          <w:szCs w:val="21"/>
          <w:lang w:val="en-US" w:eastAsia="zh-CN"/>
        </w:rPr>
        <w:t>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3.常规</w:t>
      </w:r>
      <w:r>
        <w:rPr>
          <w:rFonts w:hint="eastAsia" w:ascii="宋体" w:hAnsi="宋体" w:eastAsia="宋体" w:cs="宋体"/>
          <w:b w:val="0"/>
          <w:bCs w:val="0"/>
          <w:color w:val="auto"/>
          <w:sz w:val="21"/>
          <w:szCs w:val="21"/>
        </w:rPr>
        <w:t>普法宣传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通过线上线下讲座、线上普法宣传、线下摆摊、趣味互动普法宣传等方式每年</w:t>
      </w:r>
      <w:r>
        <w:rPr>
          <w:rFonts w:hint="eastAsia" w:ascii="宋体" w:hAnsi="宋体" w:eastAsia="宋体" w:cs="宋体"/>
          <w:b w:val="0"/>
          <w:bCs w:val="0"/>
          <w:color w:val="auto"/>
          <w:sz w:val="21"/>
          <w:szCs w:val="21"/>
        </w:rPr>
        <w:t>提供不少于</w:t>
      </w:r>
      <w:r>
        <w:rPr>
          <w:rFonts w:hint="default" w:ascii="宋体" w:hAnsi="宋体" w:eastAsia="宋体" w:cs="宋体"/>
          <w:b w:val="0"/>
          <w:bCs w:val="0"/>
          <w:color w:val="auto"/>
          <w:sz w:val="21"/>
          <w:szCs w:val="21"/>
          <w:lang w:val="en-US" w:eastAsia="zh-CN"/>
        </w:rPr>
        <w:t>100</w:t>
      </w:r>
      <w:r>
        <w:rPr>
          <w:rFonts w:hint="eastAsia" w:ascii="宋体" w:hAnsi="宋体" w:eastAsia="宋体" w:cs="宋体"/>
          <w:b w:val="0"/>
          <w:bCs w:val="0"/>
          <w:color w:val="auto"/>
          <w:sz w:val="21"/>
          <w:szCs w:val="21"/>
        </w:rPr>
        <w:t>场次的</w:t>
      </w:r>
      <w:r>
        <w:rPr>
          <w:rFonts w:hint="eastAsia" w:ascii="宋体" w:hAnsi="宋体" w:eastAsia="宋体" w:cs="宋体"/>
          <w:b w:val="0"/>
          <w:bCs w:val="0"/>
          <w:color w:val="auto"/>
          <w:sz w:val="21"/>
          <w:szCs w:val="21"/>
          <w:lang w:val="en-US" w:eastAsia="zh-CN"/>
        </w:rPr>
        <w:t>常规</w:t>
      </w:r>
      <w:r>
        <w:rPr>
          <w:rFonts w:hint="eastAsia" w:ascii="宋体" w:hAnsi="宋体" w:eastAsia="宋体" w:cs="宋体"/>
          <w:b w:val="0"/>
          <w:bCs w:val="0"/>
          <w:color w:val="auto"/>
          <w:sz w:val="21"/>
          <w:szCs w:val="21"/>
        </w:rPr>
        <w:t>普法宣传活动</w:t>
      </w:r>
      <w:r>
        <w:rPr>
          <w:rFonts w:hint="eastAsia" w:ascii="宋体" w:hAnsi="宋体" w:eastAsia="宋体" w:cs="宋体"/>
          <w:b w:val="0"/>
          <w:bCs w:val="0"/>
          <w:color w:val="auto"/>
          <w:sz w:val="21"/>
          <w:szCs w:val="21"/>
          <w:lang w:eastAsia="zh-CN"/>
        </w:rPr>
        <w:t>，形式多样。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4.</w:t>
      </w:r>
      <w:r>
        <w:rPr>
          <w:rFonts w:hint="eastAsia" w:ascii="宋体" w:hAnsi="宋体" w:eastAsia="宋体" w:cs="宋体"/>
          <w:b w:val="0"/>
          <w:bCs w:val="0"/>
          <w:color w:val="auto"/>
          <w:sz w:val="21"/>
          <w:szCs w:val="21"/>
          <w:lang w:val="en-US" w:eastAsia="zh-CN"/>
        </w:rPr>
        <w:t>法律援助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为辖区符合工会法律援助申请条件的职工、工会工作者和工会组织提供法律服务。个体案件每件计付3500元，集体案件根据案件人数分段累加计付费用，具体费用标准按</w:t>
      </w:r>
      <w:r>
        <w:rPr>
          <w:rFonts w:hint="eastAsia" w:ascii="宋体" w:hAnsi="宋体" w:eastAsia="宋体" w:cs="宋体"/>
          <w:color w:val="auto"/>
          <w:szCs w:val="21"/>
        </w:rPr>
        <w:t>《龙华区总工会法律服务计费标准（试行）》</w:t>
      </w:r>
      <w:r>
        <w:rPr>
          <w:rFonts w:hint="eastAsia" w:ascii="宋体" w:hAnsi="宋体" w:eastAsia="宋体" w:cs="宋体"/>
          <w:b w:val="0"/>
          <w:bCs w:val="0"/>
          <w:color w:val="auto"/>
          <w:sz w:val="21"/>
          <w:szCs w:val="21"/>
          <w:lang w:val="en-US" w:eastAsia="zh-CN"/>
        </w:rPr>
        <w:t>等有关规定执行。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5.</w:t>
      </w:r>
      <w:r>
        <w:rPr>
          <w:rFonts w:hint="eastAsia" w:ascii="宋体" w:hAnsi="宋体" w:eastAsia="宋体" w:cs="宋体"/>
          <w:b w:val="0"/>
          <w:bCs w:val="0"/>
          <w:color w:val="auto"/>
          <w:sz w:val="21"/>
          <w:szCs w:val="21"/>
          <w:lang w:val="en-US" w:eastAsia="zh-CN"/>
        </w:rPr>
        <w:t>指导签订集体合同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参与集体协商过程，指导签订集体合同，要求至少指导签订一个行业、一个区域和十个企业的集体合同。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6.</w:t>
      </w:r>
      <w:r>
        <w:rPr>
          <w:rFonts w:hint="eastAsia" w:ascii="宋体" w:hAnsi="宋体" w:eastAsia="宋体" w:cs="宋体"/>
          <w:b w:val="0"/>
          <w:bCs w:val="0"/>
          <w:color w:val="auto"/>
          <w:sz w:val="21"/>
          <w:szCs w:val="21"/>
          <w:lang w:val="en-US" w:eastAsia="zh-CN"/>
        </w:rPr>
        <w:t>特色活动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要求每年依托“12.4国家宪法日”“3.8国际劳动妇女节”“5.1国际劳动日”等节日举行2场大型普法宣传活动，包括但不限于宣传、咨询、答疑、现场抽奖等服务，要求每场服务人数不少于200人。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textAlignment w:val="auto"/>
        <w:rPr>
          <w:rFonts w:hint="eastAsia" w:ascii="宋体" w:hAnsi="宋体" w:eastAsia="宋体" w:cs="宋体"/>
          <w:b w:val="0"/>
          <w:bCs w:val="0"/>
          <w:color w:val="auto"/>
          <w:sz w:val="21"/>
          <w:szCs w:val="21"/>
          <w:lang w:val="en-US" w:eastAsia="zh-CN"/>
        </w:rPr>
      </w:pPr>
      <w:r>
        <w:rPr>
          <w:rFonts w:hint="default"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.其他专项法律服务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Cs w:val="21"/>
        </w:rPr>
        <w:t>（1）派驻至少1名专业律师协助采购人处理工会信访事项及参与劳动争议调处；（2）提供数智化特色法律服务，搭建在线法律服务平台，提供每周5天、每天8小时的在线直播答疑、在线调解、在线普法宣传等法律服务；（3）提供1个法律专线服务热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（二）项目</w:t>
      </w:r>
      <w:r>
        <w:rPr>
          <w:rFonts w:hint="eastAsia" w:ascii="宋体" w:hAnsi="宋体" w:eastAsia="宋体" w:cs="宋体"/>
          <w:b w:val="0"/>
          <w:bCs w:val="0"/>
          <w:color w:val="auto"/>
          <w:sz w:val="21"/>
          <w:szCs w:val="21"/>
          <w:lang w:val="en-US" w:eastAsia="zh-CN"/>
        </w:rPr>
        <w:t>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1.项目人员要求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（1）项目负责人1名；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lang w:val="en-US" w:eastAsia="zh-CN"/>
        </w:rPr>
        <w:t>（2）服务律师3名；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（3）项目其他服务人员不少于4人，需通过国家统一法律职业资格考试。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以上项目人员应当具备以下条件：（1）忠于宪法、遵守法律，具有良好的职业道德；（2）年龄应在50周岁以下（项目负责人除外），专业能力较强；（3）未受过刑事处罚、司法行政部门的行政处罚或者律师协会的行业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2.中标供应商必须接受采购单位对工作人员服务的质量、人员服务态度、安全等方面的监督，若有违反相关的规定和要求，采购单位有权对中标供应商嫌弃整改。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经采购单位同意，中标供应商可以调整项目团队服务人员，但应向采购单位提交书面情况说明、新增加项目团队服务人员的基本信息。</w:t>
      </w:r>
    </w:p>
    <w:p>
      <w:pPr>
        <w:keepNext/>
        <w:keepLines/>
        <w:numPr>
          <w:ilvl w:val="0"/>
          <w:numId w:val="4"/>
        </w:numPr>
        <w:tabs>
          <w:tab w:val="left" w:pos="1680"/>
        </w:tabs>
        <w:spacing w:before="260" w:after="78" w:afterLines="25" w:line="240" w:lineRule="auto"/>
        <w:jc w:val="center"/>
        <w:outlineLvl w:val="2"/>
        <w:rPr>
          <w:rFonts w:hint="eastAsia" w:ascii="Arial" w:hAnsi="Arial" w:eastAsia="宋体" w:cs="Times New Roman"/>
          <w:b/>
          <w:bCs/>
          <w:sz w:val="28"/>
          <w:szCs w:val="28"/>
        </w:rPr>
      </w:pPr>
      <w:r>
        <w:rPr>
          <w:rFonts w:hint="eastAsia" w:ascii="Arial" w:hAnsi="Arial" w:eastAsia="宋体" w:cs="Times New Roman"/>
          <w:b/>
          <w:bCs/>
          <w:sz w:val="28"/>
          <w:szCs w:val="28"/>
        </w:rPr>
        <w:t>★商务要求</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1.1服务期要求：</w:t>
      </w:r>
    </w:p>
    <w:p>
      <w:pPr>
        <w:pStyle w:val="2"/>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本项目服务期限为合同签订后1年。本项目为长期服务项目，长期服务政府采购合同履行期限最长不得超过三十六个月。如</w:t>
      </w:r>
      <w:r>
        <w:rPr>
          <w:rFonts w:hint="eastAsia" w:ascii="宋体" w:hAnsi="宋体" w:eastAsia="宋体" w:cs="宋体"/>
          <w:color w:val="auto"/>
          <w:sz w:val="21"/>
          <w:szCs w:val="21"/>
          <w:u w:val="single"/>
          <w:lang w:val="en-US" w:eastAsia="zh-CN"/>
        </w:rPr>
        <w:t>中标供应商</w:t>
      </w:r>
      <w:r>
        <w:rPr>
          <w:rFonts w:hint="eastAsia" w:ascii="宋体" w:hAnsi="宋体" w:eastAsia="宋体" w:cs="宋体"/>
          <w:color w:val="auto"/>
          <w:sz w:val="21"/>
          <w:szCs w:val="21"/>
          <w:u w:val="single"/>
        </w:rPr>
        <w:t>履约不达标或因政策调整，</w:t>
      </w:r>
      <w:r>
        <w:rPr>
          <w:rFonts w:hint="eastAsia" w:ascii="宋体" w:hAnsi="宋体" w:eastAsia="宋体" w:cs="宋体"/>
          <w:color w:val="auto"/>
          <w:sz w:val="21"/>
          <w:szCs w:val="21"/>
          <w:u w:val="single"/>
          <w:lang w:val="en-US" w:eastAsia="zh-CN"/>
        </w:rPr>
        <w:t>采购人</w:t>
      </w:r>
      <w:r>
        <w:rPr>
          <w:rFonts w:hint="eastAsia" w:ascii="宋体" w:hAnsi="宋体" w:eastAsia="宋体" w:cs="宋体"/>
          <w:color w:val="auto"/>
          <w:sz w:val="21"/>
          <w:szCs w:val="21"/>
          <w:u w:val="single"/>
        </w:rPr>
        <w:t>可不再续约。</w:t>
      </w:r>
    </w:p>
    <w:p>
      <w:pPr>
        <w:pStyle w:val="3"/>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1.2服务地点：</w:t>
      </w:r>
      <w:r>
        <w:rPr>
          <w:rFonts w:hint="eastAsia" w:ascii="宋体" w:hAnsi="宋体" w:eastAsia="宋体" w:cs="宋体"/>
          <w:color w:val="auto"/>
          <w:sz w:val="21"/>
          <w:szCs w:val="21"/>
        </w:rPr>
        <w:t>采购人指定位置</w:t>
      </w:r>
      <w:r>
        <w:rPr>
          <w:rFonts w:hint="eastAsia" w:ascii="宋体" w:hAnsi="宋体" w:eastAsia="宋体" w:cs="宋体"/>
          <w:color w:val="auto"/>
          <w:sz w:val="21"/>
          <w:szCs w:val="21"/>
          <w:lang w:eastAsia="zh-CN"/>
        </w:rPr>
        <w:t>。</w:t>
      </w:r>
    </w:p>
    <w:p>
      <w:pPr>
        <w:pStyle w:val="3"/>
        <w:rPr>
          <w:rFonts w:hint="eastAsia" w:ascii="宋体" w:hAnsi="宋体" w:eastAsia="宋体" w:cs="宋体"/>
          <w:bCs/>
          <w:color w:val="auto"/>
          <w:sz w:val="21"/>
          <w:szCs w:val="21"/>
          <w:lang w:eastAsia="zh-CN"/>
        </w:rPr>
      </w:pPr>
      <w:r>
        <w:rPr>
          <w:rFonts w:hint="eastAsia" w:ascii="宋体" w:hAnsi="宋体" w:eastAsia="宋体" w:cs="宋体"/>
          <w:b/>
          <w:color w:val="auto"/>
          <w:sz w:val="21"/>
          <w:szCs w:val="21"/>
        </w:rPr>
        <w:t>1.3付款期限和方式：</w:t>
      </w:r>
      <w:r>
        <w:rPr>
          <w:rFonts w:hint="eastAsia" w:ascii="宋体" w:hAnsi="宋体" w:eastAsia="宋体" w:cs="宋体"/>
          <w:bCs/>
          <w:color w:val="auto"/>
          <w:sz w:val="21"/>
          <w:szCs w:val="21"/>
        </w:rPr>
        <w:t>费用分</w:t>
      </w:r>
      <w:r>
        <w:rPr>
          <w:rFonts w:hint="eastAsia" w:ascii="宋体" w:hAnsi="宋体" w:eastAsia="宋体" w:cs="宋体"/>
          <w:bCs/>
          <w:color w:val="auto"/>
          <w:sz w:val="21"/>
          <w:szCs w:val="21"/>
          <w:lang w:val="en-US" w:eastAsia="zh-CN"/>
        </w:rPr>
        <w:t>二</w:t>
      </w:r>
      <w:r>
        <w:rPr>
          <w:rFonts w:hint="eastAsia" w:ascii="宋体" w:hAnsi="宋体" w:eastAsia="宋体" w:cs="宋体"/>
          <w:bCs/>
          <w:color w:val="auto"/>
          <w:sz w:val="21"/>
          <w:szCs w:val="21"/>
        </w:rPr>
        <w:t>期支付，自签订合同之日起10个工作日内支付合同中标价的50%，六个月后支付合同中标价剩余的50%</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中标供应商应按要求提供服务资料，根据每期服务费用开具等额电子发票</w:t>
      </w:r>
      <w:r>
        <w:rPr>
          <w:rFonts w:hint="eastAsia" w:ascii="宋体" w:hAnsi="宋体" w:eastAsia="宋体" w:cs="宋体"/>
          <w:bCs/>
          <w:color w:val="auto"/>
          <w:sz w:val="21"/>
          <w:szCs w:val="21"/>
          <w:lang w:eastAsia="zh-CN"/>
        </w:rPr>
        <w:t>。</w:t>
      </w:r>
    </w:p>
    <w:p>
      <w:pPr>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1.4</w:t>
      </w:r>
      <w:r>
        <w:rPr>
          <w:rFonts w:hint="eastAsia" w:ascii="宋体" w:hAnsi="宋体" w:eastAsia="宋体" w:cs="宋体"/>
          <w:b/>
          <w:color w:val="auto"/>
          <w:sz w:val="21"/>
          <w:szCs w:val="21"/>
        </w:rPr>
        <w:t>验收条件：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1.服务经过双方检验认可后，签署验收文件。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2.当满足以下条件时，采购人才向中标人签发验收文件：</w:t>
      </w:r>
    </w:p>
    <w:p>
      <w:pPr>
        <w:tabs>
          <w:tab w:val="left" w:pos="1260"/>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（1）中标人已按照合同规定提供了全部技术资料。</w:t>
      </w:r>
    </w:p>
    <w:p>
      <w:pPr>
        <w:pStyle w:val="3"/>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（2）服务项目符合招标文件的服务要求</w:t>
      </w:r>
      <w:r>
        <w:rPr>
          <w:rFonts w:hint="eastAsia" w:ascii="宋体" w:hAnsi="宋体" w:eastAsia="宋体" w:cs="宋体"/>
          <w:color w:val="auto"/>
          <w:sz w:val="21"/>
          <w:szCs w:val="21"/>
          <w:lang w:eastAsia="zh-CN"/>
        </w:rPr>
        <w:t>。</w:t>
      </w:r>
    </w:p>
    <w:p>
      <w:pPr>
        <w:spacing w:line="36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1.5</w:t>
      </w:r>
      <w:r>
        <w:rPr>
          <w:rFonts w:hint="eastAsia" w:ascii="宋体" w:hAnsi="宋体" w:eastAsia="宋体" w:cs="宋体"/>
          <w:b/>
          <w:color w:val="auto"/>
          <w:sz w:val="21"/>
          <w:szCs w:val="21"/>
        </w:rPr>
        <w:t>违约责任：</w:t>
      </w:r>
    </w:p>
    <w:p>
      <w:pPr>
        <w:pStyle w:val="3"/>
        <w:rPr>
          <w:rFonts w:hint="eastAsia" w:ascii="宋体" w:hAnsi="宋体" w:eastAsia="宋体" w:cs="宋体"/>
          <w:color w:val="auto"/>
          <w:sz w:val="21"/>
          <w:szCs w:val="21"/>
        </w:rPr>
      </w:pPr>
      <w:r>
        <w:rPr>
          <w:rFonts w:hint="eastAsia" w:ascii="宋体" w:hAnsi="宋体" w:eastAsia="宋体" w:cs="宋体"/>
          <w:color w:val="auto"/>
          <w:sz w:val="21"/>
          <w:szCs w:val="21"/>
        </w:rPr>
        <w:t>中标供应商指派的</w:t>
      </w:r>
      <w:r>
        <w:rPr>
          <w:rFonts w:hint="eastAsia" w:ascii="宋体" w:hAnsi="宋体" w:eastAsia="宋体" w:cs="宋体"/>
          <w:color w:val="auto"/>
          <w:sz w:val="21"/>
          <w:szCs w:val="21"/>
          <w:lang w:val="en-US" w:eastAsia="zh-CN"/>
        </w:rPr>
        <w:t>法律服务人员</w:t>
      </w:r>
      <w:r>
        <w:rPr>
          <w:rFonts w:hint="eastAsia" w:ascii="宋体" w:hAnsi="宋体" w:eastAsia="宋体" w:cs="宋体"/>
          <w:color w:val="auto"/>
          <w:sz w:val="21"/>
          <w:szCs w:val="21"/>
        </w:rPr>
        <w:t>非因采购人原因变动频繁导致工作</w:t>
      </w:r>
      <w:r>
        <w:rPr>
          <w:rFonts w:hint="eastAsia" w:ascii="宋体" w:hAnsi="宋体" w:eastAsia="宋体" w:cs="宋体"/>
          <w:color w:val="auto"/>
          <w:sz w:val="21"/>
          <w:szCs w:val="21"/>
          <w:lang w:val="en-US" w:eastAsia="zh-CN"/>
        </w:rPr>
        <w:t>出现严重失误</w:t>
      </w:r>
      <w:r>
        <w:rPr>
          <w:rFonts w:hint="eastAsia" w:ascii="宋体" w:hAnsi="宋体" w:eastAsia="宋体" w:cs="宋体"/>
          <w:color w:val="auto"/>
          <w:sz w:val="21"/>
          <w:szCs w:val="21"/>
        </w:rPr>
        <w:t>，采购人有权要求中标供应商限期整改，在限期时间内没有整改，采购人有权终止合同。同时，如造成经济损失，采购人有权向中标供应商索赔。</w:t>
      </w:r>
    </w:p>
    <w:p>
      <w:pPr>
        <w:spacing w:line="360" w:lineRule="auto"/>
        <w:rPr>
          <w:rFonts w:hint="eastAsia" w:ascii="宋体" w:hAnsi="宋体" w:eastAsia="宋体" w:cs="宋体"/>
          <w:b/>
          <w:color w:val="auto"/>
          <w:sz w:val="21"/>
          <w:szCs w:val="21"/>
        </w:rPr>
      </w:pPr>
      <w:r>
        <w:rPr>
          <w:rFonts w:hint="eastAsia" w:ascii="宋体" w:hAnsi="宋体" w:eastAsia="宋体" w:cs="宋体"/>
          <w:bCs/>
          <w:color w:val="auto"/>
          <w:sz w:val="21"/>
          <w:szCs w:val="21"/>
        </w:rPr>
        <w:t>1.6</w:t>
      </w:r>
      <w:r>
        <w:rPr>
          <w:rFonts w:hint="eastAsia" w:ascii="宋体" w:hAnsi="宋体" w:eastAsia="宋体" w:cs="宋体"/>
          <w:b/>
          <w:color w:val="auto"/>
          <w:sz w:val="21"/>
          <w:szCs w:val="21"/>
        </w:rPr>
        <w:t>争议解决方法：</w:t>
      </w:r>
    </w:p>
    <w:p>
      <w:pPr>
        <w:pStyle w:val="3"/>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如在服务履行过程中发生争议，双方本着友好合作原则协商解决，如不能通过协商解决争议时，双方同意在</w:t>
      </w:r>
      <w:r>
        <w:rPr>
          <w:rFonts w:hint="eastAsia" w:ascii="宋体" w:hAnsi="宋体" w:eastAsia="宋体" w:cs="宋体"/>
          <w:color w:val="auto"/>
          <w:sz w:val="21"/>
          <w:szCs w:val="21"/>
          <w:lang w:val="en-US" w:eastAsia="zh-CN"/>
        </w:rPr>
        <w:t>龙华区</w:t>
      </w:r>
      <w:r>
        <w:rPr>
          <w:rFonts w:hint="eastAsia" w:ascii="宋体" w:hAnsi="宋体" w:eastAsia="宋体" w:cs="宋体"/>
          <w:color w:val="auto"/>
          <w:sz w:val="21"/>
          <w:szCs w:val="21"/>
        </w:rPr>
        <w:t>人民法院诉讼解决。</w:t>
      </w:r>
    </w:p>
    <w:p>
      <w:pPr>
        <w:pStyle w:val="6"/>
        <w:spacing w:before="156" w:beforeLines="50" w:after="156" w:afterLines="50" w:line="240" w:lineRule="auto"/>
        <w:jc w:val="center"/>
        <w:rPr>
          <w:szCs w:val="28"/>
        </w:rPr>
      </w:pPr>
      <w:r>
        <w:rPr>
          <w:rFonts w:hint="eastAsia"/>
          <w:szCs w:val="28"/>
        </w:rPr>
        <w:t>五、其他重要条款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Cs/>
          <w:szCs w:val="21"/>
        </w:rPr>
      </w:pPr>
      <w:r>
        <w:rPr>
          <w:rFonts w:hint="eastAsia"/>
          <w:bCs/>
          <w:szCs w:val="21"/>
        </w:rPr>
        <w:t>4、除政府采购合同继续履行将损害国家利益和社会公共利益外，双方当事人不得擅自变更、中止或者终止合同。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pStyle w:val="15"/>
        <w:rPr>
          <w:rFonts w:hint="eastAsia"/>
          <w:bCs/>
          <w:szCs w:val="21"/>
        </w:rPr>
        <w:sectPr>
          <w:headerReference r:id="rId8" w:type="first"/>
          <w:footerReference r:id="rId11" w:type="first"/>
          <w:footerReference r:id="rId9" w:type="default"/>
          <w:headerReference r:id="rId7" w:type="even"/>
          <w:footerReference r:id="rId10" w:type="even"/>
          <w:pgSz w:w="11906" w:h="16838"/>
          <w:pgMar w:top="1440" w:right="1417" w:bottom="1440" w:left="1417" w:header="851" w:footer="992" w:gutter="0"/>
          <w:pgNumType w:fmt="decimal" w:start="3"/>
          <w:cols w:space="425" w:num="1"/>
          <w:docGrid w:type="lines" w:linePitch="312" w:charSpace="0"/>
        </w:sectPr>
      </w:pPr>
    </w:p>
    <w:p>
      <w:pPr>
        <w:keepNext/>
        <w:keepLines/>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bidi w:val="0"/>
      </w:pPr>
      <w:bookmarkStart w:id="26" w:name="_Hlk72257771"/>
      <w:r>
        <w:rPr>
          <w:rFonts w:hint="eastAsia"/>
        </w:rPr>
        <w:t>1.投标文件正文，主要包括以下内容：</w:t>
      </w:r>
    </w:p>
    <w:p>
      <w:pPr>
        <w:numPr>
          <w:ilvl w:val="0"/>
          <w:numId w:val="5"/>
        </w:numPr>
        <w:rPr>
          <w:szCs w:val="21"/>
        </w:rPr>
      </w:pPr>
      <w:bookmarkStart w:id="27" w:name="_Hlk72070784"/>
      <w:r>
        <w:rPr>
          <w:rFonts w:hint="eastAsia"/>
          <w:szCs w:val="21"/>
        </w:rPr>
        <w:t>投标函</w:t>
      </w:r>
      <w:bookmarkEnd w:id="27"/>
    </w:p>
    <w:p>
      <w:pPr>
        <w:numPr>
          <w:ilvl w:val="0"/>
          <w:numId w:val="5"/>
        </w:numPr>
        <w:rPr>
          <w:szCs w:val="21"/>
        </w:rPr>
      </w:pPr>
      <w:bookmarkStart w:id="28" w:name="_Hlk72062521"/>
      <w:r>
        <w:rPr>
          <w:rFonts w:hint="eastAsia"/>
          <w:szCs w:val="21"/>
        </w:rPr>
        <w:t>政府采购投标及履约承诺函</w:t>
      </w:r>
      <w:bookmarkEnd w:id="28"/>
    </w:p>
    <w:p>
      <w:pPr>
        <w:numPr>
          <w:ilvl w:val="0"/>
          <w:numId w:val="5"/>
        </w:numPr>
        <w:rPr>
          <w:szCs w:val="21"/>
        </w:rPr>
      </w:pPr>
      <w:r>
        <w:rPr>
          <w:rFonts w:hint="eastAsia"/>
          <w:szCs w:val="21"/>
        </w:rPr>
        <w:t>投标人情况及资格证明文件</w:t>
      </w:r>
      <w:r>
        <w:rPr>
          <w:rFonts w:hint="eastAsia"/>
          <w:szCs w:val="21"/>
          <w:lang w:eastAsia="zh-CN"/>
        </w:rPr>
        <w:t>、</w:t>
      </w:r>
      <w:r>
        <w:rPr>
          <w:rFonts w:hint="eastAsia"/>
          <w:lang w:eastAsia="zh-CN"/>
        </w:rPr>
        <w:t>供应商情况表</w:t>
      </w:r>
    </w:p>
    <w:p>
      <w:pPr>
        <w:numPr>
          <w:ilvl w:val="0"/>
          <w:numId w:val="5"/>
        </w:numPr>
        <w:rPr>
          <w:szCs w:val="21"/>
        </w:rPr>
      </w:pPr>
      <w:bookmarkStart w:id="29" w:name="OLE_LINK7"/>
      <w:bookmarkStart w:id="30" w:name="_Hlk72257201"/>
      <w:r>
        <w:rPr>
          <w:rFonts w:hint="eastAsia"/>
          <w:szCs w:val="21"/>
        </w:rPr>
        <w:t>项目详细报价</w:t>
      </w:r>
    </w:p>
    <w:bookmarkEnd w:id="29"/>
    <w:bookmarkEnd w:id="30"/>
    <w:p>
      <w:pPr>
        <w:numPr>
          <w:ilvl w:val="0"/>
          <w:numId w:val="5"/>
        </w:numPr>
        <w:rPr>
          <w:rFonts w:hint="eastAsia"/>
          <w:b/>
          <w:bCs/>
          <w:szCs w:val="21"/>
          <w:lang w:eastAsia="zh-CN"/>
        </w:rPr>
      </w:pPr>
      <w:r>
        <w:rPr>
          <w:rFonts w:hint="eastAsia"/>
          <w:b/>
          <w:bCs/>
          <w:szCs w:val="21"/>
          <w:lang w:eastAsia="zh-CN"/>
        </w:rPr>
        <w:t>商务部分</w:t>
      </w:r>
    </w:p>
    <w:p>
      <w:pPr>
        <w:pStyle w:val="2"/>
        <w:rPr>
          <w:rFonts w:hint="eastAsia"/>
          <w:lang w:eastAsia="zh-CN"/>
        </w:rPr>
      </w:pPr>
    </w:p>
    <w:p>
      <w:pPr>
        <w:bidi w:val="0"/>
      </w:pPr>
      <w:r>
        <w:rPr>
          <w:rFonts w:hint="eastAsia"/>
        </w:rPr>
        <w:t>2.投标文件附件：主要包括以下内容：</w:t>
      </w:r>
    </w:p>
    <w:p>
      <w:pPr>
        <w:numPr>
          <w:ilvl w:val="0"/>
          <w:numId w:val="6"/>
        </w:numPr>
        <w:rPr>
          <w:szCs w:val="21"/>
        </w:rPr>
      </w:pPr>
      <w:r>
        <w:rPr>
          <w:rFonts w:hint="eastAsia"/>
          <w:szCs w:val="21"/>
        </w:rPr>
        <w:t>法定代表人（负责人）证明书</w:t>
      </w:r>
    </w:p>
    <w:p>
      <w:pPr>
        <w:numPr>
          <w:ilvl w:val="0"/>
          <w:numId w:val="6"/>
        </w:numPr>
        <w:rPr>
          <w:szCs w:val="21"/>
        </w:rPr>
      </w:pPr>
      <w:r>
        <w:rPr>
          <w:rFonts w:hint="eastAsia"/>
          <w:szCs w:val="21"/>
        </w:rPr>
        <w:t>投标文件签署授权委托书</w:t>
      </w:r>
    </w:p>
    <w:p>
      <w:pPr>
        <w:numPr>
          <w:ilvl w:val="0"/>
          <w:numId w:val="6"/>
        </w:numPr>
        <w:rPr>
          <w:szCs w:val="21"/>
        </w:rPr>
      </w:pPr>
      <w:r>
        <w:rPr>
          <w:rFonts w:hint="eastAsia"/>
          <w:szCs w:val="21"/>
        </w:rPr>
        <w:t>实质性条款响应情况表</w:t>
      </w:r>
    </w:p>
    <w:p>
      <w:pPr>
        <w:numPr>
          <w:ilvl w:val="0"/>
          <w:numId w:val="6"/>
        </w:numPr>
        <w:rPr>
          <w:b/>
          <w:bCs/>
          <w:szCs w:val="21"/>
        </w:rPr>
      </w:pPr>
      <w:r>
        <w:rPr>
          <w:rFonts w:hint="eastAsia" w:ascii="宋体" w:hAnsi="宋体"/>
          <w:b/>
          <w:bCs/>
          <w:szCs w:val="21"/>
        </w:rPr>
        <w:t>技术</w:t>
      </w:r>
      <w:r>
        <w:rPr>
          <w:rFonts w:hint="eastAsia" w:ascii="宋体" w:hAnsi="宋体"/>
          <w:b/>
          <w:bCs/>
          <w:szCs w:val="21"/>
          <w:lang w:eastAsia="zh-CN"/>
        </w:rPr>
        <w:t>部分</w:t>
      </w:r>
    </w:p>
    <w:p>
      <w:pPr>
        <w:numPr>
          <w:ilvl w:val="0"/>
          <w:numId w:val="6"/>
        </w:numPr>
        <w:rPr>
          <w:szCs w:val="21"/>
        </w:rPr>
      </w:pPr>
      <w:r>
        <w:rPr>
          <w:rFonts w:hint="eastAsia"/>
          <w:szCs w:val="21"/>
        </w:rPr>
        <w:t>投标人认为需要加以说明的其他内容</w:t>
      </w:r>
    </w:p>
    <w:p>
      <w:pPr>
        <w:spacing w:line="320" w:lineRule="atLeast"/>
        <w:rPr>
          <w:rFonts w:hint="eastAsia" w:ascii="宋体" w:hAnsi="宋体"/>
          <w:b/>
          <w:sz w:val="24"/>
          <w:szCs w:val="24"/>
        </w:rPr>
      </w:pPr>
    </w:p>
    <w:p>
      <w:pPr>
        <w:spacing w:line="320" w:lineRule="atLeast"/>
        <w:rPr>
          <w:rFonts w:hint="eastAsia" w:ascii="宋体" w:hAnsi="宋体"/>
          <w:b/>
          <w:sz w:val="24"/>
          <w:szCs w:val="24"/>
        </w:rPr>
      </w:pPr>
    </w:p>
    <w:p>
      <w:pPr>
        <w:spacing w:line="320" w:lineRule="atLeast"/>
        <w:rPr>
          <w:rFonts w:ascii="宋体" w:hAnsi="宋体"/>
          <w:b/>
          <w:sz w:val="24"/>
          <w:szCs w:val="24"/>
        </w:rPr>
      </w:pPr>
      <w:r>
        <w:rPr>
          <w:rFonts w:hint="eastAsia" w:ascii="宋体" w:hAnsi="宋体"/>
          <w:b/>
          <w:sz w:val="24"/>
          <w:szCs w:val="24"/>
        </w:rPr>
        <w:t>备注：</w:t>
      </w:r>
    </w:p>
    <w:p>
      <w:pPr>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78" w:afterLines="25"/>
        <w:ind w:firstLine="482" w:firstLineChars="200"/>
        <w:rPr>
          <w:rFonts w:ascii="宋体" w:hAnsi="宋体" w:eastAsia="黑体" w:cs="Times New Roman"/>
          <w:bCs/>
          <w:kern w:val="44"/>
          <w:sz w:val="32"/>
          <w:szCs w:val="32"/>
        </w:rPr>
      </w:pPr>
      <w:bookmarkStart w:id="31" w:name="_Hlk72263559"/>
      <w:r>
        <w:rPr>
          <w:rFonts w:hint="eastAsia" w:ascii="宋体" w:hAnsi="宋体"/>
          <w:b/>
          <w:sz w:val="24"/>
          <w:szCs w:val="24"/>
        </w:rPr>
        <w:t>2.关于填写“开标一览表”的说明：“开标一览表”中除“投标总价”外，其他信息不作评审依据。</w:t>
      </w:r>
      <w:bookmarkEnd w:id="26"/>
      <w:bookmarkEnd w:id="31"/>
      <w:r>
        <w:rPr>
          <w:rFonts w:ascii="宋体" w:hAnsi="宋体" w:eastAsia="黑体" w:cs="Times New Roman"/>
          <w:bCs/>
          <w:kern w:val="44"/>
          <w:sz w:val="32"/>
          <w:szCs w:val="32"/>
        </w:rPr>
        <w:br w:type="page"/>
      </w:r>
    </w:p>
    <w:p>
      <w:pPr>
        <w:widowControl/>
        <w:jc w:val="left"/>
        <w:outlineLvl w:val="2"/>
        <w:rPr>
          <w:rFonts w:hint="eastAsia" w:ascii="宋体" w:hAnsi="宋体" w:eastAsia="宋体" w:cs="宋体"/>
          <w:b/>
          <w:color w:val="FF0000"/>
          <w:kern w:val="0"/>
          <w:sz w:val="32"/>
          <w:szCs w:val="32"/>
          <w:lang w:eastAsia="zh-CN"/>
        </w:rPr>
      </w:pPr>
      <w:r>
        <w:rPr>
          <w:rFonts w:hint="eastAsia" w:ascii="宋体" w:hAnsi="宋体" w:eastAsia="宋体" w:cs="宋体"/>
          <w:b/>
          <w:color w:val="FF0000"/>
          <w:kern w:val="0"/>
          <w:sz w:val="32"/>
          <w:szCs w:val="32"/>
        </w:rPr>
        <w:t>投标文件正文</w:t>
      </w:r>
      <w:r>
        <w:rPr>
          <w:rFonts w:hint="eastAsia" w:ascii="宋体" w:hAnsi="宋体" w:eastAsia="宋体" w:cs="宋体"/>
          <w:b/>
          <w:color w:val="FF0000"/>
          <w:kern w:val="0"/>
          <w:sz w:val="32"/>
          <w:szCs w:val="32"/>
          <w:lang w:eastAsia="zh-CN"/>
        </w:rPr>
        <w:t>：</w:t>
      </w:r>
    </w:p>
    <w:p>
      <w:pPr>
        <w:pStyle w:val="6"/>
        <w:numPr>
          <w:ilvl w:val="0"/>
          <w:numId w:val="7"/>
        </w:numPr>
        <w:ind w:left="0" w:leftChars="0" w:firstLine="0" w:firstLineChars="0"/>
        <w:jc w:val="center"/>
        <w:rPr>
          <w:rFonts w:ascii="黑体" w:eastAsia="黑体"/>
          <w:b w:val="0"/>
          <w:sz w:val="24"/>
        </w:rPr>
      </w:pPr>
      <w:bookmarkStart w:id="32" w:name="OLE_LINK16"/>
      <w:r>
        <w:rPr>
          <w:rFonts w:hint="eastAsia" w:ascii="黑体" w:eastAsia="黑体"/>
          <w:b w:val="0"/>
          <w:sz w:val="24"/>
        </w:rPr>
        <w:t>投标函</w:t>
      </w:r>
    </w:p>
    <w:bookmarkEnd w:id="32"/>
    <w:p>
      <w:pPr>
        <w:spacing w:line="360" w:lineRule="auto"/>
        <w:rPr>
          <w:rFonts w:ascii="宋体" w:hAnsi="宋体"/>
          <w:szCs w:val="21"/>
        </w:rPr>
      </w:pPr>
      <w:bookmarkStart w:id="33"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34"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35" w:name="_Hlk72263588"/>
      <w:r>
        <w:rPr>
          <w:rFonts w:hint="eastAsia"/>
          <w:szCs w:val="21"/>
        </w:rPr>
        <w:t>愿意按照招标文件要求承包上述项目并修补其任何缺陷。</w:t>
      </w:r>
      <w:bookmarkEnd w:id="35"/>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36" w:name="_Hlk73819847"/>
      <w:r>
        <w:rPr>
          <w:rFonts w:hint="eastAsia" w:ascii="宋体" w:hAnsi="宋体"/>
          <w:szCs w:val="21"/>
        </w:rPr>
        <w:t>投标价格见</w:t>
      </w:r>
      <w:r>
        <w:rPr>
          <w:rFonts w:hint="eastAsia"/>
          <w:szCs w:val="21"/>
        </w:rPr>
        <w:t>投标书编制软件中《开标一览表》中填写的投标总价。</w:t>
      </w:r>
      <w:bookmarkEnd w:id="36"/>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4"/>
    </w:p>
    <w:p>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szCs w:val="21"/>
        </w:rPr>
      </w:pP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ascii="Times New Roman" w:eastAsia="宋体"/>
          <w:szCs w:val="21"/>
        </w:rPr>
        <w:t>开户银行账号：</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bookmarkEnd w:id="33"/>
    <w:p>
      <w:pPr>
        <w:pStyle w:val="6"/>
        <w:numPr>
          <w:ilvl w:val="0"/>
          <w:numId w:val="7"/>
        </w:numPr>
        <w:ind w:left="0" w:leftChars="0" w:firstLine="0" w:firstLineChars="0"/>
        <w:jc w:val="center"/>
        <w:rPr>
          <w:rFonts w:hint="eastAsia" w:ascii="黑体" w:hAnsi="宋体" w:eastAsia="黑体"/>
          <w:b w:val="0"/>
          <w:sz w:val="24"/>
        </w:rPr>
      </w:pPr>
      <w:r>
        <w:rPr>
          <w:rFonts w:hint="eastAsia" w:ascii="黑体" w:hAnsi="宋体" w:eastAsia="黑体"/>
          <w:b w:val="0"/>
          <w:sz w:val="24"/>
        </w:rPr>
        <w:t>政府采购投标及履约承诺函</w:t>
      </w:r>
    </w:p>
    <w:p>
      <w:pPr>
        <w:rPr>
          <w:rFonts w:ascii="宋体" w:hAnsi="宋体"/>
          <w:color w:val="FF0000"/>
          <w:szCs w:val="21"/>
        </w:rPr>
      </w:pPr>
      <w:bookmarkStart w:id="37"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b/>
          <w:szCs w:val="21"/>
        </w:rPr>
      </w:pPr>
      <w:r>
        <w:rPr>
          <w:rFonts w:hint="eastAsia" w:ascii="宋体" w:hAnsi="宋体"/>
          <w:bCs/>
          <w:szCs w:val="21"/>
        </w:rPr>
        <w:t>1.我单位参与本项目所投标（响应）的货物、工程或服务，不存在侵犯知识产权的情况。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eastAsia="宋体"/>
        </w:rPr>
      </w:pPr>
      <w:r>
        <w:rPr>
          <w:rFonts w:hint="eastAsia" w:ascii="宋体" w:hAnsi="宋体"/>
          <w:szCs w:val="21"/>
        </w:rPr>
        <w:t>4.我单位</w:t>
      </w:r>
      <w:r>
        <w:rPr>
          <w:rFonts w:hint="eastAsia"/>
        </w:rPr>
        <w:t xml:space="preserve">未被列入失信被执行人、重大税收违法案件当事人名单、政府采购严重违法失信行为记录名单。 </w:t>
      </w:r>
    </w:p>
    <w:p>
      <w:pPr>
        <w:ind w:firstLine="420" w:firstLineChars="200"/>
        <w:rPr>
          <w:rFonts w:eastAsia="宋体"/>
          <w:color w:val="FF0000"/>
        </w:rPr>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w:t>
      </w:r>
      <w:bookmarkStart w:id="38" w:name="_Hlk72587269"/>
      <w:bookmarkStart w:id="39"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8"/>
      <w:r>
        <w:rPr>
          <w:rFonts w:hint="eastAsia" w:ascii="宋体" w:hAnsi="宋体"/>
          <w:szCs w:val="21"/>
        </w:rPr>
        <w:t>。</w:t>
      </w:r>
    </w:p>
    <w:bookmarkEnd w:id="39"/>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eastAsia="宋体"/>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w:t>
      </w:r>
      <w:r>
        <w:rPr>
          <w:rFonts w:hint="eastAsia"/>
          <w:lang w:eastAsia="zh-CN"/>
        </w:rPr>
        <w:t>〈</w:t>
      </w:r>
      <w:r>
        <w:rPr>
          <w:rFonts w:hint="eastAsia"/>
        </w:rPr>
        <w:t>绿色数据中心政府采购需求标准（试行）</w:t>
      </w:r>
      <w:r>
        <w:rPr>
          <w:rFonts w:hint="eastAsia"/>
          <w:lang w:eastAsia="zh-CN"/>
        </w:rPr>
        <w:t>〉</w:t>
      </w:r>
      <w:r>
        <w:rPr>
          <w:rFonts w:hint="eastAsia"/>
        </w:rPr>
        <w: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pPr>
        <w:ind w:firstLine="420" w:firstLineChars="200"/>
        <w:rPr>
          <w:rFonts w:ascii="宋体" w:hAnsi="宋体" w:eastAsia="宋体" w:cs="宋体"/>
          <w:b/>
          <w:color w:val="FF0000"/>
          <w:kern w:val="0"/>
          <w:szCs w:val="21"/>
        </w:rPr>
      </w:pPr>
      <w:r>
        <w:rPr>
          <w:rFonts w:hint="eastAsia" w:ascii="宋体" w:hAnsi="宋体"/>
          <w:bCs/>
        </w:rPr>
        <w:t>13</w:t>
      </w:r>
      <w:r>
        <w:rPr>
          <w:rFonts w:ascii="宋体" w:hAnsi="宋体"/>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ascii="宋体" w:hAnsi="宋体"/>
          <w:b/>
          <w:szCs w:val="21"/>
        </w:rPr>
      </w:pPr>
      <w:r>
        <w:rPr>
          <w:rFonts w:hint="eastAsia" w:ascii="宋体" w:hAnsi="宋体"/>
          <w:b/>
        </w:rPr>
        <w:t>14.我单位清楚，如存在违反投标承诺行为情节严重的，将根据《深圳市财政局关于印发</w:t>
      </w:r>
      <w:r>
        <w:rPr>
          <w:rFonts w:hint="eastAsia" w:ascii="宋体" w:hAnsi="宋体"/>
          <w:b/>
          <w:lang w:eastAsia="zh-CN"/>
        </w:rPr>
        <w:t>〈</w:t>
      </w:r>
      <w:r>
        <w:rPr>
          <w:rFonts w:hint="eastAsia" w:ascii="宋体" w:hAnsi="宋体"/>
          <w:b/>
        </w:rPr>
        <w:t>深圳市财政局政府采购供应商信用信息管理办法</w:t>
      </w:r>
      <w:r>
        <w:rPr>
          <w:rFonts w:hint="eastAsia" w:ascii="宋体" w:hAnsi="宋体"/>
          <w:b/>
          <w:lang w:eastAsia="zh-CN"/>
        </w:rPr>
        <w:t>〉</w:t>
      </w:r>
      <w:r>
        <w:rPr>
          <w:rFonts w:hint="eastAsia" w:ascii="宋体" w:hAnsi="宋体"/>
          <w:b/>
        </w:rPr>
        <w:t>的通知》，依法被列入失信信息。</w:t>
      </w:r>
    </w:p>
    <w:p>
      <w:pPr>
        <w:ind w:firstLine="420"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78" w:beforeLines="25" w:after="78" w:afterLines="25"/>
        <w:ind w:firstLine="5460" w:firstLineChars="2600"/>
        <w:rPr>
          <w:rFonts w:ascii="宋体" w:hAnsi="宋体"/>
          <w:szCs w:val="21"/>
        </w:rPr>
      </w:pPr>
      <w:r>
        <w:rPr>
          <w:rFonts w:hint="eastAsia" w:ascii="宋体" w:hAnsi="宋体"/>
          <w:szCs w:val="21"/>
        </w:rPr>
        <w:t xml:space="preserve">                                    </w:t>
      </w:r>
    </w:p>
    <w:bookmarkEnd w:id="37"/>
    <w:p>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pPr>
        <w:jc w:val="right"/>
        <w:rPr>
          <w:rFonts w:ascii="宋体" w:hAnsi="宋体"/>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pPr>
        <w:rPr>
          <w:rFonts w:ascii="宋体"/>
          <w:b/>
          <w:szCs w:val="21"/>
        </w:rPr>
      </w:pPr>
    </w:p>
    <w:p>
      <w:pPr>
        <w:pStyle w:val="2"/>
      </w:pPr>
    </w:p>
    <w:p>
      <w:pPr>
        <w:pStyle w:val="6"/>
        <w:numPr>
          <w:ilvl w:val="0"/>
          <w:numId w:val="7"/>
        </w:numPr>
        <w:ind w:left="0" w:leftChars="0" w:firstLine="0" w:firstLineChars="0"/>
        <w:jc w:val="center"/>
        <w:rPr>
          <w:rFonts w:hint="eastAsia" w:ascii="黑体" w:hAnsi="宋体" w:eastAsia="黑体"/>
          <w:b w:val="0"/>
          <w:sz w:val="24"/>
        </w:rPr>
      </w:pPr>
      <w:r>
        <w:rPr>
          <w:rFonts w:hint="eastAsia" w:ascii="黑体" w:hAnsi="宋体" w:eastAsia="黑体"/>
          <w:b w:val="0"/>
          <w:sz w:val="24"/>
        </w:rPr>
        <w:t>投标人情况及资格证明文件</w:t>
      </w:r>
    </w:p>
    <w:p>
      <w:pPr>
        <w:jc w:val="center"/>
        <w:outlineLvl w:val="3"/>
        <w:rPr>
          <w:rFonts w:ascii="黑体" w:hAnsi="宋体" w:eastAsia="黑体"/>
          <w:bCs/>
          <w:kern w:val="0"/>
          <w:sz w:val="24"/>
          <w:szCs w:val="32"/>
        </w:rPr>
      </w:pPr>
      <w:bookmarkStart w:id="40" w:name="_Hlk72257590"/>
      <w:r>
        <w:rPr>
          <w:rFonts w:hint="eastAsia" w:ascii="黑体" w:hAnsi="宋体" w:eastAsia="黑体"/>
          <w:bCs/>
          <w:kern w:val="0"/>
          <w:sz w:val="24"/>
          <w:szCs w:val="32"/>
        </w:rPr>
        <w:t>（一）投标人资格证明文件</w:t>
      </w:r>
    </w:p>
    <w:p>
      <w:pPr>
        <w:spacing w:before="156" w:beforeLines="50"/>
        <w:ind w:firstLine="422" w:firstLineChars="200"/>
        <w:rPr>
          <w:rFonts w:hint="eastAsia"/>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p>
      <w:pPr>
        <w:pStyle w:val="2"/>
      </w:pPr>
    </w:p>
    <w:p>
      <w:pPr>
        <w:jc w:val="center"/>
        <w:outlineLvl w:val="3"/>
        <w:rPr>
          <w:rFonts w:hint="eastAsia" w:ascii="黑体" w:hAnsi="宋体" w:eastAsia="黑体"/>
          <w:bCs/>
          <w:kern w:val="0"/>
          <w:sz w:val="24"/>
          <w:szCs w:val="32"/>
        </w:rPr>
      </w:pPr>
      <w:r>
        <w:rPr>
          <w:rFonts w:hint="eastAsia" w:ascii="黑体" w:hAnsi="宋体" w:eastAsia="黑体"/>
          <w:bCs/>
          <w:kern w:val="0"/>
          <w:sz w:val="24"/>
          <w:szCs w:val="32"/>
          <w:lang w:val="en-US" w:eastAsia="zh-CN"/>
        </w:rPr>
        <w:t>（二）</w:t>
      </w:r>
      <w:r>
        <w:rPr>
          <w:rFonts w:hint="eastAsia" w:ascii="黑体" w:hAnsi="宋体" w:eastAsia="黑体"/>
          <w:bCs/>
          <w:kern w:val="0"/>
          <w:sz w:val="24"/>
          <w:szCs w:val="32"/>
        </w:rPr>
        <w:t>供应商基本情况表</w:t>
      </w:r>
    </w:p>
    <w:tbl>
      <w:tblPr>
        <w:tblStyle w:val="2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44"/>
        <w:gridCol w:w="1528"/>
        <w:gridCol w:w="903"/>
        <w:gridCol w:w="751"/>
        <w:gridCol w:w="1145"/>
        <w:gridCol w:w="142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gridSpan w:val="2"/>
            <w:vAlign w:val="center"/>
          </w:tcPr>
          <w:p>
            <w:pPr>
              <w:jc w:val="center"/>
              <w:rPr>
                <w:rFonts w:ascii="宋体" w:hAnsi="宋体" w:eastAsia="宋体" w:cs="宋体"/>
                <w:szCs w:val="21"/>
              </w:rPr>
            </w:pPr>
            <w:r>
              <w:rPr>
                <w:rFonts w:hint="eastAsia" w:ascii="宋体" w:hAnsi="宋体" w:eastAsia="宋体" w:cs="宋体"/>
                <w:szCs w:val="21"/>
              </w:rPr>
              <w:t>投标（响应）供应商</w:t>
            </w:r>
          </w:p>
        </w:tc>
        <w:tc>
          <w:tcPr>
            <w:tcW w:w="2431" w:type="dxa"/>
            <w:gridSpan w:val="2"/>
            <w:vAlign w:val="center"/>
          </w:tcPr>
          <w:p>
            <w:pPr>
              <w:jc w:val="center"/>
              <w:rPr>
                <w:rFonts w:ascii="宋体" w:hAnsi="宋体" w:eastAsia="宋体" w:cs="宋体"/>
                <w:szCs w:val="21"/>
              </w:rPr>
            </w:pPr>
          </w:p>
        </w:tc>
        <w:tc>
          <w:tcPr>
            <w:tcW w:w="1896" w:type="dxa"/>
            <w:gridSpan w:val="2"/>
            <w:vAlign w:val="center"/>
          </w:tcPr>
          <w:p>
            <w:pPr>
              <w:jc w:val="center"/>
              <w:rPr>
                <w:rFonts w:ascii="宋体" w:hAnsi="宋体" w:eastAsia="宋体" w:cs="宋体"/>
                <w:szCs w:val="21"/>
              </w:rPr>
            </w:pPr>
            <w:r>
              <w:rPr>
                <w:rFonts w:hint="eastAsia" w:ascii="宋体" w:hAnsi="宋体" w:eastAsia="宋体" w:cs="宋体"/>
                <w:szCs w:val="21"/>
              </w:rPr>
              <w:t>项目名称及编号</w:t>
            </w:r>
          </w:p>
        </w:tc>
        <w:tc>
          <w:tcPr>
            <w:tcW w:w="2848" w:type="dxa"/>
            <w:gridSpan w:val="2"/>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8"/>
            <w:vAlign w:val="center"/>
          </w:tcPr>
          <w:p>
            <w:pPr>
              <w:jc w:val="center"/>
              <w:rPr>
                <w:rFonts w:ascii="宋体" w:hAnsi="宋体" w:eastAsia="宋体" w:cs="宋体"/>
                <w:szCs w:val="21"/>
              </w:rPr>
            </w:pPr>
            <w:r>
              <w:rPr>
                <w:rFonts w:hint="eastAsia" w:ascii="宋体" w:hAnsi="宋体" w:eastAsia="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序号</w:t>
            </w:r>
          </w:p>
        </w:tc>
        <w:tc>
          <w:tcPr>
            <w:tcW w:w="2172" w:type="dxa"/>
            <w:gridSpan w:val="2"/>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职务</w:t>
            </w:r>
          </w:p>
        </w:tc>
        <w:tc>
          <w:tcPr>
            <w:tcW w:w="903" w:type="dxa"/>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896" w:type="dxa"/>
            <w:gridSpan w:val="2"/>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身份证号码</w:t>
            </w:r>
          </w:p>
        </w:tc>
        <w:tc>
          <w:tcPr>
            <w:tcW w:w="1428" w:type="dxa"/>
            <w:tcBorders>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劳动合同</w:t>
            </w:r>
          </w:p>
          <w:p>
            <w:pPr>
              <w:snapToGrid w:val="0"/>
              <w:jc w:val="center"/>
              <w:rPr>
                <w:rFonts w:ascii="宋体" w:hAnsi="宋体" w:eastAsia="宋体" w:cs="宋体"/>
                <w:szCs w:val="21"/>
              </w:rPr>
            </w:pPr>
            <w:r>
              <w:rPr>
                <w:rFonts w:hint="eastAsia" w:ascii="宋体" w:hAnsi="宋体" w:eastAsia="宋体" w:cs="宋体"/>
                <w:szCs w:val="21"/>
              </w:rPr>
              <w:t>关系单位</w:t>
            </w:r>
          </w:p>
        </w:tc>
        <w:tc>
          <w:tcPr>
            <w:tcW w:w="1420" w:type="dxa"/>
            <w:tcBorders>
              <w:bottom w:val="single" w:color="auto" w:sz="4" w:space="0"/>
            </w:tcBorders>
            <w:vAlign w:val="center"/>
          </w:tcPr>
          <w:p>
            <w:pPr>
              <w:snapToGrid w:val="0"/>
              <w:jc w:val="center"/>
              <w:rPr>
                <w:rFonts w:ascii="宋体" w:hAnsi="宋体" w:eastAsia="宋体" w:cs="宋体"/>
                <w:szCs w:val="21"/>
              </w:rPr>
            </w:pPr>
            <w:r>
              <w:rPr>
                <w:rFonts w:hint="eastAsia" w:ascii="宋体" w:hAnsi="宋体" w:eastAsia="宋体" w:cs="宋体"/>
                <w:szCs w:val="21"/>
              </w:rPr>
              <w:t>缴纳社会</w:t>
            </w:r>
          </w:p>
          <w:p>
            <w:pPr>
              <w:snapToGrid w:val="0"/>
              <w:jc w:val="center"/>
              <w:rPr>
                <w:rFonts w:ascii="宋体" w:hAnsi="宋体" w:eastAsia="宋体" w:cs="宋体"/>
                <w:szCs w:val="21"/>
              </w:rPr>
            </w:pPr>
            <w:r>
              <w:rPr>
                <w:rFonts w:hint="eastAsia" w:ascii="宋体" w:hAnsi="宋体" w:eastAsia="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eastAsia="宋体" w:cs="宋体"/>
                <w:szCs w:val="21"/>
              </w:rPr>
            </w:pPr>
            <w:r>
              <w:rPr>
                <w:rFonts w:hint="eastAsia" w:ascii="宋体" w:hAnsi="宋体" w:eastAsia="宋体" w:cs="宋体"/>
                <w:szCs w:val="21"/>
              </w:rPr>
              <w:t>法定代表人/单位负责人/主要经营负责人</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项目投标授权代表人</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bidi="ar"/>
              </w:rPr>
              <w:t>3</w:t>
            </w:r>
          </w:p>
        </w:tc>
        <w:tc>
          <w:tcPr>
            <w:tcW w:w="2172" w:type="dxa"/>
            <w:gridSpan w:val="2"/>
            <w:tcBorders>
              <w:top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项目负责人</w:t>
            </w:r>
          </w:p>
        </w:tc>
        <w:tc>
          <w:tcPr>
            <w:tcW w:w="903" w:type="dxa"/>
            <w:tcBorders>
              <w:top w:val="single" w:color="auto" w:sz="4" w:space="0"/>
            </w:tcBorders>
            <w:vAlign w:val="center"/>
          </w:tcPr>
          <w:p>
            <w:pPr>
              <w:jc w:val="center"/>
              <w:rPr>
                <w:rFonts w:ascii="宋体" w:hAnsi="宋体" w:eastAsia="宋体" w:cs="宋体"/>
                <w:szCs w:val="21"/>
              </w:rPr>
            </w:pPr>
          </w:p>
        </w:tc>
        <w:tc>
          <w:tcPr>
            <w:tcW w:w="1896" w:type="dxa"/>
            <w:gridSpan w:val="2"/>
            <w:tcBorders>
              <w:top w:val="single" w:color="auto" w:sz="4" w:space="0"/>
            </w:tcBorders>
            <w:vAlign w:val="center"/>
          </w:tcPr>
          <w:p>
            <w:pPr>
              <w:jc w:val="center"/>
              <w:rPr>
                <w:rFonts w:ascii="宋体" w:hAnsi="宋体" w:eastAsia="宋体" w:cs="宋体"/>
                <w:szCs w:val="21"/>
              </w:rPr>
            </w:pPr>
          </w:p>
        </w:tc>
        <w:tc>
          <w:tcPr>
            <w:tcW w:w="1428" w:type="dxa"/>
            <w:tcBorders>
              <w:top w:val="single" w:color="auto" w:sz="4" w:space="0"/>
            </w:tcBorders>
            <w:vAlign w:val="center"/>
          </w:tcPr>
          <w:p>
            <w:pPr>
              <w:jc w:val="center"/>
              <w:rPr>
                <w:rFonts w:ascii="宋体" w:hAnsi="宋体" w:eastAsia="宋体" w:cs="宋体"/>
                <w:szCs w:val="21"/>
              </w:rPr>
            </w:pPr>
          </w:p>
        </w:tc>
        <w:tc>
          <w:tcPr>
            <w:tcW w:w="1420" w:type="dxa"/>
            <w:tcBorders>
              <w:top w:val="single" w:color="auto" w:sz="4" w:space="0"/>
            </w:tcBorders>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jc w:val="center"/>
              <w:rPr>
                <w:rFonts w:ascii="宋体" w:hAnsi="宋体" w:eastAsia="宋体" w:cs="宋体"/>
                <w:szCs w:val="21"/>
              </w:rPr>
            </w:pPr>
            <w:r>
              <w:rPr>
                <w:rFonts w:hint="eastAsia" w:ascii="宋体" w:hAnsi="宋体" w:eastAsia="宋体" w:cs="宋体"/>
                <w:szCs w:val="21"/>
                <w:lang w:bidi="ar"/>
              </w:rPr>
              <w:t>4</w:t>
            </w:r>
          </w:p>
        </w:tc>
        <w:tc>
          <w:tcPr>
            <w:tcW w:w="2172" w:type="dxa"/>
            <w:gridSpan w:val="2"/>
            <w:vAlign w:val="center"/>
          </w:tcPr>
          <w:p>
            <w:pPr>
              <w:jc w:val="center"/>
              <w:rPr>
                <w:rFonts w:ascii="宋体" w:hAnsi="宋体" w:eastAsia="宋体" w:cs="宋体"/>
                <w:szCs w:val="21"/>
              </w:rPr>
            </w:pPr>
            <w:r>
              <w:rPr>
                <w:rFonts w:hint="eastAsia" w:ascii="宋体" w:hAnsi="宋体" w:eastAsia="宋体" w:cs="宋体"/>
                <w:szCs w:val="21"/>
              </w:rPr>
              <w:t>主要技术人员</w:t>
            </w:r>
          </w:p>
        </w:tc>
        <w:tc>
          <w:tcPr>
            <w:tcW w:w="903" w:type="dxa"/>
            <w:vAlign w:val="center"/>
          </w:tcPr>
          <w:p>
            <w:pPr>
              <w:jc w:val="center"/>
              <w:rPr>
                <w:rFonts w:ascii="宋体" w:hAnsi="宋体" w:eastAsia="宋体" w:cs="宋体"/>
                <w:szCs w:val="21"/>
              </w:rPr>
            </w:pPr>
          </w:p>
        </w:tc>
        <w:tc>
          <w:tcPr>
            <w:tcW w:w="1896" w:type="dxa"/>
            <w:gridSpan w:val="2"/>
            <w:vAlign w:val="center"/>
          </w:tcPr>
          <w:p>
            <w:pPr>
              <w:jc w:val="center"/>
              <w:rPr>
                <w:rFonts w:ascii="宋体" w:hAnsi="宋体" w:eastAsia="宋体" w:cs="宋体"/>
                <w:szCs w:val="21"/>
              </w:rPr>
            </w:pPr>
          </w:p>
        </w:tc>
        <w:tc>
          <w:tcPr>
            <w:tcW w:w="1428" w:type="dxa"/>
            <w:vAlign w:val="center"/>
          </w:tcPr>
          <w:p>
            <w:pPr>
              <w:jc w:val="center"/>
              <w:rPr>
                <w:rFonts w:ascii="宋体" w:hAnsi="宋体" w:eastAsia="宋体" w:cs="宋体"/>
                <w:szCs w:val="21"/>
              </w:rPr>
            </w:pPr>
          </w:p>
        </w:tc>
        <w:tc>
          <w:tcPr>
            <w:tcW w:w="1420"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jc w:val="center"/>
              <w:rPr>
                <w:rFonts w:ascii="宋体" w:hAnsi="宋体" w:eastAsia="宋体" w:cs="宋体"/>
                <w:szCs w:val="21"/>
              </w:rPr>
            </w:pPr>
            <w:r>
              <w:rPr>
                <w:rFonts w:hint="eastAsia" w:ascii="宋体" w:hAnsi="宋体" w:eastAsia="宋体" w:cs="宋体"/>
                <w:szCs w:val="21"/>
                <w:lang w:bidi="ar"/>
              </w:rPr>
              <w:t>5</w:t>
            </w:r>
          </w:p>
        </w:tc>
        <w:tc>
          <w:tcPr>
            <w:tcW w:w="2172" w:type="dxa"/>
            <w:gridSpan w:val="2"/>
            <w:vAlign w:val="center"/>
          </w:tcPr>
          <w:p>
            <w:pPr>
              <w:snapToGrid w:val="0"/>
              <w:jc w:val="center"/>
              <w:rPr>
                <w:rFonts w:ascii="宋体" w:hAnsi="宋体" w:eastAsia="宋体" w:cs="宋体"/>
                <w:szCs w:val="21"/>
              </w:rPr>
            </w:pPr>
            <w:r>
              <w:rPr>
                <w:rFonts w:hint="eastAsia" w:ascii="宋体" w:hAnsi="宋体" w:eastAsia="宋体" w:cs="宋体"/>
                <w:szCs w:val="21"/>
              </w:rPr>
              <w:t>投标文件编制人员</w:t>
            </w:r>
          </w:p>
        </w:tc>
        <w:tc>
          <w:tcPr>
            <w:tcW w:w="903" w:type="dxa"/>
            <w:vAlign w:val="center"/>
          </w:tcPr>
          <w:p>
            <w:pPr>
              <w:jc w:val="center"/>
              <w:rPr>
                <w:rFonts w:ascii="宋体" w:hAnsi="宋体" w:eastAsia="宋体" w:cs="宋体"/>
                <w:szCs w:val="21"/>
              </w:rPr>
            </w:pPr>
          </w:p>
        </w:tc>
        <w:tc>
          <w:tcPr>
            <w:tcW w:w="1896" w:type="dxa"/>
            <w:gridSpan w:val="2"/>
            <w:vAlign w:val="center"/>
          </w:tcPr>
          <w:p>
            <w:pPr>
              <w:jc w:val="center"/>
              <w:rPr>
                <w:rFonts w:ascii="宋体" w:hAnsi="宋体" w:eastAsia="宋体" w:cs="宋体"/>
                <w:szCs w:val="21"/>
              </w:rPr>
            </w:pPr>
          </w:p>
        </w:tc>
        <w:tc>
          <w:tcPr>
            <w:tcW w:w="1428" w:type="dxa"/>
            <w:vAlign w:val="center"/>
          </w:tcPr>
          <w:p>
            <w:pPr>
              <w:jc w:val="center"/>
              <w:rPr>
                <w:rFonts w:ascii="宋体" w:hAnsi="宋体" w:eastAsia="宋体" w:cs="宋体"/>
                <w:szCs w:val="21"/>
              </w:rPr>
            </w:pPr>
          </w:p>
        </w:tc>
        <w:tc>
          <w:tcPr>
            <w:tcW w:w="1420"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8"/>
            <w:vAlign w:val="center"/>
          </w:tcPr>
          <w:p>
            <w:pPr>
              <w:jc w:val="left"/>
              <w:rPr>
                <w:rFonts w:ascii="宋体" w:hAnsi="宋体" w:eastAsia="宋体" w:cs="宋体"/>
                <w:szCs w:val="21"/>
              </w:rPr>
            </w:pPr>
            <w:r>
              <w:rPr>
                <w:rFonts w:hint="eastAsia" w:ascii="宋体" w:hAnsi="宋体" w:eastAsia="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19" w:type="dxa"/>
            <w:gridSpan w:val="8"/>
            <w:vAlign w:val="center"/>
          </w:tcPr>
          <w:p>
            <w:pPr>
              <w:jc w:val="center"/>
              <w:rPr>
                <w:rFonts w:ascii="宋体" w:hAnsi="宋体" w:eastAsia="宋体" w:cs="宋体"/>
                <w:b/>
                <w:bCs/>
                <w:szCs w:val="21"/>
              </w:rPr>
            </w:pPr>
            <w:r>
              <w:rPr>
                <w:rFonts w:hint="eastAsia" w:ascii="宋体" w:hAnsi="宋体" w:eastAsia="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bottom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序号</w:t>
            </w:r>
          </w:p>
        </w:tc>
        <w:tc>
          <w:tcPr>
            <w:tcW w:w="2172" w:type="dxa"/>
            <w:gridSpan w:val="2"/>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关联关系类型</w:t>
            </w:r>
          </w:p>
        </w:tc>
        <w:tc>
          <w:tcPr>
            <w:tcW w:w="1654" w:type="dxa"/>
            <w:gridSpan w:val="2"/>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关联主体名称</w:t>
            </w:r>
          </w:p>
        </w:tc>
        <w:tc>
          <w:tcPr>
            <w:tcW w:w="3993" w:type="dxa"/>
            <w:gridSpan w:val="3"/>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1</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控股股东</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3993"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szCs w:val="21"/>
              </w:rPr>
            </w:pPr>
            <w:r>
              <w:rPr>
                <w:rFonts w:hint="eastAsia" w:ascii="宋体" w:hAnsi="宋体" w:eastAsia="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lang w:bidi="ar"/>
              </w:rPr>
            </w:pPr>
            <w:r>
              <w:rPr>
                <w:rFonts w:hint="eastAsia" w:ascii="宋体" w:hAnsi="宋体" w:eastAsia="宋体" w:cs="宋体"/>
                <w:szCs w:val="21"/>
                <w:lang w:bidi="ar"/>
              </w:rPr>
              <w:t>2</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管理关系</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3993"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szCs w:val="21"/>
              </w:rPr>
            </w:pPr>
            <w:r>
              <w:rPr>
                <w:rFonts w:hint="eastAsia" w:ascii="宋体" w:hAnsi="宋体" w:eastAsia="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19"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b/>
                <w:bCs/>
                <w:color w:val="FF0000"/>
                <w:szCs w:val="21"/>
              </w:rPr>
            </w:pPr>
            <w:r>
              <w:rPr>
                <w:rFonts w:ascii="宋体" w:hAnsi="宋体" w:eastAsia="宋体" w:cs="宋体"/>
                <w:b/>
                <w:bCs/>
                <w:color w:val="FF0000"/>
                <w:szCs w:val="21"/>
              </w:rPr>
              <w:t>说明：1.同一关联关系类型有多个主体的，应分行填写。</w:t>
            </w:r>
          </w:p>
          <w:p>
            <w:pPr>
              <w:snapToGrid w:val="0"/>
              <w:jc w:val="left"/>
              <w:rPr>
                <w:rFonts w:ascii="宋体" w:hAnsi="宋体" w:eastAsia="宋体" w:cs="宋体"/>
                <w:szCs w:val="21"/>
              </w:rPr>
            </w:pPr>
            <w:r>
              <w:rPr>
                <w:rFonts w:ascii="宋体" w:hAnsi="宋体" w:eastAsia="宋体" w:cs="宋体"/>
                <w:b/>
                <w:bCs/>
                <w:color w:val="FF0000"/>
                <w:szCs w:val="21"/>
                <w:highlight w:val="yellow"/>
              </w:rPr>
              <w:t>2.《供应商基本情况表》为必填内容，若存在异常且不符合要求的供应商资格性审查将不予通过，作投标无效处理。</w:t>
            </w:r>
          </w:p>
        </w:tc>
      </w:tr>
    </w:tbl>
    <w:p>
      <w:pPr>
        <w:pStyle w:val="2"/>
        <w:rPr>
          <w:rFonts w:hint="eastAsia" w:eastAsiaTheme="minorEastAsia"/>
          <w:lang w:eastAsia="zh-CN"/>
        </w:rPr>
      </w:pPr>
    </w:p>
    <w:p>
      <w:pPr>
        <w:ind w:firstLine="480" w:firstLineChars="200"/>
        <w:outlineLvl w:val="3"/>
        <w:rPr>
          <w:rFonts w:ascii="黑体" w:hAnsi="宋体" w:eastAsia="黑体"/>
          <w:bCs/>
          <w:kern w:val="0"/>
          <w:sz w:val="24"/>
          <w:szCs w:val="32"/>
        </w:rPr>
      </w:pPr>
      <w:bookmarkStart w:id="41" w:name="_Hlk72257908"/>
      <w:r>
        <w:rPr>
          <w:rFonts w:hint="eastAsia" w:ascii="黑体" w:hAnsi="宋体" w:eastAsia="黑体"/>
          <w:bCs/>
          <w:kern w:val="0"/>
          <w:sz w:val="24"/>
          <w:szCs w:val="32"/>
        </w:rPr>
        <w:t>（</w:t>
      </w:r>
      <w:r>
        <w:rPr>
          <w:rFonts w:hint="eastAsia" w:ascii="黑体" w:hAnsi="宋体" w:eastAsia="黑体"/>
          <w:bCs/>
          <w:kern w:val="0"/>
          <w:sz w:val="24"/>
          <w:szCs w:val="32"/>
          <w:lang w:eastAsia="zh-CN"/>
        </w:rPr>
        <w:t>三</w:t>
      </w:r>
      <w:r>
        <w:rPr>
          <w:rFonts w:hint="eastAsia" w:ascii="黑体" w:hAnsi="宋体" w:eastAsia="黑体"/>
          <w:bCs/>
          <w:kern w:val="0"/>
          <w:sz w:val="24"/>
          <w:szCs w:val="32"/>
        </w:rPr>
        <w:t>）中小企业声明函、残疾人福利性单位声明函及监狱企业声明函</w:t>
      </w:r>
      <w:bookmarkEnd w:id="40"/>
    </w:p>
    <w:p>
      <w:pPr>
        <w:bidi w:val="0"/>
      </w:pPr>
    </w:p>
    <w:p>
      <w:pPr>
        <w:bidi w:val="0"/>
      </w:pPr>
      <w:r>
        <w:rPr>
          <w:rFonts w:hint="eastAsia"/>
        </w:rPr>
        <w:t>填写指引：</w:t>
      </w:r>
    </w:p>
    <w:p>
      <w:pPr>
        <w:bidi w:val="0"/>
      </w:pPr>
      <w:r>
        <w:rPr>
          <w:rFonts w:hint="eastAsia"/>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bidi w:val="0"/>
      </w:pPr>
      <w:r>
        <w:rPr>
          <w:rFonts w:hint="eastAsia"/>
        </w:rPr>
        <w:t>2、该部分内容填写需要参考的相关文件：</w:t>
      </w:r>
    </w:p>
    <w:p>
      <w:pPr>
        <w:bidi w:val="0"/>
      </w:pPr>
      <w:r>
        <w:rPr>
          <w:rFonts w:hint="eastAsia"/>
          <w:lang w:eastAsia="zh-CN"/>
        </w:rPr>
        <w:t>（</w:t>
      </w:r>
      <w:r>
        <w:t>1</w:t>
      </w:r>
      <w:r>
        <w:rPr>
          <w:rFonts w:hint="eastAsia"/>
          <w:lang w:eastAsia="zh-CN"/>
        </w:rPr>
        <w:t>）</w:t>
      </w:r>
      <w:r>
        <w:rPr>
          <w:rFonts w:hint="eastAsia"/>
        </w:rPr>
        <w:t>财政部《政府采购促进中小企业发展管理办法》（财库〔2020〕46号）</w:t>
      </w:r>
    </w:p>
    <w:p>
      <w:pPr>
        <w:bidi w:val="0"/>
      </w:pPr>
      <w:r>
        <w:rPr>
          <w:rFonts w:hint="eastAsia"/>
        </w:rPr>
        <w:t>(</w:t>
      </w:r>
      <w:r>
        <w:t>2</w:t>
      </w:r>
      <w:r>
        <w:rPr>
          <w:rFonts w:hint="eastAsia"/>
        </w:rPr>
        <w:t>)</w:t>
      </w:r>
      <w:bookmarkStart w:id="42" w:name="_Hlk71925120"/>
      <w:r>
        <w:rPr>
          <w:rFonts w:hint="eastAsia"/>
        </w:rPr>
        <w:t>《工业和信息化部、国家统计局、国家发展和改革委员会、财政部关于印发中小企业划型标准规定的通知》（工信部联企业〔2011〕300号</w:t>
      </w:r>
      <w:bookmarkEnd w:id="42"/>
      <w:r>
        <w:rPr>
          <w:rFonts w:hint="eastAsia"/>
        </w:rPr>
        <w:t>）</w:t>
      </w:r>
    </w:p>
    <w:p>
      <w:pPr>
        <w:bidi w:val="0"/>
      </w:pPr>
      <w:r>
        <w:rPr>
          <w:rFonts w:hint="eastAsia"/>
        </w:rPr>
        <w:t>(3)《统计上大中小微型企业划分办法</w:t>
      </w:r>
      <w:r>
        <w:rPr>
          <w:rFonts w:hint="eastAsia"/>
          <w:lang w:eastAsia="zh-CN"/>
        </w:rPr>
        <w:t>（</w:t>
      </w:r>
      <w:r>
        <w:rPr>
          <w:rFonts w:hint="eastAsia"/>
        </w:rPr>
        <w:t>2017</w:t>
      </w:r>
      <w:r>
        <w:rPr>
          <w:rFonts w:hint="eastAsia"/>
          <w:lang w:eastAsia="zh-CN"/>
        </w:rPr>
        <w:t>）</w:t>
      </w:r>
      <w:r>
        <w:rPr>
          <w:rFonts w:hint="eastAsia"/>
        </w:rPr>
        <w:t>》（国统字〔2017〕213号）</w:t>
      </w:r>
    </w:p>
    <w:p>
      <w:pPr>
        <w:bidi w:val="0"/>
      </w:pPr>
      <w:r>
        <w:rPr>
          <w:rFonts w:hint="eastAsia"/>
        </w:rPr>
        <w:t>(4)《关于促进残疾人就业政府采购政策的通知》（财库〔2017〕141号）</w:t>
      </w:r>
    </w:p>
    <w:p>
      <w:pPr>
        <w:bidi w:val="0"/>
      </w:pPr>
      <w:r>
        <w:rPr>
          <w:rFonts w:hint="eastAsia"/>
        </w:rPr>
        <w:t>(5)《关于政府采购支持监狱企业发展有关问题的通知》（财库〔2014〕68号）</w:t>
      </w:r>
    </w:p>
    <w:p>
      <w:pPr>
        <w:bidi w:val="0"/>
      </w:pPr>
      <w:r>
        <w:rPr>
          <w:rFonts w:hint="eastAsia"/>
        </w:rPr>
        <w:t>3、请依照提供的格式和内容填写声明函，不要随意变更格式；声明函不需要盖章或签字；满足多项优惠政策的投标人，不重复享受多项价格扣除政策。</w:t>
      </w:r>
    </w:p>
    <w:p>
      <w:pPr>
        <w:bidi w:val="0"/>
      </w:pPr>
      <w:r>
        <w:rPr>
          <w:rFonts w:hint="eastAsia"/>
        </w:rPr>
        <w:t>4、声明函具体填写要求：</w:t>
      </w:r>
    </w:p>
    <w:p>
      <w:pPr>
        <w:bidi w:val="0"/>
      </w:pPr>
      <w:r>
        <w:rPr>
          <w:rFonts w:hint="eastAsia"/>
        </w:rPr>
        <w:t>（1）声明是中小企业须填写《中小企业声明函》的以下内容：</w:t>
      </w:r>
    </w:p>
    <w:p>
      <w:pPr>
        <w:bidi w:val="0"/>
        <w:ind w:left="0" w:leftChars="0" w:firstLine="420" w:firstLineChars="200"/>
      </w:pPr>
      <w:r>
        <w:rPr>
          <w:rFonts w:hint="eastAsia"/>
        </w:rPr>
        <w:t>第一处，</w:t>
      </w:r>
      <w:r>
        <w:rPr>
          <w:rFonts w:hint="eastAsia"/>
          <w:highlight w:val="yellow"/>
        </w:rPr>
        <w:t>在“单位名称”下划线处如实填写采购人名称</w:t>
      </w:r>
      <w:r>
        <w:rPr>
          <w:rFonts w:hint="eastAsia"/>
        </w:rPr>
        <w:t>（深圳公共资源交易中心不是本项目的采购人，而是组织实施机构）；</w:t>
      </w:r>
    </w:p>
    <w:p>
      <w:pPr>
        <w:bidi w:val="0"/>
        <w:ind w:left="0" w:leftChars="0" w:firstLine="420" w:firstLineChars="200"/>
      </w:pPr>
      <w:r>
        <w:rPr>
          <w:rFonts w:hint="eastAsia"/>
        </w:rPr>
        <w:t>第二处，</w:t>
      </w:r>
      <w:r>
        <w:rPr>
          <w:rFonts w:hint="eastAsia"/>
          <w:highlight w:val="yellow"/>
        </w:rPr>
        <w:t>在“项目名称”下划线处如实填写采购</w:t>
      </w:r>
      <w:r>
        <w:rPr>
          <w:rFonts w:hint="eastAsia"/>
          <w:highlight w:val="yellow"/>
          <w:lang w:val="en-US" w:eastAsia="zh-CN"/>
        </w:rPr>
        <w:t>文件中确定的</w:t>
      </w:r>
      <w:r>
        <w:rPr>
          <w:rFonts w:hint="eastAsia"/>
          <w:highlight w:val="yellow"/>
        </w:rPr>
        <w:t>项目名称</w:t>
      </w:r>
      <w:r>
        <w:rPr>
          <w:rFonts w:hint="eastAsia"/>
          <w:lang w:eastAsia="zh-CN"/>
        </w:rPr>
        <w:t>。对于分包方式面向中小企业采购的项目，应标明中小企业的具体分包内容；对于以联合体方式面向中小企业采购的项目，应标明联合体中中小企业所承担的具体内容</w:t>
      </w:r>
      <w:r>
        <w:rPr>
          <w:rFonts w:hint="eastAsia"/>
        </w:rPr>
        <w:t>；</w:t>
      </w:r>
    </w:p>
    <w:p>
      <w:pPr>
        <w:bidi w:val="0"/>
        <w:ind w:left="0" w:leftChars="0" w:firstLine="420" w:firstLineChars="200"/>
      </w:pPr>
      <w:r>
        <w:rPr>
          <w:rFonts w:hint="eastAsia"/>
        </w:rPr>
        <w:t>第三处，</w:t>
      </w:r>
      <w:r>
        <w:rPr>
          <w:rFonts w:hint="eastAsia"/>
          <w:highlight w:val="yellow"/>
        </w:rPr>
        <w:t>在“标的名称”下划线处填写所采购标的具体名称</w:t>
      </w:r>
      <w:r>
        <w:rPr>
          <w:rFonts w:hint="eastAsia"/>
        </w:rPr>
        <w:t>（以招标文件第一册第三章用户需求书“</w:t>
      </w:r>
      <w:bookmarkStart w:id="43" w:name="OLE_LINK35"/>
      <w:r>
        <w:rPr>
          <w:rFonts w:hint="eastAsia"/>
        </w:rPr>
        <w:t>标的名称</w:t>
      </w:r>
      <w:bookmarkEnd w:id="43"/>
      <w:r>
        <w:rPr>
          <w:rFonts w:hint="eastAsia"/>
        </w:rPr>
        <w:t>”一栏为准）；如果涉及多项</w:t>
      </w:r>
      <w:r>
        <w:rPr>
          <w:rFonts w:hint="eastAsia"/>
          <w:lang w:val="en-US" w:eastAsia="zh-CN"/>
        </w:rPr>
        <w:t>服务</w:t>
      </w:r>
      <w:r>
        <w:rPr>
          <w:rFonts w:hint="eastAsia"/>
        </w:rPr>
        <w:t>（标的）为同一企业</w:t>
      </w:r>
      <w:r>
        <w:rPr>
          <w:rFonts w:hint="eastAsia"/>
          <w:lang w:val="en-US" w:eastAsia="zh-CN"/>
        </w:rPr>
        <w:t>承接的</w:t>
      </w:r>
      <w:r>
        <w:rPr>
          <w:rFonts w:hint="eastAsia"/>
        </w:rPr>
        <w:t>，“标的名称”下划线处可以如实填写多项</w:t>
      </w:r>
      <w:r>
        <w:rPr>
          <w:rFonts w:hint="eastAsia"/>
          <w:lang w:val="en-US" w:eastAsia="zh-CN"/>
        </w:rPr>
        <w:t>服务</w:t>
      </w:r>
      <w:r>
        <w:rPr>
          <w:rFonts w:hint="eastAsia"/>
        </w:rPr>
        <w:t>；对于分包方式面向中小企业采购的项目</w:t>
      </w:r>
      <w:r>
        <w:rPr>
          <w:rFonts w:hint="eastAsia"/>
          <w:lang w:eastAsia="zh-CN"/>
        </w:rPr>
        <w:t>，</w:t>
      </w:r>
      <w:r>
        <w:rPr>
          <w:rFonts w:hint="eastAsia"/>
        </w:rPr>
        <w:t>“标的名称”应填写采购文件中注明的分包给中小企业的采购标的名称；对于以联合体方式面向中小企业采购的项目“标的名称”应填写采购文件中注明的联合体中中小企业承担的采购标的名称。</w:t>
      </w:r>
    </w:p>
    <w:p>
      <w:pPr>
        <w:bidi w:val="0"/>
        <w:ind w:left="0" w:leftChars="0" w:firstLine="420" w:firstLineChars="200"/>
      </w:pPr>
      <w:r>
        <w:rPr>
          <w:rFonts w:hint="eastAsia"/>
        </w:rPr>
        <w:t>第四处，在“</w:t>
      </w:r>
      <w:r>
        <w:rPr>
          <w:rFonts w:hint="eastAsia"/>
          <w:lang w:val="en-US" w:eastAsia="zh-CN"/>
        </w:rPr>
        <w:t>采购</w:t>
      </w:r>
      <w:r>
        <w:rPr>
          <w:rFonts w:hint="eastAsia"/>
        </w:rPr>
        <w:t>文件中明确的所属行业”下划线处填写采购标的对应的中小企业划分标准所属行业（所属行业以招标文件第一册第</w:t>
      </w:r>
      <w:r>
        <w:rPr>
          <w:rFonts w:hint="eastAsia"/>
          <w:lang w:eastAsia="zh-CN"/>
        </w:rPr>
        <w:t>二</w:t>
      </w:r>
      <w:r>
        <w:rPr>
          <w:rFonts w:hint="eastAsia"/>
        </w:rPr>
        <w:t>章对通用条款的补充内容及其他关键信息的“</w:t>
      </w:r>
      <w:r>
        <w:rPr>
          <w:rFonts w:hint="eastAsia"/>
          <w:lang w:val="en-US" w:eastAsia="zh-CN"/>
        </w:rPr>
        <w:t>标的所属行业</w:t>
      </w:r>
      <w:r>
        <w:rPr>
          <w:rFonts w:hint="eastAsia"/>
        </w:rPr>
        <w:t>”一栏为准）</w:t>
      </w:r>
      <w:r>
        <w:rPr>
          <w:rFonts w:hint="eastAsia"/>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bidi w:val="0"/>
        <w:ind w:left="0" w:leftChars="0" w:firstLine="420" w:firstLineChars="200"/>
        <w:rPr>
          <w:rFonts w:hint="eastAsia"/>
          <w:lang w:eastAsia="zh-CN"/>
        </w:rPr>
      </w:pPr>
      <w:r>
        <w:rPr>
          <w:rFonts w:hint="eastAsia"/>
        </w:rPr>
        <w:t>第五处，在“企业名称”下划线处如实填写</w:t>
      </w:r>
      <w:r>
        <w:rPr>
          <w:rFonts w:hint="eastAsia"/>
          <w:lang w:eastAsia="zh-CN"/>
        </w:rPr>
        <w:t>服务承接商</w:t>
      </w:r>
      <w:r>
        <w:rPr>
          <w:rFonts w:hint="eastAsia"/>
        </w:rPr>
        <w:t>名称</w:t>
      </w:r>
      <w:r>
        <w:rPr>
          <w:rFonts w:hint="eastAsia"/>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bidi w:val="0"/>
        <w:ind w:left="0" w:leftChars="0" w:firstLine="420" w:firstLineChars="200"/>
        <w:rPr>
          <w:rFonts w:hint="eastAsia"/>
        </w:rPr>
      </w:pPr>
      <w:r>
        <w:rPr>
          <w:rFonts w:hint="eastAsia"/>
          <w:lang w:val="en-US" w:eastAsia="zh-CN"/>
        </w:rPr>
        <w:t>第六、七、八处，</w:t>
      </w:r>
      <w:r>
        <w:rPr>
          <w:rFonts w:hint="eastAsia"/>
        </w:rPr>
        <w:t>在“从业人员”、“营业收入”、“资产总额”下划线处如实填写从业人员、营业收入、资产总额</w:t>
      </w:r>
      <w:r>
        <w:rPr>
          <w:rFonts w:hint="eastAsia"/>
          <w:lang w:eastAsia="zh-CN"/>
        </w:rPr>
        <w:t>。从业人员、资产总额指标以上年度末数据为依据，营业收入指标以上年度累计数据为依据。无上年度数据的新成立企业可不填报。</w:t>
      </w:r>
    </w:p>
    <w:p>
      <w:pPr>
        <w:bidi w:val="0"/>
        <w:ind w:left="0" w:leftChars="0" w:firstLine="420" w:firstLineChars="200"/>
        <w:rPr>
          <w:rFonts w:hint="eastAsia"/>
        </w:rPr>
      </w:pPr>
      <w:r>
        <w:rPr>
          <w:rFonts w:hint="eastAsia"/>
          <w:lang w:val="en-US" w:eastAsia="zh-CN"/>
        </w:rPr>
        <w:t>第九处，</w:t>
      </w:r>
      <w:r>
        <w:rPr>
          <w:rFonts w:hint="eastAsia"/>
        </w:rPr>
        <w:t>在“中型企业、小型企业、微型企业”下划线处应依据企业上年度从业人员、营业收入、资产总额等指标</w:t>
      </w:r>
      <w:r>
        <w:rPr>
          <w:rFonts w:hint="eastAsia"/>
          <w:lang w:eastAsia="zh-CN"/>
        </w:rPr>
        <w:t>，</w:t>
      </w:r>
      <w:r>
        <w:rPr>
          <w:rFonts w:hint="eastAsia"/>
        </w:rPr>
        <w:t>按照《中小企业划型标准规定》（工信部联企业〔2011〕300号）、《金融业企业划型标准规定》（银发〔2015〕309号）</w:t>
      </w:r>
      <w:r>
        <w:rPr>
          <w:rFonts w:hint="eastAsia"/>
          <w:lang w:eastAsia="zh-CN"/>
        </w:rPr>
        <w:t>，</w:t>
      </w:r>
      <w:r>
        <w:rPr>
          <w:rFonts w:hint="eastAsia"/>
        </w:rPr>
        <w:t>判断《中小企业声明函》载明的</w:t>
      </w:r>
      <w:r>
        <w:rPr>
          <w:rFonts w:hint="eastAsia"/>
          <w:lang w:eastAsia="zh-CN"/>
        </w:rPr>
        <w:t>服务承接商</w:t>
      </w:r>
      <w:r>
        <w:rPr>
          <w:rFonts w:hint="eastAsia"/>
        </w:rPr>
        <w:t>是否属于采购文件所属行业的中型企业/小型企业/微型企业。</w:t>
      </w:r>
    </w:p>
    <w:p>
      <w:pPr>
        <w:bidi w:val="0"/>
        <w:ind w:left="0" w:leftChars="0" w:firstLine="420" w:firstLineChars="200"/>
        <w:rPr>
          <w:rFonts w:hint="eastAsia"/>
          <w:lang w:eastAsia="zh-CN"/>
        </w:rPr>
      </w:pPr>
      <w:r>
        <w:rPr>
          <w:rFonts w:hint="eastAsia"/>
          <w:lang w:eastAsia="zh-CN"/>
        </w:rPr>
        <w:t>（</w:t>
      </w:r>
      <w:r>
        <w:rPr>
          <w:rFonts w:hint="eastAsia"/>
          <w:lang w:val="en-US" w:eastAsia="zh-CN"/>
        </w:rPr>
        <w:t>2</w:t>
      </w:r>
      <w:r>
        <w:rPr>
          <w:rFonts w:hint="eastAsia"/>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bidi w:val="0"/>
        <w:ind w:left="0" w:leftChars="0" w:firstLine="420" w:firstLineChars="20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highlight w:val="yellow"/>
        </w:rPr>
        <w:t>事业单位、社会组织等非企业主体不享受中小企业扶持政策</w:t>
      </w:r>
      <w:r>
        <w:rPr>
          <w:rFonts w:hint="eastAsia"/>
          <w:highlight w:val="yellow"/>
          <w:lang w:eastAsia="zh-CN"/>
        </w:rPr>
        <w:t>。</w:t>
      </w:r>
    </w:p>
    <w:p>
      <w:pPr>
        <w:bidi w:val="0"/>
        <w:ind w:left="0" w:leftChars="0" w:firstLine="420" w:firstLineChars="200"/>
      </w:pPr>
      <w:r>
        <w:rPr>
          <w:rFonts w:hint="eastAsia"/>
        </w:rPr>
        <w:t>（</w:t>
      </w:r>
      <w:r>
        <w:rPr>
          <w:rFonts w:hint="eastAsia"/>
          <w:lang w:val="en-US" w:eastAsia="zh-CN"/>
        </w:rPr>
        <w:t>4</w:t>
      </w:r>
      <w:r>
        <w:rPr>
          <w:rFonts w:hint="eastAsia"/>
        </w:rPr>
        <w:t>）声明是残疾人福利性单位须填写《残疾人福利性单位声明函》的相关内容，具体参照以上《中小企业声明函》填写要求执行。</w:t>
      </w:r>
    </w:p>
    <w:p>
      <w:pPr>
        <w:bidi w:val="0"/>
        <w:ind w:left="0" w:leftChars="0" w:firstLine="420" w:firstLineChars="200"/>
      </w:pPr>
      <w:r>
        <w:rPr>
          <w:rFonts w:hint="eastAsia"/>
        </w:rPr>
        <w:t>（</w:t>
      </w:r>
      <w:r>
        <w:rPr>
          <w:rFonts w:hint="eastAsia"/>
          <w:lang w:val="en-US" w:eastAsia="zh-CN"/>
        </w:rPr>
        <w:t>5</w:t>
      </w:r>
      <w:r>
        <w:rPr>
          <w:rFonts w:hint="eastAsia"/>
        </w:rPr>
        <w:t>）声明是监狱企业须填写《监狱企业声明函》的三项内容（填写位置的字体已加粗），具体参照以上《中小企业声明函》填写要求执行。</w:t>
      </w:r>
    </w:p>
    <w:p>
      <w:pPr>
        <w:bidi w:val="0"/>
        <w:ind w:left="0" w:leftChars="0" w:firstLine="420" w:firstLineChars="200"/>
        <w:rPr>
          <w:rFonts w:hint="eastAsia"/>
          <w:lang w:val="en-US" w:eastAsia="zh-CN"/>
        </w:rPr>
      </w:pPr>
      <w:r>
        <w:rPr>
          <w:rFonts w:hint="eastAsia"/>
          <w:lang w:val="en-US" w:eastAsia="zh-CN"/>
        </w:rPr>
        <w:t>5、本项目属于服务类项目，相关服务承接商应当为中小企业或残疾人福利性单位或监狱企业，如包含硬件设备、产品等货物采购的，不再对其中涉及的货物制造商作出要求。</w:t>
      </w:r>
    </w:p>
    <w:p>
      <w:pPr>
        <w:bidi w:val="0"/>
        <w:ind w:left="0" w:leftChars="0" w:firstLine="420" w:firstLineChars="200"/>
        <w:rPr>
          <w:rFonts w:hint="eastAsia"/>
          <w:lang w:val="en-US" w:eastAsia="zh-CN"/>
        </w:rPr>
      </w:pPr>
      <w:r>
        <w:rPr>
          <w:rFonts w:hint="eastAsia"/>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bidi w:val="0"/>
        <w:ind w:left="0" w:leftChars="0" w:firstLine="420" w:firstLineChars="200"/>
        <w:rPr>
          <w:rFonts w:hint="eastAsia"/>
          <w:lang w:val="en-US" w:eastAsia="zh-CN"/>
        </w:rPr>
      </w:pPr>
      <w:r>
        <w:rPr>
          <w:rFonts w:hint="eastAsia"/>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pStyle w:val="2"/>
      </w:pPr>
    </w:p>
    <w:bookmarkEnd w:id="41"/>
    <w:p>
      <w:pPr>
        <w:numPr>
          <w:ilvl w:val="0"/>
          <w:numId w:val="8"/>
        </w:numPr>
        <w:jc w:val="center"/>
        <w:outlineLvl w:val="3"/>
        <w:rPr>
          <w:b/>
          <w:sz w:val="24"/>
        </w:rPr>
      </w:pPr>
      <w:r>
        <w:rPr>
          <w:b/>
          <w:sz w:val="24"/>
        </w:rPr>
        <w:t>中小企业声明函（</w:t>
      </w:r>
      <w:r>
        <w:rPr>
          <w:rFonts w:hint="eastAsia"/>
          <w:b/>
          <w:sz w:val="24"/>
        </w:rPr>
        <w:t>服务</w:t>
      </w:r>
      <w:r>
        <w:rPr>
          <w:b/>
          <w:sz w:val="24"/>
        </w:rPr>
        <w:t>）</w:t>
      </w:r>
    </w:p>
    <w:p>
      <w:pPr>
        <w:pStyle w:val="2"/>
      </w:pPr>
    </w:p>
    <w:p>
      <w:pPr>
        <w:bidi w:val="0"/>
        <w:ind w:left="0" w:leftChars="0" w:firstLine="420" w:firstLineChars="200"/>
        <w:rPr>
          <w:rFonts w:asciiTheme="minorEastAsia" w:hAnsiTheme="minorEastAsia" w:cstheme="minorEastAsia"/>
          <w:szCs w:val="21"/>
        </w:rPr>
      </w:pPr>
      <w:r>
        <w:rPr>
          <w:rFonts w:hint="eastAsia" w:asciiTheme="minorEastAsia" w:hAnsiTheme="minorEastAsia" w:cstheme="minorEastAsia"/>
          <w:szCs w:val="21"/>
        </w:rPr>
        <w:t>本公司郑重声明，根据《政府采购促进中小企业发展管理办法》（财库﹝2020﹞46号）的规定，本公司参加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采购活动，服务全部由符合政策要求的中小企业承接。相关企业（含联合体中的中小企业、签订分包意向协议的中小企业）的具体情况如下：</w:t>
      </w:r>
    </w:p>
    <w:p>
      <w:pPr>
        <w:bidi w:val="0"/>
        <w:ind w:left="0" w:leftChars="0" w:firstLine="420" w:firstLineChars="200"/>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b/>
          <w:bCs/>
          <w:i/>
          <w:iCs/>
          <w:szCs w:val="21"/>
          <w:u w:val="single"/>
        </w:rPr>
        <w:t xml:space="preserve">    （标的名称）     </w:t>
      </w:r>
      <w:r>
        <w:rPr>
          <w:rFonts w:hint="eastAsia" w:asciiTheme="minorEastAsia" w:hAnsiTheme="minorEastAsia" w:cstheme="minorEastAsia"/>
          <w:szCs w:val="21"/>
        </w:rPr>
        <w:t>，属于</w:t>
      </w:r>
      <w:r>
        <w:rPr>
          <w:rFonts w:hint="eastAsia" w:asciiTheme="minorEastAsia" w:hAnsiTheme="minorEastAsia" w:cstheme="minorEastAsia"/>
          <w:b/>
          <w:bCs/>
          <w:i/>
          <w:iCs/>
          <w:szCs w:val="21"/>
          <w:u w:val="single"/>
        </w:rPr>
        <w:t xml:space="preserve">    （采购文件中明确的所属行业）    </w:t>
      </w:r>
      <w:r>
        <w:rPr>
          <w:rFonts w:hint="eastAsia" w:asciiTheme="minorEastAsia" w:hAnsiTheme="minorEastAsia" w:cstheme="minorEastAsia"/>
          <w:szCs w:val="21"/>
        </w:rPr>
        <w:t>行业；承接企业为</w:t>
      </w:r>
      <w:r>
        <w:rPr>
          <w:rFonts w:hint="eastAsia" w:asciiTheme="minorEastAsia" w:hAnsi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cstheme="minorEastAsia"/>
          <w:szCs w:val="21"/>
        </w:rPr>
        <w:t>，从业人员</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人，营业收入为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万元，资产总额为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万元，属于</w:t>
      </w:r>
      <w:r>
        <w:rPr>
          <w:rFonts w:hint="eastAsia" w:asciiTheme="minorEastAsia" w:hAnsiTheme="minorEastAsia" w:cstheme="minorEastAsia"/>
          <w:b/>
          <w:bCs/>
          <w:i/>
          <w:iCs/>
          <w:szCs w:val="21"/>
          <w:u w:val="single"/>
        </w:rPr>
        <w:t xml:space="preserve">    （中型企业、小型企业、微型企业）    </w:t>
      </w:r>
      <w:r>
        <w:rPr>
          <w:rFonts w:hint="eastAsia" w:asciiTheme="minorEastAsia" w:hAnsiTheme="minorEastAsia" w:cstheme="minorEastAsia"/>
          <w:szCs w:val="21"/>
        </w:rPr>
        <w:t>；</w:t>
      </w:r>
    </w:p>
    <w:p>
      <w:pPr>
        <w:bidi w:val="0"/>
        <w:ind w:left="0" w:leftChars="0"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b/>
          <w:bCs/>
          <w:i/>
          <w:iCs/>
          <w:szCs w:val="21"/>
          <w:u w:val="single"/>
        </w:rPr>
        <w:t xml:space="preserve">    （标的名称）     </w:t>
      </w:r>
      <w:r>
        <w:rPr>
          <w:rFonts w:hint="eastAsia" w:asciiTheme="minorEastAsia" w:hAnsiTheme="minorEastAsia" w:cstheme="minorEastAsia"/>
          <w:szCs w:val="21"/>
        </w:rPr>
        <w:t>，属于</w:t>
      </w:r>
      <w:r>
        <w:rPr>
          <w:rFonts w:hint="eastAsia" w:asciiTheme="minorEastAsia" w:hAnsiTheme="minorEastAsia" w:cstheme="minorEastAsia"/>
          <w:b/>
          <w:bCs/>
          <w:i/>
          <w:iCs/>
          <w:szCs w:val="21"/>
          <w:u w:val="single"/>
        </w:rPr>
        <w:t xml:space="preserve">    （采购文件中明确的所属行业）    </w:t>
      </w:r>
      <w:r>
        <w:rPr>
          <w:rFonts w:hint="eastAsia" w:asciiTheme="minorEastAsia" w:hAnsiTheme="minorEastAsia" w:cstheme="minorEastAsia"/>
          <w:szCs w:val="21"/>
        </w:rPr>
        <w:t>行业；承接企业为</w:t>
      </w:r>
      <w:r>
        <w:rPr>
          <w:rFonts w:hint="eastAsia" w:asciiTheme="minorEastAsia" w:hAnsi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cstheme="minorEastAsia"/>
          <w:szCs w:val="21"/>
        </w:rPr>
        <w:t>，从业人员</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人，营业收入为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万元，资产总额为</w:t>
      </w:r>
      <w:r>
        <w:rPr>
          <w:rFonts w:hint="eastAsia" w:asciiTheme="minorEastAsia" w:hAnsiTheme="minorEastAsia" w:cstheme="minorEastAsia"/>
          <w:b/>
          <w:bCs/>
          <w:i/>
          <w:iCs/>
          <w:szCs w:val="21"/>
          <w:u w:val="single"/>
        </w:rPr>
        <w:t xml:space="preserve">        </w:t>
      </w:r>
      <w:r>
        <w:rPr>
          <w:rFonts w:hint="eastAsia" w:asciiTheme="minorEastAsia" w:hAnsiTheme="minorEastAsia" w:cstheme="minorEastAsia"/>
          <w:szCs w:val="21"/>
        </w:rPr>
        <w:t>万元，属于</w:t>
      </w:r>
      <w:r>
        <w:rPr>
          <w:rFonts w:hint="eastAsia" w:asciiTheme="minorEastAsia" w:hAnsiTheme="minorEastAsia" w:cstheme="minorEastAsia"/>
          <w:b/>
          <w:bCs/>
          <w:i/>
          <w:iCs/>
          <w:szCs w:val="21"/>
          <w:u w:val="single"/>
        </w:rPr>
        <w:t xml:space="preserve">    （中型企业、小型企业、微型企业）    </w:t>
      </w:r>
      <w:r>
        <w:rPr>
          <w:rFonts w:hint="eastAsia" w:asciiTheme="minorEastAsia" w:hAnsiTheme="minorEastAsia" w:cstheme="minorEastAsia"/>
          <w:szCs w:val="21"/>
        </w:rPr>
        <w:t>；</w:t>
      </w:r>
    </w:p>
    <w:p>
      <w:pPr>
        <w:bidi w:val="0"/>
        <w:ind w:left="0" w:leftChars="0" w:firstLine="420" w:firstLineChars="200"/>
      </w:pPr>
      <w:r>
        <w:rPr>
          <w:rFonts w:hint="eastAsia"/>
        </w:rPr>
        <w:t>……</w:t>
      </w:r>
    </w:p>
    <w:p>
      <w:pPr>
        <w:bidi w:val="0"/>
        <w:ind w:left="0" w:leftChars="0" w:firstLine="420" w:firstLineChars="200"/>
      </w:pPr>
      <w:r>
        <w:rPr>
          <w:rFonts w:hint="eastAsia"/>
        </w:rPr>
        <w:t>以上企业，不属于大企业的分支机构，不存在控股股东为大企业的情形，也不存在与大企业的负责人为同一人的情形。</w:t>
      </w:r>
    </w:p>
    <w:p>
      <w:pPr>
        <w:bidi w:val="0"/>
        <w:ind w:left="0" w:leftChars="0" w:firstLine="420" w:firstLineChars="200"/>
      </w:pPr>
      <w:r>
        <w:rPr>
          <w:rFonts w:hint="eastAsia"/>
        </w:rPr>
        <w:t>本企业对上述声明内容的真实性负责。如有虚假，将依法承担相应责任。</w:t>
      </w:r>
    </w:p>
    <w:p>
      <w:pPr>
        <w:bidi w:val="0"/>
        <w:ind w:left="0" w:leftChars="0" w:firstLine="420" w:firstLineChars="200"/>
      </w:pPr>
      <w:bookmarkStart w:id="44" w:name="_Hlk73562275"/>
      <w:r>
        <w:rPr>
          <w:rFonts w:hint="eastAsi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pPr>
        <w:ind w:firstLine="420" w:firstLineChars="200"/>
      </w:pPr>
    </w:p>
    <w:p>
      <w:pPr>
        <w:jc w:val="center"/>
        <w:outlineLvl w:val="3"/>
        <w:rPr>
          <w:b/>
          <w:sz w:val="24"/>
        </w:rPr>
      </w:pPr>
      <w:r>
        <w:rPr>
          <w:rFonts w:hint="eastAsia"/>
          <w:b/>
          <w:sz w:val="24"/>
        </w:rPr>
        <w:t>2、残疾人福利性单位声明函（服务类）</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项目采购活动由本单位提供服务。</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bidi w:val="0"/>
        <w:ind w:left="0" w:leftChars="0" w:firstLine="420" w:firstLineChars="200"/>
      </w:pPr>
      <w:r>
        <w:t xml:space="preserve">…… </w:t>
      </w:r>
    </w:p>
    <w:p>
      <w:pPr>
        <w:ind w:firstLine="420" w:firstLineChars="200"/>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pStyle w:val="2"/>
      </w:pPr>
    </w:p>
    <w:p>
      <w:pPr>
        <w:pStyle w:val="6"/>
        <w:numPr>
          <w:ilvl w:val="0"/>
          <w:numId w:val="7"/>
        </w:numPr>
        <w:ind w:left="0" w:leftChars="0" w:firstLine="0" w:firstLineChars="0"/>
        <w:jc w:val="center"/>
        <w:rPr>
          <w:rFonts w:hint="eastAsia" w:ascii="黑体" w:hAnsi="宋体" w:eastAsia="黑体"/>
          <w:b w:val="0"/>
          <w:sz w:val="24"/>
        </w:rPr>
      </w:pPr>
      <w:bookmarkStart w:id="45" w:name="OLE_LINK17"/>
      <w:r>
        <w:rPr>
          <w:rFonts w:hint="eastAsia" w:ascii="黑体" w:hAnsi="宋体" w:eastAsia="黑体"/>
          <w:b w:val="0"/>
          <w:sz w:val="24"/>
        </w:rPr>
        <w:t>项目详细报价</w:t>
      </w:r>
    </w:p>
    <w:bookmarkEnd w:id="45"/>
    <w:p>
      <w:pPr>
        <w:tabs>
          <w:tab w:val="left" w:pos="720"/>
        </w:tabs>
        <w:ind w:firstLine="3132" w:firstLineChars="1300"/>
        <w:rPr>
          <w:b/>
          <w:sz w:val="24"/>
        </w:rPr>
      </w:pPr>
      <w:r>
        <w:rPr>
          <w:rFonts w:hint="eastAsia"/>
          <w:b/>
          <w:sz w:val="24"/>
        </w:rPr>
        <w:t>（一）分项报价表</w:t>
      </w:r>
    </w:p>
    <w:tbl>
      <w:tblPr>
        <w:tblStyle w:val="23"/>
        <w:tblW w:w="8613" w:type="dxa"/>
        <w:jc w:val="center"/>
        <w:tblLayout w:type="fixed"/>
        <w:tblCellMar>
          <w:top w:w="0" w:type="dxa"/>
          <w:left w:w="108" w:type="dxa"/>
          <w:bottom w:w="0" w:type="dxa"/>
          <w:right w:w="108" w:type="dxa"/>
        </w:tblCellMar>
      </w:tblPr>
      <w:tblGrid>
        <w:gridCol w:w="618"/>
        <w:gridCol w:w="1016"/>
        <w:gridCol w:w="3152"/>
        <w:gridCol w:w="1559"/>
        <w:gridCol w:w="2268"/>
      </w:tblGrid>
      <w:tr>
        <w:tblPrEx>
          <w:tblCellMar>
            <w:top w:w="0" w:type="dxa"/>
            <w:left w:w="108" w:type="dxa"/>
            <w:bottom w:w="0" w:type="dxa"/>
            <w:right w:w="108" w:type="dxa"/>
          </w:tblCellMar>
        </w:tblPrEx>
        <w:trPr>
          <w:trHeight w:val="285" w:hRule="atLeast"/>
          <w:jc w:val="center"/>
        </w:trPr>
        <w:tc>
          <w:tcPr>
            <w:tcW w:w="618" w:type="dxa"/>
            <w:tcBorders>
              <w:top w:val="single" w:color="auto" w:sz="8" w:space="0"/>
              <w:left w:val="single" w:color="auto" w:sz="8" w:space="0"/>
              <w:bottom w:val="single" w:color="auto" w:sz="4" w:space="0"/>
              <w:right w:val="single" w:color="auto" w:sz="4" w:space="0"/>
            </w:tcBorders>
            <w:shd w:val="clear" w:color="000000" w:fill="E7E6E6"/>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285" w:hRule="atLeast"/>
          <w:jc w:val="center"/>
        </w:trPr>
        <w:tc>
          <w:tcPr>
            <w:tcW w:w="618" w:type="dxa"/>
            <w:tcBorders>
              <w:top w:val="single" w:color="auto" w:sz="4" w:space="0"/>
              <w:left w:val="single" w:color="auto" w:sz="8"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p>
        </w:tc>
        <w:tc>
          <w:tcPr>
            <w:tcW w:w="155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2268" w:type="dxa"/>
            <w:tcBorders>
              <w:top w:val="single" w:color="auto" w:sz="4" w:space="0"/>
              <w:left w:val="nil"/>
              <w:bottom w:val="single" w:color="auto" w:sz="4" w:space="0"/>
              <w:right w:val="single" w:color="auto" w:sz="8"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00" w:hRule="atLeast"/>
          <w:jc w:val="center"/>
        </w:trPr>
        <w:tc>
          <w:tcPr>
            <w:tcW w:w="618" w:type="dxa"/>
            <w:vMerge w:val="restart"/>
            <w:tcBorders>
              <w:top w:val="nil"/>
              <w:left w:val="single" w:color="auto" w:sz="8"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268" w:type="dxa"/>
            <w:vMerge w:val="restart"/>
            <w:tcBorders>
              <w:top w:val="nil"/>
              <w:left w:val="nil"/>
              <w:right w:val="single" w:color="auto" w:sz="8"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continue"/>
            <w:tcBorders>
              <w:left w:val="single" w:color="auto" w:sz="8" w:space="0"/>
              <w:right w:val="single" w:color="auto" w:sz="4" w:space="0"/>
            </w:tcBorders>
            <w:noWrap w:val="0"/>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268" w:type="dxa"/>
            <w:vMerge w:val="continue"/>
            <w:tcBorders>
              <w:left w:val="nil"/>
              <w:right w:val="single" w:color="auto" w:sz="8" w:space="0"/>
            </w:tcBorders>
            <w:noWrap w:val="0"/>
            <w:vAlign w:val="center"/>
          </w:tcPr>
          <w:p>
            <w:pPr>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continue"/>
            <w:tcBorders>
              <w:left w:val="single" w:color="auto" w:sz="8" w:space="0"/>
              <w:right w:val="single" w:color="auto" w:sz="4" w:space="0"/>
            </w:tcBorders>
            <w:noWrap w:val="0"/>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268" w:type="dxa"/>
            <w:vMerge w:val="continue"/>
            <w:tcBorders>
              <w:left w:val="nil"/>
              <w:right w:val="single" w:color="auto" w:sz="8" w:space="0"/>
            </w:tcBorders>
            <w:noWrap w:val="0"/>
            <w:vAlign w:val="center"/>
          </w:tcPr>
          <w:p>
            <w:pPr>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continue"/>
            <w:tcBorders>
              <w:left w:val="single" w:color="auto" w:sz="8" w:space="0"/>
              <w:right w:val="single" w:color="auto" w:sz="4" w:space="0"/>
            </w:tcBorders>
            <w:noWrap w:val="0"/>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268" w:type="dxa"/>
            <w:vMerge w:val="continue"/>
            <w:tcBorders>
              <w:left w:val="nil"/>
              <w:right w:val="single" w:color="auto" w:sz="8" w:space="0"/>
            </w:tcBorders>
            <w:noWrap w:val="0"/>
            <w:vAlign w:val="center"/>
          </w:tcPr>
          <w:p>
            <w:pPr>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continue"/>
            <w:tcBorders>
              <w:left w:val="single" w:color="auto" w:sz="8" w:space="0"/>
              <w:right w:val="single" w:color="auto" w:sz="4" w:space="0"/>
            </w:tcBorders>
            <w:noWrap w:val="0"/>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268" w:type="dxa"/>
            <w:vMerge w:val="continue"/>
            <w:tcBorders>
              <w:left w:val="nil"/>
              <w:right w:val="single" w:color="auto" w:sz="8" w:space="0"/>
            </w:tcBorders>
            <w:noWrap w:val="0"/>
            <w:vAlign w:val="center"/>
          </w:tcPr>
          <w:p>
            <w:pPr>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continue"/>
            <w:tcBorders>
              <w:left w:val="single" w:color="auto" w:sz="8" w:space="0"/>
              <w:right w:val="single" w:color="auto" w:sz="4" w:space="0"/>
            </w:tcBorders>
            <w:noWrap w:val="0"/>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268" w:type="dxa"/>
            <w:vMerge w:val="continue"/>
            <w:tcBorders>
              <w:left w:val="nil"/>
              <w:bottom w:val="single" w:color="auto" w:sz="4" w:space="0"/>
              <w:right w:val="single" w:color="auto" w:sz="8" w:space="0"/>
            </w:tcBorders>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continue"/>
            <w:tcBorders>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restart"/>
            <w:tcBorders>
              <w:top w:val="nil"/>
              <w:left w:val="single" w:color="auto" w:sz="8"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continue"/>
            <w:tcBorders>
              <w:left w:val="single" w:color="auto" w:sz="8" w:space="0"/>
              <w:right w:val="single" w:color="auto" w:sz="4" w:space="0"/>
            </w:tcBorders>
            <w:shd w:val="clear" w:color="000000" w:fill="FFFFFF"/>
            <w:noWrap w:val="0"/>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vMerge w:val="continue"/>
            <w:tcBorders>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85" w:hRule="atLeast"/>
          <w:jc w:val="center"/>
        </w:trPr>
        <w:tc>
          <w:tcPr>
            <w:tcW w:w="618"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r>
              <w:rPr>
                <w:rFonts w:hint="eastAsia" w:ascii="宋体" w:hAnsi="宋体" w:eastAsia="宋体" w:cs="宋体"/>
                <w:b/>
                <w:bCs/>
                <w:kern w:val="0"/>
                <w:sz w:val="20"/>
                <w:szCs w:val="20"/>
                <w:lang w:eastAsia="zh-CN"/>
              </w:rPr>
              <w:t>（</w:t>
            </w:r>
            <w:r>
              <w:rPr>
                <w:rFonts w:hint="eastAsia" w:ascii="宋体" w:hAnsi="宋体" w:cs="宋体"/>
                <w:b/>
                <w:bCs/>
                <w:kern w:val="0"/>
                <w:sz w:val="20"/>
                <w:szCs w:val="20"/>
              </w:rPr>
              <w:t>元</w:t>
            </w:r>
            <w:r>
              <w:rPr>
                <w:rFonts w:hint="eastAsia" w:ascii="宋体" w:hAnsi="宋体" w:eastAsia="宋体" w:cs="宋体"/>
                <w:b/>
                <w:bCs/>
                <w:kern w:val="0"/>
                <w:sz w:val="20"/>
                <w:szCs w:val="20"/>
                <w:lang w:eastAsia="zh-CN"/>
              </w:rPr>
              <w:t>）</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jc w:val="right"/>
              <w:rPr>
                <w:rFonts w:ascii="宋体" w:hAnsi="宋体" w:cs="宋体"/>
                <w:b/>
                <w:bCs/>
                <w:kern w:val="0"/>
                <w:sz w:val="20"/>
                <w:szCs w:val="20"/>
              </w:rPr>
            </w:pPr>
          </w:p>
        </w:tc>
        <w:tc>
          <w:tcPr>
            <w:tcW w:w="2268" w:type="dxa"/>
            <w:tcBorders>
              <w:top w:val="nil"/>
              <w:left w:val="nil"/>
              <w:bottom w:val="single" w:color="auto" w:sz="4" w:space="0"/>
              <w:right w:val="single" w:color="auto" w:sz="8" w:space="0"/>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以上各项之和</w:t>
            </w:r>
          </w:p>
        </w:tc>
      </w:tr>
    </w:tbl>
    <w:p>
      <w:pPr>
        <w:spacing w:after="60"/>
        <w:rPr>
          <w:rFonts w:hint="eastAsia" w:ascii="宋体" w:hAnsi="宋体" w:eastAsia="宋体" w:cs="宋体"/>
          <w:sz w:val="21"/>
          <w:szCs w:val="21"/>
        </w:rPr>
      </w:pPr>
      <w:r>
        <w:rPr>
          <w:rFonts w:hint="eastAsia" w:ascii="宋体" w:hAnsi="宋体"/>
        </w:rPr>
        <w:t>注：</w:t>
      </w:r>
      <w:r>
        <w:rPr>
          <w:rFonts w:hint="eastAsia" w:ascii="宋体" w:hAnsi="宋体" w:eastAsia="宋体" w:cs="宋体"/>
          <w:sz w:val="21"/>
          <w:szCs w:val="21"/>
        </w:rPr>
        <w:t>1、所有价格应按“招标文件”中规定的货币单位填写；</w:t>
      </w:r>
    </w:p>
    <w:p>
      <w:pPr>
        <w:numPr>
          <w:ilvl w:val="0"/>
          <w:numId w:val="9"/>
        </w:numPr>
        <w:spacing w:after="60"/>
        <w:rPr>
          <w:rFonts w:hint="eastAsia" w:ascii="宋体" w:hAnsi="宋体" w:eastAsia="宋体" w:cs="宋体"/>
          <w:sz w:val="21"/>
          <w:szCs w:val="21"/>
        </w:rPr>
      </w:pPr>
      <w:r>
        <w:rPr>
          <w:rFonts w:hint="eastAsia" w:ascii="宋体" w:hAnsi="宋体" w:eastAsia="宋体" w:cs="宋体"/>
          <w:sz w:val="21"/>
          <w:szCs w:val="21"/>
        </w:rPr>
        <w:t>投标总价应为以上各分项价格之和；</w:t>
      </w:r>
    </w:p>
    <w:p>
      <w:pPr>
        <w:numPr>
          <w:ilvl w:val="0"/>
          <w:numId w:val="0"/>
        </w:numPr>
        <w:spacing w:after="60"/>
        <w:rPr>
          <w:rFonts w:hint="eastAsia" w:ascii="宋体" w:hAnsi="宋体" w:eastAsia="宋体" w:cs="宋体"/>
          <w:b/>
          <w:bCs/>
          <w:sz w:val="21"/>
          <w:szCs w:val="21"/>
        </w:rPr>
      </w:pPr>
      <w:r>
        <w:rPr>
          <w:rFonts w:hint="eastAsia" w:ascii="宋体" w:hAnsi="宋体" w:eastAsia="宋体" w:cs="宋体"/>
          <w:b/>
          <w:sz w:val="21"/>
          <w:szCs w:val="21"/>
        </w:rPr>
        <w:t>3、投标人如果需要对报价或其它内容加以说明，可在备注栏填写</w:t>
      </w:r>
      <w:r>
        <w:rPr>
          <w:rFonts w:hint="eastAsia" w:ascii="宋体" w:hAnsi="宋体" w:eastAsia="宋体" w:cs="宋体"/>
          <w:b/>
          <w:bCs/>
          <w:sz w:val="21"/>
          <w:szCs w:val="21"/>
        </w:rPr>
        <w:t>。</w:t>
      </w:r>
    </w:p>
    <w:p>
      <w:pPr>
        <w:pStyle w:val="22"/>
        <w:rPr>
          <w:rFonts w:hint="eastAsia"/>
          <w:lang w:val="en-US" w:eastAsia="zh-CN"/>
        </w:rPr>
      </w:pPr>
    </w:p>
    <w:p>
      <w:pPr>
        <w:tabs>
          <w:tab w:val="left" w:pos="720"/>
        </w:tabs>
        <w:jc w:val="center"/>
        <w:rPr>
          <w:b/>
          <w:bCs/>
        </w:rPr>
      </w:pPr>
      <w:r>
        <w:rPr>
          <w:rFonts w:hint="eastAsia"/>
          <w:b/>
          <w:sz w:val="24"/>
        </w:rPr>
        <w:t>（二）</w:t>
      </w:r>
      <w:bookmarkStart w:id="46" w:name="_Hlk72073235"/>
      <w:r>
        <w:rPr>
          <w:rFonts w:hint="eastAsia"/>
          <w:b/>
          <w:sz w:val="24"/>
        </w:rPr>
        <w:t>投标人认为需要涉及的其他内容报价清单</w:t>
      </w:r>
      <w:bookmarkEnd w:id="46"/>
    </w:p>
    <w:p>
      <w:pPr>
        <w:pStyle w:val="6"/>
        <w:numPr>
          <w:ilvl w:val="0"/>
          <w:numId w:val="7"/>
        </w:numPr>
        <w:ind w:left="0" w:leftChars="0" w:firstLine="0" w:firstLineChars="0"/>
        <w:jc w:val="center"/>
        <w:rPr>
          <w:rFonts w:hint="eastAsia" w:ascii="宋体" w:hAnsi="宋体" w:eastAsia="宋体" w:cs="宋体"/>
          <w:b w:val="0"/>
          <w:bCs w:val="0"/>
          <w:sz w:val="21"/>
          <w:szCs w:val="21"/>
          <w:lang w:eastAsia="zh-CN"/>
        </w:rPr>
      </w:pPr>
      <w:r>
        <w:rPr>
          <w:rFonts w:hint="eastAsia" w:ascii="黑体" w:hAnsi="宋体" w:eastAsia="黑体"/>
          <w:b w:val="0"/>
          <w:sz w:val="24"/>
          <w:lang w:eastAsia="zh-CN"/>
        </w:rPr>
        <w:t>商务部分</w:t>
      </w:r>
    </w:p>
    <w:p>
      <w:pPr>
        <w:pageBreakBefore w:val="0"/>
        <w:numPr>
          <w:ilvl w:val="0"/>
          <w:numId w:val="10"/>
        </w:numPr>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lang w:val="en-US" w:eastAsia="zh-CN"/>
        </w:rPr>
      </w:pPr>
      <w:bookmarkStart w:id="47" w:name="OLE_LINK21"/>
      <w:r>
        <w:rPr>
          <w:rFonts w:hint="eastAsia" w:ascii="宋体" w:hAnsi="宋体" w:eastAsia="宋体" w:cs="宋体"/>
          <w:sz w:val="21"/>
          <w:szCs w:val="21"/>
          <w:highlight w:val="none"/>
          <w:lang w:val="en-US" w:eastAsia="zh-CN"/>
        </w:rPr>
        <w:t>数智化特色法律服务经验</w:t>
      </w:r>
    </w:p>
    <w:p>
      <w:pPr>
        <w:pageBreakBefore w:val="0"/>
        <w:numPr>
          <w:ilvl w:val="0"/>
          <w:numId w:val="10"/>
        </w:numPr>
        <w:kinsoku/>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法律援助案件经验</w:t>
      </w:r>
    </w:p>
    <w:p>
      <w:pPr>
        <w:pStyle w:val="2"/>
        <w:numPr>
          <w:ilvl w:val="0"/>
          <w:numId w:val="10"/>
        </w:numPr>
        <w:spacing w:line="240" w:lineRule="auto"/>
        <w:ind w:firstLine="0"/>
        <w:jc w:val="center"/>
        <w:rPr>
          <w:rFonts w:hint="eastAsia"/>
          <w:b w:val="0"/>
          <w:bCs w:val="0"/>
          <w:sz w:val="21"/>
          <w:szCs w:val="21"/>
          <w:lang w:eastAsia="zh-CN"/>
        </w:rPr>
      </w:pPr>
      <w:r>
        <w:rPr>
          <w:rFonts w:hint="eastAsia" w:ascii="宋体" w:hAnsi="宋体" w:eastAsia="宋体" w:cs="宋体"/>
          <w:b w:val="0"/>
          <w:bCs w:val="0"/>
          <w:sz w:val="21"/>
          <w:szCs w:val="21"/>
          <w:highlight w:val="none"/>
          <w:lang w:val="en-US" w:eastAsia="zh-CN"/>
        </w:rPr>
        <w:t>履约评价</w:t>
      </w:r>
    </w:p>
    <w:bookmarkEnd w:id="47"/>
    <w:p>
      <w:pPr>
        <w:spacing w:after="78" w:afterLines="25" w:line="300" w:lineRule="auto"/>
        <w:outlineLvl w:val="2"/>
        <w:rPr>
          <w:rFonts w:hint="eastAsia" w:ascii="Arial" w:hAnsi="Arial" w:eastAsia="宋体" w:cs="Times New Roman"/>
          <w:b/>
          <w:color w:val="FF0000"/>
          <w:sz w:val="32"/>
          <w:szCs w:val="32"/>
          <w:lang w:eastAsia="zh-CN"/>
        </w:rPr>
      </w:pPr>
      <w:r>
        <w:rPr>
          <w:rFonts w:hint="eastAsia" w:ascii="Arial" w:hAnsi="Arial" w:eastAsia="宋体" w:cs="Times New Roman"/>
          <w:b/>
          <w:color w:val="FF0000"/>
          <w:sz w:val="32"/>
          <w:szCs w:val="32"/>
        </w:rPr>
        <w:t>投标文件附件</w:t>
      </w:r>
      <w:r>
        <w:rPr>
          <w:rFonts w:hint="eastAsia" w:ascii="Arial" w:hAnsi="Arial" w:eastAsia="宋体" w:cs="Times New Roman"/>
          <w:b/>
          <w:color w:val="FF0000"/>
          <w:sz w:val="32"/>
          <w:szCs w:val="32"/>
          <w:lang w:eastAsia="zh-CN"/>
        </w:rPr>
        <w:t>：</w:t>
      </w:r>
    </w:p>
    <w:p>
      <w:pPr>
        <w:pStyle w:val="6"/>
        <w:numPr>
          <w:ilvl w:val="0"/>
          <w:numId w:val="11"/>
        </w:numPr>
        <w:ind w:left="0" w:leftChars="0" w:firstLine="0" w:firstLineChars="0"/>
        <w:jc w:val="center"/>
        <w:rPr>
          <w:rFonts w:ascii="黑体" w:eastAsia="黑体"/>
          <w:b w:val="0"/>
          <w:sz w:val="24"/>
        </w:rPr>
      </w:pPr>
      <w:bookmarkStart w:id="48" w:name="_Hlk72092499"/>
      <w:bookmarkStart w:id="49" w:name="OLE_LINK22"/>
      <w:r>
        <w:rPr>
          <w:rFonts w:hint="eastAsia" w:ascii="黑体" w:eastAsia="黑体"/>
          <w:b w:val="0"/>
          <w:sz w:val="24"/>
        </w:rPr>
        <w:t>法定代表人（负责人）证明书</w:t>
      </w:r>
      <w:bookmarkEnd w:id="48"/>
      <w:bookmarkEnd w:id="49"/>
    </w:p>
    <w:p>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12"/>
        </w:numPr>
        <w:spacing w:line="360" w:lineRule="auto"/>
        <w:ind w:firstLine="420" w:firstLineChars="200"/>
        <w:rPr>
          <w:szCs w:val="21"/>
        </w:rPr>
      </w:pPr>
      <w:r>
        <w:rPr>
          <w:rFonts w:hint="eastAsia"/>
          <w:szCs w:val="21"/>
          <w:lang w:eastAsia="zh-Hans"/>
        </w:rPr>
        <w:t>本证明书</w:t>
      </w:r>
      <w:r>
        <w:rPr>
          <w:rFonts w:hint="eastAsia"/>
          <w:szCs w:val="21"/>
          <w:lang w:eastAsia="zh-CN"/>
        </w:rPr>
        <w:t>要提</w:t>
      </w:r>
      <w:r>
        <w:rPr>
          <w:rFonts w:hint="eastAsia"/>
          <w:szCs w:val="21"/>
          <w:lang w:eastAsia="zh-Hans"/>
        </w:rPr>
        <w:t>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12"/>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12"/>
        </w:numPr>
        <w:spacing w:line="360" w:lineRule="auto"/>
        <w:ind w:firstLine="420" w:firstLineChars="200"/>
        <w:rPr>
          <w:szCs w:val="21"/>
        </w:rPr>
      </w:pPr>
      <w:r>
        <w:rPr>
          <w:rFonts w:hint="eastAsia"/>
          <w:szCs w:val="21"/>
        </w:rPr>
        <w:t>内容必须填写真实、清楚，涂改无效，不得转让、买卖。</w:t>
      </w:r>
    </w:p>
    <w:p>
      <w:pPr>
        <w:pStyle w:val="2"/>
      </w:pP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证件扫描件正面</w:t>
            </w:r>
          </w:p>
          <w:p>
            <w:pPr>
              <w:pStyle w:val="2"/>
              <w:jc w:val="center"/>
            </w:pPr>
          </w:p>
          <w:p>
            <w:pPr>
              <w:pStyle w:val="3"/>
              <w:jc w:val="center"/>
            </w:pPr>
          </w:p>
          <w:p>
            <w:pPr>
              <w:pStyle w:val="3"/>
              <w:jc w:val="center"/>
            </w:pPr>
          </w:p>
        </w:tc>
        <w:tc>
          <w:tcPr>
            <w:tcW w:w="4265" w:type="dxa"/>
          </w:tcPr>
          <w:p>
            <w:pPr>
              <w:jc w:val="center"/>
            </w:pPr>
            <w:r>
              <w:rPr>
                <w:rFonts w:hint="eastAsia"/>
              </w:rPr>
              <w:t>证件扫描件反面</w:t>
            </w:r>
          </w:p>
          <w:p>
            <w:pPr>
              <w:pStyle w:val="2"/>
              <w:jc w:val="center"/>
            </w:pPr>
          </w:p>
          <w:p>
            <w:pPr>
              <w:pStyle w:val="3"/>
              <w:jc w:val="center"/>
            </w:pPr>
          </w:p>
          <w:p>
            <w:pPr>
              <w:pStyle w:val="3"/>
              <w:jc w:val="center"/>
            </w:pPr>
          </w:p>
        </w:tc>
      </w:tr>
    </w:tbl>
    <w:p>
      <w:pPr>
        <w:spacing w:line="360" w:lineRule="auto"/>
        <w:ind w:firstLine="422" w:firstLineChars="200"/>
        <w:rPr>
          <w:rFonts w:hint="eastAsia"/>
          <w:lang w:val="en-US" w:eastAsia="zh-CN"/>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rPr>
          <w:sz w:val="24"/>
        </w:rPr>
      </w:pPr>
    </w:p>
    <w:p>
      <w:pPr>
        <w:pStyle w:val="6"/>
        <w:numPr>
          <w:ilvl w:val="0"/>
          <w:numId w:val="11"/>
        </w:numPr>
        <w:ind w:left="0" w:leftChars="0" w:firstLine="0" w:firstLineChars="0"/>
        <w:jc w:val="center"/>
        <w:rPr>
          <w:rFonts w:hint="eastAsia" w:ascii="黑体" w:hAnsi="宋体" w:eastAsia="黑体"/>
          <w:b w:val="0"/>
          <w:sz w:val="24"/>
        </w:rPr>
      </w:pPr>
      <w:bookmarkStart w:id="50" w:name="OLE_LINK23"/>
      <w:r>
        <w:rPr>
          <w:rFonts w:hint="eastAsia" w:ascii="黑体" w:hAnsi="宋体" w:eastAsia="黑体"/>
          <w:b w:val="0"/>
          <w:sz w:val="24"/>
        </w:rPr>
        <w:t>投标文件签署授权委托书</w:t>
      </w:r>
    </w:p>
    <w:bookmarkEnd w:id="50"/>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2" w:firstLineChars="200"/>
        <w:rPr>
          <w:rFonts w:hint="eastAsia"/>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p>
      <w:pPr>
        <w:pStyle w:val="2"/>
      </w:pPr>
    </w:p>
    <w:tbl>
      <w:tblPr>
        <w:tblStyle w:val="2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ascii="Times New Roman" w:eastAsia="宋体"/>
              </w:rPr>
              <w:t>证件扫描件正面</w:t>
            </w:r>
          </w:p>
          <w:p>
            <w:pPr>
              <w:pStyle w:val="2"/>
              <w:jc w:val="center"/>
            </w:pPr>
          </w:p>
          <w:p>
            <w:pPr>
              <w:pStyle w:val="3"/>
              <w:jc w:val="center"/>
            </w:pPr>
          </w:p>
          <w:p>
            <w:pPr>
              <w:pStyle w:val="3"/>
              <w:jc w:val="center"/>
            </w:pPr>
          </w:p>
        </w:tc>
        <w:tc>
          <w:tcPr>
            <w:tcW w:w="4265" w:type="dxa"/>
          </w:tcPr>
          <w:p>
            <w:pPr>
              <w:jc w:val="center"/>
            </w:pPr>
            <w:r>
              <w:rPr>
                <w:rFonts w:hint="eastAsia" w:ascii="Times New Roman" w:eastAsia="宋体"/>
              </w:rPr>
              <w:t>证件扫描件反面</w:t>
            </w:r>
          </w:p>
          <w:p>
            <w:pPr>
              <w:pStyle w:val="2"/>
              <w:jc w:val="center"/>
            </w:pPr>
          </w:p>
          <w:p>
            <w:pPr>
              <w:pStyle w:val="3"/>
              <w:jc w:val="center"/>
            </w:pPr>
          </w:p>
          <w:p>
            <w:pPr>
              <w:pStyle w:val="3"/>
              <w:jc w:val="center"/>
            </w:pPr>
          </w:p>
        </w:tc>
      </w:tr>
    </w:tbl>
    <w:p>
      <w:pPr>
        <w:spacing w:line="360" w:lineRule="auto"/>
        <w:ind w:firstLine="422" w:firstLineChars="200"/>
        <w:rPr>
          <w:rFonts w:hint="eastAsia"/>
          <w:lang w:val="en-US" w:eastAsia="zh-CN"/>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tabs>
          <w:tab w:val="left" w:pos="651"/>
        </w:tabs>
        <w:snapToGrid w:val="0"/>
        <w:jc w:val="center"/>
        <w:rPr>
          <w:rFonts w:ascii="黑体" w:eastAsia="黑体"/>
          <w:kern w:val="0"/>
          <w:sz w:val="24"/>
          <w:szCs w:val="24"/>
        </w:rPr>
      </w:pPr>
    </w:p>
    <w:p>
      <w:pPr>
        <w:pStyle w:val="6"/>
        <w:numPr>
          <w:ilvl w:val="0"/>
          <w:numId w:val="11"/>
        </w:numPr>
        <w:ind w:left="0" w:leftChars="0" w:firstLine="0" w:firstLineChars="0"/>
        <w:jc w:val="center"/>
        <w:rPr>
          <w:rFonts w:cs="Times New Roman" w:asciiTheme="minorEastAsia" w:hAnsiTheme="minorEastAsia"/>
          <w:b/>
          <w:sz w:val="24"/>
          <w:szCs w:val="24"/>
        </w:rPr>
      </w:pPr>
      <w:bookmarkStart w:id="51" w:name="_Hlk72092634"/>
      <w:bookmarkStart w:id="52" w:name="OLE_LINK10"/>
      <w:r>
        <w:rPr>
          <w:rFonts w:hint="eastAsia" w:ascii="黑体" w:hAnsi="宋体" w:eastAsia="黑体"/>
          <w:b w:val="0"/>
          <w:sz w:val="24"/>
        </w:rPr>
        <w:t>实质性条款响应情况表</w:t>
      </w:r>
      <w:bookmarkEnd w:id="51"/>
      <w:bookmarkEnd w:id="52"/>
    </w:p>
    <w:tbl>
      <w:tblPr>
        <w:tblStyle w:val="23"/>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156"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pPr>
              <w:spacing w:line="300" w:lineRule="auto"/>
              <w:jc w:val="center"/>
              <w:rPr>
                <w:rFonts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pPr>
              <w:spacing w:line="300" w:lineRule="auto"/>
              <w:jc w:val="center"/>
              <w:rPr>
                <w:rFonts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pPr>
              <w:spacing w:line="300" w:lineRule="auto"/>
              <w:jc w:val="center"/>
              <w:rPr>
                <w:rFonts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pPr>
              <w:spacing w:line="300" w:lineRule="auto"/>
              <w:jc w:val="center"/>
              <w:rPr>
                <w:rFonts w:ascii="宋体" w:hAnsi="宋体" w:eastAsia="宋体" w:cs="Times New Roman"/>
                <w:b/>
                <w:color w:val="FF0000"/>
                <w:kern w:val="0"/>
                <w:szCs w:val="21"/>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pPr>
        <w:pStyle w:val="6"/>
        <w:numPr>
          <w:ilvl w:val="0"/>
          <w:numId w:val="11"/>
        </w:numPr>
        <w:ind w:left="0" w:leftChars="0" w:firstLine="0" w:firstLineChars="0"/>
        <w:jc w:val="center"/>
        <w:rPr>
          <w:rFonts w:hint="eastAsia" w:ascii="黑体" w:hAnsi="宋体" w:eastAsia="黑体"/>
          <w:b w:val="0"/>
          <w:sz w:val="24"/>
        </w:rPr>
      </w:pPr>
      <w:r>
        <w:rPr>
          <w:rFonts w:hint="eastAsia" w:ascii="黑体" w:hAnsi="宋体" w:eastAsia="黑体"/>
          <w:b w:val="0"/>
          <w:sz w:val="24"/>
          <w:lang w:eastAsia="zh-CN"/>
        </w:rPr>
        <w:t>技术部分</w:t>
      </w:r>
    </w:p>
    <w:p>
      <w:pPr>
        <w:pageBreakBefore w:val="0"/>
        <w:numPr>
          <w:ilvl w:val="0"/>
          <w:numId w:val="13"/>
        </w:numPr>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bookmarkStart w:id="53" w:name="OLE_LINK30"/>
      <w:r>
        <w:rPr>
          <w:rFonts w:hint="eastAsia" w:ascii="宋体" w:hAnsi="宋体" w:eastAsia="宋体" w:cs="宋体"/>
          <w:sz w:val="21"/>
          <w:szCs w:val="21"/>
          <w:highlight w:val="none"/>
        </w:rPr>
        <w:t>实施方案</w:t>
      </w:r>
    </w:p>
    <w:p>
      <w:pPr>
        <w:pageBreakBefore w:val="0"/>
        <w:numPr>
          <w:ilvl w:val="0"/>
          <w:numId w:val="13"/>
        </w:numPr>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质量保障措施及方案</w:t>
      </w:r>
    </w:p>
    <w:p>
      <w:pPr>
        <w:pageBreakBefore w:val="0"/>
        <w:numPr>
          <w:ilvl w:val="0"/>
          <w:numId w:val="13"/>
        </w:numPr>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档案管理及保密措施</w:t>
      </w:r>
    </w:p>
    <w:p>
      <w:pPr>
        <w:pageBreakBefore w:val="0"/>
        <w:numPr>
          <w:ilvl w:val="0"/>
          <w:numId w:val="13"/>
        </w:numPr>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项目完成（服务期满）后的服务承诺</w:t>
      </w:r>
    </w:p>
    <w:p>
      <w:pPr>
        <w:pageBreakBefore w:val="0"/>
        <w:numPr>
          <w:ilvl w:val="0"/>
          <w:numId w:val="13"/>
        </w:numPr>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违约承诺</w:t>
      </w:r>
    </w:p>
    <w:p>
      <w:pPr>
        <w:pageBreakBefore w:val="0"/>
        <w:numPr>
          <w:ilvl w:val="0"/>
          <w:numId w:val="13"/>
        </w:numPr>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拟安排项目负责人情况（仅限1人）</w:t>
      </w:r>
    </w:p>
    <w:p>
      <w:pPr>
        <w:pageBreakBefore w:val="0"/>
        <w:numPr>
          <w:ilvl w:val="0"/>
          <w:numId w:val="13"/>
        </w:numPr>
        <w:kinsoku/>
        <w:wordWrap w:val="0"/>
        <w:overflowPunct/>
        <w:topLinePunct w:val="0"/>
        <w:autoSpaceDE/>
        <w:autoSpaceDN/>
        <w:bidi w:val="0"/>
        <w:spacing w:beforeAutospacing="0" w:afterAutospacing="0" w:line="24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拟安排的项目团队成员（项目负责人除外）情况</w:t>
      </w:r>
    </w:p>
    <w:p>
      <w:pPr>
        <w:pStyle w:val="2"/>
        <w:numPr>
          <w:ilvl w:val="0"/>
          <w:numId w:val="13"/>
        </w:numPr>
        <w:tabs>
          <w:tab w:val="left" w:pos="630"/>
        </w:tabs>
        <w:spacing w:line="240" w:lineRule="auto"/>
        <w:jc w:val="center"/>
        <w:rPr>
          <w:b w:val="0"/>
          <w:bCs w:val="0"/>
          <w:sz w:val="21"/>
          <w:szCs w:val="21"/>
        </w:rPr>
      </w:pPr>
      <w:r>
        <w:rPr>
          <w:rFonts w:hint="eastAsia" w:ascii="宋体" w:hAnsi="宋体" w:eastAsia="宋体" w:cs="宋体"/>
          <w:b w:val="0"/>
          <w:bCs w:val="0"/>
          <w:sz w:val="21"/>
          <w:szCs w:val="21"/>
          <w:highlight w:val="none"/>
          <w:lang w:val="en-US" w:eastAsia="zh-CN"/>
        </w:rPr>
        <w:t>代理劳动纠纷案件经验</w:t>
      </w:r>
      <w:bookmarkEnd w:id="53"/>
    </w:p>
    <w:p>
      <w:pPr>
        <w:pStyle w:val="6"/>
        <w:numPr>
          <w:ilvl w:val="0"/>
          <w:numId w:val="11"/>
        </w:numPr>
        <w:ind w:left="0" w:leftChars="0" w:firstLine="0" w:firstLineChars="0"/>
        <w:jc w:val="center"/>
        <w:rPr>
          <w:rFonts w:hint="eastAsia" w:ascii="黑体" w:hAnsi="宋体" w:eastAsia="黑体"/>
          <w:b w:val="0"/>
          <w:sz w:val="24"/>
          <w:lang w:eastAsia="zh-CN"/>
        </w:rPr>
      </w:pPr>
      <w:bookmarkStart w:id="54" w:name="_Hlk72062872"/>
      <w:bookmarkStart w:id="55" w:name="OLE_LINK31"/>
      <w:r>
        <w:rPr>
          <w:rFonts w:hint="eastAsia" w:ascii="黑体" w:hAnsi="宋体" w:eastAsia="黑体"/>
          <w:b w:val="0"/>
          <w:sz w:val="24"/>
          <w:lang w:eastAsia="zh-CN"/>
        </w:rPr>
        <w:t>投标人认为需要加以说明的其他内容</w:t>
      </w:r>
      <w:bookmarkEnd w:id="54"/>
    </w:p>
    <w:bookmarkEnd w:id="55"/>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1"/>
                <w:szCs w:val="21"/>
                <w:highlight w:val="none"/>
                <w:lang w:val="en-US" w:eastAsia="zh-CN"/>
              </w:rPr>
              <w:t>同一人、属同一单位或者在同一单位缴纳社会保险</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1"/>
                <w:szCs w:val="21"/>
                <w:highlight w:val="none"/>
                <w:lang w:val="en-US" w:eastAsia="zh-CN"/>
              </w:rPr>
              <w:t>同一人或直接控股、管理关系</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与其他投标供应商的投标文件或部分投标文件</w:t>
            </w:r>
            <w:r>
              <w:rPr>
                <w:rFonts w:hint="eastAsia" w:ascii="仿宋_GB2312" w:hAnsi="仿宋_GB2312" w:eastAsia="仿宋_GB2312" w:cs="仿宋_GB2312"/>
                <w:b/>
                <w:bCs/>
                <w:color w:val="auto"/>
                <w:sz w:val="21"/>
                <w:szCs w:val="21"/>
                <w:highlight w:val="none"/>
                <w:lang w:val="en-US" w:eastAsia="zh-CN"/>
              </w:rPr>
              <w:t>相互混装或存在非正常一致</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与其他投标供应商的投标文件由</w:t>
            </w:r>
            <w:r>
              <w:rPr>
                <w:rFonts w:hint="eastAsia" w:ascii="仿宋_GB2312" w:hAnsi="仿宋_GB2312" w:eastAsia="仿宋_GB2312" w:cs="仿宋_GB2312"/>
                <w:b/>
                <w:bCs/>
                <w:color w:val="auto"/>
                <w:sz w:val="21"/>
                <w:szCs w:val="21"/>
                <w:highlight w:val="none"/>
                <w:lang w:val="en-US" w:eastAsia="zh-CN"/>
              </w:rPr>
              <w:t>同一单位或者同一人编制</w:t>
            </w:r>
            <w:r>
              <w:rPr>
                <w:rFonts w:hint="eastAsia" w:ascii="仿宋_GB2312" w:hAnsi="仿宋_GB2312" w:eastAsia="仿宋_GB2312" w:cs="仿宋_GB2312"/>
                <w:color w:val="auto"/>
                <w:sz w:val="21"/>
                <w:szCs w:val="21"/>
                <w:highlight w:val="none"/>
                <w:lang w:val="en-US" w:eastAsia="zh-CN"/>
              </w:rPr>
              <w:t>，或者使用</w:t>
            </w:r>
            <w:r>
              <w:rPr>
                <w:rFonts w:hint="eastAsia" w:ascii="仿宋_GB2312" w:hAnsi="仿宋_GB2312" w:eastAsia="仿宋_GB2312" w:cs="仿宋_GB2312"/>
                <w:b/>
                <w:bCs/>
                <w:color w:val="auto"/>
                <w:sz w:val="21"/>
                <w:szCs w:val="21"/>
                <w:highlight w:val="none"/>
                <w:lang w:val="en-US" w:eastAsia="zh-CN"/>
              </w:rPr>
              <w:t>同一设备编制</w:t>
            </w:r>
            <w:r>
              <w:rPr>
                <w:rFonts w:hint="eastAsia" w:ascii="仿宋_GB2312" w:hAnsi="仿宋_GB2312" w:eastAsia="仿宋_GB2312" w:cs="仿宋_GB2312"/>
                <w:color w:val="auto"/>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提供</w:t>
            </w:r>
            <w:r>
              <w:rPr>
                <w:rFonts w:hint="eastAsia" w:ascii="仿宋_GB2312" w:hAnsi="仿宋_GB2312" w:eastAsia="仿宋_GB2312" w:cs="仿宋_GB2312"/>
                <w:b/>
                <w:bCs/>
                <w:color w:val="auto"/>
                <w:sz w:val="21"/>
                <w:szCs w:val="21"/>
                <w:highlight w:val="none"/>
                <w:lang w:val="en-US" w:eastAsia="zh-CN"/>
              </w:rPr>
              <w:t>未经出具机构核实</w:t>
            </w:r>
            <w:r>
              <w:rPr>
                <w:rFonts w:hint="eastAsia" w:ascii="仿宋_GB2312" w:hAnsi="仿宋_GB2312" w:eastAsia="仿宋_GB2312" w:cs="仿宋_GB2312"/>
                <w:color w:val="auto"/>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擅自将投标密钥或电子营业执照出借他人使用或未妥善保管。</w:t>
            </w:r>
          </w:p>
        </w:tc>
      </w:tr>
    </w:tbl>
    <w:p>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pPr>
        <w:spacing w:beforeLines="0" w:line="380" w:lineRule="exact"/>
        <w:ind w:firstLine="420" w:firstLineChars="200"/>
        <w:rPr>
          <w:color w:val="auto"/>
        </w:rPr>
      </w:pPr>
      <w:r>
        <w:rPr>
          <w:rFonts w:hint="eastAsia"/>
          <w:color w:val="auto"/>
        </w:rPr>
        <w:t>（三）项目负责人或者主要技术人员不是本单位人员的。</w:t>
      </w:r>
    </w:p>
    <w:p>
      <w:pPr>
        <w:spacing w:beforeLines="0" w:line="380" w:lineRule="exact"/>
        <w:ind w:firstLine="420" w:firstLineChars="200"/>
        <w:rPr>
          <w:color w:val="auto"/>
        </w:rPr>
      </w:pPr>
      <w:r>
        <w:rPr>
          <w:rFonts w:hint="eastAsia"/>
          <w:color w:val="auto"/>
        </w:rPr>
        <w:t>（四）投标保证金不是从投标供应商基本账户转出的。</w:t>
      </w:r>
    </w:p>
    <w:p>
      <w:pPr>
        <w:spacing w:beforeLines="0" w:line="380" w:lineRule="exact"/>
        <w:ind w:firstLine="420" w:firstLineChars="200"/>
        <w:rPr>
          <w:color w:val="auto"/>
        </w:rPr>
      </w:pPr>
      <w:r>
        <w:rPr>
          <w:rFonts w:hint="eastAsia"/>
          <w:color w:val="auto"/>
        </w:rPr>
        <w:t>（五）其他隐瞒真实情况、提供虚假资料的行为。</w:t>
      </w:r>
    </w:p>
    <w:p>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pPr>
        <w:spacing w:beforeLines="0" w:line="380" w:lineRule="exact"/>
        <w:ind w:firstLine="420" w:firstLineChars="200"/>
        <w:rPr>
          <w:color w:val="auto"/>
        </w:rPr>
      </w:pPr>
      <w:r>
        <w:rPr>
          <w:rFonts w:hint="eastAsia"/>
          <w:color w:val="auto"/>
        </w:rPr>
        <w:t>（一）投标供应商之间相互约定给予未中标的供应商利益补偿。</w:t>
      </w:r>
    </w:p>
    <w:p>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pPr>
        <w:spacing w:beforeLines="0" w:line="340" w:lineRule="exact"/>
        <w:ind w:firstLine="420" w:firstLineChars="200"/>
        <w:rPr>
          <w:color w:val="auto"/>
        </w:rPr>
      </w:pPr>
      <w:r>
        <w:rPr>
          <w:rFonts w:hint="eastAsia"/>
          <w:color w:val="auto"/>
        </w:rPr>
        <w:t>（四）不同投标供应商的投标文件或部分投标文件相互混装。</w:t>
      </w:r>
    </w:p>
    <w:p>
      <w:pPr>
        <w:spacing w:beforeLines="0" w:line="340" w:lineRule="exact"/>
        <w:ind w:firstLine="420" w:firstLineChars="200"/>
        <w:rPr>
          <w:color w:val="auto"/>
        </w:rPr>
      </w:pPr>
      <w:r>
        <w:rPr>
          <w:rFonts w:hint="eastAsia"/>
          <w:color w:val="auto"/>
        </w:rPr>
        <w:t>（五）不同投标供应商的投标文件内容存在非正常一致。</w:t>
      </w:r>
    </w:p>
    <w:p>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pPr>
        <w:spacing w:beforeLines="0" w:line="340" w:lineRule="exact"/>
        <w:ind w:firstLine="420" w:firstLineChars="200"/>
        <w:rPr>
          <w:color w:val="auto"/>
        </w:rPr>
      </w:pPr>
      <w:r>
        <w:rPr>
          <w:rFonts w:hint="eastAsia"/>
          <w:color w:val="auto"/>
        </w:rPr>
        <w:t>（七）不同投标人的投标报价呈规律性差异。</w:t>
      </w:r>
    </w:p>
    <w:p>
      <w:pPr>
        <w:spacing w:beforeLines="0" w:line="340" w:lineRule="exact"/>
        <w:ind w:firstLine="420" w:firstLineChars="200"/>
        <w:rPr>
          <w:color w:val="auto"/>
        </w:rPr>
      </w:pPr>
      <w:r>
        <w:rPr>
          <w:rFonts w:hint="eastAsia"/>
          <w:color w:val="auto"/>
        </w:rPr>
        <w:t>（八）不同投标人的投标保证金从同一单位或者个人的账户转出。</w:t>
      </w:r>
    </w:p>
    <w:p>
      <w:pPr>
        <w:spacing w:beforeLines="0" w:line="340" w:lineRule="exact"/>
        <w:ind w:firstLine="420" w:firstLineChars="200"/>
        <w:rPr>
          <w:color w:val="auto"/>
        </w:rPr>
      </w:pPr>
      <w:r>
        <w:rPr>
          <w:rFonts w:hint="eastAsia"/>
          <w:color w:val="auto"/>
        </w:rPr>
        <w:t>（九）主管部门依照法律、法规认定的其他情形。</w:t>
      </w:r>
    </w:p>
    <w:p>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pPr>
        <w:spacing w:beforeLines="0" w:line="340" w:lineRule="exact"/>
        <w:ind w:firstLine="420" w:firstLineChars="200"/>
        <w:rPr>
          <w:color w:val="auto"/>
          <w:highlight w:val="yellow"/>
        </w:rPr>
      </w:pPr>
      <w:r>
        <w:rPr>
          <w:rFonts w:hint="eastAsia"/>
          <w:color w:val="auto"/>
          <w:highlight w:val="yellow"/>
        </w:rPr>
        <w:t>以下文字请投标供应商抄写并确认：“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已仔细阅读《政府采购违法行为风险知悉确认书》，充分知悉违法行为的法律后果，并承诺将严谨、诚信、依法依规参与政府采购活动”。</w:t>
      </w:r>
    </w:p>
    <w:tbl>
      <w:tblPr>
        <w:tblStyle w:val="4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bl>
    <w:p>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rPr>
      </w:pP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b/>
          <w:bCs/>
          <w:color w:val="auto"/>
          <w:spacing w:val="-4"/>
          <w:kern w:val="0"/>
          <w:szCs w:val="21"/>
          <w:highlight w:val="none"/>
        </w:rPr>
      </w:pPr>
      <w:r>
        <w:rPr>
          <w:rFonts w:hint="eastAsia" w:ascii="宋体" w:hAnsi="宋体" w:eastAsia="宋体"/>
          <w:b/>
          <w:bCs/>
          <w:color w:val="auto"/>
          <w:spacing w:val="-4"/>
          <w:kern w:val="0"/>
          <w:szCs w:val="21"/>
        </w:rPr>
        <w:t>注：</w:t>
      </w:r>
      <w:r>
        <w:rPr>
          <w:rFonts w:hint="eastAsia" w:ascii="宋体" w:hAnsi="宋体"/>
          <w:b/>
          <w:bCs/>
          <w:color w:val="auto"/>
          <w:spacing w:val="-4"/>
          <w:kern w:val="0"/>
          <w:szCs w:val="21"/>
          <w:lang w:val="en-US" w:eastAsia="zh-CN"/>
        </w:rPr>
        <w:t>1.</w:t>
      </w:r>
      <w:r>
        <w:rPr>
          <w:rFonts w:hint="eastAsia" w:ascii="宋体" w:hAnsi="宋体" w:eastAsia="宋体"/>
          <w:b/>
          <w:bCs/>
          <w:color w:val="auto"/>
          <w:spacing w:val="-4"/>
          <w:kern w:val="0"/>
          <w:szCs w:val="21"/>
          <w:lang w:eastAsia="zh-CN"/>
        </w:rPr>
        <w:t>《</w:t>
      </w:r>
      <w:r>
        <w:rPr>
          <w:rFonts w:hint="eastAsia" w:ascii="宋体" w:hAnsi="宋体" w:eastAsia="宋体"/>
          <w:b/>
          <w:bCs/>
          <w:color w:val="auto"/>
          <w:spacing w:val="-4"/>
          <w:kern w:val="0"/>
          <w:szCs w:val="21"/>
          <w:lang w:val="en-US" w:eastAsia="zh-CN"/>
        </w:rPr>
        <w:t>政府采购违法行为风险知悉确认书</w:t>
      </w:r>
      <w:r>
        <w:rPr>
          <w:rFonts w:hint="eastAsia" w:ascii="宋体" w:hAnsi="宋体" w:eastAsia="宋体"/>
          <w:b/>
          <w:bCs/>
          <w:color w:val="auto"/>
          <w:spacing w:val="-4"/>
          <w:kern w:val="0"/>
          <w:szCs w:val="21"/>
          <w:lang w:eastAsia="zh-CN"/>
        </w:rPr>
        <w:t>》需由</w:t>
      </w:r>
      <w:r>
        <w:rPr>
          <w:rFonts w:hint="eastAsia" w:ascii="宋体" w:hAnsi="宋体" w:eastAsia="宋体"/>
          <w:b/>
          <w:bCs/>
          <w:color w:val="auto"/>
          <w:spacing w:val="-4"/>
          <w:kern w:val="0"/>
          <w:szCs w:val="21"/>
          <w:highlight w:val="none"/>
        </w:rPr>
        <w:t>投标供应商负责人签字并加盖单位公章后，扫描上传至投标文件一并提交。</w:t>
      </w:r>
    </w:p>
    <w:p>
      <w:pPr>
        <w:widowControl/>
        <w:autoSpaceDE w:val="0"/>
        <w:autoSpaceDN w:val="0"/>
        <w:spacing w:line="400" w:lineRule="exact"/>
        <w:ind w:firstLine="422" w:firstLineChars="200"/>
        <w:jc w:val="left"/>
        <w:rPr>
          <w:rFonts w:ascii="宋体" w:hAnsi="宋体"/>
          <w:color w:val="FF0000"/>
          <w:spacing w:val="-4"/>
          <w:kern w:val="0"/>
          <w:szCs w:val="21"/>
        </w:rPr>
      </w:pPr>
      <w:r>
        <w:rPr>
          <w:rFonts w:hint="eastAsia"/>
          <w:b/>
          <w:bCs/>
          <w:color w:val="auto"/>
          <w:lang w:val="en-US"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rPr>
          <w:sz w:val="24"/>
        </w:rPr>
      </w:pP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spacing w:line="360" w:lineRule="auto"/>
        <w:jc w:val="left"/>
        <w:rPr>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eastAsia="zh-CN"/>
        </w:rPr>
        <w:t>三</w:t>
      </w:r>
      <w:r>
        <w:rPr>
          <w:rFonts w:hint="eastAsia" w:ascii="黑体" w:hAnsi="宋体" w:eastAsia="黑体"/>
          <w:kern w:val="0"/>
          <w:sz w:val="24"/>
          <w:szCs w:val="20"/>
        </w:rPr>
        <w:t>）投标人认为需要加以说明的其他内容（格式自定）</w:t>
      </w:r>
    </w:p>
    <w:p>
      <w:pPr>
        <w:spacing w:after="78" w:afterLines="25" w:line="300" w:lineRule="auto"/>
        <w:rPr>
          <w:rFonts w:ascii="Arial" w:hAnsi="Arial" w:eastAsia="宋体" w:cs="Times New Roman"/>
          <w:sz w:val="24"/>
          <w:szCs w:val="24"/>
        </w:rPr>
      </w:pPr>
    </w:p>
    <w:p>
      <w:pPr>
        <w:rPr>
          <w:rFonts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ascii="黑体" w:hAnsi="华文中宋" w:eastAsia="黑体" w:cs="Times New Roman"/>
          <w:sz w:val="28"/>
          <w:szCs w:val="28"/>
        </w:rPr>
      </w:pPr>
      <w:r>
        <w:rPr>
          <w:rFonts w:hint="eastAsia" w:ascii="宋体" w:hAnsi="宋体" w:eastAsia="宋体" w:cs="Times New Roman"/>
          <w:b/>
          <w:bCs/>
          <w:kern w:val="0"/>
          <w:sz w:val="28"/>
          <w:szCs w:val="28"/>
        </w:rPr>
        <w:t>第五章  合同条款及格式</w:t>
      </w:r>
    </w:p>
    <w:p>
      <w:pPr>
        <w:bidi w:val="0"/>
        <w:jc w:val="center"/>
      </w:pPr>
      <w:r>
        <w:rPr>
          <w:rFonts w:hint="eastAsia"/>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根据深圳公共资源交易中心（深圳交易集团有限公司龙华分公司）*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9"/>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lang w:eastAsia="zh-CN"/>
        </w:rPr>
        <w:t>1</w:t>
      </w:r>
      <w:r>
        <w:rPr>
          <w:rFonts w:hint="eastAsia" w:ascii="宋体" w:hAnsi="宋体"/>
          <w:szCs w:val="21"/>
        </w:rPr>
        <w:t>、应按照招标文件、投标文件要求按期完成本项目服务工作。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r>
        <w:rPr>
          <w:rFonts w:hint="eastAsia" w:ascii="宋体" w:hAnsi="宋体"/>
          <w:szCs w:val="21"/>
          <w:lang w:eastAsia="zh-CN"/>
        </w:rPr>
        <w:t>：</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lang w:eastAsia="zh-CN"/>
        </w:rPr>
        <w:t>1</w:t>
      </w:r>
      <w:r>
        <w:rPr>
          <w:rFonts w:hint="eastAsia" w:ascii="宋体" w:hAnsi="宋体"/>
          <w:szCs w:val="21"/>
        </w:rPr>
        <w:t>、乙方应完全地按照招标文件的要求和乙方投标文件的承诺完成本项目，出于自身财务、技术、人力等原因导致项目失败的，应承担全部责任。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第十八条  违约责任</w:t>
      </w:r>
    </w:p>
    <w:p>
      <w:pPr>
        <w:pStyle w:val="12"/>
        <w:spacing w:line="240" w:lineRule="auto"/>
        <w:rPr>
          <w:rFonts w:ascii="宋体" w:hAnsi="宋体"/>
          <w:szCs w:val="21"/>
        </w:rPr>
      </w:pPr>
      <w:r>
        <w:rPr>
          <w:rFonts w:hint="eastAsia" w:ascii="宋体" w:hAnsi="宋体"/>
          <w:szCs w:val="21"/>
          <w:lang w:eastAsia="zh-CN"/>
        </w:rPr>
        <w:t>1</w:t>
      </w:r>
      <w:r>
        <w:rPr>
          <w:rFonts w:hint="eastAsia" w:ascii="宋体" w:hAnsi="宋体"/>
          <w:szCs w:val="21"/>
        </w:rPr>
        <w:t>、因乙方原因，未能按规定时间完成有关工作的，每延误一天，甲方可在支付合同余款中扣除合同价款千分之一。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r>
        <w:rPr>
          <w:rFonts w:hint="eastAsia" w:ascii="宋体" w:hAnsi="宋体"/>
          <w:szCs w:val="21"/>
          <w:lang w:eastAsia="zh-CN"/>
        </w:rPr>
        <w:t>。</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第十九条  其他</w:t>
      </w:r>
    </w:p>
    <w:p>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ascii="宋体" w:hAnsi="宋体"/>
          <w:szCs w:val="21"/>
        </w:rPr>
      </w:pPr>
      <w:r>
        <w:rPr>
          <w:rFonts w:hint="eastAsia" w:ascii="宋体" w:hAnsi="宋体"/>
          <w:szCs w:val="21"/>
        </w:rPr>
        <w:t>（1）政府采购合同协议书及其变更、补充协议</w:t>
      </w:r>
    </w:p>
    <w:p>
      <w:pPr>
        <w:ind w:firstLine="420" w:firstLineChars="200"/>
        <w:rPr>
          <w:rFonts w:ascii="宋体" w:hAnsi="宋体"/>
          <w:szCs w:val="21"/>
        </w:rPr>
      </w:pPr>
      <w:r>
        <w:rPr>
          <w:rFonts w:hint="eastAsia" w:ascii="宋体" w:hAnsi="宋体"/>
          <w:szCs w:val="21"/>
        </w:rPr>
        <w:t>（2）政府采购合同专用条款</w:t>
      </w:r>
    </w:p>
    <w:p>
      <w:pPr>
        <w:ind w:firstLine="420" w:firstLineChars="200"/>
        <w:rPr>
          <w:rFonts w:ascii="宋体" w:hAnsi="宋体"/>
          <w:szCs w:val="21"/>
        </w:rPr>
      </w:pPr>
      <w:r>
        <w:rPr>
          <w:rFonts w:hint="eastAsia" w:ascii="宋体" w:hAnsi="宋体"/>
          <w:szCs w:val="21"/>
        </w:rPr>
        <w:t>（3）政府采购合同通用条款</w:t>
      </w:r>
    </w:p>
    <w:p>
      <w:pPr>
        <w:ind w:firstLine="420" w:firstLineChars="200"/>
        <w:rPr>
          <w:rFonts w:ascii="宋体" w:hAnsi="宋体"/>
          <w:szCs w:val="21"/>
        </w:rPr>
      </w:pPr>
      <w:r>
        <w:rPr>
          <w:rFonts w:hint="eastAsia" w:ascii="宋体" w:hAnsi="宋体"/>
          <w:szCs w:val="21"/>
        </w:rPr>
        <w:t>（4）中标（成交）通知书</w:t>
      </w:r>
    </w:p>
    <w:p>
      <w:pPr>
        <w:ind w:firstLine="420" w:firstLineChars="200"/>
        <w:rPr>
          <w:rFonts w:ascii="宋体" w:hAnsi="宋体"/>
          <w:szCs w:val="21"/>
        </w:rPr>
      </w:pPr>
      <w:r>
        <w:rPr>
          <w:rFonts w:hint="eastAsia" w:ascii="宋体" w:hAnsi="宋体"/>
          <w:szCs w:val="21"/>
        </w:rPr>
        <w:t>（5）投标（响应）文件</w:t>
      </w:r>
    </w:p>
    <w:p>
      <w:pPr>
        <w:ind w:firstLine="420" w:firstLineChars="200"/>
        <w:rPr>
          <w:rFonts w:ascii="宋体" w:hAnsi="宋体"/>
          <w:szCs w:val="21"/>
        </w:rPr>
      </w:pPr>
      <w:r>
        <w:rPr>
          <w:rFonts w:hint="eastAsia" w:ascii="宋体" w:hAnsi="宋体"/>
          <w:szCs w:val="21"/>
        </w:rPr>
        <w:t>（6）采购文件</w:t>
      </w:r>
    </w:p>
    <w:p>
      <w:pPr>
        <w:ind w:firstLine="420" w:firstLineChars="200"/>
        <w:rPr>
          <w:rFonts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w:t>
      </w:r>
      <w:r>
        <w:rPr>
          <w:rFonts w:hint="eastAsia" w:ascii="宋体" w:hAnsi="宋体"/>
          <w:szCs w:val="21"/>
          <w:lang w:val="en-US" w:eastAsia="zh-CN"/>
        </w:rPr>
        <w:t xml:space="preserve">  </w:t>
      </w:r>
      <w:r>
        <w:rPr>
          <w:rFonts w:hint="eastAsia" w:ascii="宋体" w:hAnsi="宋体"/>
          <w:szCs w:val="21"/>
        </w:rPr>
        <w:t>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hint="eastAsia" w:ascii="宋体" w:hAnsi="宋体"/>
          <w:szCs w:val="21"/>
        </w:rPr>
      </w:pPr>
      <w:r>
        <w:rPr>
          <w:rFonts w:hint="eastAsia" w:ascii="宋体" w:hAnsi="宋体"/>
          <w:szCs w:val="21"/>
        </w:rPr>
        <w:t>委托代理人：                     委托代理人：</w:t>
      </w:r>
    </w:p>
    <w:p>
      <w:pPr>
        <w:spacing w:line="360" w:lineRule="auto"/>
        <w:ind w:firstLine="560" w:firstLineChars="0"/>
        <w:jc w:val="left"/>
        <w:rPr>
          <w:rFonts w:ascii="宋体" w:hAnsi="宋体"/>
          <w:szCs w:val="21"/>
        </w:rPr>
      </w:pPr>
      <w:r>
        <w:rPr>
          <w:rFonts w:hint="eastAsia" w:ascii="宋体" w:hAnsi="宋体"/>
          <w:szCs w:val="21"/>
        </w:rPr>
        <w:t>日期：   年     月    日         日期：   年     月    日</w:t>
      </w: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37"/>
        <w:keepNext/>
        <w:keepLines/>
        <w:numPr>
          <w:ilvl w:val="0"/>
          <w:numId w:val="14"/>
        </w:numPr>
        <w:tabs>
          <w:tab w:val="left" w:pos="720"/>
        </w:tabs>
        <w:adjustRightInd w:val="0"/>
        <w:spacing w:before="156" w:beforeLines="50" w:after="156" w:afterLines="50" w:line="240" w:lineRule="auto"/>
        <w:ind w:firstLineChars="0"/>
        <w:jc w:val="center"/>
        <w:textAlignment w:val="baseline"/>
        <w:outlineLvl w:val="1"/>
        <w:rPr>
          <w:rFonts w:asciiTheme="majorHAnsi" w:hAnsiTheme="majorHAnsi" w:eastAsiaTheme="majorEastAsia" w:cstheme="majorBidi"/>
          <w:b/>
          <w:bCs/>
          <w:sz w:val="28"/>
          <w:szCs w:val="28"/>
        </w:rPr>
      </w:pPr>
      <w:bookmarkStart w:id="56" w:name="_Hlk72399513"/>
      <w:r>
        <w:rPr>
          <w:rFonts w:hint="eastAsia" w:asciiTheme="majorHAnsi" w:hAnsiTheme="majorHAnsi" w:eastAsiaTheme="majorEastAsia" w:cstheme="majorBidi"/>
          <w:b/>
          <w:bCs/>
          <w:sz w:val="28"/>
          <w:szCs w:val="28"/>
        </w:rPr>
        <w:t>总则</w:t>
      </w:r>
    </w:p>
    <w:bookmarkEnd w:id="56"/>
    <w:p>
      <w:pPr>
        <w:spacing w:line="240" w:lineRule="auto"/>
        <w:rPr>
          <w:rFonts w:ascii="黑体" w:hAnsi="宋体" w:eastAsia="黑体"/>
          <w:sz w:val="24"/>
        </w:rPr>
      </w:pPr>
      <w:bookmarkStart w:id="57" w:name="_Hlk72439706"/>
      <w:r>
        <w:rPr>
          <w:rFonts w:hint="eastAsia" w:ascii="黑体" w:hAnsi="宋体" w:eastAsia="黑体"/>
          <w:sz w:val="24"/>
        </w:rPr>
        <w:t>1. 通用条款说明</w:t>
      </w:r>
    </w:p>
    <w:p>
      <w:pPr>
        <w:spacing w:line="240" w:lineRule="auto"/>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8" w:name="_Hlk72399729"/>
      <w:r>
        <w:rPr>
          <w:rFonts w:hint="eastAsia" w:ascii="宋体" w:hAnsi="宋体"/>
          <w:szCs w:val="21"/>
        </w:rPr>
        <w:t>如有需要，政府集中采购机构可以对通用条款的内容进行补充。</w:t>
      </w:r>
      <w:bookmarkEnd w:id="58"/>
    </w:p>
    <w:p>
      <w:pPr>
        <w:spacing w:line="240" w:lineRule="auto"/>
        <w:ind w:firstLine="411" w:firstLineChars="196"/>
        <w:rPr>
          <w:rFonts w:ascii="宋体" w:hAnsi="宋体"/>
          <w:szCs w:val="21"/>
        </w:rPr>
      </w:pPr>
      <w:r>
        <w:rPr>
          <w:rFonts w:hint="eastAsia" w:ascii="宋体" w:hAnsi="宋体"/>
          <w:szCs w:val="21"/>
        </w:rPr>
        <w:t>1.2招标文件分为第一册“专用条款”和第二册“通用条款”。</w:t>
      </w:r>
    </w:p>
    <w:p>
      <w:pPr>
        <w:spacing w:line="240" w:lineRule="auto"/>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spacing w:line="240" w:lineRule="auto"/>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spacing w:line="240" w:lineRule="auto"/>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24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spacing w:line="240" w:lineRule="auto"/>
        <w:ind w:firstLine="411" w:firstLineChars="196"/>
        <w:rPr>
          <w:rFonts w:ascii="宋体" w:hAnsi="宋体"/>
          <w:szCs w:val="21"/>
        </w:rPr>
      </w:pPr>
      <w:r>
        <w:rPr>
          <w:rFonts w:hint="eastAsia" w:ascii="宋体" w:hAnsi="宋体"/>
          <w:szCs w:val="21"/>
        </w:rPr>
        <w:t>本项目参照《深圳经济特区政府采购条例</w:t>
      </w:r>
      <w:r>
        <w:rPr>
          <w:rFonts w:hint="eastAsia" w:ascii="宋体" w:hAnsi="宋体"/>
          <w:szCs w:val="21"/>
          <w:lang w:eastAsia="zh-CN"/>
        </w:rPr>
        <w:t>》《</w:t>
      </w:r>
      <w:r>
        <w:rPr>
          <w:rFonts w:hint="eastAsia" w:ascii="宋体" w:hAnsi="宋体"/>
          <w:szCs w:val="21"/>
        </w:rPr>
        <w:t>深圳经济特区政府采购条例实施细则》及政府采购其他法律法规，通过公开招标方式确定中标供应商。</w:t>
      </w:r>
    </w:p>
    <w:p>
      <w:pPr>
        <w:spacing w:line="240" w:lineRule="auto"/>
        <w:rPr>
          <w:rFonts w:ascii="黑体" w:hAnsi="宋体" w:eastAsia="黑体"/>
          <w:sz w:val="24"/>
        </w:rPr>
      </w:pPr>
      <w:r>
        <w:rPr>
          <w:rFonts w:hint="eastAsia" w:ascii="黑体" w:hAnsi="宋体" w:eastAsia="黑体"/>
          <w:sz w:val="24"/>
        </w:rPr>
        <w:t>3．定义</w:t>
      </w:r>
    </w:p>
    <w:p>
      <w:pPr>
        <w:spacing w:line="240" w:lineRule="auto"/>
        <w:ind w:firstLine="420" w:firstLineChars="200"/>
        <w:rPr>
          <w:rFonts w:ascii="宋体" w:hAnsi="宋体"/>
          <w:szCs w:val="21"/>
        </w:rPr>
      </w:pPr>
      <w:r>
        <w:rPr>
          <w:rFonts w:ascii="宋体" w:hAnsi="宋体"/>
          <w:szCs w:val="21"/>
        </w:rPr>
        <w:t>招标文件中下列术语应解释为：</w:t>
      </w:r>
    </w:p>
    <w:p>
      <w:pPr>
        <w:spacing w:line="240" w:lineRule="auto"/>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spacing w:line="240" w:lineRule="auto"/>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spacing w:line="240" w:lineRule="auto"/>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spacing w:line="240" w:lineRule="auto"/>
        <w:ind w:firstLine="411" w:firstLineChars="196"/>
        <w:rPr>
          <w:rFonts w:ascii="宋体" w:hAnsi="宋体"/>
          <w:szCs w:val="21"/>
        </w:rPr>
      </w:pPr>
      <w:r>
        <w:rPr>
          <w:rFonts w:hint="eastAsia" w:ascii="宋体" w:hAnsi="宋体"/>
          <w:szCs w:val="21"/>
        </w:rPr>
        <w:t>3.4“评审委员会”是依据《深圳经济特区政府采购条例</w:t>
      </w:r>
      <w:r>
        <w:rPr>
          <w:rFonts w:hint="eastAsia" w:ascii="宋体" w:hAnsi="宋体"/>
          <w:szCs w:val="21"/>
          <w:lang w:eastAsia="zh-CN"/>
        </w:rPr>
        <w:t>》《</w:t>
      </w:r>
      <w:r>
        <w:rPr>
          <w:rFonts w:hint="eastAsia" w:ascii="宋体" w:hAnsi="宋体"/>
          <w:szCs w:val="21"/>
        </w:rPr>
        <w:t>深圳经济特区政府采购条例实施细则》等有关规定组建的专门负责本次招标其评审工作的临时性机构；</w:t>
      </w:r>
    </w:p>
    <w:p>
      <w:pPr>
        <w:spacing w:line="240" w:lineRule="auto"/>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spacing w:line="240" w:lineRule="auto"/>
        <w:ind w:firstLine="411" w:firstLineChars="196"/>
        <w:rPr>
          <w:rFonts w:ascii="宋体" w:hAnsi="宋体"/>
          <w:szCs w:val="21"/>
        </w:rPr>
      </w:pPr>
      <w:r>
        <w:rPr>
          <w:rFonts w:hint="eastAsia" w:ascii="宋体" w:hAnsi="宋体"/>
          <w:szCs w:val="21"/>
        </w:rPr>
        <w:t>3.6“合同”指由本次招标所产生的合同或合约文件；</w:t>
      </w:r>
    </w:p>
    <w:p>
      <w:pPr>
        <w:spacing w:line="240" w:lineRule="auto"/>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w:t>
      </w:r>
      <w:r>
        <w:rPr>
          <w:rFonts w:hint="eastAsia" w:ascii="宋体" w:hAnsi="宋体"/>
          <w:szCs w:val="21"/>
          <w:lang w:eastAsia="zh-CN"/>
        </w:rPr>
        <w:t>，</w:t>
      </w:r>
      <w:r>
        <w:rPr>
          <w:rFonts w:hint="eastAsia" w:ascii="宋体" w:hAnsi="宋体"/>
          <w:szCs w:val="21"/>
        </w:rPr>
        <w:t>适用于网上投标；（投标文件制作软件可从“下载地址：http://zfcg.szggzy.com:8081/cgxy/013002/20210923/173e0b2c-7a4c-4246-a0c7-e0ea75d84dd6.html深圳智慧采购平台投标文件制作专用软件.zip”下载）</w:t>
      </w:r>
    </w:p>
    <w:p>
      <w:pPr>
        <w:spacing w:line="240" w:lineRule="auto"/>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pPr>
        <w:spacing w:line="240" w:lineRule="auto"/>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spacing w:line="240" w:lineRule="auto"/>
        <w:rPr>
          <w:rFonts w:ascii="黑体" w:hAnsi="宋体" w:eastAsia="黑体"/>
          <w:sz w:val="24"/>
        </w:rPr>
      </w:pPr>
      <w:r>
        <w:rPr>
          <w:rFonts w:hint="eastAsia" w:ascii="黑体" w:hAnsi="宋体" w:eastAsia="黑体"/>
          <w:sz w:val="24"/>
        </w:rPr>
        <w:t xml:space="preserve">4. </w:t>
      </w:r>
      <w:bookmarkStart w:id="59" w:name="_Hlk72398643"/>
      <w:r>
        <w:rPr>
          <w:rFonts w:hint="eastAsia" w:ascii="黑体" w:hAnsi="宋体" w:eastAsia="黑体"/>
          <w:sz w:val="24"/>
        </w:rPr>
        <w:t>政府采购供应商责任</w:t>
      </w:r>
    </w:p>
    <w:p>
      <w:pPr>
        <w:spacing w:line="240" w:lineRule="auto"/>
        <w:ind w:firstLine="411" w:firstLineChars="196"/>
        <w:rPr>
          <w:rFonts w:ascii="宋体" w:hAnsi="宋体"/>
          <w:szCs w:val="21"/>
        </w:rPr>
      </w:pPr>
      <w:r>
        <w:rPr>
          <w:rFonts w:hint="eastAsia" w:ascii="宋体" w:hAnsi="宋体"/>
          <w:szCs w:val="21"/>
        </w:rPr>
        <w:t>4.1欢迎诚信、有实力和有社会责任心的供应商参与政府采购事业。</w:t>
      </w:r>
    </w:p>
    <w:p>
      <w:pPr>
        <w:spacing w:line="240" w:lineRule="auto"/>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240" w:lineRule="auto"/>
        <w:rPr>
          <w:rFonts w:ascii="黑体" w:hAnsi="宋体" w:eastAsia="黑体"/>
          <w:sz w:val="24"/>
        </w:rPr>
      </w:pPr>
      <w:r>
        <w:rPr>
          <w:rFonts w:hint="eastAsia" w:ascii="黑体" w:hAnsi="宋体" w:eastAsia="黑体"/>
          <w:sz w:val="24"/>
        </w:rPr>
        <w:t>5．投标人参加政府采购的条件</w:t>
      </w:r>
    </w:p>
    <w:p>
      <w:pPr>
        <w:spacing w:line="240" w:lineRule="auto"/>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spacing w:line="240" w:lineRule="auto"/>
        <w:ind w:firstLine="411" w:firstLineChars="196"/>
        <w:rPr>
          <w:rFonts w:ascii="宋体" w:hAnsi="宋体"/>
          <w:szCs w:val="21"/>
        </w:rPr>
      </w:pPr>
      <w:r>
        <w:rPr>
          <w:rFonts w:hint="eastAsia" w:ascii="宋体" w:hAnsi="宋体"/>
          <w:szCs w:val="21"/>
        </w:rPr>
        <w:t>5.2投标人资格要求</w:t>
      </w:r>
    </w:p>
    <w:p>
      <w:pPr>
        <w:spacing w:line="240" w:lineRule="auto"/>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spacing w:line="240" w:lineRule="auto"/>
        <w:ind w:firstLine="411" w:firstLineChars="196"/>
        <w:rPr>
          <w:rFonts w:ascii="宋体" w:hAnsi="宋体"/>
          <w:szCs w:val="21"/>
        </w:rPr>
      </w:pPr>
      <w:r>
        <w:rPr>
          <w:rFonts w:hint="eastAsia" w:ascii="宋体" w:hAnsi="宋体"/>
          <w:szCs w:val="21"/>
        </w:rPr>
        <w:t>5.3联合体投标</w:t>
      </w:r>
    </w:p>
    <w:p>
      <w:pPr>
        <w:spacing w:line="240" w:lineRule="auto"/>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spacing w:line="240" w:lineRule="auto"/>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spacing w:line="240" w:lineRule="auto"/>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spacing w:line="240" w:lineRule="auto"/>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spacing w:line="240" w:lineRule="auto"/>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spacing w:line="240" w:lineRule="auto"/>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spacing w:line="240" w:lineRule="auto"/>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spacing w:line="240" w:lineRule="auto"/>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spacing w:line="240" w:lineRule="auto"/>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spacing w:line="240" w:lineRule="auto"/>
        <w:ind w:firstLine="411" w:firstLineChars="196"/>
        <w:rPr>
          <w:rFonts w:ascii="宋体" w:hAnsi="宋体"/>
        </w:rPr>
      </w:pPr>
      <w:r>
        <w:rPr>
          <w:rFonts w:hint="eastAsia" w:ascii="宋体" w:hAnsi="宋体"/>
        </w:rPr>
        <w:t>（2）在投标截止前，投标联合体各方均应注册成政府采购供应商；</w:t>
      </w:r>
    </w:p>
    <w:p>
      <w:pPr>
        <w:spacing w:line="240" w:lineRule="auto"/>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spacing w:line="240" w:lineRule="auto"/>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spacing w:line="240" w:lineRule="auto"/>
        <w:ind w:firstLine="411" w:firstLineChars="196"/>
        <w:rPr>
          <w:rFonts w:ascii="宋体" w:hAnsi="宋体"/>
        </w:rPr>
      </w:pPr>
      <w:r>
        <w:rPr>
          <w:rFonts w:hint="eastAsia" w:ascii="宋体" w:hAnsi="宋体"/>
        </w:rPr>
        <w:t>（5）投标人的投标文件及中标后签署的合同协议对联合体各方均具法律约束力；</w:t>
      </w:r>
    </w:p>
    <w:p>
      <w:pPr>
        <w:spacing w:line="240" w:lineRule="auto"/>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spacing w:line="240" w:lineRule="auto"/>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spacing w:line="240" w:lineRule="auto"/>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240" w:lineRule="auto"/>
        <w:ind w:firstLine="411" w:firstLineChars="196"/>
        <w:rPr>
          <w:rFonts w:ascii="宋体" w:hAnsi="宋体"/>
          <w:szCs w:val="21"/>
        </w:rPr>
      </w:pPr>
      <w:r>
        <w:rPr>
          <w:rFonts w:hint="eastAsia" w:ascii="宋体" w:hAnsi="宋体"/>
        </w:rPr>
        <w:t>（9）本通用条款中“投标人”一词亦指联合体各方，专用条款另有规定或说明的除外。</w:t>
      </w:r>
    </w:p>
    <w:p>
      <w:pPr>
        <w:spacing w:line="240" w:lineRule="auto"/>
        <w:rPr>
          <w:rFonts w:ascii="黑体" w:hAnsi="宋体" w:eastAsia="黑体"/>
          <w:sz w:val="24"/>
        </w:rPr>
      </w:pPr>
      <w:r>
        <w:rPr>
          <w:rFonts w:hint="eastAsia" w:ascii="黑体" w:hAnsi="宋体" w:eastAsia="黑体"/>
          <w:sz w:val="24"/>
        </w:rPr>
        <w:t>6．政策导向</w:t>
      </w:r>
    </w:p>
    <w:p>
      <w:pPr>
        <w:spacing w:line="240" w:lineRule="auto"/>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spacing w:line="240" w:lineRule="auto"/>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spacing w:line="240" w:lineRule="auto"/>
        <w:ind w:firstLine="405"/>
        <w:rPr>
          <w:rFonts w:eastAsia="宋体"/>
        </w:rPr>
      </w:pPr>
      <w:r>
        <w:rPr>
          <w:rFonts w:hint="eastAsia" w:ascii="宋体" w:hAnsi="宋体"/>
        </w:rPr>
        <w:t>6.3  本项目支持投标人性别平等的相关政策。</w:t>
      </w:r>
    </w:p>
    <w:p>
      <w:pPr>
        <w:spacing w:line="240" w:lineRule="auto"/>
        <w:rPr>
          <w:rFonts w:ascii="黑体" w:hAnsi="宋体" w:eastAsia="黑体"/>
          <w:sz w:val="24"/>
        </w:rPr>
      </w:pPr>
      <w:r>
        <w:rPr>
          <w:rFonts w:hint="eastAsia" w:ascii="黑体" w:hAnsi="宋体" w:eastAsia="黑体"/>
          <w:sz w:val="24"/>
        </w:rPr>
        <w:t>7. 本项目若涉及采购货物，则合格的货物及相应服务应满足以下要求：</w:t>
      </w:r>
    </w:p>
    <w:p>
      <w:pPr>
        <w:spacing w:line="240" w:lineRule="auto"/>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spacing w:line="240" w:lineRule="auto"/>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spacing w:line="240" w:lineRule="auto"/>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240" w:lineRule="auto"/>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0"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0"/>
    </w:p>
    <w:p>
      <w:pPr>
        <w:spacing w:line="240" w:lineRule="auto"/>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spacing w:line="240" w:lineRule="auto"/>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spacing w:line="240" w:lineRule="auto"/>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spacing w:line="240" w:lineRule="auto"/>
        <w:rPr>
          <w:rFonts w:ascii="黑体" w:hAnsi="宋体" w:eastAsia="黑体"/>
          <w:sz w:val="24"/>
        </w:rPr>
      </w:pPr>
      <w:r>
        <w:rPr>
          <w:rFonts w:hint="eastAsia" w:ascii="黑体" w:hAnsi="宋体" w:eastAsia="黑体"/>
          <w:sz w:val="24"/>
        </w:rPr>
        <w:t>8．投标费用</w:t>
      </w:r>
    </w:p>
    <w:p>
      <w:pPr>
        <w:spacing w:line="240" w:lineRule="auto"/>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240" w:lineRule="auto"/>
        <w:rPr>
          <w:rFonts w:ascii="黑体" w:hAnsi="宋体" w:eastAsia="黑体"/>
          <w:sz w:val="24"/>
        </w:rPr>
      </w:pPr>
      <w:r>
        <w:rPr>
          <w:rFonts w:hint="eastAsia" w:ascii="黑体" w:hAnsi="宋体" w:eastAsia="黑体"/>
          <w:sz w:val="24"/>
        </w:rPr>
        <w:t>9．踏勘现场</w:t>
      </w:r>
    </w:p>
    <w:p>
      <w:pPr>
        <w:spacing w:line="240" w:lineRule="auto"/>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spacing w:line="240" w:lineRule="auto"/>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spacing w:line="240" w:lineRule="auto"/>
        <w:ind w:firstLine="411" w:firstLineChars="196"/>
        <w:rPr>
          <w:rFonts w:ascii="宋体" w:hAnsi="宋体"/>
        </w:rPr>
      </w:pPr>
      <w:r>
        <w:rPr>
          <w:rFonts w:hint="eastAsia" w:ascii="宋体" w:hAnsi="宋体"/>
        </w:rPr>
        <w:t>9.3采购人应当通过政府集中采购机构向投标人提供有关现场的书面资料和数据。</w:t>
      </w:r>
    </w:p>
    <w:p>
      <w:pPr>
        <w:spacing w:line="240" w:lineRule="auto"/>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spacing w:line="240" w:lineRule="auto"/>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spacing w:line="240" w:lineRule="auto"/>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spacing w:line="240" w:lineRule="auto"/>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spacing w:line="240" w:lineRule="auto"/>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spacing w:line="240" w:lineRule="auto"/>
        <w:ind w:firstLine="411" w:firstLineChars="196"/>
        <w:rPr>
          <w:rFonts w:ascii="宋体" w:hAnsi="宋体"/>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bookmarkEnd w:id="59"/>
    </w:p>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招标文件</w:t>
      </w:r>
    </w:p>
    <w:p>
      <w:pPr>
        <w:spacing w:line="240" w:lineRule="auto"/>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1" w:name="_Hlk72399819"/>
      <w:r>
        <w:rPr>
          <w:rFonts w:hint="eastAsia" w:ascii="黑体" w:hAnsi="宋体" w:eastAsia="黑体"/>
          <w:sz w:val="24"/>
        </w:rPr>
        <w:t>招标文件的编制与组成</w:t>
      </w:r>
    </w:p>
    <w:p>
      <w:pPr>
        <w:snapToGrid w:val="0"/>
        <w:spacing w:line="24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spacing w:line="240" w:lineRule="auto"/>
        <w:ind w:firstLine="411" w:firstLineChars="196"/>
        <w:rPr>
          <w:rFonts w:ascii="宋体" w:hAnsi="宋体"/>
          <w:szCs w:val="21"/>
        </w:rPr>
      </w:pPr>
      <w:r>
        <w:rPr>
          <w:rFonts w:hint="eastAsia" w:ascii="宋体" w:hAnsi="宋体"/>
          <w:szCs w:val="21"/>
        </w:rPr>
        <w:t>招标文件包括下列内容：</w:t>
      </w:r>
    </w:p>
    <w:p>
      <w:pPr>
        <w:spacing w:line="240" w:lineRule="auto"/>
        <w:ind w:left="420" w:leftChars="200" w:firstLine="413" w:firstLineChars="196"/>
        <w:rPr>
          <w:rFonts w:ascii="宋体" w:hAnsi="宋体"/>
          <w:b/>
          <w:szCs w:val="21"/>
        </w:rPr>
      </w:pPr>
      <w:r>
        <w:rPr>
          <w:rFonts w:hint="eastAsia" w:ascii="宋体" w:hAnsi="宋体"/>
          <w:b/>
          <w:szCs w:val="21"/>
        </w:rPr>
        <w:t>第一册  专用条款</w:t>
      </w:r>
    </w:p>
    <w:p>
      <w:pPr>
        <w:spacing w:line="240" w:lineRule="auto"/>
        <w:ind w:left="1079" w:leftChars="514"/>
        <w:rPr>
          <w:rFonts w:ascii="宋体" w:hAnsi="宋体"/>
          <w:b/>
          <w:szCs w:val="21"/>
        </w:rPr>
      </w:pPr>
      <w:r>
        <w:rPr>
          <w:rFonts w:hint="eastAsia" w:ascii="宋体" w:hAnsi="宋体"/>
          <w:b/>
          <w:szCs w:val="21"/>
        </w:rPr>
        <w:t>关键信息</w:t>
      </w:r>
    </w:p>
    <w:p>
      <w:pPr>
        <w:spacing w:line="240" w:lineRule="auto"/>
        <w:ind w:left="630" w:leftChars="300" w:firstLine="411" w:firstLineChars="196"/>
        <w:rPr>
          <w:rFonts w:ascii="宋体" w:hAnsi="宋体"/>
          <w:szCs w:val="21"/>
        </w:rPr>
      </w:pPr>
      <w:r>
        <w:rPr>
          <w:rFonts w:hint="eastAsia" w:ascii="宋体" w:hAnsi="宋体"/>
          <w:szCs w:val="21"/>
        </w:rPr>
        <w:t>第一章  招标公告</w:t>
      </w:r>
    </w:p>
    <w:p>
      <w:pPr>
        <w:spacing w:line="240" w:lineRule="auto"/>
        <w:ind w:left="630" w:leftChars="300" w:firstLine="411" w:firstLineChars="196"/>
        <w:rPr>
          <w:rFonts w:ascii="宋体" w:hAnsi="宋体"/>
          <w:szCs w:val="21"/>
        </w:rPr>
      </w:pPr>
      <w:r>
        <w:rPr>
          <w:rFonts w:hint="eastAsia" w:ascii="宋体" w:hAnsi="宋体"/>
          <w:szCs w:val="21"/>
        </w:rPr>
        <w:t>第二章  对通用条款的补充内容及其他关键信息</w:t>
      </w:r>
    </w:p>
    <w:p>
      <w:pPr>
        <w:spacing w:line="240" w:lineRule="auto"/>
        <w:ind w:left="630" w:leftChars="300" w:firstLine="411" w:firstLineChars="196"/>
        <w:rPr>
          <w:rFonts w:ascii="宋体" w:hAnsi="宋体"/>
          <w:szCs w:val="21"/>
        </w:rPr>
      </w:pPr>
      <w:r>
        <w:rPr>
          <w:rFonts w:hint="eastAsia" w:ascii="宋体" w:hAnsi="宋体"/>
          <w:szCs w:val="21"/>
        </w:rPr>
        <w:t>第三章  用户需求书</w:t>
      </w:r>
    </w:p>
    <w:p>
      <w:pPr>
        <w:spacing w:line="240" w:lineRule="auto"/>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spacing w:line="240" w:lineRule="auto"/>
        <w:ind w:left="630" w:leftChars="300" w:firstLine="411" w:firstLineChars="196"/>
        <w:rPr>
          <w:rFonts w:ascii="宋体" w:hAnsi="宋体"/>
          <w:szCs w:val="21"/>
        </w:rPr>
      </w:pPr>
      <w:r>
        <w:rPr>
          <w:rFonts w:hint="eastAsia" w:ascii="宋体" w:hAnsi="宋体"/>
          <w:szCs w:val="21"/>
        </w:rPr>
        <w:t>第五章  合同条款及格式</w:t>
      </w:r>
    </w:p>
    <w:p>
      <w:pPr>
        <w:spacing w:line="240" w:lineRule="auto"/>
        <w:ind w:left="420" w:leftChars="200" w:firstLine="413" w:firstLineChars="196"/>
        <w:rPr>
          <w:rFonts w:ascii="宋体" w:hAnsi="宋体"/>
          <w:b/>
          <w:szCs w:val="21"/>
        </w:rPr>
      </w:pPr>
      <w:r>
        <w:rPr>
          <w:rFonts w:hint="eastAsia" w:ascii="宋体" w:hAnsi="宋体"/>
          <w:b/>
          <w:szCs w:val="21"/>
        </w:rPr>
        <w:t>第二册  通用条款</w:t>
      </w:r>
    </w:p>
    <w:p>
      <w:pPr>
        <w:spacing w:line="240" w:lineRule="auto"/>
        <w:ind w:left="630" w:leftChars="300" w:firstLine="411" w:firstLineChars="196"/>
        <w:rPr>
          <w:rFonts w:ascii="宋体" w:hAnsi="宋体"/>
          <w:szCs w:val="21"/>
        </w:rPr>
      </w:pPr>
      <w:r>
        <w:rPr>
          <w:rFonts w:hint="eastAsia" w:ascii="宋体" w:hAnsi="宋体"/>
          <w:szCs w:val="21"/>
        </w:rPr>
        <w:t>第一章  总则</w:t>
      </w:r>
    </w:p>
    <w:p>
      <w:pPr>
        <w:spacing w:line="240" w:lineRule="auto"/>
        <w:ind w:left="630" w:leftChars="300" w:firstLine="411" w:firstLineChars="196"/>
        <w:rPr>
          <w:rFonts w:ascii="宋体" w:hAnsi="宋体"/>
          <w:szCs w:val="21"/>
        </w:rPr>
      </w:pPr>
      <w:r>
        <w:rPr>
          <w:rFonts w:hint="eastAsia" w:ascii="宋体" w:hAnsi="宋体"/>
          <w:szCs w:val="21"/>
        </w:rPr>
        <w:t>第二章  招标文件</w:t>
      </w:r>
    </w:p>
    <w:p>
      <w:pPr>
        <w:spacing w:line="240" w:lineRule="auto"/>
        <w:ind w:left="630" w:leftChars="300" w:firstLine="411" w:firstLineChars="196"/>
        <w:rPr>
          <w:rFonts w:ascii="宋体" w:hAnsi="宋体"/>
          <w:szCs w:val="21"/>
        </w:rPr>
      </w:pPr>
      <w:r>
        <w:rPr>
          <w:rFonts w:hint="eastAsia" w:ascii="宋体" w:hAnsi="宋体"/>
          <w:szCs w:val="21"/>
        </w:rPr>
        <w:t>第三章  投标文件的编制</w:t>
      </w:r>
    </w:p>
    <w:p>
      <w:pPr>
        <w:spacing w:line="240" w:lineRule="auto"/>
        <w:ind w:left="630" w:leftChars="300" w:firstLine="411" w:firstLineChars="196"/>
        <w:rPr>
          <w:rFonts w:ascii="宋体" w:hAnsi="宋体"/>
          <w:szCs w:val="21"/>
        </w:rPr>
      </w:pPr>
      <w:r>
        <w:rPr>
          <w:rFonts w:hint="eastAsia" w:ascii="宋体" w:hAnsi="宋体"/>
          <w:szCs w:val="21"/>
        </w:rPr>
        <w:t>第四章  投标文件的递交</w:t>
      </w:r>
    </w:p>
    <w:p>
      <w:pPr>
        <w:spacing w:line="240" w:lineRule="auto"/>
        <w:ind w:left="630" w:leftChars="300" w:firstLine="411" w:firstLineChars="196"/>
        <w:rPr>
          <w:rFonts w:ascii="宋体" w:hAnsi="宋体"/>
          <w:szCs w:val="21"/>
        </w:rPr>
      </w:pPr>
      <w:r>
        <w:rPr>
          <w:rFonts w:hint="eastAsia" w:ascii="宋体" w:hAnsi="宋体"/>
          <w:szCs w:val="21"/>
        </w:rPr>
        <w:t>第五章  开标</w:t>
      </w:r>
    </w:p>
    <w:p>
      <w:pPr>
        <w:spacing w:line="240" w:lineRule="auto"/>
        <w:ind w:left="630" w:leftChars="300" w:firstLine="411" w:firstLineChars="196"/>
        <w:rPr>
          <w:rFonts w:ascii="宋体" w:hAnsi="宋体"/>
          <w:szCs w:val="21"/>
        </w:rPr>
      </w:pPr>
      <w:r>
        <w:rPr>
          <w:rFonts w:hint="eastAsia" w:ascii="宋体" w:hAnsi="宋体"/>
          <w:szCs w:val="21"/>
        </w:rPr>
        <w:t>第六章  评审要求</w:t>
      </w:r>
    </w:p>
    <w:p>
      <w:pPr>
        <w:spacing w:line="240" w:lineRule="auto"/>
        <w:ind w:left="630" w:leftChars="300" w:firstLine="411" w:firstLineChars="196"/>
        <w:rPr>
          <w:rFonts w:ascii="宋体" w:hAnsi="宋体"/>
          <w:szCs w:val="21"/>
        </w:rPr>
      </w:pPr>
      <w:r>
        <w:rPr>
          <w:rFonts w:hint="eastAsia" w:ascii="宋体" w:hAnsi="宋体"/>
          <w:szCs w:val="21"/>
        </w:rPr>
        <w:t>第七章  评审程序及评审方法</w:t>
      </w:r>
    </w:p>
    <w:p>
      <w:pPr>
        <w:spacing w:line="240" w:lineRule="auto"/>
        <w:ind w:left="630" w:leftChars="300" w:firstLine="411" w:firstLineChars="196"/>
        <w:rPr>
          <w:rFonts w:ascii="宋体" w:hAnsi="宋体"/>
          <w:szCs w:val="21"/>
        </w:rPr>
      </w:pPr>
      <w:r>
        <w:rPr>
          <w:rFonts w:hint="eastAsia" w:ascii="宋体" w:hAnsi="宋体"/>
          <w:szCs w:val="21"/>
        </w:rPr>
        <w:t>第八章  定标及公示</w:t>
      </w:r>
    </w:p>
    <w:p>
      <w:pPr>
        <w:spacing w:line="240" w:lineRule="auto"/>
        <w:ind w:left="630" w:leftChars="300" w:firstLine="411" w:firstLineChars="196"/>
        <w:rPr>
          <w:rFonts w:ascii="宋体" w:hAnsi="宋体"/>
          <w:szCs w:val="21"/>
        </w:rPr>
      </w:pPr>
      <w:r>
        <w:rPr>
          <w:rFonts w:hint="eastAsia" w:ascii="宋体" w:hAnsi="宋体"/>
          <w:szCs w:val="21"/>
        </w:rPr>
        <w:t>第九章  公开招标失败的后续处理</w:t>
      </w:r>
    </w:p>
    <w:p>
      <w:pPr>
        <w:spacing w:line="240" w:lineRule="auto"/>
        <w:ind w:left="630" w:leftChars="300" w:firstLine="411" w:firstLineChars="196"/>
        <w:rPr>
          <w:rFonts w:ascii="宋体" w:hAnsi="宋体"/>
          <w:szCs w:val="21"/>
        </w:rPr>
      </w:pPr>
      <w:r>
        <w:rPr>
          <w:rFonts w:hint="eastAsia" w:ascii="宋体" w:hAnsi="宋体"/>
          <w:szCs w:val="21"/>
        </w:rPr>
        <w:t>第十章  合同的授予与备案</w:t>
      </w:r>
    </w:p>
    <w:p>
      <w:pPr>
        <w:spacing w:line="240" w:lineRule="auto"/>
        <w:ind w:left="630" w:leftChars="300" w:firstLine="411" w:firstLineChars="196"/>
        <w:rPr>
          <w:rFonts w:ascii="宋体" w:hAnsi="宋体"/>
          <w:szCs w:val="21"/>
        </w:rPr>
      </w:pPr>
      <w:r>
        <w:rPr>
          <w:rFonts w:hint="eastAsia" w:ascii="宋体" w:hAnsi="宋体"/>
          <w:szCs w:val="21"/>
        </w:rPr>
        <w:t>第十一章  质疑处理</w:t>
      </w:r>
    </w:p>
    <w:p>
      <w:pPr>
        <w:spacing w:line="240" w:lineRule="auto"/>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240" w:lineRule="auto"/>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spacing w:line="240" w:lineRule="auto"/>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spacing w:line="240" w:lineRule="auto"/>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spacing w:line="240" w:lineRule="auto"/>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spacing w:line="240" w:lineRule="auto"/>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spacing w:line="24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spacing w:line="240" w:lineRule="auto"/>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spacing w:line="240" w:lineRule="auto"/>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spacing w:line="240" w:lineRule="auto"/>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spacing w:line="240" w:lineRule="auto"/>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1"/>
    </w:p>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投标文件的编制</w:t>
      </w:r>
    </w:p>
    <w:p>
      <w:pPr>
        <w:spacing w:line="240" w:lineRule="auto"/>
        <w:rPr>
          <w:rFonts w:ascii="黑体" w:hAnsi="宋体" w:eastAsia="黑体"/>
          <w:sz w:val="24"/>
        </w:rPr>
      </w:pPr>
      <w:r>
        <w:rPr>
          <w:rFonts w:hint="eastAsia" w:ascii="黑体" w:hAnsi="宋体" w:eastAsia="黑体"/>
          <w:sz w:val="24"/>
        </w:rPr>
        <w:t>14．</w:t>
      </w:r>
      <w:bookmarkStart w:id="62" w:name="_Hlk72400236"/>
      <w:r>
        <w:rPr>
          <w:rFonts w:hint="eastAsia" w:ascii="黑体" w:hAnsi="宋体" w:eastAsia="黑体"/>
          <w:sz w:val="24"/>
        </w:rPr>
        <w:t>投标文件的语言及度量单位</w:t>
      </w:r>
    </w:p>
    <w:p>
      <w:pPr>
        <w:spacing w:line="240" w:lineRule="auto"/>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240" w:lineRule="auto"/>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62"/>
    <w:p>
      <w:pPr>
        <w:spacing w:line="240" w:lineRule="auto"/>
        <w:rPr>
          <w:rFonts w:ascii="黑体" w:hAnsi="宋体" w:eastAsia="黑体"/>
          <w:sz w:val="24"/>
        </w:rPr>
      </w:pPr>
      <w:r>
        <w:rPr>
          <w:rFonts w:hint="eastAsia" w:ascii="黑体" w:hAnsi="宋体" w:eastAsia="黑体"/>
          <w:sz w:val="24"/>
        </w:rPr>
        <w:t>15．</w:t>
      </w:r>
      <w:bookmarkStart w:id="63" w:name="_Hlk72401567"/>
      <w:r>
        <w:rPr>
          <w:rFonts w:hint="eastAsia" w:ascii="黑体" w:hAnsi="宋体" w:eastAsia="黑体"/>
          <w:sz w:val="24"/>
        </w:rPr>
        <w:t>投标文件的组成</w:t>
      </w:r>
    </w:p>
    <w:p>
      <w:pPr>
        <w:spacing w:line="240" w:lineRule="auto"/>
        <w:ind w:firstLine="411" w:firstLineChars="196"/>
        <w:rPr>
          <w:rFonts w:ascii="宋体" w:hAnsi="宋体"/>
          <w:szCs w:val="21"/>
        </w:rPr>
      </w:pPr>
      <w:r>
        <w:rPr>
          <w:rFonts w:hint="eastAsia" w:ascii="宋体" w:hAnsi="宋体"/>
          <w:szCs w:val="21"/>
        </w:rPr>
        <w:t>具体内容在招标文件专用条款中进行规定。</w:t>
      </w:r>
    </w:p>
    <w:p>
      <w:pPr>
        <w:spacing w:line="240" w:lineRule="auto"/>
        <w:rPr>
          <w:rFonts w:ascii="黑体" w:hAnsi="宋体" w:eastAsia="黑体"/>
          <w:sz w:val="24"/>
        </w:rPr>
      </w:pPr>
      <w:r>
        <w:rPr>
          <w:rFonts w:ascii="黑体" w:hAnsi="宋体" w:eastAsia="黑体"/>
          <w:sz w:val="24"/>
        </w:rPr>
        <w:t>16．投标文件格式</w:t>
      </w:r>
    </w:p>
    <w:p>
      <w:pPr>
        <w:spacing w:line="240" w:lineRule="auto"/>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spacing w:line="240" w:lineRule="auto"/>
        <w:rPr>
          <w:rFonts w:ascii="黑体" w:hAnsi="宋体" w:eastAsia="黑体"/>
          <w:sz w:val="24"/>
        </w:rPr>
      </w:pPr>
      <w:r>
        <w:rPr>
          <w:rFonts w:hint="eastAsia" w:ascii="黑体" w:hAnsi="宋体" w:eastAsia="黑体"/>
          <w:sz w:val="24"/>
        </w:rPr>
        <w:t>17．投标货币</w:t>
      </w:r>
    </w:p>
    <w:p>
      <w:pPr>
        <w:spacing w:line="240" w:lineRule="auto"/>
        <w:ind w:firstLine="411" w:firstLineChars="196"/>
        <w:rPr>
          <w:rFonts w:ascii="宋体" w:hAnsi="宋体"/>
          <w:szCs w:val="21"/>
        </w:rPr>
      </w:pPr>
      <w:r>
        <w:rPr>
          <w:rFonts w:hint="eastAsia" w:ascii="宋体" w:hAnsi="宋体"/>
          <w:szCs w:val="21"/>
        </w:rPr>
        <w:t>本项目的投标报价应以人民币计。</w:t>
      </w:r>
    </w:p>
    <w:bookmarkEnd w:id="63"/>
    <w:p>
      <w:pPr>
        <w:spacing w:line="240" w:lineRule="auto"/>
        <w:rPr>
          <w:rFonts w:ascii="黑体" w:hAnsi="宋体" w:eastAsia="黑体"/>
          <w:sz w:val="24"/>
        </w:rPr>
      </w:pPr>
      <w:r>
        <w:rPr>
          <w:rFonts w:hint="eastAsia" w:ascii="黑体" w:hAnsi="宋体" w:eastAsia="黑体"/>
          <w:sz w:val="24"/>
        </w:rPr>
        <w:t>18．</w:t>
      </w:r>
      <w:bookmarkStart w:id="64" w:name="_Hlk72401735"/>
      <w:r>
        <w:rPr>
          <w:rFonts w:hint="eastAsia" w:ascii="黑体" w:hAnsi="宋体" w:eastAsia="黑体"/>
          <w:sz w:val="24"/>
        </w:rPr>
        <w:t>证明投标文件投标技术方案的合格性和符合招标文件规定的文件要求</w:t>
      </w:r>
    </w:p>
    <w:p>
      <w:pPr>
        <w:spacing w:line="240" w:lineRule="auto"/>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spacing w:line="240" w:lineRule="auto"/>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240" w:lineRule="auto"/>
        <w:ind w:firstLine="411" w:firstLineChars="196"/>
        <w:rPr>
          <w:rFonts w:ascii="宋体" w:hAnsi="宋体"/>
          <w:szCs w:val="21"/>
        </w:rPr>
      </w:pPr>
      <w:r>
        <w:rPr>
          <w:rFonts w:hint="eastAsia" w:ascii="宋体" w:hAnsi="宋体"/>
          <w:szCs w:val="21"/>
        </w:rPr>
        <w:t>18.2.1主要技术指标和性能的详细说明。</w:t>
      </w:r>
    </w:p>
    <w:p>
      <w:pPr>
        <w:spacing w:line="240" w:lineRule="auto"/>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spacing w:line="240" w:lineRule="auto"/>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spacing w:line="240" w:lineRule="auto"/>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spacing w:line="240" w:lineRule="auto"/>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line="240" w:lineRule="auto"/>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spacing w:line="240" w:lineRule="auto"/>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spacing w:line="240" w:lineRule="auto"/>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4"/>
    <w:p>
      <w:pPr>
        <w:spacing w:line="240" w:lineRule="auto"/>
        <w:rPr>
          <w:rFonts w:ascii="黑体" w:hAnsi="宋体" w:eastAsia="黑体"/>
          <w:sz w:val="24"/>
        </w:rPr>
      </w:pPr>
      <w:r>
        <w:rPr>
          <w:rFonts w:hint="eastAsia" w:ascii="黑体" w:hAnsi="宋体" w:eastAsia="黑体"/>
          <w:sz w:val="24"/>
        </w:rPr>
        <w:t>19．</w:t>
      </w:r>
      <w:bookmarkStart w:id="65" w:name="_Hlk72402034"/>
      <w:r>
        <w:rPr>
          <w:rFonts w:hint="eastAsia" w:ascii="黑体" w:hAnsi="宋体" w:eastAsia="黑体"/>
          <w:sz w:val="24"/>
        </w:rPr>
        <w:t>投标文件其他证明文件的要求</w:t>
      </w:r>
    </w:p>
    <w:p>
      <w:pPr>
        <w:spacing w:line="240" w:lineRule="auto"/>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6"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6"/>
    <w:p>
      <w:pPr>
        <w:spacing w:line="240" w:lineRule="auto"/>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spacing w:line="240" w:lineRule="auto"/>
        <w:rPr>
          <w:rFonts w:ascii="黑体" w:hAnsi="宋体" w:eastAsia="黑体"/>
          <w:sz w:val="24"/>
        </w:rPr>
      </w:pPr>
      <w:r>
        <w:rPr>
          <w:rFonts w:hint="eastAsia" w:ascii="黑体" w:hAnsi="宋体" w:eastAsia="黑体"/>
          <w:sz w:val="24"/>
        </w:rPr>
        <w:t>20．投标有效期</w:t>
      </w:r>
    </w:p>
    <w:bookmarkEnd w:id="65"/>
    <w:p>
      <w:pPr>
        <w:spacing w:line="240" w:lineRule="auto"/>
        <w:ind w:firstLine="411" w:firstLineChars="196"/>
        <w:rPr>
          <w:rFonts w:ascii="宋体" w:hAnsi="宋体"/>
          <w:szCs w:val="21"/>
        </w:rPr>
      </w:pPr>
      <w:bookmarkStart w:id="6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spacing w:line="240" w:lineRule="auto"/>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spacing w:line="240" w:lineRule="auto"/>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7"/>
    <w:p>
      <w:pPr>
        <w:spacing w:line="240" w:lineRule="auto"/>
        <w:rPr>
          <w:rFonts w:ascii="黑体" w:hAnsi="宋体" w:eastAsia="黑体"/>
          <w:sz w:val="24"/>
        </w:rPr>
      </w:pPr>
      <w:r>
        <w:rPr>
          <w:rFonts w:hint="eastAsia" w:ascii="黑体" w:hAnsi="宋体" w:eastAsia="黑体"/>
          <w:sz w:val="24"/>
        </w:rPr>
        <w:t>21．</w:t>
      </w:r>
      <w:bookmarkStart w:id="68" w:name="_Hlk72402325"/>
      <w:r>
        <w:rPr>
          <w:rFonts w:hint="eastAsia" w:ascii="黑体" w:hAnsi="宋体" w:eastAsia="黑体"/>
          <w:sz w:val="24"/>
        </w:rPr>
        <w:t xml:space="preserve">关于投标保证金 </w:t>
      </w:r>
    </w:p>
    <w:p>
      <w:pPr>
        <w:spacing w:line="240" w:lineRule="auto"/>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spacing w:line="240" w:lineRule="auto"/>
        <w:rPr>
          <w:rFonts w:ascii="黑体" w:hAnsi="宋体" w:eastAsia="黑体"/>
          <w:sz w:val="24"/>
        </w:rPr>
      </w:pPr>
      <w:r>
        <w:rPr>
          <w:rFonts w:hint="eastAsia" w:ascii="黑体" w:hAnsi="宋体" w:eastAsia="黑体"/>
          <w:sz w:val="24"/>
        </w:rPr>
        <w:t>22．投标人的替代方案</w:t>
      </w:r>
    </w:p>
    <w:p>
      <w:pPr>
        <w:spacing w:line="240" w:lineRule="auto"/>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spacing w:line="240" w:lineRule="auto"/>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8"/>
    <w:p>
      <w:pPr>
        <w:spacing w:line="240" w:lineRule="auto"/>
        <w:rPr>
          <w:rFonts w:ascii="黑体" w:hAnsi="宋体" w:eastAsia="黑体"/>
          <w:sz w:val="24"/>
        </w:rPr>
      </w:pPr>
      <w:r>
        <w:rPr>
          <w:rFonts w:hint="eastAsia" w:ascii="黑体" w:hAnsi="宋体" w:eastAsia="黑体"/>
          <w:sz w:val="24"/>
        </w:rPr>
        <w:t>23．</w:t>
      </w:r>
      <w:bookmarkStart w:id="69"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spacing w:line="240" w:lineRule="auto"/>
        <w:ind w:firstLine="411" w:firstLineChars="196"/>
        <w:rPr>
          <w:rFonts w:ascii="宋体" w:hAnsi="宋体"/>
        </w:rPr>
      </w:pPr>
      <w:r>
        <w:rPr>
          <w:rFonts w:hint="eastAsia" w:ascii="宋体" w:hAnsi="宋体"/>
        </w:rPr>
        <w:t>23.1投标人应准备所投项目的电子投标文件一份。</w:t>
      </w:r>
    </w:p>
    <w:p>
      <w:pPr>
        <w:spacing w:line="240" w:lineRule="auto"/>
        <w:ind w:firstLine="411" w:firstLineChars="196"/>
        <w:rPr>
          <w:rFonts w:ascii="宋体" w:hAnsi="宋体"/>
        </w:rPr>
      </w:pPr>
      <w:r>
        <w:rPr>
          <w:rFonts w:hint="eastAsia" w:ascii="宋体" w:hAnsi="宋体"/>
        </w:rPr>
        <w:t>23.2投标人在使用《投标书编制软件》编制投标书时须注意：</w:t>
      </w:r>
    </w:p>
    <w:p>
      <w:pPr>
        <w:spacing w:line="240" w:lineRule="auto"/>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spacing w:line="240" w:lineRule="auto"/>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spacing w:line="240" w:lineRule="auto"/>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spacing w:line="240" w:lineRule="auto"/>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spacing w:line="240" w:lineRule="auto"/>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spacing w:line="240" w:lineRule="auto"/>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pPr>
        <w:spacing w:line="240" w:lineRule="auto"/>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spacing w:line="240" w:lineRule="auto"/>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spacing w:line="240" w:lineRule="auto"/>
        <w:ind w:firstLine="411" w:firstLineChars="196"/>
        <w:rPr>
          <w:rFonts w:ascii="宋体" w:hAnsi="宋体"/>
        </w:rPr>
      </w:pPr>
      <w:r>
        <w:rPr>
          <w:rFonts w:hint="eastAsia" w:ascii="宋体" w:hAnsi="宋体"/>
        </w:rPr>
        <w:t>23.3电报、电话、传真形式的投标概不接受。</w:t>
      </w:r>
    </w:p>
    <w:p>
      <w:pPr>
        <w:spacing w:line="240" w:lineRule="auto"/>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pPr>
        <w:spacing w:line="240" w:lineRule="auto"/>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9"/>
    </w:p>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投标文件的递交</w:t>
      </w:r>
    </w:p>
    <w:p>
      <w:pPr>
        <w:spacing w:line="240" w:lineRule="auto"/>
        <w:rPr>
          <w:rFonts w:ascii="黑体" w:hAnsi="宋体" w:eastAsia="黑体"/>
          <w:sz w:val="24"/>
        </w:rPr>
      </w:pPr>
      <w:bookmarkStart w:id="70" w:name="_Hlk72405459"/>
      <w:r>
        <w:rPr>
          <w:rFonts w:hint="eastAsia" w:ascii="黑体" w:hAnsi="宋体" w:eastAsia="黑体"/>
          <w:sz w:val="24"/>
        </w:rPr>
        <w:t>24．投标文件的保密</w:t>
      </w:r>
    </w:p>
    <w:p>
      <w:pPr>
        <w:spacing w:line="240" w:lineRule="auto"/>
        <w:ind w:firstLine="411" w:firstLineChars="196"/>
        <w:rPr>
          <w:rFonts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lang w:eastAsia="zh-CN"/>
        </w:rPr>
        <w:t>（</w:t>
      </w:r>
      <w:r>
        <w:rPr>
          <w:rFonts w:hint="eastAsia" w:ascii="宋体" w:hAnsi="宋体"/>
          <w:highlight w:val="yellow"/>
        </w:rPr>
        <w:t>注意：加密的投标文件开标时须使用加密文件时使用的锁在项目规定时间内解密！</w:t>
      </w:r>
      <w:r>
        <w:rPr>
          <w:rFonts w:hint="eastAsia" w:ascii="宋体" w:hAnsi="宋体"/>
          <w:highlight w:val="yellow"/>
          <w:lang w:eastAsia="zh-CN"/>
        </w:rPr>
        <w:t>）</w:t>
      </w:r>
    </w:p>
    <w:p>
      <w:pPr>
        <w:spacing w:line="240" w:lineRule="auto"/>
        <w:rPr>
          <w:rFonts w:ascii="宋体" w:hAnsi="宋体"/>
          <w:b/>
        </w:rPr>
      </w:pPr>
      <w:r>
        <w:rPr>
          <w:rFonts w:hint="eastAsia" w:ascii="宋体" w:hAnsi="宋体"/>
          <w:b/>
        </w:rPr>
        <w:t>24.2若采购项目出现延期情况：</w:t>
      </w:r>
    </w:p>
    <w:p>
      <w:pPr>
        <w:spacing w:line="240" w:lineRule="auto"/>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spacing w:line="240" w:lineRule="auto"/>
        <w:rPr>
          <w:rFonts w:ascii="黑体" w:hAnsi="宋体" w:eastAsia="黑体"/>
          <w:sz w:val="24"/>
        </w:rPr>
      </w:pPr>
      <w:r>
        <w:rPr>
          <w:rFonts w:hint="eastAsia" w:ascii="黑体" w:hAnsi="宋体" w:eastAsia="黑体"/>
          <w:sz w:val="24"/>
        </w:rPr>
        <w:t>25．上传投标文件及投标截止日期</w:t>
      </w:r>
    </w:p>
    <w:p>
      <w:pPr>
        <w:spacing w:line="240" w:lineRule="auto"/>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pPr>
        <w:spacing w:line="240" w:lineRule="auto"/>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spacing w:line="240" w:lineRule="auto"/>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70"/>
    <w:p>
      <w:pPr>
        <w:spacing w:line="240" w:lineRule="auto"/>
        <w:rPr>
          <w:rFonts w:ascii="黑体" w:hAnsi="宋体" w:eastAsia="黑体"/>
          <w:sz w:val="24"/>
        </w:rPr>
      </w:pPr>
      <w:r>
        <w:rPr>
          <w:rFonts w:hint="eastAsia" w:ascii="黑体" w:hAnsi="宋体" w:eastAsia="黑体"/>
          <w:sz w:val="24"/>
        </w:rPr>
        <w:t>26. 样品、现场演示、方案讲解</w:t>
      </w:r>
    </w:p>
    <w:p>
      <w:pPr>
        <w:spacing w:line="240" w:lineRule="auto"/>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spacing w:line="240" w:lineRule="auto"/>
        <w:rPr>
          <w:rFonts w:ascii="黑体" w:hAnsi="宋体" w:eastAsia="黑体"/>
          <w:sz w:val="24"/>
        </w:rPr>
      </w:pPr>
      <w:bookmarkStart w:id="71"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spacing w:line="240" w:lineRule="auto"/>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spacing w:line="240" w:lineRule="auto"/>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spacing w:line="240" w:lineRule="auto"/>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spacing w:line="240" w:lineRule="auto"/>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71"/>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开标</w:t>
      </w:r>
    </w:p>
    <w:p>
      <w:pPr>
        <w:spacing w:line="240" w:lineRule="auto"/>
        <w:rPr>
          <w:rFonts w:ascii="黑体" w:hAnsi="宋体" w:eastAsia="黑体"/>
          <w:sz w:val="24"/>
        </w:rPr>
      </w:pPr>
      <w:r>
        <w:rPr>
          <w:rFonts w:hint="eastAsia" w:ascii="黑体" w:hAnsi="宋体" w:eastAsia="黑体"/>
          <w:sz w:val="24"/>
        </w:rPr>
        <w:t>28．开标</w:t>
      </w:r>
    </w:p>
    <w:p>
      <w:pPr>
        <w:spacing w:line="240" w:lineRule="auto"/>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pPr>
        <w:spacing w:line="240" w:lineRule="auto"/>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评审要求</w:t>
      </w:r>
    </w:p>
    <w:p>
      <w:pPr>
        <w:spacing w:line="240" w:lineRule="auto"/>
        <w:rPr>
          <w:rFonts w:ascii="黑体" w:hAnsi="宋体" w:eastAsia="黑体"/>
          <w:sz w:val="24"/>
        </w:rPr>
      </w:pPr>
      <w:r>
        <w:rPr>
          <w:rFonts w:hint="eastAsia" w:ascii="黑体" w:hAnsi="宋体" w:eastAsia="黑体"/>
          <w:sz w:val="24"/>
        </w:rPr>
        <w:t>29．评审委员会组成</w:t>
      </w:r>
    </w:p>
    <w:p>
      <w:pPr>
        <w:spacing w:line="240" w:lineRule="auto"/>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spacing w:line="240" w:lineRule="auto"/>
        <w:ind w:firstLine="411" w:firstLineChars="196"/>
        <w:rPr>
          <w:rFonts w:ascii="宋体" w:hAnsi="宋体"/>
        </w:rPr>
      </w:pPr>
      <w:bookmarkStart w:id="72"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72"/>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spacing w:line="240" w:lineRule="auto"/>
        <w:ind w:firstLine="411" w:firstLineChars="196"/>
        <w:rPr>
          <w:rFonts w:ascii="宋体" w:hAnsi="宋体"/>
        </w:rPr>
      </w:pPr>
      <w:r>
        <w:rPr>
          <w:rFonts w:hint="eastAsia" w:ascii="宋体" w:hAnsi="宋体"/>
        </w:rPr>
        <w:t>29.2评审定标应当遵循公平、公正、科学、择优的原则。</w:t>
      </w:r>
    </w:p>
    <w:p>
      <w:pPr>
        <w:spacing w:line="240" w:lineRule="auto"/>
        <w:ind w:firstLine="411" w:firstLineChars="196"/>
        <w:rPr>
          <w:rFonts w:ascii="宋体" w:hAnsi="宋体"/>
        </w:rPr>
      </w:pPr>
      <w:r>
        <w:rPr>
          <w:rFonts w:hint="eastAsia" w:ascii="宋体" w:hAnsi="宋体"/>
        </w:rPr>
        <w:t>29.3评审活动依法进行，任何单位和个人不得非法干预评标过程和结果。</w:t>
      </w:r>
    </w:p>
    <w:p>
      <w:pPr>
        <w:spacing w:line="240" w:lineRule="auto"/>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spacing w:line="240" w:lineRule="auto"/>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spacing w:line="240" w:lineRule="auto"/>
        <w:rPr>
          <w:rFonts w:ascii="黑体" w:hAnsi="宋体" w:eastAsia="黑体"/>
          <w:sz w:val="24"/>
        </w:rPr>
      </w:pPr>
      <w:r>
        <w:rPr>
          <w:rFonts w:hint="eastAsia" w:ascii="黑体" w:hAnsi="宋体" w:eastAsia="黑体"/>
          <w:sz w:val="24"/>
        </w:rPr>
        <w:t>30．向评审委员会提供的资料</w:t>
      </w:r>
    </w:p>
    <w:p>
      <w:pPr>
        <w:spacing w:line="240" w:lineRule="auto"/>
        <w:ind w:firstLine="411" w:firstLineChars="196"/>
        <w:rPr>
          <w:rFonts w:ascii="宋体" w:hAnsi="宋体"/>
        </w:rPr>
      </w:pPr>
      <w:r>
        <w:rPr>
          <w:rFonts w:hint="eastAsia" w:ascii="宋体" w:hAnsi="宋体"/>
        </w:rPr>
        <w:t>30.1公开发布的招标文件，包括图纸、服务清单、答疑文件等；</w:t>
      </w:r>
    </w:p>
    <w:p>
      <w:pPr>
        <w:spacing w:line="240" w:lineRule="auto"/>
        <w:ind w:firstLine="411" w:firstLineChars="196"/>
        <w:rPr>
          <w:rFonts w:ascii="宋体" w:hAnsi="宋体"/>
        </w:rPr>
      </w:pPr>
      <w:r>
        <w:rPr>
          <w:rFonts w:hint="eastAsia" w:ascii="宋体" w:hAnsi="宋体"/>
        </w:rPr>
        <w:t>30.2其他评标必须的资料。</w:t>
      </w:r>
    </w:p>
    <w:p>
      <w:pPr>
        <w:spacing w:line="240" w:lineRule="auto"/>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spacing w:line="240" w:lineRule="auto"/>
        <w:ind w:firstLine="411" w:firstLineChars="196"/>
        <w:rPr>
          <w:rFonts w:ascii="宋体" w:hAnsi="宋体"/>
        </w:rPr>
      </w:pPr>
      <w:r>
        <w:rPr>
          <w:rFonts w:hint="eastAsia" w:ascii="宋体" w:hAnsi="宋体"/>
        </w:rPr>
        <w:t>（1）招标的目的；</w:t>
      </w:r>
    </w:p>
    <w:p>
      <w:pPr>
        <w:spacing w:line="240" w:lineRule="auto"/>
        <w:ind w:firstLine="411" w:firstLineChars="196"/>
        <w:rPr>
          <w:rFonts w:ascii="宋体" w:hAnsi="宋体"/>
        </w:rPr>
      </w:pPr>
      <w:r>
        <w:rPr>
          <w:rFonts w:hint="eastAsia" w:ascii="宋体" w:hAnsi="宋体"/>
        </w:rPr>
        <w:t>（2）招标项目需求的范围和性质；</w:t>
      </w:r>
    </w:p>
    <w:p>
      <w:pPr>
        <w:spacing w:line="240" w:lineRule="auto"/>
        <w:ind w:firstLine="411" w:firstLineChars="196"/>
        <w:rPr>
          <w:rFonts w:ascii="宋体" w:hAnsi="宋体"/>
        </w:rPr>
      </w:pPr>
      <w:r>
        <w:rPr>
          <w:rFonts w:hint="eastAsia" w:ascii="宋体" w:hAnsi="宋体"/>
        </w:rPr>
        <w:t>（3）招标文件规定的投标人的资格、财政预算限额、商务条款；</w:t>
      </w:r>
    </w:p>
    <w:p>
      <w:pPr>
        <w:spacing w:line="240" w:lineRule="auto"/>
        <w:ind w:firstLine="411" w:firstLineChars="196"/>
        <w:rPr>
          <w:rFonts w:ascii="宋体" w:hAnsi="宋体"/>
        </w:rPr>
      </w:pPr>
      <w:r>
        <w:rPr>
          <w:rFonts w:hint="eastAsia" w:ascii="宋体" w:hAnsi="宋体"/>
        </w:rPr>
        <w:t>（4）招标文件规定的评标程序、评标方法和评标因素；</w:t>
      </w:r>
    </w:p>
    <w:p>
      <w:pPr>
        <w:spacing w:line="240" w:lineRule="auto"/>
        <w:ind w:firstLine="411" w:firstLineChars="196"/>
        <w:rPr>
          <w:rFonts w:ascii="宋体" w:hAnsi="宋体"/>
        </w:rPr>
      </w:pPr>
      <w:r>
        <w:rPr>
          <w:rFonts w:hint="eastAsia" w:ascii="宋体" w:hAnsi="宋体"/>
        </w:rPr>
        <w:t>（5）招标文件所列示的资格性审查表及符合性审查表。</w:t>
      </w:r>
    </w:p>
    <w:p>
      <w:pPr>
        <w:spacing w:line="240" w:lineRule="auto"/>
        <w:rPr>
          <w:rFonts w:ascii="黑体" w:hAnsi="宋体" w:eastAsia="黑体"/>
          <w:sz w:val="24"/>
        </w:rPr>
      </w:pPr>
      <w:r>
        <w:rPr>
          <w:rFonts w:hint="eastAsia" w:ascii="黑体" w:hAnsi="宋体" w:eastAsia="黑体"/>
          <w:sz w:val="24"/>
        </w:rPr>
        <w:t>31．独立评审</w:t>
      </w:r>
    </w:p>
    <w:p>
      <w:pPr>
        <w:spacing w:line="240" w:lineRule="auto"/>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评审程序及评审方法</w:t>
      </w:r>
    </w:p>
    <w:p>
      <w:pPr>
        <w:spacing w:line="240" w:lineRule="auto"/>
        <w:rPr>
          <w:rFonts w:ascii="黑体" w:hAnsi="宋体" w:eastAsia="黑体"/>
          <w:sz w:val="24"/>
        </w:rPr>
      </w:pPr>
      <w:r>
        <w:rPr>
          <w:rFonts w:hint="eastAsia" w:ascii="黑体" w:hAnsi="宋体" w:eastAsia="黑体"/>
          <w:sz w:val="24"/>
        </w:rPr>
        <w:t>32．投标文件初审</w:t>
      </w:r>
    </w:p>
    <w:p>
      <w:pPr>
        <w:spacing w:line="240" w:lineRule="auto"/>
        <w:ind w:firstLine="411" w:firstLineChars="196"/>
        <w:rPr>
          <w:rFonts w:ascii="宋体" w:hAnsi="宋体"/>
        </w:rPr>
      </w:pPr>
      <w:r>
        <w:rPr>
          <w:rFonts w:hint="eastAsia" w:ascii="宋体" w:hAnsi="宋体"/>
        </w:rPr>
        <w:t>32.1投标文件初审包括资格性审查和符合性审查。</w:t>
      </w:r>
    </w:p>
    <w:p>
      <w:pPr>
        <w:spacing w:line="240" w:lineRule="auto"/>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spacing w:line="240" w:lineRule="auto"/>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spacing w:line="240" w:lineRule="auto"/>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spacing w:line="240" w:lineRule="auto"/>
        <w:ind w:firstLine="411" w:firstLineChars="196"/>
        <w:rPr>
          <w:rFonts w:ascii="宋体" w:hAnsi="宋体"/>
          <w:bCs/>
        </w:rPr>
      </w:pPr>
      <w:r>
        <w:rPr>
          <w:rFonts w:hint="eastAsia" w:ascii="宋体" w:hAnsi="宋体"/>
          <w:bCs/>
        </w:rPr>
        <w:t>32.3 投标文件初审中关于供应商家数的计算</w:t>
      </w:r>
      <w:r>
        <w:rPr>
          <w:rFonts w:hint="eastAsia" w:ascii="宋体" w:hAnsi="宋体"/>
          <w:bCs/>
          <w:lang w:eastAsia="zh-CN"/>
        </w:rPr>
        <w:t>：</w:t>
      </w:r>
    </w:p>
    <w:p>
      <w:pPr>
        <w:spacing w:line="240" w:lineRule="auto"/>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spacing w:line="240" w:lineRule="auto"/>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spacing w:line="240" w:lineRule="auto"/>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spacing w:line="240" w:lineRule="auto"/>
        <w:ind w:firstLine="411" w:firstLineChars="196"/>
        <w:rPr>
          <w:rFonts w:ascii="宋体" w:hAnsi="宋体"/>
        </w:rPr>
      </w:pPr>
      <w:r>
        <w:rPr>
          <w:rFonts w:hint="eastAsia" w:ascii="宋体" w:hAnsi="宋体"/>
        </w:rPr>
        <w:t>32.4投标人投标文件作无效处理的情形，具体包括但不限于以下：</w:t>
      </w:r>
    </w:p>
    <w:p>
      <w:pPr>
        <w:spacing w:line="240" w:lineRule="auto"/>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spacing w:line="240" w:lineRule="auto"/>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spacing w:line="240" w:lineRule="auto"/>
        <w:ind w:firstLine="411" w:firstLineChars="196"/>
        <w:rPr>
          <w:rFonts w:ascii="宋体" w:hAnsi="宋体"/>
        </w:rPr>
      </w:pPr>
      <w:r>
        <w:rPr>
          <w:rFonts w:hint="eastAsia" w:ascii="宋体" w:hAnsi="宋体"/>
        </w:rPr>
        <w:t>32.4.3不同投标人的投标文件载明的项目管理成员或者联系人员为同一人；</w:t>
      </w:r>
    </w:p>
    <w:p>
      <w:pPr>
        <w:spacing w:line="240" w:lineRule="auto"/>
        <w:ind w:firstLine="411" w:firstLineChars="196"/>
        <w:rPr>
          <w:rFonts w:ascii="宋体" w:hAnsi="宋体"/>
        </w:rPr>
      </w:pPr>
      <w:r>
        <w:rPr>
          <w:rFonts w:hint="eastAsia" w:ascii="宋体" w:hAnsi="宋体"/>
        </w:rPr>
        <w:t>32.4.4不同投标人的投标文件异常一致或者投标报价呈规律性差异；</w:t>
      </w:r>
    </w:p>
    <w:p>
      <w:pPr>
        <w:spacing w:line="240" w:lineRule="auto"/>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spacing w:line="240" w:lineRule="auto"/>
        <w:ind w:firstLine="411" w:firstLineChars="196"/>
        <w:rPr>
          <w:rFonts w:ascii="宋体" w:hAnsi="宋体"/>
        </w:rPr>
      </w:pPr>
      <w:r>
        <w:rPr>
          <w:rFonts w:hint="eastAsia" w:ascii="宋体" w:hAnsi="宋体"/>
        </w:rPr>
        <w:t>32.4.6投标供应商之间相互约定给予未中标的供应商利益补偿；</w:t>
      </w:r>
    </w:p>
    <w:p>
      <w:pPr>
        <w:spacing w:line="240" w:lineRule="auto"/>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spacing w:line="240" w:lineRule="auto"/>
        <w:ind w:firstLine="411" w:firstLineChars="196"/>
        <w:rPr>
          <w:rFonts w:ascii="宋体" w:hAnsi="宋体"/>
        </w:rPr>
      </w:pPr>
      <w:r>
        <w:rPr>
          <w:rFonts w:hint="eastAsia" w:ascii="宋体" w:hAnsi="宋体"/>
        </w:rPr>
        <w:t>32.4.8不同投标供应商的投标文件内容存在非正常一致；</w:t>
      </w:r>
    </w:p>
    <w:p>
      <w:pPr>
        <w:spacing w:line="240" w:lineRule="auto"/>
        <w:ind w:firstLine="411" w:firstLineChars="196"/>
        <w:rPr>
          <w:rFonts w:ascii="宋体" w:hAnsi="宋体"/>
        </w:rPr>
      </w:pPr>
      <w:r>
        <w:rPr>
          <w:rFonts w:hint="eastAsia" w:ascii="宋体" w:hAnsi="宋体"/>
        </w:rPr>
        <w:t>32.4.9在同一单位工作人员为两家以上（含两家）供应商进行同一项投标活动；</w:t>
      </w:r>
    </w:p>
    <w:p>
      <w:pPr>
        <w:spacing w:line="240" w:lineRule="auto"/>
        <w:ind w:firstLine="411" w:firstLineChars="196"/>
        <w:rPr>
          <w:rFonts w:ascii="宋体" w:hAnsi="宋体"/>
        </w:rPr>
      </w:pPr>
      <w:r>
        <w:rPr>
          <w:rFonts w:hint="eastAsia" w:ascii="宋体" w:hAnsi="宋体"/>
        </w:rPr>
        <w:t>32.4.10主管部门依照法律、法规认定的其他情形。</w:t>
      </w:r>
    </w:p>
    <w:p>
      <w:pPr>
        <w:spacing w:line="240" w:lineRule="auto"/>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spacing w:line="240" w:lineRule="auto"/>
        <w:rPr>
          <w:rFonts w:ascii="黑体" w:hAnsi="宋体" w:eastAsia="黑体"/>
          <w:sz w:val="24"/>
        </w:rPr>
      </w:pPr>
      <w:r>
        <w:rPr>
          <w:rFonts w:hint="eastAsia" w:ascii="黑体" w:hAnsi="宋体" w:eastAsia="黑体"/>
          <w:sz w:val="24"/>
        </w:rPr>
        <w:t>33．澄清有关问题</w:t>
      </w:r>
    </w:p>
    <w:p>
      <w:pPr>
        <w:spacing w:line="240" w:lineRule="auto"/>
        <w:ind w:firstLine="411" w:firstLineChars="196"/>
        <w:rPr>
          <w:rFonts w:ascii="宋体" w:hAnsi="宋体"/>
        </w:rPr>
      </w:pPr>
      <w:bookmarkStart w:id="73"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3"/>
    </w:p>
    <w:p>
      <w:pPr>
        <w:spacing w:line="240" w:lineRule="auto"/>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spacing w:line="240" w:lineRule="auto"/>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spacing w:line="240" w:lineRule="auto"/>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spacing w:line="240" w:lineRule="auto"/>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240" w:lineRule="auto"/>
        <w:rPr>
          <w:rFonts w:ascii="黑体" w:hAnsi="宋体" w:eastAsia="黑体"/>
          <w:sz w:val="24"/>
        </w:rPr>
      </w:pPr>
      <w:bookmarkStart w:id="74" w:name="_Toc73518151"/>
      <w:bookmarkStart w:id="75" w:name="_Toc73517673"/>
      <w:bookmarkStart w:id="76" w:name="_Toc100052400"/>
      <w:bookmarkStart w:id="77" w:name="_Toc73521581"/>
      <w:bookmarkStart w:id="78" w:name="_Toc73521669"/>
      <w:r>
        <w:rPr>
          <w:rFonts w:hint="eastAsia" w:ascii="黑体" w:hAnsi="宋体" w:eastAsia="黑体"/>
          <w:sz w:val="24"/>
        </w:rPr>
        <w:t>34．错误的修正</w:t>
      </w:r>
      <w:bookmarkEnd w:id="74"/>
      <w:bookmarkEnd w:id="75"/>
      <w:bookmarkEnd w:id="76"/>
      <w:bookmarkEnd w:id="77"/>
      <w:bookmarkEnd w:id="78"/>
    </w:p>
    <w:p>
      <w:pPr>
        <w:spacing w:line="240" w:lineRule="auto"/>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spacing w:line="240" w:lineRule="auto"/>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spacing w:line="240" w:lineRule="auto"/>
        <w:ind w:firstLine="411" w:firstLineChars="196"/>
        <w:rPr>
          <w:rFonts w:ascii="宋体" w:hAnsi="宋体"/>
          <w:szCs w:val="21"/>
        </w:rPr>
      </w:pPr>
      <w:r>
        <w:rPr>
          <w:rFonts w:hint="eastAsia" w:ascii="宋体" w:hAnsi="宋体"/>
          <w:szCs w:val="21"/>
        </w:rPr>
        <w:t>34.2大写金额和小写金额不一致的，以大写金额为准；</w:t>
      </w:r>
    </w:p>
    <w:p>
      <w:pPr>
        <w:spacing w:line="240" w:lineRule="auto"/>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spacing w:line="240" w:lineRule="auto"/>
        <w:ind w:firstLine="411" w:firstLineChars="196"/>
        <w:rPr>
          <w:rFonts w:ascii="宋体" w:hAnsi="宋体"/>
          <w:szCs w:val="21"/>
        </w:rPr>
      </w:pPr>
      <w:r>
        <w:rPr>
          <w:rFonts w:hint="eastAsia" w:ascii="宋体" w:hAnsi="宋体"/>
          <w:szCs w:val="21"/>
        </w:rPr>
        <w:t>34.4总价金额与按单价汇总金额不一致的，以单价金额计算结果为准。</w:t>
      </w:r>
    </w:p>
    <w:p>
      <w:pPr>
        <w:spacing w:line="240" w:lineRule="auto"/>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240" w:lineRule="auto"/>
        <w:rPr>
          <w:rFonts w:ascii="黑体" w:hAnsi="宋体" w:eastAsia="黑体"/>
          <w:sz w:val="24"/>
        </w:rPr>
      </w:pPr>
      <w:r>
        <w:rPr>
          <w:rFonts w:hint="eastAsia" w:ascii="黑体" w:hAnsi="宋体" w:eastAsia="黑体"/>
          <w:sz w:val="24"/>
        </w:rPr>
        <w:t>35．投标文件的比较与评价</w:t>
      </w:r>
    </w:p>
    <w:p>
      <w:pPr>
        <w:spacing w:line="240" w:lineRule="auto"/>
        <w:ind w:firstLine="411" w:firstLineChars="196"/>
        <w:rPr>
          <w:rFonts w:ascii="宋体" w:hAnsi="宋体"/>
          <w:szCs w:val="21"/>
        </w:rPr>
      </w:pPr>
      <w:r>
        <w:rPr>
          <w:rFonts w:hint="eastAsia" w:ascii="宋体" w:hAnsi="宋体"/>
          <w:szCs w:val="21"/>
        </w:rPr>
        <w:t>评审委员会将按照《深圳经济特区政府采购条例</w:t>
      </w:r>
      <w:r>
        <w:rPr>
          <w:rFonts w:hint="eastAsia" w:ascii="宋体" w:hAnsi="宋体"/>
          <w:szCs w:val="21"/>
          <w:lang w:eastAsia="zh-CN"/>
        </w:rPr>
        <w:t>》《</w:t>
      </w:r>
      <w:r>
        <w:rPr>
          <w:rFonts w:hint="eastAsia" w:ascii="宋体" w:hAnsi="宋体"/>
          <w:szCs w:val="21"/>
        </w:rPr>
        <w:t>深圳经济特区政府采购条例实施细则</w:t>
      </w:r>
      <w:r>
        <w:rPr>
          <w:rFonts w:hint="eastAsia" w:ascii="宋体" w:hAnsi="宋体"/>
          <w:szCs w:val="21"/>
          <w:lang w:eastAsia="zh-CN"/>
        </w:rPr>
        <w:t>》《</w:t>
      </w:r>
      <w:r>
        <w:rPr>
          <w:rFonts w:hint="eastAsia" w:ascii="宋体" w:hAnsi="宋体"/>
          <w:szCs w:val="21"/>
        </w:rPr>
        <w:t>深圳市政府采购评标定标分离管理办法》及政府采购其他法律法规，仅对通过资格性审查和符合性审查的投标文件进行综合比较与评价。</w:t>
      </w:r>
    </w:p>
    <w:p>
      <w:pPr>
        <w:spacing w:line="240" w:lineRule="auto"/>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spacing w:line="240" w:lineRule="auto"/>
        <w:rPr>
          <w:rFonts w:ascii="黑体" w:hAnsi="宋体" w:eastAsia="黑体"/>
          <w:sz w:val="24"/>
        </w:rPr>
      </w:pPr>
      <w:r>
        <w:rPr>
          <w:rFonts w:hint="eastAsia" w:ascii="黑体" w:hAnsi="宋体" w:eastAsia="黑体"/>
          <w:sz w:val="24"/>
        </w:rPr>
        <w:t>36. 实地考察或资料查验</w:t>
      </w:r>
    </w:p>
    <w:p>
      <w:pPr>
        <w:spacing w:line="240" w:lineRule="auto"/>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spacing w:line="240" w:lineRule="auto"/>
        <w:rPr>
          <w:rFonts w:ascii="黑体" w:hAnsi="宋体" w:eastAsia="黑体"/>
          <w:sz w:val="24"/>
        </w:rPr>
      </w:pPr>
      <w:r>
        <w:rPr>
          <w:rFonts w:hint="eastAsia" w:ascii="黑体" w:hAnsi="宋体" w:eastAsia="黑体"/>
          <w:sz w:val="24"/>
        </w:rPr>
        <w:t>37．评审方法</w:t>
      </w:r>
    </w:p>
    <w:p>
      <w:pPr>
        <w:spacing w:line="240" w:lineRule="auto"/>
        <w:ind w:firstLine="413" w:firstLineChars="196"/>
        <w:rPr>
          <w:rFonts w:ascii="宋体" w:hAnsi="宋体"/>
          <w:b/>
          <w:bCs/>
          <w:szCs w:val="21"/>
        </w:rPr>
      </w:pPr>
      <w:bookmarkStart w:id="79" w:name="_Hlk72438142"/>
      <w:r>
        <w:rPr>
          <w:rFonts w:hint="eastAsia" w:ascii="宋体" w:hAnsi="宋体"/>
          <w:b/>
          <w:bCs/>
          <w:szCs w:val="21"/>
        </w:rPr>
        <w:t>37.1.1最低价法</w:t>
      </w:r>
    </w:p>
    <w:p>
      <w:pPr>
        <w:spacing w:line="240" w:lineRule="auto"/>
        <w:ind w:firstLine="411" w:firstLineChars="196"/>
        <w:rPr>
          <w:rFonts w:ascii="ˎ̥" w:hAnsi="ˎ̥"/>
        </w:rPr>
      </w:pPr>
      <w:r>
        <w:rPr>
          <w:rFonts w:ascii="ˎ̥" w:hAnsi="ˎ̥"/>
        </w:rPr>
        <w:t>最低价法，</w:t>
      </w:r>
      <w:r>
        <w:rPr>
          <w:rFonts w:hint="eastAsia" w:ascii="ˎ̥" w:hAnsi="ˎ̥"/>
        </w:rPr>
        <w:t>是指投标文件满足招标文件全部实质性要求，且投标报价最低的投标人为中标候选人的评标方法。</w:t>
      </w:r>
    </w:p>
    <w:p>
      <w:pPr>
        <w:spacing w:line="240" w:lineRule="auto"/>
        <w:ind w:firstLine="411" w:firstLineChars="196"/>
        <w:rPr>
          <w:rFonts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spacing w:line="240" w:lineRule="auto"/>
        <w:ind w:firstLine="413" w:firstLineChars="196"/>
        <w:rPr>
          <w:rFonts w:ascii="宋体" w:hAnsi="宋体"/>
          <w:b/>
          <w:bCs/>
          <w:szCs w:val="21"/>
        </w:rPr>
      </w:pPr>
      <w:r>
        <w:rPr>
          <w:rFonts w:hint="eastAsia" w:ascii="宋体" w:hAnsi="宋体"/>
          <w:b/>
          <w:bCs/>
          <w:szCs w:val="21"/>
        </w:rPr>
        <w:t>37.1.2综合评分法</w:t>
      </w:r>
    </w:p>
    <w:p>
      <w:pPr>
        <w:spacing w:line="240" w:lineRule="auto"/>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pPr>
        <w:spacing w:line="240" w:lineRule="auto"/>
        <w:ind w:firstLine="411" w:firstLineChars="196"/>
        <w:rPr>
          <w:rFonts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9"/>
    </w:p>
    <w:p>
      <w:pPr>
        <w:spacing w:line="240" w:lineRule="auto"/>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spacing w:line="240" w:lineRule="auto"/>
        <w:ind w:firstLine="413" w:firstLineChars="196"/>
        <w:rPr>
          <w:rFonts w:ascii="宋体" w:hAnsi="宋体"/>
          <w:b/>
          <w:bCs/>
          <w:szCs w:val="21"/>
        </w:rPr>
      </w:pPr>
      <w:r>
        <w:rPr>
          <w:rFonts w:hint="eastAsia" w:ascii="宋体" w:hAnsi="宋体"/>
          <w:b/>
          <w:bCs/>
          <w:szCs w:val="21"/>
        </w:rPr>
        <w:t>37.3重新评审的情形</w:t>
      </w:r>
    </w:p>
    <w:p>
      <w:pPr>
        <w:spacing w:line="240" w:lineRule="auto"/>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spacing w:line="240" w:lineRule="auto"/>
        <w:ind w:firstLine="411" w:firstLineChars="196"/>
        <w:rPr>
          <w:rFonts w:ascii="宋体" w:hAnsi="宋体" w:cs="宋体"/>
          <w:kern w:val="0"/>
          <w:szCs w:val="21"/>
        </w:rPr>
      </w:pPr>
      <w:r>
        <w:rPr>
          <w:rFonts w:hint="eastAsia" w:ascii="宋体" w:hAnsi="宋体" w:cs="宋体"/>
          <w:kern w:val="0"/>
          <w:szCs w:val="21"/>
        </w:rPr>
        <w:t>37.3.1分值汇总计算错误的；</w:t>
      </w:r>
    </w:p>
    <w:p>
      <w:pPr>
        <w:spacing w:line="240" w:lineRule="auto"/>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spacing w:line="240" w:lineRule="auto"/>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spacing w:line="240" w:lineRule="auto"/>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spacing w:line="240" w:lineRule="auto"/>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spacing w:line="240" w:lineRule="auto"/>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spacing w:line="240" w:lineRule="auto"/>
        <w:ind w:firstLine="413" w:firstLineChars="196"/>
        <w:rPr>
          <w:rFonts w:ascii="宋体" w:hAnsi="宋体"/>
          <w:b/>
          <w:bCs/>
          <w:szCs w:val="21"/>
        </w:rPr>
      </w:pPr>
      <w:r>
        <w:rPr>
          <w:rFonts w:hint="eastAsia" w:ascii="宋体" w:hAnsi="宋体"/>
          <w:b/>
          <w:bCs/>
          <w:szCs w:val="21"/>
        </w:rPr>
        <w:t xml:space="preserve"> 37.4重新组建评审委员会的情形</w:t>
      </w:r>
    </w:p>
    <w:p>
      <w:pPr>
        <w:spacing w:line="240" w:lineRule="auto"/>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spacing w:line="240" w:lineRule="auto"/>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spacing w:line="240" w:lineRule="auto"/>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spacing w:line="240" w:lineRule="auto"/>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spacing w:line="240" w:lineRule="auto"/>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spacing w:line="240" w:lineRule="auto"/>
        <w:ind w:firstLine="411" w:firstLineChars="196"/>
        <w:rPr>
          <w:rFonts w:ascii="宋体" w:hAnsi="宋体"/>
          <w:szCs w:val="21"/>
        </w:rPr>
      </w:pPr>
      <w:r>
        <w:rPr>
          <w:rFonts w:hint="eastAsia" w:ascii="宋体" w:hAnsi="宋体" w:cs="宋体"/>
          <w:kern w:val="0"/>
          <w:szCs w:val="21"/>
        </w:rPr>
        <w:t>有违法违规行为的原评审委员会成员不得参加重新组建的评审委员会。</w:t>
      </w:r>
    </w:p>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定标及公示</w:t>
      </w:r>
    </w:p>
    <w:p>
      <w:pPr>
        <w:spacing w:line="240" w:lineRule="auto"/>
        <w:rPr>
          <w:rFonts w:ascii="黑体" w:hAnsi="宋体" w:eastAsia="黑体"/>
          <w:sz w:val="24"/>
        </w:rPr>
      </w:pPr>
      <w:r>
        <w:rPr>
          <w:rFonts w:hint="eastAsia" w:ascii="黑体" w:hAnsi="宋体" w:eastAsia="黑体"/>
          <w:sz w:val="24"/>
        </w:rPr>
        <w:t>38．定标方法</w:t>
      </w:r>
    </w:p>
    <w:p>
      <w:pPr>
        <w:spacing w:line="240" w:lineRule="auto"/>
        <w:ind w:firstLine="411" w:firstLineChars="196"/>
        <w:rPr>
          <w:rFonts w:ascii="宋体" w:hAnsi="宋体"/>
          <w:szCs w:val="21"/>
        </w:rPr>
      </w:pPr>
      <w:bookmarkStart w:id="80" w:name="_Hlk73782795"/>
      <w:r>
        <w:rPr>
          <w:rFonts w:hint="eastAsia" w:ascii="宋体" w:hAnsi="宋体"/>
          <w:szCs w:val="21"/>
        </w:rPr>
        <w:t>38.1非评定分离项目定标方法</w:t>
      </w:r>
    </w:p>
    <w:p>
      <w:pPr>
        <w:spacing w:line="240" w:lineRule="auto"/>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spacing w:line="240" w:lineRule="auto"/>
        <w:ind w:firstLine="411" w:firstLineChars="196"/>
        <w:rPr>
          <w:rFonts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spacing w:line="240" w:lineRule="auto"/>
        <w:ind w:firstLine="411" w:firstLineChars="196"/>
        <w:rPr>
          <w:rFonts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spacing w:line="240" w:lineRule="auto"/>
        <w:ind w:firstLine="411" w:firstLineChars="196"/>
        <w:rPr>
          <w:rFonts w:ascii="宋体" w:hAnsi="宋体"/>
          <w:szCs w:val="21"/>
        </w:rPr>
      </w:pPr>
      <w:r>
        <w:rPr>
          <w:rFonts w:hint="eastAsia" w:ascii="宋体" w:hAnsi="宋体"/>
          <w:szCs w:val="21"/>
        </w:rPr>
        <w:t>38.2评定分离项目定标方法</w:t>
      </w:r>
    </w:p>
    <w:p>
      <w:pPr>
        <w:spacing w:line="240" w:lineRule="auto"/>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spacing w:line="240" w:lineRule="auto"/>
        <w:ind w:firstLine="411" w:firstLineChars="196"/>
      </w:pPr>
      <w:r>
        <w:rPr>
          <w:rFonts w:ascii="宋体" w:hAnsi="宋体"/>
          <w:szCs w:val="21"/>
        </w:rPr>
        <w:t xml:space="preserve">38.2.2 </w:t>
      </w:r>
      <w:bookmarkStart w:id="8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spacing w:line="240" w:lineRule="auto"/>
        <w:ind w:firstLine="411" w:firstLineChars="196"/>
        <w:rPr>
          <w:rFonts w:ascii="宋体" w:hAnsi="宋体"/>
          <w:szCs w:val="21"/>
        </w:rPr>
      </w:pPr>
      <w:r>
        <w:rPr>
          <w:rFonts w:hint="eastAsia" w:ascii="宋体" w:hAnsi="宋体"/>
          <w:szCs w:val="21"/>
        </w:rPr>
        <w:t>38.2.3</w:t>
      </w:r>
      <w:bookmarkStart w:id="8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1"/>
      <w:bookmarkEnd w:id="82"/>
    </w:p>
    <w:p>
      <w:pPr>
        <w:spacing w:line="240" w:lineRule="auto"/>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》执行。</w:t>
      </w:r>
    </w:p>
    <w:p>
      <w:pPr>
        <w:spacing w:line="240" w:lineRule="auto"/>
        <w:ind w:firstLine="411" w:firstLineChars="196"/>
        <w:rPr>
          <w:rFonts w:ascii="宋体" w:hAnsi="宋体"/>
          <w:szCs w:val="21"/>
        </w:rPr>
      </w:pPr>
      <w:r>
        <w:rPr>
          <w:rFonts w:hint="eastAsia" w:ascii="宋体" w:hAnsi="宋体"/>
          <w:szCs w:val="21"/>
        </w:rPr>
        <w:t>说明：采购人及投标供应商应按照上述方法提前做好相关准备。</w:t>
      </w:r>
    </w:p>
    <w:p>
      <w:pPr>
        <w:spacing w:line="240" w:lineRule="auto"/>
        <w:ind w:firstLine="411" w:firstLineChars="196"/>
        <w:rPr>
          <w:rFonts w:ascii="宋体" w:hAnsi="宋体"/>
          <w:szCs w:val="21"/>
        </w:rPr>
      </w:pPr>
      <w:r>
        <w:rPr>
          <w:rFonts w:hint="eastAsia" w:ascii="宋体" w:hAnsi="宋体"/>
          <w:szCs w:val="21"/>
        </w:rPr>
        <w:t>38.3专用条款另有规定的，按专用条款相关要求定标。</w:t>
      </w:r>
      <w:bookmarkEnd w:id="80"/>
    </w:p>
    <w:p>
      <w:pPr>
        <w:spacing w:line="240" w:lineRule="auto"/>
        <w:rPr>
          <w:rFonts w:ascii="黑体" w:hAnsi="宋体" w:eastAsia="黑体"/>
          <w:sz w:val="24"/>
        </w:rPr>
      </w:pPr>
      <w:r>
        <w:rPr>
          <w:rFonts w:hint="eastAsia" w:ascii="黑体" w:hAnsi="宋体" w:eastAsia="黑体"/>
          <w:sz w:val="24"/>
        </w:rPr>
        <w:t>39．编写评审报告</w:t>
      </w:r>
    </w:p>
    <w:p>
      <w:pPr>
        <w:spacing w:line="240" w:lineRule="auto"/>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spacing w:line="240" w:lineRule="auto"/>
        <w:rPr>
          <w:rFonts w:ascii="黑体" w:hAnsi="宋体" w:eastAsia="黑体"/>
          <w:sz w:val="24"/>
        </w:rPr>
      </w:pPr>
      <w:r>
        <w:rPr>
          <w:rFonts w:hint="eastAsia" w:ascii="黑体" w:hAnsi="宋体" w:eastAsia="黑体"/>
          <w:sz w:val="24"/>
        </w:rPr>
        <w:t>40．中标公告</w:t>
      </w:r>
    </w:p>
    <w:p>
      <w:pPr>
        <w:spacing w:line="240" w:lineRule="auto"/>
        <w:ind w:firstLine="411" w:firstLineChars="196"/>
        <w:rPr>
          <w:rFonts w:ascii="宋体" w:hAnsi="宋体"/>
          <w:szCs w:val="21"/>
        </w:rPr>
      </w:pPr>
      <w:r>
        <w:rPr>
          <w:rFonts w:hint="eastAsia" w:ascii="宋体" w:hAnsi="宋体"/>
          <w:szCs w:val="21"/>
        </w:rPr>
        <w:t>40.1</w:t>
      </w:r>
      <w:bookmarkStart w:id="8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83"/>
      <w:bookmarkStart w:id="8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4"/>
    <w:p>
      <w:pPr>
        <w:spacing w:line="240" w:lineRule="auto"/>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spacing w:line="240" w:lineRule="auto"/>
        <w:rPr>
          <w:rFonts w:ascii="黑体" w:hAnsi="宋体" w:eastAsia="黑体"/>
          <w:sz w:val="24"/>
        </w:rPr>
      </w:pPr>
      <w:r>
        <w:rPr>
          <w:rFonts w:hint="eastAsia" w:ascii="黑体" w:hAnsi="宋体" w:eastAsia="黑体"/>
          <w:sz w:val="24"/>
        </w:rPr>
        <w:t>41．中标通知书</w:t>
      </w:r>
    </w:p>
    <w:p>
      <w:pPr>
        <w:spacing w:line="240" w:lineRule="auto"/>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5" w:name="_Hlk72438863"/>
      <w:r>
        <w:rPr>
          <w:rFonts w:hint="eastAsia" w:ascii="宋体" w:hAnsi="宋体"/>
          <w:szCs w:val="21"/>
        </w:rPr>
        <w:t>中标公告公布以后无异常的情况下</w:t>
      </w:r>
      <w:r>
        <w:rPr>
          <w:rFonts w:hint="eastAsia" w:ascii="宋体" w:hAnsi="宋体"/>
          <w:szCs w:val="21"/>
          <w:lang w:eastAsia="zh-CN"/>
        </w:rPr>
        <w:t>，</w:t>
      </w:r>
      <w:r>
        <w:rPr>
          <w:rFonts w:hint="eastAsia" w:ascii="宋体" w:hAnsi="宋体"/>
          <w:szCs w:val="21"/>
        </w:rPr>
        <w:t>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5"/>
    </w:p>
    <w:p>
      <w:pPr>
        <w:spacing w:line="240" w:lineRule="auto"/>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spacing w:line="240" w:lineRule="auto"/>
        <w:ind w:firstLine="411" w:firstLineChars="196"/>
        <w:rPr>
          <w:rFonts w:ascii="宋体" w:hAnsi="宋体"/>
          <w:szCs w:val="21"/>
        </w:rPr>
      </w:pPr>
      <w:bookmarkStart w:id="86" w:name="_Hlk71407340"/>
      <w:r>
        <w:rPr>
          <w:rFonts w:hint="eastAsia" w:ascii="宋体" w:hAnsi="宋体"/>
          <w:szCs w:val="21"/>
        </w:rPr>
        <w:t>41.3因质疑投诉或其它原因导致项目结果变更或采购终止的，政府集中采购机构有权吊销中标通知书。</w:t>
      </w:r>
      <w:bookmarkEnd w:id="86"/>
    </w:p>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公开招标失败的后续处理</w:t>
      </w:r>
    </w:p>
    <w:p>
      <w:pPr>
        <w:spacing w:line="240" w:lineRule="auto"/>
        <w:rPr>
          <w:rFonts w:ascii="黑体" w:hAnsi="宋体" w:eastAsia="黑体"/>
          <w:sz w:val="24"/>
        </w:rPr>
      </w:pPr>
      <w:r>
        <w:rPr>
          <w:rFonts w:hint="eastAsia" w:ascii="黑体" w:hAnsi="宋体" w:eastAsia="黑体"/>
          <w:sz w:val="24"/>
        </w:rPr>
        <w:t>42．公开招标失败的处理</w:t>
      </w:r>
    </w:p>
    <w:p>
      <w:pPr>
        <w:spacing w:line="240" w:lineRule="auto"/>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spacing w:line="240" w:lineRule="auto"/>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spacing w:line="240" w:lineRule="auto"/>
        <w:ind w:firstLine="411" w:firstLineChars="196"/>
        <w:rPr>
          <w:rFonts w:ascii="宋体" w:hAnsi="宋体"/>
          <w:szCs w:val="21"/>
        </w:rPr>
      </w:pPr>
      <w:r>
        <w:rPr>
          <w:rFonts w:hint="eastAsia" w:ascii="宋体" w:hAnsi="宋体"/>
          <w:szCs w:val="21"/>
        </w:rPr>
        <w:t>42.3重新组织采购有以下两种组织形式：</w:t>
      </w:r>
    </w:p>
    <w:p>
      <w:pPr>
        <w:spacing w:line="240" w:lineRule="auto"/>
        <w:ind w:firstLine="411" w:firstLineChars="196"/>
        <w:rPr>
          <w:rFonts w:ascii="宋体" w:hAnsi="宋体"/>
        </w:rPr>
      </w:pPr>
      <w:r>
        <w:rPr>
          <w:rFonts w:hint="eastAsia" w:ascii="宋体" w:hAnsi="宋体"/>
        </w:rPr>
        <w:t>（1）由政府集中采购机构重新组织公开招标；</w:t>
      </w:r>
    </w:p>
    <w:p>
      <w:pPr>
        <w:spacing w:line="240" w:lineRule="auto"/>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spacing w:line="240" w:lineRule="auto"/>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spacing w:line="240" w:lineRule="auto"/>
        <w:rPr>
          <w:rFonts w:ascii="黑体" w:hAnsi="宋体" w:eastAsia="黑体"/>
          <w:sz w:val="24"/>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pStyle w:val="5"/>
        <w:numPr>
          <w:ilvl w:val="0"/>
          <w:numId w:val="14"/>
        </w:numPr>
        <w:tabs>
          <w:tab w:val="left" w:pos="720"/>
        </w:tabs>
        <w:spacing w:before="156" w:beforeLines="50" w:after="156" w:afterLines="50" w:line="240" w:lineRule="auto"/>
        <w:ind w:left="562" w:hanging="562"/>
        <w:rPr>
          <w:b/>
          <w:bCs/>
          <w:sz w:val="28"/>
          <w:szCs w:val="28"/>
        </w:rPr>
      </w:pPr>
      <w:bookmarkStart w:id="87" w:name="_Hlk72439043"/>
      <w:r>
        <w:rPr>
          <w:rFonts w:hint="eastAsia"/>
          <w:b/>
          <w:bCs/>
          <w:sz w:val="28"/>
          <w:szCs w:val="28"/>
        </w:rPr>
        <w:t>合同的授予与备案</w:t>
      </w:r>
      <w:bookmarkEnd w:id="87"/>
    </w:p>
    <w:p>
      <w:pPr>
        <w:spacing w:line="240" w:lineRule="auto"/>
        <w:rPr>
          <w:rFonts w:ascii="黑体" w:hAnsi="宋体" w:eastAsia="黑体"/>
          <w:sz w:val="24"/>
        </w:rPr>
      </w:pPr>
      <w:bookmarkStart w:id="88" w:name="_Toc100052408"/>
      <w:bookmarkStart w:id="89" w:name="_Toc73518157"/>
      <w:bookmarkStart w:id="90" w:name="_Toc73521586"/>
      <w:bookmarkStart w:id="91" w:name="_Toc73517679"/>
      <w:bookmarkStart w:id="92" w:name="_Toc73521674"/>
      <w:bookmarkStart w:id="93" w:name="_Hlk72439088"/>
      <w:r>
        <w:rPr>
          <w:rFonts w:hint="eastAsia" w:ascii="黑体" w:hAnsi="宋体" w:eastAsia="黑体"/>
          <w:sz w:val="24"/>
        </w:rPr>
        <w:t>43．合同授予标准</w:t>
      </w:r>
      <w:bookmarkEnd w:id="88"/>
      <w:bookmarkEnd w:id="89"/>
      <w:bookmarkEnd w:id="90"/>
      <w:bookmarkEnd w:id="91"/>
      <w:bookmarkEnd w:id="92"/>
    </w:p>
    <w:p>
      <w:pPr>
        <w:spacing w:line="240" w:lineRule="auto"/>
        <w:ind w:firstLine="411" w:firstLineChars="196"/>
        <w:rPr>
          <w:rFonts w:ascii="宋体" w:hAnsi="宋体"/>
          <w:szCs w:val="21"/>
        </w:rPr>
      </w:pPr>
      <w:r>
        <w:rPr>
          <w:rFonts w:hint="eastAsia" w:ascii="宋体" w:hAnsi="宋体"/>
          <w:szCs w:val="21"/>
        </w:rPr>
        <w:t>本项目的合同将授予经本招标文件规定评审确定的中标供应商。</w:t>
      </w:r>
    </w:p>
    <w:p>
      <w:pPr>
        <w:spacing w:line="240" w:lineRule="auto"/>
        <w:rPr>
          <w:rFonts w:ascii="黑体" w:hAnsi="宋体" w:eastAsia="黑体"/>
          <w:sz w:val="24"/>
        </w:rPr>
      </w:pPr>
      <w:bookmarkStart w:id="94" w:name="_Toc73521587"/>
      <w:bookmarkStart w:id="95" w:name="_Toc100052409"/>
      <w:bookmarkStart w:id="96" w:name="_Toc73521675"/>
      <w:bookmarkStart w:id="97" w:name="_Toc73518158"/>
      <w:bookmarkStart w:id="98" w:name="_Toc73517680"/>
      <w:r>
        <w:rPr>
          <w:rFonts w:hint="eastAsia" w:ascii="黑体" w:hAnsi="宋体" w:eastAsia="黑体"/>
          <w:sz w:val="24"/>
        </w:rPr>
        <w:t>44．</w:t>
      </w:r>
      <w:bookmarkEnd w:id="94"/>
      <w:bookmarkEnd w:id="95"/>
      <w:bookmarkEnd w:id="96"/>
      <w:bookmarkEnd w:id="97"/>
      <w:bookmarkEnd w:id="98"/>
      <w:r>
        <w:rPr>
          <w:rFonts w:hint="eastAsia" w:ascii="黑体" w:hAnsi="宋体" w:eastAsia="黑体"/>
          <w:sz w:val="24"/>
        </w:rPr>
        <w:t>接受和拒绝任何或所有投标的权力</w:t>
      </w:r>
    </w:p>
    <w:p>
      <w:pPr>
        <w:spacing w:line="240" w:lineRule="auto"/>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spacing w:line="240" w:lineRule="auto"/>
        <w:rPr>
          <w:rFonts w:ascii="黑体" w:hAnsi="宋体" w:eastAsia="黑体"/>
          <w:sz w:val="24"/>
        </w:rPr>
      </w:pPr>
      <w:bookmarkStart w:id="99" w:name="_Toc73521589"/>
      <w:bookmarkStart w:id="100" w:name="_Toc73521677"/>
      <w:bookmarkStart w:id="101" w:name="_Toc100052410"/>
      <w:bookmarkStart w:id="102" w:name="_Toc73518160"/>
      <w:bookmarkStart w:id="103" w:name="_Toc73517682"/>
      <w:r>
        <w:rPr>
          <w:rFonts w:hint="eastAsia" w:ascii="黑体" w:hAnsi="宋体" w:eastAsia="黑体"/>
          <w:sz w:val="24"/>
        </w:rPr>
        <w:t>45．合同的签订</w:t>
      </w:r>
      <w:bookmarkEnd w:id="99"/>
      <w:bookmarkEnd w:id="100"/>
      <w:bookmarkEnd w:id="101"/>
      <w:bookmarkEnd w:id="102"/>
      <w:bookmarkEnd w:id="103"/>
    </w:p>
    <w:p>
      <w:pPr>
        <w:spacing w:line="240" w:lineRule="auto"/>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spacing w:line="240" w:lineRule="auto"/>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spacing w:line="240" w:lineRule="auto"/>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spacing w:line="240" w:lineRule="auto"/>
        <w:rPr>
          <w:rFonts w:ascii="黑体" w:hAnsi="宋体" w:eastAsia="黑体"/>
          <w:sz w:val="24"/>
        </w:rPr>
      </w:pPr>
      <w:bookmarkStart w:id="104" w:name="_Toc100052411"/>
      <w:bookmarkStart w:id="105" w:name="_Toc73518161"/>
      <w:bookmarkStart w:id="106" w:name="_Toc73521590"/>
      <w:bookmarkStart w:id="107" w:name="_Toc73521678"/>
      <w:bookmarkStart w:id="108" w:name="_Toc73517683"/>
      <w:r>
        <w:rPr>
          <w:rFonts w:hint="eastAsia" w:ascii="黑体" w:hAnsi="宋体" w:eastAsia="黑体"/>
          <w:sz w:val="24"/>
        </w:rPr>
        <w:t>46．履约担保</w:t>
      </w:r>
      <w:bookmarkEnd w:id="104"/>
      <w:bookmarkEnd w:id="105"/>
      <w:bookmarkEnd w:id="106"/>
      <w:bookmarkEnd w:id="107"/>
      <w:bookmarkEnd w:id="108"/>
    </w:p>
    <w:p>
      <w:pPr>
        <w:spacing w:line="240" w:lineRule="auto"/>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spacing w:line="240" w:lineRule="auto"/>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spacing w:line="240" w:lineRule="auto"/>
        <w:rPr>
          <w:rFonts w:ascii="黑体" w:hAnsi="宋体" w:eastAsia="黑体"/>
          <w:sz w:val="24"/>
        </w:rPr>
      </w:pPr>
      <w:r>
        <w:rPr>
          <w:rFonts w:hint="eastAsia" w:ascii="黑体" w:hAnsi="宋体" w:eastAsia="黑体"/>
          <w:sz w:val="24"/>
        </w:rPr>
        <w:t>47. 合同备案</w:t>
      </w:r>
    </w:p>
    <w:p>
      <w:pPr>
        <w:spacing w:line="240" w:lineRule="auto"/>
        <w:rPr>
          <w:rFonts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pPr>
        <w:spacing w:line="240" w:lineRule="auto"/>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spacing w:line="240" w:lineRule="auto"/>
        <w:rPr>
          <w:rFonts w:ascii="黑体" w:hAnsi="宋体" w:eastAsia="黑体"/>
          <w:sz w:val="24"/>
        </w:rPr>
      </w:pPr>
      <w:r>
        <w:rPr>
          <w:rFonts w:hint="eastAsia" w:ascii="黑体" w:hAnsi="宋体" w:eastAsia="黑体"/>
          <w:sz w:val="24"/>
        </w:rPr>
        <w:t>49. 项目验收</w:t>
      </w:r>
    </w:p>
    <w:p>
      <w:pPr>
        <w:widowControl/>
        <w:spacing w:line="240" w:lineRule="auto"/>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spacing w:line="240" w:lineRule="auto"/>
        <w:rPr>
          <w:rFonts w:ascii="黑体" w:hAnsi="宋体" w:eastAsia="黑体"/>
          <w:sz w:val="24"/>
        </w:rPr>
      </w:pPr>
      <w:r>
        <w:rPr>
          <w:rFonts w:hint="eastAsia" w:ascii="黑体" w:hAnsi="宋体" w:eastAsia="黑体"/>
          <w:sz w:val="24"/>
        </w:rPr>
        <w:t>50. 宣传</w:t>
      </w:r>
    </w:p>
    <w:p>
      <w:pPr>
        <w:spacing w:line="240" w:lineRule="auto"/>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spacing w:line="240" w:lineRule="auto"/>
        <w:ind w:left="210" w:leftChars="100" w:firstLine="411" w:firstLineChars="196"/>
        <w:rPr>
          <w:rFonts w:ascii="宋体" w:hAnsi="宋体"/>
        </w:rPr>
      </w:pPr>
      <w:r>
        <w:rPr>
          <w:rFonts w:ascii="宋体" w:hAnsi="宋体"/>
        </w:rPr>
        <w:t>a.名片、宣传册、广告标语等；</w:t>
      </w:r>
    </w:p>
    <w:p>
      <w:pPr>
        <w:spacing w:line="240" w:lineRule="auto"/>
        <w:ind w:left="210" w:leftChars="100" w:firstLine="411" w:firstLineChars="196"/>
        <w:rPr>
          <w:rFonts w:ascii="宋体" w:hAnsi="宋体"/>
        </w:rPr>
      </w:pPr>
      <w:r>
        <w:rPr>
          <w:rFonts w:ascii="宋体" w:hAnsi="宋体"/>
        </w:rPr>
        <w:t>b.案例介绍、推广等；</w:t>
      </w:r>
    </w:p>
    <w:p>
      <w:pPr>
        <w:spacing w:line="240" w:lineRule="auto"/>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spacing w:line="240" w:lineRule="auto"/>
        <w:rPr>
          <w:rFonts w:ascii="黑体" w:hAnsi="宋体" w:eastAsia="黑体"/>
          <w:sz w:val="24"/>
        </w:rPr>
      </w:pPr>
      <w:r>
        <w:rPr>
          <w:rFonts w:hint="eastAsia" w:ascii="黑体" w:hAnsi="宋体" w:eastAsia="黑体"/>
          <w:sz w:val="24"/>
        </w:rPr>
        <w:t>51. 供应商违法责任</w:t>
      </w:r>
    </w:p>
    <w:p>
      <w:pPr>
        <w:spacing w:line="240" w:lineRule="auto"/>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240" w:lineRule="auto"/>
        <w:ind w:firstLine="411" w:firstLineChars="196"/>
        <w:rPr>
          <w:rFonts w:ascii="宋体" w:hAnsi="宋体"/>
          <w:szCs w:val="21"/>
        </w:rPr>
      </w:pPr>
      <w:r>
        <w:rPr>
          <w:rFonts w:hint="eastAsia" w:ascii="宋体" w:hAnsi="宋体"/>
          <w:szCs w:val="21"/>
        </w:rPr>
        <w:t>（1）在采购活动中应当回避而未回避的；</w:t>
      </w:r>
    </w:p>
    <w:p>
      <w:pPr>
        <w:spacing w:line="240" w:lineRule="auto"/>
        <w:ind w:firstLine="411" w:firstLineChars="196"/>
        <w:rPr>
          <w:rFonts w:ascii="宋体" w:hAnsi="宋体"/>
          <w:szCs w:val="21"/>
        </w:rPr>
      </w:pPr>
      <w:r>
        <w:rPr>
          <w:rFonts w:hint="eastAsia" w:ascii="宋体" w:hAnsi="宋体"/>
          <w:szCs w:val="21"/>
        </w:rPr>
        <w:t>（2）未按本条例规定签订、履行采购合同，造成严重后果的；</w:t>
      </w:r>
    </w:p>
    <w:p>
      <w:pPr>
        <w:spacing w:line="240" w:lineRule="auto"/>
        <w:ind w:firstLine="411" w:firstLineChars="196"/>
        <w:rPr>
          <w:rFonts w:ascii="宋体" w:hAnsi="宋体"/>
          <w:szCs w:val="21"/>
        </w:rPr>
      </w:pPr>
      <w:r>
        <w:rPr>
          <w:rFonts w:hint="eastAsia" w:ascii="宋体" w:hAnsi="宋体"/>
          <w:szCs w:val="21"/>
        </w:rPr>
        <w:t>（3）隐瞒真实情况，提供虚假资料的；</w:t>
      </w:r>
    </w:p>
    <w:p>
      <w:pPr>
        <w:spacing w:line="240" w:lineRule="auto"/>
        <w:ind w:firstLine="411" w:firstLineChars="196"/>
        <w:rPr>
          <w:rFonts w:ascii="宋体" w:hAnsi="宋体"/>
          <w:szCs w:val="21"/>
        </w:rPr>
      </w:pPr>
      <w:r>
        <w:rPr>
          <w:rFonts w:hint="eastAsia" w:ascii="宋体" w:hAnsi="宋体"/>
          <w:szCs w:val="21"/>
        </w:rPr>
        <w:t>（4）以非法手段排斥其他供应商参与竞争的；</w:t>
      </w:r>
    </w:p>
    <w:p>
      <w:pPr>
        <w:spacing w:line="240" w:lineRule="auto"/>
        <w:ind w:firstLine="411" w:firstLineChars="196"/>
        <w:rPr>
          <w:rFonts w:ascii="宋体" w:hAnsi="宋体"/>
          <w:szCs w:val="21"/>
        </w:rPr>
      </w:pPr>
      <w:r>
        <w:rPr>
          <w:rFonts w:hint="eastAsia" w:ascii="宋体" w:hAnsi="宋体"/>
          <w:szCs w:val="21"/>
        </w:rPr>
        <w:t>（5）与其他采购参加人串通投标的；</w:t>
      </w:r>
    </w:p>
    <w:p>
      <w:pPr>
        <w:spacing w:line="240" w:lineRule="auto"/>
        <w:ind w:firstLine="411" w:firstLineChars="196"/>
        <w:rPr>
          <w:rFonts w:ascii="宋体" w:hAnsi="宋体"/>
          <w:szCs w:val="21"/>
        </w:rPr>
      </w:pPr>
      <w:r>
        <w:rPr>
          <w:rFonts w:hint="eastAsia" w:ascii="宋体" w:hAnsi="宋体"/>
          <w:szCs w:val="21"/>
        </w:rPr>
        <w:t>（6）恶意投诉的；</w:t>
      </w:r>
    </w:p>
    <w:p>
      <w:pPr>
        <w:spacing w:line="240" w:lineRule="auto"/>
        <w:ind w:firstLine="411" w:firstLineChars="196"/>
        <w:rPr>
          <w:rFonts w:ascii="宋体" w:hAnsi="宋体"/>
          <w:szCs w:val="21"/>
        </w:rPr>
      </w:pPr>
      <w:r>
        <w:rPr>
          <w:rFonts w:hint="eastAsia" w:ascii="宋体" w:hAnsi="宋体"/>
          <w:szCs w:val="21"/>
        </w:rPr>
        <w:t>（7）向采购项目相关人行贿或者提供其他不当利益的；</w:t>
      </w:r>
    </w:p>
    <w:p>
      <w:pPr>
        <w:spacing w:line="240" w:lineRule="auto"/>
        <w:ind w:firstLine="411" w:firstLineChars="196"/>
        <w:rPr>
          <w:rFonts w:ascii="宋体" w:hAnsi="宋体"/>
          <w:szCs w:val="21"/>
        </w:rPr>
      </w:pPr>
      <w:r>
        <w:rPr>
          <w:rFonts w:hint="eastAsia" w:ascii="宋体" w:hAnsi="宋体"/>
          <w:szCs w:val="21"/>
        </w:rPr>
        <w:t>（8）阻碍、抗拒主管部门监督检查的；</w:t>
      </w:r>
    </w:p>
    <w:p>
      <w:pPr>
        <w:spacing w:line="240" w:lineRule="auto"/>
        <w:ind w:firstLine="411" w:firstLineChars="196"/>
        <w:rPr>
          <w:rFonts w:ascii="宋体" w:hAnsi="宋体"/>
          <w:szCs w:val="21"/>
        </w:rPr>
      </w:pPr>
      <w:r>
        <w:rPr>
          <w:rFonts w:hint="eastAsia" w:ascii="宋体" w:hAnsi="宋体"/>
          <w:szCs w:val="21"/>
        </w:rPr>
        <w:t>（9）其他违反本条例规定的行为。</w:t>
      </w:r>
    </w:p>
    <w:p>
      <w:pPr>
        <w:spacing w:line="240" w:lineRule="auto"/>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9" w:name="_Hlk72440769"/>
      <w:r>
        <w:rPr>
          <w:rFonts w:hint="eastAsia" w:ascii="宋体" w:hAnsi="宋体"/>
          <w:szCs w:val="21"/>
        </w:rPr>
        <w:t>政府集中采购机构或采购人不予退还其交纳的谈判保证金，情节严重的，并由主管部门</w:t>
      </w:r>
      <w:bookmarkEnd w:id="109"/>
      <w:r>
        <w:rPr>
          <w:rFonts w:hint="eastAsia" w:ascii="宋体" w:hAnsi="宋体"/>
          <w:szCs w:val="21"/>
        </w:rPr>
        <w:t>记入供应商诚信档案，予以通报：</w:t>
      </w:r>
    </w:p>
    <w:p>
      <w:pPr>
        <w:spacing w:line="240" w:lineRule="auto"/>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spacing w:line="240" w:lineRule="auto"/>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spacing w:line="240" w:lineRule="auto"/>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spacing w:line="240" w:lineRule="auto"/>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3"/>
    <w:p>
      <w:pPr>
        <w:pStyle w:val="5"/>
        <w:numPr>
          <w:ilvl w:val="0"/>
          <w:numId w:val="14"/>
        </w:numPr>
        <w:tabs>
          <w:tab w:val="left" w:pos="720"/>
        </w:tabs>
        <w:spacing w:before="156" w:beforeLines="50" w:after="156" w:afterLines="50" w:line="240" w:lineRule="auto"/>
        <w:ind w:left="562" w:hanging="562"/>
        <w:rPr>
          <w:b/>
          <w:bCs/>
          <w:sz w:val="28"/>
          <w:szCs w:val="28"/>
        </w:rPr>
      </w:pPr>
      <w:r>
        <w:rPr>
          <w:rFonts w:hint="eastAsia"/>
          <w:b/>
          <w:bCs/>
          <w:sz w:val="28"/>
          <w:szCs w:val="28"/>
        </w:rPr>
        <w:t>质疑处理</w:t>
      </w:r>
    </w:p>
    <w:p>
      <w:pPr>
        <w:spacing w:line="240" w:lineRule="auto"/>
        <w:rPr>
          <w:rFonts w:ascii="黑体" w:hAnsi="宋体" w:eastAsia="黑体"/>
          <w:sz w:val="24"/>
        </w:rPr>
      </w:pPr>
      <w:r>
        <w:rPr>
          <w:rFonts w:hint="eastAsia" w:ascii="黑体" w:hAnsi="宋体" w:eastAsia="黑体"/>
          <w:sz w:val="24"/>
        </w:rPr>
        <w:t>52.质疑提出与答复</w:t>
      </w:r>
    </w:p>
    <w:p>
      <w:pPr>
        <w:spacing w:line="240" w:lineRule="auto"/>
        <w:rPr>
          <w:rFonts w:ascii="宋体" w:hAnsi="宋体"/>
          <w:szCs w:val="21"/>
        </w:rPr>
      </w:pPr>
      <w:r>
        <w:rPr>
          <w:rFonts w:hint="eastAsia" w:ascii="宋体" w:hAnsi="宋体"/>
          <w:szCs w:val="21"/>
        </w:rPr>
        <w:t xml:space="preserve">    52.1提出质疑</w:t>
      </w:r>
    </w:p>
    <w:p>
      <w:pPr>
        <w:spacing w:line="240" w:lineRule="auto"/>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spacing w:line="240" w:lineRule="auto"/>
        <w:rPr>
          <w:rFonts w:ascii="宋体" w:hAnsi="宋体"/>
          <w:szCs w:val="21"/>
        </w:rPr>
      </w:pPr>
      <w:r>
        <w:rPr>
          <w:rFonts w:hint="eastAsia" w:ascii="宋体" w:hAnsi="宋体"/>
          <w:szCs w:val="21"/>
        </w:rPr>
        <w:t xml:space="preserve">    52.2</w:t>
      </w:r>
      <w:r>
        <w:rPr>
          <w:rFonts w:ascii="宋体" w:hAnsi="宋体"/>
          <w:szCs w:val="21"/>
        </w:rPr>
        <w:t>法律依据</w:t>
      </w:r>
    </w:p>
    <w:p>
      <w:pPr>
        <w:spacing w:line="240" w:lineRule="auto"/>
        <w:rPr>
          <w:rFonts w:ascii="宋体" w:hAnsi="宋体"/>
          <w:szCs w:val="21"/>
        </w:rPr>
      </w:pPr>
      <w:r>
        <w:rPr>
          <w:rFonts w:hint="eastAsia" w:ascii="宋体" w:hAnsi="宋体"/>
          <w:szCs w:val="21"/>
        </w:rPr>
        <w:t xml:space="preserve">    《中华人民共和国政府采购法</w:t>
      </w:r>
      <w:r>
        <w:rPr>
          <w:rFonts w:hint="eastAsia" w:ascii="宋体" w:hAnsi="宋体"/>
          <w:szCs w:val="21"/>
          <w:lang w:eastAsia="zh-CN"/>
        </w:rPr>
        <w:t>》《</w:t>
      </w:r>
      <w:r>
        <w:rPr>
          <w:rFonts w:hint="eastAsia" w:ascii="宋体" w:hAnsi="宋体"/>
          <w:szCs w:val="21"/>
        </w:rPr>
        <w:t>中华人民共和国政府采购法实施条例</w:t>
      </w:r>
      <w:r>
        <w:rPr>
          <w:rFonts w:hint="eastAsia" w:ascii="宋体" w:hAnsi="宋体"/>
          <w:szCs w:val="21"/>
          <w:lang w:eastAsia="zh-CN"/>
        </w:rPr>
        <w:t>》《</w:t>
      </w:r>
      <w:r>
        <w:rPr>
          <w:rFonts w:hint="eastAsia" w:ascii="宋体" w:hAnsi="宋体"/>
          <w:szCs w:val="21"/>
        </w:rPr>
        <w:t>深圳经济特区政府采购</w:t>
      </w:r>
      <w:r>
        <w:rPr>
          <w:rFonts w:ascii="宋体" w:hAnsi="宋体"/>
          <w:szCs w:val="21"/>
        </w:rPr>
        <w:t>条例</w:t>
      </w:r>
      <w:r>
        <w:rPr>
          <w:rFonts w:hint="eastAsia" w:ascii="宋体" w:hAnsi="宋体"/>
          <w:szCs w:val="21"/>
          <w:lang w:eastAsia="zh-CN"/>
        </w:rPr>
        <w:t>》《</w:t>
      </w:r>
      <w:r>
        <w:rPr>
          <w:rFonts w:hint="eastAsia" w:ascii="宋体" w:hAnsi="宋体"/>
          <w:szCs w:val="21"/>
        </w:rPr>
        <w:t>深圳经济特区政府采购条例实施细则</w:t>
      </w:r>
      <w:r>
        <w:rPr>
          <w:rFonts w:hint="eastAsia" w:ascii="宋体" w:hAnsi="宋体"/>
          <w:szCs w:val="21"/>
          <w:lang w:eastAsia="zh-CN"/>
        </w:rPr>
        <w:t>》《</w:t>
      </w:r>
      <w:r>
        <w:rPr>
          <w:rFonts w:hint="eastAsia" w:ascii="宋体" w:hAnsi="宋体"/>
          <w:szCs w:val="21"/>
        </w:rPr>
        <w:t>政府采购质疑和投诉办法》（财政部令第94号）和其他有关法律法规规定。</w:t>
      </w:r>
    </w:p>
    <w:p>
      <w:pPr>
        <w:spacing w:line="240" w:lineRule="auto"/>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spacing w:line="240" w:lineRule="auto"/>
        <w:rPr>
          <w:rFonts w:ascii="宋体" w:hAnsi="宋体"/>
          <w:szCs w:val="21"/>
        </w:rPr>
      </w:pPr>
      <w:r>
        <w:rPr>
          <w:rFonts w:hint="eastAsia" w:ascii="宋体" w:hAnsi="宋体"/>
          <w:szCs w:val="21"/>
        </w:rPr>
        <w:t xml:space="preserve">    52.3.1提出质疑的供应商应当是参与所质疑项目采购活动的供应商；</w:t>
      </w:r>
      <w:bookmarkStart w:id="110" w:name="_Hlk75374941"/>
      <w:r>
        <w:rPr>
          <w:rFonts w:hint="eastAsia" w:ascii="宋体" w:hAnsi="宋体"/>
          <w:szCs w:val="21"/>
        </w:rPr>
        <w:t>以联合体形式参与的，质疑应当由组成联合体的所有成员共同提出</w:t>
      </w:r>
      <w:bookmarkEnd w:id="110"/>
      <w:r>
        <w:rPr>
          <w:rFonts w:hint="eastAsia" w:ascii="宋体" w:hAnsi="宋体"/>
          <w:szCs w:val="21"/>
        </w:rPr>
        <w:t>；</w:t>
      </w:r>
    </w:p>
    <w:p>
      <w:pPr>
        <w:spacing w:line="240" w:lineRule="auto"/>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240" w:lineRule="auto"/>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spacing w:line="240" w:lineRule="auto"/>
        <w:ind w:firstLine="420"/>
        <w:rPr>
          <w:rFonts w:ascii="宋体" w:hAnsi="宋体"/>
          <w:szCs w:val="21"/>
        </w:rPr>
      </w:pPr>
      <w:r>
        <w:rPr>
          <w:rFonts w:hint="eastAsia" w:ascii="宋体" w:hAnsi="宋体"/>
          <w:szCs w:val="21"/>
        </w:rPr>
        <w:t>（1）供应商的名称（或者姓名）、地址、邮编、邮箱、联系人及联系电话；</w:t>
      </w:r>
    </w:p>
    <w:p>
      <w:pPr>
        <w:spacing w:line="240" w:lineRule="auto"/>
        <w:ind w:firstLine="420" w:firstLineChars="200"/>
        <w:rPr>
          <w:rFonts w:ascii="宋体" w:hAnsi="宋体"/>
          <w:szCs w:val="21"/>
        </w:rPr>
      </w:pPr>
      <w:r>
        <w:rPr>
          <w:rFonts w:hint="eastAsia" w:ascii="宋体" w:hAnsi="宋体"/>
          <w:szCs w:val="21"/>
        </w:rPr>
        <w:t>（2）质疑项目的名称、编号；</w:t>
      </w:r>
    </w:p>
    <w:p>
      <w:pPr>
        <w:spacing w:line="240" w:lineRule="auto"/>
        <w:ind w:firstLine="420" w:firstLineChars="200"/>
        <w:rPr>
          <w:rFonts w:ascii="宋体" w:hAnsi="宋体"/>
          <w:szCs w:val="21"/>
        </w:rPr>
      </w:pPr>
      <w:r>
        <w:rPr>
          <w:rFonts w:hint="eastAsia" w:ascii="宋体" w:hAnsi="宋体"/>
          <w:szCs w:val="21"/>
        </w:rPr>
        <w:t>（3）具体、明确的质疑对象、质疑事项和质疑请求；</w:t>
      </w:r>
    </w:p>
    <w:p>
      <w:pPr>
        <w:spacing w:line="240" w:lineRule="auto"/>
        <w:ind w:firstLine="420" w:firstLineChars="200"/>
        <w:rPr>
          <w:rFonts w:ascii="宋体" w:hAnsi="宋体"/>
          <w:szCs w:val="21"/>
        </w:rPr>
      </w:pPr>
      <w:r>
        <w:rPr>
          <w:rFonts w:hint="eastAsia" w:ascii="宋体" w:hAnsi="宋体"/>
          <w:szCs w:val="21"/>
        </w:rPr>
        <w:t>（4）因质疑事项而受损害的权益；</w:t>
      </w:r>
    </w:p>
    <w:p>
      <w:pPr>
        <w:spacing w:line="240" w:lineRule="auto"/>
        <w:ind w:firstLine="420" w:firstLineChars="200"/>
        <w:rPr>
          <w:rFonts w:ascii="宋体" w:hAnsi="宋体"/>
          <w:szCs w:val="21"/>
        </w:rPr>
      </w:pPr>
      <w:r>
        <w:rPr>
          <w:rFonts w:hint="eastAsia" w:ascii="宋体" w:hAnsi="宋体"/>
          <w:szCs w:val="21"/>
        </w:rPr>
        <w:t>（5）事实依据；</w:t>
      </w:r>
    </w:p>
    <w:p>
      <w:pPr>
        <w:spacing w:line="240" w:lineRule="auto"/>
        <w:ind w:firstLine="420" w:firstLineChars="200"/>
        <w:rPr>
          <w:rFonts w:ascii="宋体" w:hAnsi="宋体"/>
          <w:szCs w:val="21"/>
        </w:rPr>
      </w:pPr>
      <w:r>
        <w:rPr>
          <w:rFonts w:hint="eastAsia" w:ascii="宋体" w:hAnsi="宋体"/>
          <w:szCs w:val="21"/>
        </w:rPr>
        <w:t>（6）必要的法律依据；</w:t>
      </w:r>
    </w:p>
    <w:p>
      <w:pPr>
        <w:spacing w:line="240" w:lineRule="auto"/>
        <w:ind w:firstLine="420" w:firstLineChars="200"/>
        <w:rPr>
          <w:rFonts w:ascii="宋体" w:hAnsi="宋体"/>
          <w:szCs w:val="21"/>
        </w:rPr>
      </w:pPr>
      <w:r>
        <w:rPr>
          <w:rFonts w:hint="eastAsia" w:ascii="宋体" w:hAnsi="宋体"/>
          <w:szCs w:val="21"/>
        </w:rPr>
        <w:t>（7）提出质疑的日期。</w:t>
      </w:r>
    </w:p>
    <w:p>
      <w:pPr>
        <w:spacing w:line="240" w:lineRule="auto"/>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spacing w:line="240" w:lineRule="auto"/>
        <w:ind w:firstLine="420" w:firstLineChars="200"/>
        <w:rPr>
          <w:rFonts w:ascii="宋体" w:hAnsi="宋体"/>
          <w:szCs w:val="21"/>
        </w:rPr>
      </w:pPr>
      <w:r>
        <w:rPr>
          <w:rFonts w:hint="eastAsia" w:ascii="宋体" w:hAnsi="宋体"/>
          <w:szCs w:val="21"/>
        </w:rPr>
        <w:t>52.4提交</w:t>
      </w:r>
      <w:r>
        <w:rPr>
          <w:rFonts w:ascii="宋体" w:hAnsi="宋体"/>
          <w:szCs w:val="21"/>
        </w:rPr>
        <w:t>材料</w:t>
      </w:r>
    </w:p>
    <w:p>
      <w:pPr>
        <w:spacing w:line="240" w:lineRule="auto"/>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240" w:lineRule="auto"/>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240" w:lineRule="auto"/>
        <w:ind w:firstLine="420" w:firstLineChars="200"/>
        <w:rPr>
          <w:rFonts w:ascii="宋体" w:hAnsi="宋体"/>
          <w:szCs w:val="21"/>
        </w:rPr>
      </w:pPr>
      <w:r>
        <w:rPr>
          <w:rFonts w:hint="eastAsia" w:ascii="宋体" w:hAnsi="宋体"/>
          <w:szCs w:val="21"/>
        </w:rPr>
        <w:t>52.5收文地点</w:t>
      </w:r>
    </w:p>
    <w:p>
      <w:pPr>
        <w:spacing w:line="240" w:lineRule="auto"/>
        <w:ind w:firstLine="422" w:firstLineChars="200"/>
        <w:rPr>
          <w:rFonts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pPr>
        <w:spacing w:line="240" w:lineRule="auto"/>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spacing w:line="240" w:lineRule="auto"/>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spacing w:line="240" w:lineRule="auto"/>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spacing w:line="240" w:lineRule="auto"/>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spacing w:line="240" w:lineRule="auto"/>
        <w:ind w:firstLine="420" w:firstLineChars="200"/>
        <w:rPr>
          <w:rFonts w:ascii="宋体" w:hAnsi="宋体"/>
          <w:szCs w:val="21"/>
        </w:rPr>
      </w:pPr>
      <w:r>
        <w:rPr>
          <w:rFonts w:hint="eastAsia" w:ascii="宋体" w:hAnsi="宋体"/>
          <w:szCs w:val="21"/>
        </w:rPr>
        <w:t>供应商提交的质疑存在下列情形之一的，不予受理：</w:t>
      </w:r>
    </w:p>
    <w:p>
      <w:pPr>
        <w:spacing w:line="240" w:lineRule="auto"/>
        <w:ind w:firstLine="420" w:firstLineChars="200"/>
        <w:rPr>
          <w:rFonts w:ascii="宋体" w:hAnsi="宋体"/>
          <w:szCs w:val="21"/>
        </w:rPr>
      </w:pPr>
      <w:r>
        <w:rPr>
          <w:rFonts w:hint="eastAsia" w:ascii="宋体" w:hAnsi="宋体"/>
          <w:szCs w:val="21"/>
        </w:rPr>
        <w:t>（1）质疑主体不满足要求的；</w:t>
      </w:r>
    </w:p>
    <w:p>
      <w:pPr>
        <w:spacing w:line="240" w:lineRule="auto"/>
        <w:ind w:firstLine="420" w:firstLineChars="200"/>
        <w:rPr>
          <w:rFonts w:ascii="宋体" w:hAnsi="宋体"/>
          <w:szCs w:val="21"/>
        </w:rPr>
      </w:pPr>
      <w:r>
        <w:rPr>
          <w:rFonts w:hint="eastAsia" w:ascii="宋体" w:hAnsi="宋体"/>
          <w:szCs w:val="21"/>
        </w:rPr>
        <w:t>（2）供应商自身权益未受到损害的；</w:t>
      </w:r>
    </w:p>
    <w:p>
      <w:pPr>
        <w:spacing w:line="240" w:lineRule="auto"/>
        <w:ind w:firstLine="420" w:firstLineChars="200"/>
        <w:rPr>
          <w:rFonts w:ascii="宋体" w:hAnsi="宋体"/>
          <w:szCs w:val="21"/>
        </w:rPr>
      </w:pPr>
      <w:r>
        <w:rPr>
          <w:rFonts w:hint="eastAsia" w:ascii="宋体" w:hAnsi="宋体"/>
          <w:szCs w:val="21"/>
        </w:rPr>
        <w:t>（3）供应商未在法定质疑期限内提出质疑的；</w:t>
      </w:r>
    </w:p>
    <w:p>
      <w:pPr>
        <w:spacing w:line="240" w:lineRule="auto"/>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spacing w:line="240" w:lineRule="auto"/>
        <w:ind w:firstLine="420" w:firstLineChars="200"/>
        <w:rPr>
          <w:rFonts w:ascii="宋体" w:hAnsi="宋体"/>
          <w:szCs w:val="21"/>
        </w:rPr>
      </w:pPr>
      <w:r>
        <w:rPr>
          <w:rFonts w:hint="eastAsia" w:ascii="宋体" w:hAnsi="宋体"/>
          <w:szCs w:val="21"/>
        </w:rPr>
        <w:t>（5）其他不符合受理条件情形的。</w:t>
      </w:r>
    </w:p>
    <w:p>
      <w:pPr>
        <w:spacing w:line="240" w:lineRule="auto"/>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spacing w:line="240" w:lineRule="auto"/>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spacing w:line="240" w:lineRule="auto"/>
        <w:rPr>
          <w:rFonts w:ascii="宋体" w:hAnsi="宋体"/>
          <w:szCs w:val="21"/>
        </w:rPr>
      </w:pPr>
      <w:r>
        <w:rPr>
          <w:rFonts w:hint="eastAsia" w:ascii="宋体" w:hAnsi="宋体"/>
          <w:szCs w:val="21"/>
        </w:rPr>
        <w:t xml:space="preserve">    自收文之日起七个工作日内。</w:t>
      </w:r>
    </w:p>
    <w:p>
      <w:pPr>
        <w:spacing w:line="240" w:lineRule="auto"/>
        <w:rPr>
          <w:rFonts w:ascii="宋体" w:hAnsi="宋体"/>
          <w:szCs w:val="21"/>
        </w:rPr>
      </w:pPr>
      <w:r>
        <w:rPr>
          <w:rFonts w:hint="eastAsia" w:ascii="宋体" w:hAnsi="宋体"/>
          <w:szCs w:val="21"/>
        </w:rPr>
        <w:t xml:space="preserve">    52.8投诉</w:t>
      </w:r>
    </w:p>
    <w:p>
      <w:pPr>
        <w:spacing w:line="240" w:lineRule="auto"/>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spacing w:line="240" w:lineRule="auto"/>
        <w:rPr>
          <w:rFonts w:ascii="黑体" w:hAnsi="宋体" w:eastAsia="黑体"/>
          <w:sz w:val="24"/>
        </w:rPr>
      </w:pPr>
      <w:r>
        <w:rPr>
          <w:rFonts w:hint="eastAsia" w:ascii="黑体" w:hAnsi="宋体" w:eastAsia="黑体"/>
          <w:sz w:val="24"/>
        </w:rPr>
        <w:t>53. 质疑后续处理</w:t>
      </w:r>
    </w:p>
    <w:p>
      <w:pPr>
        <w:spacing w:line="240" w:lineRule="auto"/>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spacing w:line="240" w:lineRule="auto"/>
        <w:ind w:firstLine="420"/>
        <w:jc w:val="center"/>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w:t>
      </w:r>
    </w:p>
    <w:p>
      <w:pPr>
        <w:spacing w:line="240" w:lineRule="auto"/>
        <w:ind w:left="0" w:leftChars="0" w:firstLine="0" w:firstLineChars="0"/>
        <w:jc w:val="center"/>
        <w:rPr>
          <w:rFonts w:ascii="宋体" w:hAnsi="宋体"/>
          <w:szCs w:val="21"/>
        </w:rPr>
      </w:pPr>
      <w:r>
        <w:rPr>
          <w:rFonts w:hint="eastAsia" w:ascii="宋体" w:hAnsi="宋体"/>
          <w:szCs w:val="21"/>
        </w:rPr>
        <w:t>成交供应商的，应当依法另行确定中标、成交供应商；否则应当重新开展采购活动。</w:t>
      </w:r>
    </w:p>
    <w:p>
      <w:pPr>
        <w:ind w:firstLine="420"/>
        <w:jc w:val="center"/>
        <w:rPr>
          <w:rFonts w:ascii="宋体" w:hAnsi="宋体" w:eastAsia="黑体" w:cs="Times New Roman"/>
          <w:b/>
          <w:bCs/>
          <w:color w:val="0000FF"/>
          <w:kern w:val="44"/>
          <w:sz w:val="36"/>
          <w:szCs w:val="44"/>
        </w:rPr>
      </w:pPr>
      <w:r>
        <w:rPr>
          <w:rFonts w:ascii="Times New Roman" w:hAnsi="Times New Roman" w:eastAsia="宋体" w:cs="Times New Roman"/>
          <w:szCs w:val="24"/>
        </w:rPr>
        <w:t>---- END ----</w:t>
      </w:r>
      <w:bookmarkEnd w:id="57"/>
    </w:p>
    <w:sectPr>
      <w:pgSz w:w="11906" w:h="16838"/>
      <w:pgMar w:top="1440" w:right="1417" w:bottom="1440" w:left="141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1CCD336-084E-4B30-808A-42B6FC09832D}"/>
  </w:font>
  <w:font w:name="Arial">
    <w:panose1 w:val="020B0604020202020204"/>
    <w:charset w:val="01"/>
    <w:family w:val="swiss"/>
    <w:pitch w:val="default"/>
    <w:sig w:usb0="E0002AFF" w:usb1="C0007843" w:usb2="00000009" w:usb3="00000000" w:csb0="400001FF" w:csb1="FFFF0000"/>
    <w:embedRegular r:id="rId2" w:fontKey="{923E793C-D7BE-4294-922A-CC7FF425C375}"/>
  </w:font>
  <w:font w:name="黑体">
    <w:panose1 w:val="02010609060101010101"/>
    <w:charset w:val="86"/>
    <w:family w:val="auto"/>
    <w:pitch w:val="default"/>
    <w:sig w:usb0="800002BF" w:usb1="38CF7CFA" w:usb2="00000016" w:usb3="00000000" w:csb0="00040001" w:csb1="00000000"/>
    <w:embedRegular r:id="rId3" w:fontKey="{5D025AD6-D5BA-46E2-AA33-02D0E22E81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936772F6-DE3F-493A-88B8-203697CD6260}"/>
  </w:font>
  <w:font w:name="Cambria">
    <w:panose1 w:val="02040503050406030204"/>
    <w:charset w:val="00"/>
    <w:family w:val="roman"/>
    <w:pitch w:val="default"/>
    <w:sig w:usb0="E00002FF" w:usb1="400004FF" w:usb2="00000000" w:usb3="00000000" w:csb0="2000019F" w:csb1="00000000"/>
    <w:embedRegular r:id="rId5" w:fontKey="{400C5D07-622B-4750-B3F7-875205CD675E}"/>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embedRegular r:id="rId6" w:fontKey="{F08F0736-0DB5-4CCB-BF7C-38B9BCFB50A6}"/>
  </w:font>
  <w:font w:name="华文中宋">
    <w:altName w:val="宋体"/>
    <w:panose1 w:val="02010600040101010101"/>
    <w:charset w:val="86"/>
    <w:family w:val="auto"/>
    <w:pitch w:val="default"/>
    <w:sig w:usb0="00000000" w:usb1="00000000" w:usb2="00000000" w:usb3="00000000" w:csb0="0004009F" w:csb1="DFD70000"/>
    <w:embedRegular r:id="rId7" w:fontKey="{AC2445A0-4B89-4CE5-B048-1A7159F3E390}"/>
  </w:font>
  <w:font w:name="ˎ̥">
    <w:altName w:val="方正全福体"/>
    <w:panose1 w:val="00000000000000000000"/>
    <w:charset w:val="00"/>
    <w:family w:val="auto"/>
    <w:pitch w:val="default"/>
    <w:sig w:usb0="00000000" w:usb1="00000000" w:usb2="00000000" w:usb3="00000000" w:csb0="00040001" w:csb1="00000000"/>
    <w:embedRegular r:id="rId8" w:fontKey="{7EE7B8D3-282C-4221-B8B8-72BD2FACF98F}"/>
  </w:font>
  <w:font w:name="仿宋">
    <w:panose1 w:val="02010609060101010101"/>
    <w:charset w:val="86"/>
    <w:family w:val="modern"/>
    <w:pitch w:val="default"/>
    <w:sig w:usb0="800002BF" w:usb1="38CF7CFA" w:usb2="00000016" w:usb3="00000000" w:csb0="00040001" w:csb1="00000000"/>
    <w:embedRegular r:id="rId9" w:fontKey="{5AD90767-3F22-439A-8E2A-10AB6BABEF72}"/>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27"/>
                            </w:rPr>
                          </w:pPr>
                          <w:r>
                            <w:t xml:space="preserve">- </w:t>
                          </w:r>
                          <w:r>
                            <w:fldChar w:fldCharType="begin"/>
                          </w:r>
                          <w:r>
                            <w:instrText xml:space="preserve"> PAGE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rPr>
                        <w:rStyle w:val="27"/>
                      </w:rPr>
                    </w:pPr>
                    <w:r>
                      <w:t xml:space="preserve">- </w:t>
                    </w:r>
                    <w:r>
                      <w:fldChar w:fldCharType="begin"/>
                    </w:r>
                    <w:r>
                      <w:instrText xml:space="preserve"> PAGE </w:instrText>
                    </w:r>
                    <w:r>
                      <w:fldChar w:fldCharType="separate"/>
                    </w:r>
                    <w:r>
                      <w:t>29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22060"/>
                          </w:sdtPr>
                          <w:sdtContent>
                            <w:p>
                              <w:pPr>
                                <w:pStyle w:val="17"/>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922060"/>
                    </w:sdtPr>
                    <w:sdtContent>
                      <w:p>
                        <w:pPr>
                          <w:pStyle w:val="17"/>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txbxContent>
              </v:textbox>
            </v:shape>
          </w:pict>
        </mc:Fallback>
      </mc:AlternateContent>
    </w:r>
  </w:p>
  <w:p>
    <w:pPr>
      <w:pStyle w:val="17"/>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21DE7"/>
    <w:multiLevelType w:val="singleLevel"/>
    <w:tmpl w:val="87A21DE7"/>
    <w:lvl w:ilvl="0" w:tentative="0">
      <w:start w:val="5"/>
      <w:numFmt w:val="chineseCounting"/>
      <w:suff w:val="nothing"/>
      <w:lvlText w:val="%1、"/>
      <w:lvlJc w:val="left"/>
      <w:rPr>
        <w:rFonts w:hint="eastAsia"/>
      </w:rPr>
    </w:lvl>
  </w:abstractNum>
  <w:abstractNum w:abstractNumId="1">
    <w:nsid w:val="8BECFFFE"/>
    <w:multiLevelType w:val="singleLevel"/>
    <w:tmpl w:val="8BECFFFE"/>
    <w:lvl w:ilvl="0" w:tentative="0">
      <w:start w:val="1"/>
      <w:numFmt w:val="chineseCounting"/>
      <w:suff w:val="nothing"/>
      <w:lvlText w:val="（%1）"/>
      <w:lvlJc w:val="left"/>
      <w:pPr>
        <w:ind w:left="0" w:firstLine="420"/>
      </w:pPr>
      <w:rPr>
        <w:rFonts w:hint="eastAsia"/>
      </w:rPr>
    </w:lvl>
  </w:abstractNum>
  <w:abstractNum w:abstractNumId="2">
    <w:nsid w:val="A371B0E8"/>
    <w:multiLevelType w:val="singleLevel"/>
    <w:tmpl w:val="A371B0E8"/>
    <w:lvl w:ilvl="0" w:tentative="0">
      <w:start w:val="4"/>
      <w:numFmt w:val="chineseCounting"/>
      <w:suff w:val="nothing"/>
      <w:lvlText w:val="%1、"/>
      <w:lvlJc w:val="left"/>
      <w:rPr>
        <w:rFonts w:hint="eastAsia"/>
      </w:rPr>
    </w:lvl>
  </w:abstractNum>
  <w:abstractNum w:abstractNumId="3">
    <w:nsid w:val="A702A6DD"/>
    <w:multiLevelType w:val="singleLevel"/>
    <w:tmpl w:val="A702A6DD"/>
    <w:lvl w:ilvl="0" w:tentative="0">
      <w:start w:val="1"/>
      <w:numFmt w:val="decimal"/>
      <w:suff w:val="nothing"/>
      <w:lvlText w:val="%1、"/>
      <w:lvlJc w:val="left"/>
    </w:lvl>
  </w:abstractNum>
  <w:abstractNum w:abstractNumId="4">
    <w:nsid w:val="B316E8D7"/>
    <w:multiLevelType w:val="singleLevel"/>
    <w:tmpl w:val="B316E8D7"/>
    <w:lvl w:ilvl="0" w:tentative="0">
      <w:start w:val="1"/>
      <w:numFmt w:val="decimal"/>
      <w:lvlText w:val="(%1)"/>
      <w:lvlJc w:val="left"/>
      <w:pPr>
        <w:ind w:left="425" w:hanging="425"/>
      </w:pPr>
      <w:rPr>
        <w:rFonts w:hint="default" w:ascii="宋体" w:hAnsi="宋体" w:eastAsia="宋体" w:cstheme="minorEastAsia"/>
        <w:sz w:val="21"/>
        <w:szCs w:val="21"/>
      </w:rPr>
    </w:lvl>
  </w:abstractNum>
  <w:abstractNum w:abstractNumId="5">
    <w:nsid w:val="B6EB8C17"/>
    <w:multiLevelType w:val="singleLevel"/>
    <w:tmpl w:val="B6EB8C17"/>
    <w:lvl w:ilvl="0" w:tentative="0">
      <w:start w:val="2"/>
      <w:numFmt w:val="decimal"/>
      <w:suff w:val="nothing"/>
      <w:lvlText w:val="（%1）"/>
      <w:lvlJc w:val="left"/>
    </w:lvl>
  </w:abstractNum>
  <w:abstractNum w:abstractNumId="6">
    <w:nsid w:val="B9358C2E"/>
    <w:multiLevelType w:val="singleLevel"/>
    <w:tmpl w:val="B9358C2E"/>
    <w:lvl w:ilvl="0" w:tentative="0">
      <w:start w:val="2"/>
      <w:numFmt w:val="decimal"/>
      <w:suff w:val="nothing"/>
      <w:lvlText w:val="%1、"/>
      <w:lvlJc w:val="left"/>
    </w:lvl>
  </w:abstractNum>
  <w:abstractNum w:abstractNumId="7">
    <w:nsid w:val="C012052D"/>
    <w:multiLevelType w:val="singleLevel"/>
    <w:tmpl w:val="C012052D"/>
    <w:lvl w:ilvl="0" w:tentative="0">
      <w:start w:val="2"/>
      <w:numFmt w:val="chineseCounting"/>
      <w:suff w:val="nothing"/>
      <w:lvlText w:val="%1、"/>
      <w:lvlJc w:val="left"/>
      <w:rPr>
        <w:rFonts w:hint="eastAsia"/>
      </w:rPr>
    </w:lvl>
  </w:abstractNum>
  <w:abstractNum w:abstractNumId="8">
    <w:nsid w:val="C3C7E019"/>
    <w:multiLevelType w:val="singleLevel"/>
    <w:tmpl w:val="C3C7E019"/>
    <w:lvl w:ilvl="0" w:tentative="0">
      <w:start w:val="1"/>
      <w:numFmt w:val="chineseCounting"/>
      <w:suff w:val="nothing"/>
      <w:lvlText w:val="（%1）"/>
      <w:lvlJc w:val="left"/>
      <w:pPr>
        <w:ind w:left="0" w:firstLine="420"/>
      </w:pPr>
      <w:rPr>
        <w:rFonts w:hint="eastAsia"/>
      </w:rPr>
    </w:lvl>
  </w:abstractNum>
  <w:abstractNum w:abstractNumId="9">
    <w:nsid w:val="07F59542"/>
    <w:multiLevelType w:val="singleLevel"/>
    <w:tmpl w:val="07F59542"/>
    <w:lvl w:ilvl="0" w:tentative="0">
      <w:start w:val="2"/>
      <w:numFmt w:val="decimal"/>
      <w:suff w:val="nothing"/>
      <w:lvlText w:val="%1、"/>
      <w:lvlJc w:val="left"/>
    </w:lvl>
  </w:abstractNum>
  <w:abstractNum w:abstractNumId="10">
    <w:nsid w:val="2D3EC742"/>
    <w:multiLevelType w:val="singleLevel"/>
    <w:tmpl w:val="2D3EC742"/>
    <w:lvl w:ilvl="0" w:tentative="0">
      <w:start w:val="1"/>
      <w:numFmt w:val="chineseCounting"/>
      <w:suff w:val="nothing"/>
      <w:lvlText w:val="%1、"/>
      <w:lvlJc w:val="left"/>
      <w:pPr>
        <w:ind w:left="0" w:firstLine="420"/>
      </w:pPr>
      <w:rPr>
        <w:rFonts w:hint="eastAsia"/>
      </w:rPr>
    </w:lvl>
  </w:abstractNum>
  <w:abstractNum w:abstractNumId="11">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E853E6"/>
    <w:multiLevelType w:val="singleLevel"/>
    <w:tmpl w:val="4DE853E6"/>
    <w:lvl w:ilvl="0" w:tentative="0">
      <w:start w:val="1"/>
      <w:numFmt w:val="chineseCounting"/>
      <w:suff w:val="nothing"/>
      <w:lvlText w:val="%1、"/>
      <w:lvlJc w:val="left"/>
      <w:pPr>
        <w:ind w:left="0" w:firstLine="420"/>
      </w:pPr>
      <w:rPr>
        <w:rFonts w:hint="eastAsia"/>
      </w:rPr>
    </w:lvl>
  </w:abstractNum>
  <w:abstractNum w:abstractNumId="13">
    <w:nsid w:val="4FED5879"/>
    <w:multiLevelType w:val="singleLevel"/>
    <w:tmpl w:val="4FED5879"/>
    <w:lvl w:ilvl="0" w:tentative="0">
      <w:start w:val="1"/>
      <w:numFmt w:val="decimal"/>
      <w:lvlText w:val="(%1)"/>
      <w:lvlJc w:val="left"/>
      <w:pPr>
        <w:ind w:left="425" w:hanging="425"/>
      </w:pPr>
      <w:rPr>
        <w:rFonts w:hint="default" w:ascii="宋体" w:hAnsi="宋体" w:eastAsia="宋体" w:cstheme="minorEastAsia"/>
        <w:sz w:val="21"/>
        <w:szCs w:val="21"/>
      </w:rPr>
    </w:lvl>
  </w:abstractNum>
  <w:num w:numId="1">
    <w:abstractNumId w:val="0"/>
  </w:num>
  <w:num w:numId="2">
    <w:abstractNumId w:val="5"/>
  </w:num>
  <w:num w:numId="3">
    <w:abstractNumId w:val="7"/>
  </w:num>
  <w:num w:numId="4">
    <w:abstractNumId w:val="2"/>
  </w:num>
  <w:num w:numId="5">
    <w:abstractNumId w:val="13"/>
  </w:num>
  <w:num w:numId="6">
    <w:abstractNumId w:val="4"/>
  </w:num>
  <w:num w:numId="7">
    <w:abstractNumId w:val="10"/>
  </w:num>
  <w:num w:numId="8">
    <w:abstractNumId w:val="3"/>
  </w:num>
  <w:num w:numId="9">
    <w:abstractNumId w:val="9"/>
  </w:num>
  <w:num w:numId="10">
    <w:abstractNumId w:val="1"/>
  </w:num>
  <w:num w:numId="11">
    <w:abstractNumId w:val="12"/>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ZjczNGRkMzM5MTI2MDg0ZDczNWVlMmZmZjNkNWM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21E6"/>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45EE"/>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386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5538"/>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338A"/>
    <w:rsid w:val="001E7D92"/>
    <w:rsid w:val="001F2FF4"/>
    <w:rsid w:val="001F4DAC"/>
    <w:rsid w:val="0020017A"/>
    <w:rsid w:val="0020780A"/>
    <w:rsid w:val="00210364"/>
    <w:rsid w:val="0021479B"/>
    <w:rsid w:val="00215571"/>
    <w:rsid w:val="00225BA9"/>
    <w:rsid w:val="00226AF4"/>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2E49"/>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1A6F"/>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228"/>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418F"/>
    <w:rsid w:val="003A5619"/>
    <w:rsid w:val="003B4BF9"/>
    <w:rsid w:val="003B627E"/>
    <w:rsid w:val="003C55EB"/>
    <w:rsid w:val="003D016D"/>
    <w:rsid w:val="003D1101"/>
    <w:rsid w:val="003D2AD2"/>
    <w:rsid w:val="003E259E"/>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4EAC"/>
    <w:rsid w:val="00435930"/>
    <w:rsid w:val="004370D7"/>
    <w:rsid w:val="004432FE"/>
    <w:rsid w:val="004437AE"/>
    <w:rsid w:val="00443BE1"/>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956E4"/>
    <w:rsid w:val="004A0C96"/>
    <w:rsid w:val="004A19DD"/>
    <w:rsid w:val="004A20E5"/>
    <w:rsid w:val="004A27E3"/>
    <w:rsid w:val="004A5261"/>
    <w:rsid w:val="004A7791"/>
    <w:rsid w:val="004B04D0"/>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430"/>
    <w:rsid w:val="005436FB"/>
    <w:rsid w:val="0055085C"/>
    <w:rsid w:val="0055090F"/>
    <w:rsid w:val="005543A6"/>
    <w:rsid w:val="005554AD"/>
    <w:rsid w:val="005568B0"/>
    <w:rsid w:val="00557C1B"/>
    <w:rsid w:val="00562694"/>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1A99"/>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2FCE"/>
    <w:rsid w:val="00666B5D"/>
    <w:rsid w:val="00666D92"/>
    <w:rsid w:val="006706B4"/>
    <w:rsid w:val="0067242A"/>
    <w:rsid w:val="00673CED"/>
    <w:rsid w:val="00674722"/>
    <w:rsid w:val="006749FE"/>
    <w:rsid w:val="006762D5"/>
    <w:rsid w:val="006801A9"/>
    <w:rsid w:val="0068296E"/>
    <w:rsid w:val="006900CE"/>
    <w:rsid w:val="00690C3A"/>
    <w:rsid w:val="00693203"/>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25E4"/>
    <w:rsid w:val="007746E5"/>
    <w:rsid w:val="007764F5"/>
    <w:rsid w:val="0078066F"/>
    <w:rsid w:val="00783694"/>
    <w:rsid w:val="0079077C"/>
    <w:rsid w:val="0079172F"/>
    <w:rsid w:val="00791F91"/>
    <w:rsid w:val="00792E1B"/>
    <w:rsid w:val="007934C3"/>
    <w:rsid w:val="00793C07"/>
    <w:rsid w:val="00794DAC"/>
    <w:rsid w:val="007958AE"/>
    <w:rsid w:val="0079703B"/>
    <w:rsid w:val="0079727B"/>
    <w:rsid w:val="007A2280"/>
    <w:rsid w:val="007A4F12"/>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3CB7"/>
    <w:rsid w:val="008D5DDF"/>
    <w:rsid w:val="008E2B32"/>
    <w:rsid w:val="008E6B4B"/>
    <w:rsid w:val="008E78C3"/>
    <w:rsid w:val="008F0E1B"/>
    <w:rsid w:val="008F59CA"/>
    <w:rsid w:val="008F615A"/>
    <w:rsid w:val="008F7FE5"/>
    <w:rsid w:val="00900B57"/>
    <w:rsid w:val="00904713"/>
    <w:rsid w:val="009059F6"/>
    <w:rsid w:val="00905D0E"/>
    <w:rsid w:val="00912406"/>
    <w:rsid w:val="009136FB"/>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4226"/>
    <w:rsid w:val="00957952"/>
    <w:rsid w:val="009612CA"/>
    <w:rsid w:val="00963D52"/>
    <w:rsid w:val="009640E8"/>
    <w:rsid w:val="00965A51"/>
    <w:rsid w:val="00970EA5"/>
    <w:rsid w:val="00973CA7"/>
    <w:rsid w:val="009757C4"/>
    <w:rsid w:val="0097679F"/>
    <w:rsid w:val="00977AF2"/>
    <w:rsid w:val="00980E92"/>
    <w:rsid w:val="0098334F"/>
    <w:rsid w:val="00987D22"/>
    <w:rsid w:val="009929A4"/>
    <w:rsid w:val="00993BB4"/>
    <w:rsid w:val="009974A8"/>
    <w:rsid w:val="00997C78"/>
    <w:rsid w:val="009A0EA8"/>
    <w:rsid w:val="009A1BDE"/>
    <w:rsid w:val="009A6E5F"/>
    <w:rsid w:val="009B170E"/>
    <w:rsid w:val="009B1762"/>
    <w:rsid w:val="009B4107"/>
    <w:rsid w:val="009B6F40"/>
    <w:rsid w:val="009C1E9F"/>
    <w:rsid w:val="009C4AF0"/>
    <w:rsid w:val="009C5128"/>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32B"/>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0A44"/>
    <w:rsid w:val="00AC108C"/>
    <w:rsid w:val="00AC6148"/>
    <w:rsid w:val="00AD25EB"/>
    <w:rsid w:val="00AD273D"/>
    <w:rsid w:val="00AD2FE8"/>
    <w:rsid w:val="00AD3773"/>
    <w:rsid w:val="00AD6720"/>
    <w:rsid w:val="00AD732E"/>
    <w:rsid w:val="00AE1C0F"/>
    <w:rsid w:val="00AE2AFA"/>
    <w:rsid w:val="00AE5420"/>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0309"/>
    <w:rsid w:val="00B51FC7"/>
    <w:rsid w:val="00B532E2"/>
    <w:rsid w:val="00B55775"/>
    <w:rsid w:val="00B55FFB"/>
    <w:rsid w:val="00B600C1"/>
    <w:rsid w:val="00B61F3D"/>
    <w:rsid w:val="00B63142"/>
    <w:rsid w:val="00B63FE9"/>
    <w:rsid w:val="00B66E98"/>
    <w:rsid w:val="00B70889"/>
    <w:rsid w:val="00B70FD7"/>
    <w:rsid w:val="00B75E35"/>
    <w:rsid w:val="00B762CF"/>
    <w:rsid w:val="00B7694F"/>
    <w:rsid w:val="00B810FB"/>
    <w:rsid w:val="00B85510"/>
    <w:rsid w:val="00B86F8C"/>
    <w:rsid w:val="00B87097"/>
    <w:rsid w:val="00B935F7"/>
    <w:rsid w:val="00B9375D"/>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B4C"/>
    <w:rsid w:val="00BC2E32"/>
    <w:rsid w:val="00BC3702"/>
    <w:rsid w:val="00BC3723"/>
    <w:rsid w:val="00BC3A0B"/>
    <w:rsid w:val="00BC4367"/>
    <w:rsid w:val="00BC79A5"/>
    <w:rsid w:val="00BD1749"/>
    <w:rsid w:val="00BD19A7"/>
    <w:rsid w:val="00BD4173"/>
    <w:rsid w:val="00BD7D8C"/>
    <w:rsid w:val="00BE0D34"/>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1B79"/>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471F"/>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29E"/>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96557"/>
    <w:rsid w:val="00DA03A3"/>
    <w:rsid w:val="00DA044F"/>
    <w:rsid w:val="00DA0F19"/>
    <w:rsid w:val="00DA1172"/>
    <w:rsid w:val="00DA15A0"/>
    <w:rsid w:val="00DA4D0F"/>
    <w:rsid w:val="00DA69E8"/>
    <w:rsid w:val="00DA72AF"/>
    <w:rsid w:val="00DB05CE"/>
    <w:rsid w:val="00DB09FD"/>
    <w:rsid w:val="00DB214F"/>
    <w:rsid w:val="00DC0B27"/>
    <w:rsid w:val="00DC0DC3"/>
    <w:rsid w:val="00DC5979"/>
    <w:rsid w:val="00DC683E"/>
    <w:rsid w:val="00DD7ACC"/>
    <w:rsid w:val="00DD7C86"/>
    <w:rsid w:val="00DE210F"/>
    <w:rsid w:val="00DE541B"/>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8B"/>
    <w:rsid w:val="00E604F1"/>
    <w:rsid w:val="00E61DE2"/>
    <w:rsid w:val="00E628B1"/>
    <w:rsid w:val="00E71B7C"/>
    <w:rsid w:val="00E72E33"/>
    <w:rsid w:val="00E7592D"/>
    <w:rsid w:val="00E826CD"/>
    <w:rsid w:val="00E8442D"/>
    <w:rsid w:val="00E854A1"/>
    <w:rsid w:val="00E93D2E"/>
    <w:rsid w:val="00E9738B"/>
    <w:rsid w:val="00E97895"/>
    <w:rsid w:val="00E97ED5"/>
    <w:rsid w:val="00EA2918"/>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4EA5"/>
    <w:rsid w:val="00EC69E5"/>
    <w:rsid w:val="00ED47C4"/>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6ADF"/>
    <w:rsid w:val="00F16C77"/>
    <w:rsid w:val="00F17533"/>
    <w:rsid w:val="00F21003"/>
    <w:rsid w:val="00F211FE"/>
    <w:rsid w:val="00F238BB"/>
    <w:rsid w:val="00F23BD1"/>
    <w:rsid w:val="00F246C6"/>
    <w:rsid w:val="00F43EFC"/>
    <w:rsid w:val="00F446EB"/>
    <w:rsid w:val="00F4506A"/>
    <w:rsid w:val="00F508E5"/>
    <w:rsid w:val="00F571BE"/>
    <w:rsid w:val="00F5795E"/>
    <w:rsid w:val="00F57B77"/>
    <w:rsid w:val="00F6136F"/>
    <w:rsid w:val="00F626D8"/>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C6F7E"/>
    <w:rsid w:val="00FD2FD3"/>
    <w:rsid w:val="00FD5E8F"/>
    <w:rsid w:val="00FE26CC"/>
    <w:rsid w:val="00FE48A3"/>
    <w:rsid w:val="00FE692E"/>
    <w:rsid w:val="00FE78A2"/>
    <w:rsid w:val="00FF3E28"/>
    <w:rsid w:val="01031527"/>
    <w:rsid w:val="012C1C02"/>
    <w:rsid w:val="014063FE"/>
    <w:rsid w:val="01721FEB"/>
    <w:rsid w:val="01722330"/>
    <w:rsid w:val="01954DE7"/>
    <w:rsid w:val="01B96DFD"/>
    <w:rsid w:val="01CA5CC8"/>
    <w:rsid w:val="01CE3A0A"/>
    <w:rsid w:val="01CF7782"/>
    <w:rsid w:val="01FA7E36"/>
    <w:rsid w:val="02226211"/>
    <w:rsid w:val="02330841"/>
    <w:rsid w:val="027F3CC8"/>
    <w:rsid w:val="02922A98"/>
    <w:rsid w:val="0293255D"/>
    <w:rsid w:val="02A429BD"/>
    <w:rsid w:val="02E25F12"/>
    <w:rsid w:val="030516AD"/>
    <w:rsid w:val="031F2043"/>
    <w:rsid w:val="032F5AAC"/>
    <w:rsid w:val="03300C0C"/>
    <w:rsid w:val="038A3F97"/>
    <w:rsid w:val="038C4DE3"/>
    <w:rsid w:val="03993BA4"/>
    <w:rsid w:val="03A66B69"/>
    <w:rsid w:val="03D74EAC"/>
    <w:rsid w:val="03E017D2"/>
    <w:rsid w:val="04126F01"/>
    <w:rsid w:val="042C4F6C"/>
    <w:rsid w:val="04340506"/>
    <w:rsid w:val="04392177"/>
    <w:rsid w:val="044034BE"/>
    <w:rsid w:val="04446205"/>
    <w:rsid w:val="045F4DED"/>
    <w:rsid w:val="047255F5"/>
    <w:rsid w:val="047D34C5"/>
    <w:rsid w:val="048C54B6"/>
    <w:rsid w:val="04903B99"/>
    <w:rsid w:val="04983E5B"/>
    <w:rsid w:val="049A4077"/>
    <w:rsid w:val="04D127F5"/>
    <w:rsid w:val="04F80880"/>
    <w:rsid w:val="04F85637"/>
    <w:rsid w:val="05130EC4"/>
    <w:rsid w:val="05253B7D"/>
    <w:rsid w:val="05452235"/>
    <w:rsid w:val="054E05C4"/>
    <w:rsid w:val="05550B86"/>
    <w:rsid w:val="055A54B2"/>
    <w:rsid w:val="057503C1"/>
    <w:rsid w:val="05A21435"/>
    <w:rsid w:val="05EB631A"/>
    <w:rsid w:val="06127C3D"/>
    <w:rsid w:val="06215480"/>
    <w:rsid w:val="062E1176"/>
    <w:rsid w:val="063E255E"/>
    <w:rsid w:val="065D710A"/>
    <w:rsid w:val="06695664"/>
    <w:rsid w:val="068B37EA"/>
    <w:rsid w:val="069468A4"/>
    <w:rsid w:val="069A06D8"/>
    <w:rsid w:val="06B14A33"/>
    <w:rsid w:val="06CC6C7E"/>
    <w:rsid w:val="06D86E6E"/>
    <w:rsid w:val="06E710CA"/>
    <w:rsid w:val="06E94E42"/>
    <w:rsid w:val="06FF6413"/>
    <w:rsid w:val="07101435"/>
    <w:rsid w:val="07131CDD"/>
    <w:rsid w:val="072B0FB7"/>
    <w:rsid w:val="07724E37"/>
    <w:rsid w:val="07B37245"/>
    <w:rsid w:val="07B400E8"/>
    <w:rsid w:val="07EC1177"/>
    <w:rsid w:val="07EF6488"/>
    <w:rsid w:val="07F556AE"/>
    <w:rsid w:val="08176B48"/>
    <w:rsid w:val="084D1CF0"/>
    <w:rsid w:val="0864481A"/>
    <w:rsid w:val="08732C15"/>
    <w:rsid w:val="087B43C8"/>
    <w:rsid w:val="08A54D99"/>
    <w:rsid w:val="08A851CD"/>
    <w:rsid w:val="08B235B1"/>
    <w:rsid w:val="08C6374F"/>
    <w:rsid w:val="08DC1B03"/>
    <w:rsid w:val="08E33B14"/>
    <w:rsid w:val="08F00483"/>
    <w:rsid w:val="08F85810"/>
    <w:rsid w:val="094E5251"/>
    <w:rsid w:val="095A071C"/>
    <w:rsid w:val="096D1193"/>
    <w:rsid w:val="09B4074E"/>
    <w:rsid w:val="09B47989"/>
    <w:rsid w:val="09B67743"/>
    <w:rsid w:val="09CB6A81"/>
    <w:rsid w:val="09E54A69"/>
    <w:rsid w:val="0A0106F5"/>
    <w:rsid w:val="0A0607F6"/>
    <w:rsid w:val="0A0B218A"/>
    <w:rsid w:val="0A2F5262"/>
    <w:rsid w:val="0A333B9A"/>
    <w:rsid w:val="0A4A2EC2"/>
    <w:rsid w:val="0A522CFE"/>
    <w:rsid w:val="0A537E82"/>
    <w:rsid w:val="0A670558"/>
    <w:rsid w:val="0A685D0F"/>
    <w:rsid w:val="0A7D7D7B"/>
    <w:rsid w:val="0ABD643A"/>
    <w:rsid w:val="0AD856A5"/>
    <w:rsid w:val="0AEB4956"/>
    <w:rsid w:val="0B035CC3"/>
    <w:rsid w:val="0B0C10FF"/>
    <w:rsid w:val="0B2E1267"/>
    <w:rsid w:val="0B53243F"/>
    <w:rsid w:val="0B5C3158"/>
    <w:rsid w:val="0B845139"/>
    <w:rsid w:val="0B866A2E"/>
    <w:rsid w:val="0B911F88"/>
    <w:rsid w:val="0B913B41"/>
    <w:rsid w:val="0BB023D2"/>
    <w:rsid w:val="0BC027C4"/>
    <w:rsid w:val="0BC750CE"/>
    <w:rsid w:val="0BDE35D8"/>
    <w:rsid w:val="0BE16F32"/>
    <w:rsid w:val="0C204376"/>
    <w:rsid w:val="0C254A1B"/>
    <w:rsid w:val="0C526FE5"/>
    <w:rsid w:val="0C537AC8"/>
    <w:rsid w:val="0C6875C2"/>
    <w:rsid w:val="0C85560D"/>
    <w:rsid w:val="0C944F90"/>
    <w:rsid w:val="0C9E75FF"/>
    <w:rsid w:val="0CA77331"/>
    <w:rsid w:val="0CB16402"/>
    <w:rsid w:val="0CEC0DE7"/>
    <w:rsid w:val="0D0227BA"/>
    <w:rsid w:val="0D0C4CF8"/>
    <w:rsid w:val="0D0F4807"/>
    <w:rsid w:val="0D1F7146"/>
    <w:rsid w:val="0D23245A"/>
    <w:rsid w:val="0D554FDF"/>
    <w:rsid w:val="0D605732"/>
    <w:rsid w:val="0D844388"/>
    <w:rsid w:val="0D854860"/>
    <w:rsid w:val="0D865199"/>
    <w:rsid w:val="0D9848DC"/>
    <w:rsid w:val="0DA76821"/>
    <w:rsid w:val="0DEE34CD"/>
    <w:rsid w:val="0E0B7D94"/>
    <w:rsid w:val="0E230C39"/>
    <w:rsid w:val="0E301FC6"/>
    <w:rsid w:val="0E607F86"/>
    <w:rsid w:val="0E664FCA"/>
    <w:rsid w:val="0E8A0CB9"/>
    <w:rsid w:val="0E9C279A"/>
    <w:rsid w:val="0EB23067"/>
    <w:rsid w:val="0EB421D9"/>
    <w:rsid w:val="0F142273"/>
    <w:rsid w:val="0F5B4403"/>
    <w:rsid w:val="0F5D008C"/>
    <w:rsid w:val="0F664326"/>
    <w:rsid w:val="0FA918C7"/>
    <w:rsid w:val="0FA9329A"/>
    <w:rsid w:val="0FD3114F"/>
    <w:rsid w:val="0FE63AC6"/>
    <w:rsid w:val="0FEB6A17"/>
    <w:rsid w:val="0FEE5EBF"/>
    <w:rsid w:val="1012756E"/>
    <w:rsid w:val="108300B5"/>
    <w:rsid w:val="108654B0"/>
    <w:rsid w:val="108C64EF"/>
    <w:rsid w:val="10AA5642"/>
    <w:rsid w:val="10BE733F"/>
    <w:rsid w:val="10CA1840"/>
    <w:rsid w:val="10D60D02"/>
    <w:rsid w:val="10D658FE"/>
    <w:rsid w:val="10D97CD5"/>
    <w:rsid w:val="10E94AC2"/>
    <w:rsid w:val="10EC7A09"/>
    <w:rsid w:val="10FC5772"/>
    <w:rsid w:val="11015B72"/>
    <w:rsid w:val="1107092F"/>
    <w:rsid w:val="11093651"/>
    <w:rsid w:val="1147387D"/>
    <w:rsid w:val="114B5472"/>
    <w:rsid w:val="11662604"/>
    <w:rsid w:val="11683B30"/>
    <w:rsid w:val="11700416"/>
    <w:rsid w:val="11796EDC"/>
    <w:rsid w:val="118006F3"/>
    <w:rsid w:val="118B0DEE"/>
    <w:rsid w:val="119D5A3B"/>
    <w:rsid w:val="11AF4BBA"/>
    <w:rsid w:val="11C91AF8"/>
    <w:rsid w:val="11FF11DA"/>
    <w:rsid w:val="121D5C5B"/>
    <w:rsid w:val="125248D7"/>
    <w:rsid w:val="12635AA8"/>
    <w:rsid w:val="126C254B"/>
    <w:rsid w:val="127840D2"/>
    <w:rsid w:val="12900790"/>
    <w:rsid w:val="12900868"/>
    <w:rsid w:val="12A63010"/>
    <w:rsid w:val="12B839F5"/>
    <w:rsid w:val="12E642C5"/>
    <w:rsid w:val="130A23C8"/>
    <w:rsid w:val="13203999"/>
    <w:rsid w:val="13280779"/>
    <w:rsid w:val="13421AE3"/>
    <w:rsid w:val="13425272"/>
    <w:rsid w:val="134F24D1"/>
    <w:rsid w:val="1399464B"/>
    <w:rsid w:val="13AA7707"/>
    <w:rsid w:val="13C733E6"/>
    <w:rsid w:val="13E45340"/>
    <w:rsid w:val="13FF3EF7"/>
    <w:rsid w:val="143C0B97"/>
    <w:rsid w:val="14496182"/>
    <w:rsid w:val="144E2788"/>
    <w:rsid w:val="14616F66"/>
    <w:rsid w:val="14806439"/>
    <w:rsid w:val="149C1746"/>
    <w:rsid w:val="14D21743"/>
    <w:rsid w:val="14D26E56"/>
    <w:rsid w:val="14E4477F"/>
    <w:rsid w:val="14EA0703"/>
    <w:rsid w:val="15035669"/>
    <w:rsid w:val="15086E33"/>
    <w:rsid w:val="152F7F4B"/>
    <w:rsid w:val="158A77F0"/>
    <w:rsid w:val="15A541C4"/>
    <w:rsid w:val="15BB0C10"/>
    <w:rsid w:val="15BD1BCA"/>
    <w:rsid w:val="15CD7D54"/>
    <w:rsid w:val="15F630D7"/>
    <w:rsid w:val="15FB113C"/>
    <w:rsid w:val="16105DC5"/>
    <w:rsid w:val="16730284"/>
    <w:rsid w:val="16753FFC"/>
    <w:rsid w:val="16774FC1"/>
    <w:rsid w:val="167C2CA0"/>
    <w:rsid w:val="16862FFB"/>
    <w:rsid w:val="16B22972"/>
    <w:rsid w:val="16B965DF"/>
    <w:rsid w:val="16BC74EB"/>
    <w:rsid w:val="16FD63B7"/>
    <w:rsid w:val="17075810"/>
    <w:rsid w:val="170F516B"/>
    <w:rsid w:val="17402DEB"/>
    <w:rsid w:val="1741793A"/>
    <w:rsid w:val="1743234C"/>
    <w:rsid w:val="17933E49"/>
    <w:rsid w:val="17966F3F"/>
    <w:rsid w:val="179901BE"/>
    <w:rsid w:val="179D2ACB"/>
    <w:rsid w:val="17AC2D6B"/>
    <w:rsid w:val="17B42A76"/>
    <w:rsid w:val="17C24EE1"/>
    <w:rsid w:val="17C27715"/>
    <w:rsid w:val="17C57205"/>
    <w:rsid w:val="17CA60F9"/>
    <w:rsid w:val="17E4768B"/>
    <w:rsid w:val="17EE4F0B"/>
    <w:rsid w:val="17FC3BA5"/>
    <w:rsid w:val="182513C0"/>
    <w:rsid w:val="182B51D2"/>
    <w:rsid w:val="18397E11"/>
    <w:rsid w:val="18426135"/>
    <w:rsid w:val="18523C01"/>
    <w:rsid w:val="18915CCD"/>
    <w:rsid w:val="18A8371E"/>
    <w:rsid w:val="18E407F4"/>
    <w:rsid w:val="190139FE"/>
    <w:rsid w:val="191C263F"/>
    <w:rsid w:val="194505FE"/>
    <w:rsid w:val="19570331"/>
    <w:rsid w:val="196562EC"/>
    <w:rsid w:val="196675BB"/>
    <w:rsid w:val="19687E48"/>
    <w:rsid w:val="196B1CEA"/>
    <w:rsid w:val="198E1EAE"/>
    <w:rsid w:val="19A777D9"/>
    <w:rsid w:val="19AB0116"/>
    <w:rsid w:val="19C30599"/>
    <w:rsid w:val="19CF7EC7"/>
    <w:rsid w:val="19FB3499"/>
    <w:rsid w:val="1A24288D"/>
    <w:rsid w:val="1A3A7593"/>
    <w:rsid w:val="1A405F82"/>
    <w:rsid w:val="1A74298E"/>
    <w:rsid w:val="1AD5211E"/>
    <w:rsid w:val="1B1B5294"/>
    <w:rsid w:val="1B283330"/>
    <w:rsid w:val="1B356450"/>
    <w:rsid w:val="1B434F04"/>
    <w:rsid w:val="1B9C14FB"/>
    <w:rsid w:val="1BBF6165"/>
    <w:rsid w:val="1BDB35E3"/>
    <w:rsid w:val="1BE453D0"/>
    <w:rsid w:val="1BEB4F4B"/>
    <w:rsid w:val="1BEF4851"/>
    <w:rsid w:val="1BFE3C79"/>
    <w:rsid w:val="1C0954E1"/>
    <w:rsid w:val="1C2C01A7"/>
    <w:rsid w:val="1C4F3541"/>
    <w:rsid w:val="1C584649"/>
    <w:rsid w:val="1C7134B8"/>
    <w:rsid w:val="1C792E22"/>
    <w:rsid w:val="1C93646E"/>
    <w:rsid w:val="1CB57848"/>
    <w:rsid w:val="1CBF2475"/>
    <w:rsid w:val="1D2D5631"/>
    <w:rsid w:val="1D345E0F"/>
    <w:rsid w:val="1D3E783E"/>
    <w:rsid w:val="1D522DF9"/>
    <w:rsid w:val="1D880AB9"/>
    <w:rsid w:val="1DB9452C"/>
    <w:rsid w:val="1DE33F41"/>
    <w:rsid w:val="1DE71C83"/>
    <w:rsid w:val="1E0431F6"/>
    <w:rsid w:val="1E1265D5"/>
    <w:rsid w:val="1E206809"/>
    <w:rsid w:val="1E5A0F1E"/>
    <w:rsid w:val="1E5A29B0"/>
    <w:rsid w:val="1E71779F"/>
    <w:rsid w:val="1E8A6AB3"/>
    <w:rsid w:val="1EA63FAE"/>
    <w:rsid w:val="1EB27A1A"/>
    <w:rsid w:val="1EBC700B"/>
    <w:rsid w:val="1EE45188"/>
    <w:rsid w:val="1EEC7023"/>
    <w:rsid w:val="1EFB3211"/>
    <w:rsid w:val="1F103EA9"/>
    <w:rsid w:val="1F1A7A1E"/>
    <w:rsid w:val="1F1D7927"/>
    <w:rsid w:val="1F332CA6"/>
    <w:rsid w:val="1F44705C"/>
    <w:rsid w:val="1F45125A"/>
    <w:rsid w:val="1F784B5D"/>
    <w:rsid w:val="1FA63478"/>
    <w:rsid w:val="1FAA1431"/>
    <w:rsid w:val="1FB14636"/>
    <w:rsid w:val="1FC475AA"/>
    <w:rsid w:val="1FCA3C17"/>
    <w:rsid w:val="1FD1437A"/>
    <w:rsid w:val="1FDB296A"/>
    <w:rsid w:val="1FE909DC"/>
    <w:rsid w:val="1FEA5A5B"/>
    <w:rsid w:val="1FF42436"/>
    <w:rsid w:val="1FFA0BD8"/>
    <w:rsid w:val="20056C59"/>
    <w:rsid w:val="20213A44"/>
    <w:rsid w:val="202730EF"/>
    <w:rsid w:val="204333BD"/>
    <w:rsid w:val="20457135"/>
    <w:rsid w:val="20631369"/>
    <w:rsid w:val="207227D1"/>
    <w:rsid w:val="20726449"/>
    <w:rsid w:val="20755F4B"/>
    <w:rsid w:val="20AF152F"/>
    <w:rsid w:val="20D70CDB"/>
    <w:rsid w:val="20D970F2"/>
    <w:rsid w:val="20DB2206"/>
    <w:rsid w:val="20E019DC"/>
    <w:rsid w:val="20E83906"/>
    <w:rsid w:val="211865F8"/>
    <w:rsid w:val="212C6238"/>
    <w:rsid w:val="21431371"/>
    <w:rsid w:val="2149055F"/>
    <w:rsid w:val="21513626"/>
    <w:rsid w:val="215C64E4"/>
    <w:rsid w:val="215D225D"/>
    <w:rsid w:val="21667363"/>
    <w:rsid w:val="219001F8"/>
    <w:rsid w:val="219537A4"/>
    <w:rsid w:val="21BD6DBB"/>
    <w:rsid w:val="21C02D6D"/>
    <w:rsid w:val="21C36564"/>
    <w:rsid w:val="21C85928"/>
    <w:rsid w:val="21DF0EC4"/>
    <w:rsid w:val="21E23A88"/>
    <w:rsid w:val="220F3557"/>
    <w:rsid w:val="221C055F"/>
    <w:rsid w:val="222A213F"/>
    <w:rsid w:val="22673089"/>
    <w:rsid w:val="22711F1D"/>
    <w:rsid w:val="228D0920"/>
    <w:rsid w:val="22E104A7"/>
    <w:rsid w:val="22FE3737"/>
    <w:rsid w:val="23290736"/>
    <w:rsid w:val="23362D65"/>
    <w:rsid w:val="23603619"/>
    <w:rsid w:val="236E5E5F"/>
    <w:rsid w:val="237072A3"/>
    <w:rsid w:val="2378337E"/>
    <w:rsid w:val="2395126F"/>
    <w:rsid w:val="239A32F4"/>
    <w:rsid w:val="23A61C99"/>
    <w:rsid w:val="23B93089"/>
    <w:rsid w:val="23C5440E"/>
    <w:rsid w:val="23F30C56"/>
    <w:rsid w:val="240D1E7C"/>
    <w:rsid w:val="2411343C"/>
    <w:rsid w:val="241F1A4B"/>
    <w:rsid w:val="24266C7C"/>
    <w:rsid w:val="243B4281"/>
    <w:rsid w:val="244A2F6C"/>
    <w:rsid w:val="246A64EC"/>
    <w:rsid w:val="248E0882"/>
    <w:rsid w:val="24AB04CD"/>
    <w:rsid w:val="24B47998"/>
    <w:rsid w:val="24B85FE4"/>
    <w:rsid w:val="24D67678"/>
    <w:rsid w:val="252E63EA"/>
    <w:rsid w:val="25335818"/>
    <w:rsid w:val="25493224"/>
    <w:rsid w:val="256533FF"/>
    <w:rsid w:val="25714E00"/>
    <w:rsid w:val="258204E4"/>
    <w:rsid w:val="258E278B"/>
    <w:rsid w:val="25950845"/>
    <w:rsid w:val="25A53D6F"/>
    <w:rsid w:val="25E847EB"/>
    <w:rsid w:val="25F56F08"/>
    <w:rsid w:val="267047E0"/>
    <w:rsid w:val="268C4A4A"/>
    <w:rsid w:val="270F7B55"/>
    <w:rsid w:val="273B6B9C"/>
    <w:rsid w:val="27427F2B"/>
    <w:rsid w:val="27454BF7"/>
    <w:rsid w:val="27457765"/>
    <w:rsid w:val="27513007"/>
    <w:rsid w:val="276C3345"/>
    <w:rsid w:val="27857F9B"/>
    <w:rsid w:val="2795721C"/>
    <w:rsid w:val="27A641C3"/>
    <w:rsid w:val="27A6670B"/>
    <w:rsid w:val="27C546B8"/>
    <w:rsid w:val="28035E09"/>
    <w:rsid w:val="281D567C"/>
    <w:rsid w:val="282633A8"/>
    <w:rsid w:val="28331903"/>
    <w:rsid w:val="283755B5"/>
    <w:rsid w:val="284461F5"/>
    <w:rsid w:val="284F29AA"/>
    <w:rsid w:val="286B5783"/>
    <w:rsid w:val="286F1880"/>
    <w:rsid w:val="28802127"/>
    <w:rsid w:val="288D313B"/>
    <w:rsid w:val="28961B99"/>
    <w:rsid w:val="28A10C81"/>
    <w:rsid w:val="28B44E58"/>
    <w:rsid w:val="28C05EAE"/>
    <w:rsid w:val="28C25B84"/>
    <w:rsid w:val="28EC2844"/>
    <w:rsid w:val="28F9286B"/>
    <w:rsid w:val="29114058"/>
    <w:rsid w:val="292E2632"/>
    <w:rsid w:val="29422319"/>
    <w:rsid w:val="29497C1B"/>
    <w:rsid w:val="29594B17"/>
    <w:rsid w:val="29745A9F"/>
    <w:rsid w:val="29895F6F"/>
    <w:rsid w:val="29992827"/>
    <w:rsid w:val="29995DFC"/>
    <w:rsid w:val="29AC6F9B"/>
    <w:rsid w:val="29B91807"/>
    <w:rsid w:val="29E821D3"/>
    <w:rsid w:val="29F75268"/>
    <w:rsid w:val="2A0843FB"/>
    <w:rsid w:val="2A0D3565"/>
    <w:rsid w:val="2A671A93"/>
    <w:rsid w:val="2A725E24"/>
    <w:rsid w:val="2A76709F"/>
    <w:rsid w:val="2A813D65"/>
    <w:rsid w:val="2A930A9D"/>
    <w:rsid w:val="2A967EB2"/>
    <w:rsid w:val="2ABB7160"/>
    <w:rsid w:val="2ABD555D"/>
    <w:rsid w:val="2AC670C5"/>
    <w:rsid w:val="2AD417E1"/>
    <w:rsid w:val="2B065713"/>
    <w:rsid w:val="2B2871E7"/>
    <w:rsid w:val="2B4147A5"/>
    <w:rsid w:val="2B764373"/>
    <w:rsid w:val="2B7E5B63"/>
    <w:rsid w:val="2B8474C1"/>
    <w:rsid w:val="2BA75CE6"/>
    <w:rsid w:val="2BA9299F"/>
    <w:rsid w:val="2BCE0DAB"/>
    <w:rsid w:val="2BEC78AC"/>
    <w:rsid w:val="2BF832AE"/>
    <w:rsid w:val="2BF93690"/>
    <w:rsid w:val="2BFE65C2"/>
    <w:rsid w:val="2C02412C"/>
    <w:rsid w:val="2C0525C8"/>
    <w:rsid w:val="2C1665B8"/>
    <w:rsid w:val="2C1B6EA3"/>
    <w:rsid w:val="2C295297"/>
    <w:rsid w:val="2C6E17C2"/>
    <w:rsid w:val="2CAA4A50"/>
    <w:rsid w:val="2CB90168"/>
    <w:rsid w:val="2CC5686F"/>
    <w:rsid w:val="2CD5501C"/>
    <w:rsid w:val="2D7F69DE"/>
    <w:rsid w:val="2DB16F26"/>
    <w:rsid w:val="2DB3388B"/>
    <w:rsid w:val="2DC518B5"/>
    <w:rsid w:val="2DC93154"/>
    <w:rsid w:val="2DCA6ECC"/>
    <w:rsid w:val="2DDC57AF"/>
    <w:rsid w:val="2E2C723F"/>
    <w:rsid w:val="2E815E80"/>
    <w:rsid w:val="2E8E096D"/>
    <w:rsid w:val="2E954277"/>
    <w:rsid w:val="2EBE59C2"/>
    <w:rsid w:val="2EDF69A7"/>
    <w:rsid w:val="2F1A79DF"/>
    <w:rsid w:val="2F2A413F"/>
    <w:rsid w:val="2F363171"/>
    <w:rsid w:val="2F7E7F6E"/>
    <w:rsid w:val="2F8B34FD"/>
    <w:rsid w:val="2F9959A7"/>
    <w:rsid w:val="300D323B"/>
    <w:rsid w:val="302169BE"/>
    <w:rsid w:val="302D0419"/>
    <w:rsid w:val="30311375"/>
    <w:rsid w:val="30404D55"/>
    <w:rsid w:val="30473F91"/>
    <w:rsid w:val="305E4E97"/>
    <w:rsid w:val="306058C5"/>
    <w:rsid w:val="306D6703"/>
    <w:rsid w:val="307C3F0E"/>
    <w:rsid w:val="30A54B08"/>
    <w:rsid w:val="30B023A9"/>
    <w:rsid w:val="30B5421D"/>
    <w:rsid w:val="30C714A1"/>
    <w:rsid w:val="310E2A55"/>
    <w:rsid w:val="311772A4"/>
    <w:rsid w:val="31186537"/>
    <w:rsid w:val="312133D5"/>
    <w:rsid w:val="31283321"/>
    <w:rsid w:val="315F792B"/>
    <w:rsid w:val="319E1D2A"/>
    <w:rsid w:val="31A66532"/>
    <w:rsid w:val="31B92B8B"/>
    <w:rsid w:val="31BB1552"/>
    <w:rsid w:val="31E52343"/>
    <w:rsid w:val="324D032D"/>
    <w:rsid w:val="3257574A"/>
    <w:rsid w:val="325A11C5"/>
    <w:rsid w:val="325B4596"/>
    <w:rsid w:val="32702FC0"/>
    <w:rsid w:val="329E4DFA"/>
    <w:rsid w:val="32B313E6"/>
    <w:rsid w:val="32D069D1"/>
    <w:rsid w:val="32FB3683"/>
    <w:rsid w:val="32FD564D"/>
    <w:rsid w:val="3328091C"/>
    <w:rsid w:val="33620F19"/>
    <w:rsid w:val="338F3097"/>
    <w:rsid w:val="33A51F6D"/>
    <w:rsid w:val="33BD4631"/>
    <w:rsid w:val="33C06DA7"/>
    <w:rsid w:val="33F307A5"/>
    <w:rsid w:val="33FA0154"/>
    <w:rsid w:val="342509B8"/>
    <w:rsid w:val="34297F29"/>
    <w:rsid w:val="34476B80"/>
    <w:rsid w:val="345014C3"/>
    <w:rsid w:val="349D0BDD"/>
    <w:rsid w:val="34AE6BFF"/>
    <w:rsid w:val="34CA3E45"/>
    <w:rsid w:val="34D34153"/>
    <w:rsid w:val="350B5E00"/>
    <w:rsid w:val="35721391"/>
    <w:rsid w:val="357D41D5"/>
    <w:rsid w:val="359758E5"/>
    <w:rsid w:val="359D5EEA"/>
    <w:rsid w:val="35BA1D81"/>
    <w:rsid w:val="35BE7DBB"/>
    <w:rsid w:val="35D02BA5"/>
    <w:rsid w:val="35E8637E"/>
    <w:rsid w:val="35EF3CD1"/>
    <w:rsid w:val="35F248F5"/>
    <w:rsid w:val="35FC1BEC"/>
    <w:rsid w:val="35FC7E3E"/>
    <w:rsid w:val="36356EAC"/>
    <w:rsid w:val="363C3B17"/>
    <w:rsid w:val="36474247"/>
    <w:rsid w:val="3652282D"/>
    <w:rsid w:val="365612FD"/>
    <w:rsid w:val="3677309A"/>
    <w:rsid w:val="36F40B16"/>
    <w:rsid w:val="36F86858"/>
    <w:rsid w:val="370C52DF"/>
    <w:rsid w:val="370C5E5F"/>
    <w:rsid w:val="372140C5"/>
    <w:rsid w:val="374B6987"/>
    <w:rsid w:val="374D6BA3"/>
    <w:rsid w:val="375A306E"/>
    <w:rsid w:val="3783241F"/>
    <w:rsid w:val="379320DC"/>
    <w:rsid w:val="37973E31"/>
    <w:rsid w:val="37A61D6A"/>
    <w:rsid w:val="37A91C9F"/>
    <w:rsid w:val="37B02C8E"/>
    <w:rsid w:val="37BD5302"/>
    <w:rsid w:val="37C4351F"/>
    <w:rsid w:val="37CE1367"/>
    <w:rsid w:val="37D746BF"/>
    <w:rsid w:val="37DF3574"/>
    <w:rsid w:val="37E528A4"/>
    <w:rsid w:val="37FE3B6D"/>
    <w:rsid w:val="3801393F"/>
    <w:rsid w:val="385B5040"/>
    <w:rsid w:val="387B7D7C"/>
    <w:rsid w:val="3885236D"/>
    <w:rsid w:val="388F565A"/>
    <w:rsid w:val="38A76B41"/>
    <w:rsid w:val="38BE762D"/>
    <w:rsid w:val="38C84008"/>
    <w:rsid w:val="38CA5FD2"/>
    <w:rsid w:val="38EB0F04"/>
    <w:rsid w:val="3908412D"/>
    <w:rsid w:val="39224187"/>
    <w:rsid w:val="39411452"/>
    <w:rsid w:val="39725E0D"/>
    <w:rsid w:val="397B72CC"/>
    <w:rsid w:val="397C49C3"/>
    <w:rsid w:val="39B22FFA"/>
    <w:rsid w:val="39C15930"/>
    <w:rsid w:val="39DC0787"/>
    <w:rsid w:val="3A173499"/>
    <w:rsid w:val="3A30022F"/>
    <w:rsid w:val="3A371445"/>
    <w:rsid w:val="3A886145"/>
    <w:rsid w:val="3A8D72B7"/>
    <w:rsid w:val="3AA009A1"/>
    <w:rsid w:val="3AB900AC"/>
    <w:rsid w:val="3AC52EF5"/>
    <w:rsid w:val="3B007A89"/>
    <w:rsid w:val="3B027CA5"/>
    <w:rsid w:val="3B1E3236"/>
    <w:rsid w:val="3B2E2848"/>
    <w:rsid w:val="3B5D4EDB"/>
    <w:rsid w:val="3B81506E"/>
    <w:rsid w:val="3BA526EA"/>
    <w:rsid w:val="3BA60D07"/>
    <w:rsid w:val="3BA6272A"/>
    <w:rsid w:val="3BAD4A61"/>
    <w:rsid w:val="3BB22833"/>
    <w:rsid w:val="3BCB672A"/>
    <w:rsid w:val="3BDC53B4"/>
    <w:rsid w:val="3BE27C97"/>
    <w:rsid w:val="3BE473AB"/>
    <w:rsid w:val="3C030505"/>
    <w:rsid w:val="3C1C0729"/>
    <w:rsid w:val="3C9A513B"/>
    <w:rsid w:val="3CB8475C"/>
    <w:rsid w:val="3CB94393"/>
    <w:rsid w:val="3CCD2793"/>
    <w:rsid w:val="3CE242F0"/>
    <w:rsid w:val="3CFA57E4"/>
    <w:rsid w:val="3D0221DE"/>
    <w:rsid w:val="3D023F8C"/>
    <w:rsid w:val="3D0673EF"/>
    <w:rsid w:val="3D1B3AA0"/>
    <w:rsid w:val="3D1E60DF"/>
    <w:rsid w:val="3D3C39D6"/>
    <w:rsid w:val="3D4E2ED8"/>
    <w:rsid w:val="3D5D3C39"/>
    <w:rsid w:val="3D92443C"/>
    <w:rsid w:val="3D95035C"/>
    <w:rsid w:val="3DE2791A"/>
    <w:rsid w:val="3E053B4B"/>
    <w:rsid w:val="3E151A9D"/>
    <w:rsid w:val="3E375EB7"/>
    <w:rsid w:val="3E38205E"/>
    <w:rsid w:val="3E7C6729"/>
    <w:rsid w:val="3E8266FE"/>
    <w:rsid w:val="3E863F04"/>
    <w:rsid w:val="3E933410"/>
    <w:rsid w:val="3EA47C68"/>
    <w:rsid w:val="3ED03C16"/>
    <w:rsid w:val="3ED6009E"/>
    <w:rsid w:val="3EEB27FE"/>
    <w:rsid w:val="3F0F6E83"/>
    <w:rsid w:val="3F1E7B7B"/>
    <w:rsid w:val="3F23526A"/>
    <w:rsid w:val="3F3423F7"/>
    <w:rsid w:val="3F490308"/>
    <w:rsid w:val="3F595FFD"/>
    <w:rsid w:val="3F8E1B07"/>
    <w:rsid w:val="3FF82684"/>
    <w:rsid w:val="3FFE5390"/>
    <w:rsid w:val="40161AFD"/>
    <w:rsid w:val="403326AF"/>
    <w:rsid w:val="40402F34"/>
    <w:rsid w:val="408B6047"/>
    <w:rsid w:val="40AF442B"/>
    <w:rsid w:val="40E165AE"/>
    <w:rsid w:val="40F07398"/>
    <w:rsid w:val="40F26AC0"/>
    <w:rsid w:val="40F925E3"/>
    <w:rsid w:val="411C75E7"/>
    <w:rsid w:val="412248A1"/>
    <w:rsid w:val="41540B2E"/>
    <w:rsid w:val="415E333C"/>
    <w:rsid w:val="41715E5E"/>
    <w:rsid w:val="417F7EBB"/>
    <w:rsid w:val="418F600A"/>
    <w:rsid w:val="419B5FD1"/>
    <w:rsid w:val="419E1DAA"/>
    <w:rsid w:val="41C95125"/>
    <w:rsid w:val="41FB203E"/>
    <w:rsid w:val="420D5851"/>
    <w:rsid w:val="420D5A35"/>
    <w:rsid w:val="422A188F"/>
    <w:rsid w:val="422E137F"/>
    <w:rsid w:val="424B3CDF"/>
    <w:rsid w:val="425F401B"/>
    <w:rsid w:val="426D19F0"/>
    <w:rsid w:val="428C7571"/>
    <w:rsid w:val="42997C24"/>
    <w:rsid w:val="42A165C0"/>
    <w:rsid w:val="42D31F27"/>
    <w:rsid w:val="42D33CD5"/>
    <w:rsid w:val="42D4097A"/>
    <w:rsid w:val="42E80B4B"/>
    <w:rsid w:val="42FC5208"/>
    <w:rsid w:val="43227F2B"/>
    <w:rsid w:val="43255A95"/>
    <w:rsid w:val="43341596"/>
    <w:rsid w:val="436F7EA2"/>
    <w:rsid w:val="437B0FFD"/>
    <w:rsid w:val="43860D47"/>
    <w:rsid w:val="43B41D58"/>
    <w:rsid w:val="43E725CC"/>
    <w:rsid w:val="43ED0DC6"/>
    <w:rsid w:val="43FB4652"/>
    <w:rsid w:val="43FF1225"/>
    <w:rsid w:val="445F4788"/>
    <w:rsid w:val="447306A2"/>
    <w:rsid w:val="447D5C51"/>
    <w:rsid w:val="44890DFE"/>
    <w:rsid w:val="44B32884"/>
    <w:rsid w:val="44E36EBE"/>
    <w:rsid w:val="44E73A68"/>
    <w:rsid w:val="44FA6BE7"/>
    <w:rsid w:val="4508235C"/>
    <w:rsid w:val="45223845"/>
    <w:rsid w:val="45290298"/>
    <w:rsid w:val="455978C8"/>
    <w:rsid w:val="45B51211"/>
    <w:rsid w:val="45BA27F4"/>
    <w:rsid w:val="45BD6D52"/>
    <w:rsid w:val="45BF5F80"/>
    <w:rsid w:val="45D60A1D"/>
    <w:rsid w:val="45DC10F2"/>
    <w:rsid w:val="45EF52CA"/>
    <w:rsid w:val="45F16636"/>
    <w:rsid w:val="46276812"/>
    <w:rsid w:val="462A4554"/>
    <w:rsid w:val="46517D32"/>
    <w:rsid w:val="46753001"/>
    <w:rsid w:val="46821C9A"/>
    <w:rsid w:val="46B51ADC"/>
    <w:rsid w:val="46D0419D"/>
    <w:rsid w:val="46E51A75"/>
    <w:rsid w:val="46F84891"/>
    <w:rsid w:val="46FD6304"/>
    <w:rsid w:val="47002CD8"/>
    <w:rsid w:val="472F5BD9"/>
    <w:rsid w:val="47762C36"/>
    <w:rsid w:val="47795A8B"/>
    <w:rsid w:val="477C0DDF"/>
    <w:rsid w:val="47AC0BA9"/>
    <w:rsid w:val="47EB7DBD"/>
    <w:rsid w:val="480212E4"/>
    <w:rsid w:val="4805295C"/>
    <w:rsid w:val="482B73A4"/>
    <w:rsid w:val="4871351D"/>
    <w:rsid w:val="48900C98"/>
    <w:rsid w:val="48C04CFB"/>
    <w:rsid w:val="48FF5824"/>
    <w:rsid w:val="49266FC3"/>
    <w:rsid w:val="492B03C7"/>
    <w:rsid w:val="49307F9C"/>
    <w:rsid w:val="493C6A78"/>
    <w:rsid w:val="49425710"/>
    <w:rsid w:val="498E5824"/>
    <w:rsid w:val="49AA19C3"/>
    <w:rsid w:val="49C11920"/>
    <w:rsid w:val="49C9349E"/>
    <w:rsid w:val="49DA528B"/>
    <w:rsid w:val="49DE053E"/>
    <w:rsid w:val="4A0179C1"/>
    <w:rsid w:val="4A201EF6"/>
    <w:rsid w:val="4A352B3D"/>
    <w:rsid w:val="4A362F02"/>
    <w:rsid w:val="4A625D30"/>
    <w:rsid w:val="4A767D68"/>
    <w:rsid w:val="4A8C2008"/>
    <w:rsid w:val="4ADA0157"/>
    <w:rsid w:val="4B141FD2"/>
    <w:rsid w:val="4B3317B5"/>
    <w:rsid w:val="4B475260"/>
    <w:rsid w:val="4B4C2876"/>
    <w:rsid w:val="4B8A0C8E"/>
    <w:rsid w:val="4B9E1324"/>
    <w:rsid w:val="4BBF201F"/>
    <w:rsid w:val="4BE17463"/>
    <w:rsid w:val="4BFB4538"/>
    <w:rsid w:val="4C4F1E34"/>
    <w:rsid w:val="4C59349D"/>
    <w:rsid w:val="4CA26BF2"/>
    <w:rsid w:val="4CEE1E37"/>
    <w:rsid w:val="4D043409"/>
    <w:rsid w:val="4D145F92"/>
    <w:rsid w:val="4D330192"/>
    <w:rsid w:val="4D400CC0"/>
    <w:rsid w:val="4D4205AF"/>
    <w:rsid w:val="4D461C73"/>
    <w:rsid w:val="4DB52C4D"/>
    <w:rsid w:val="4E092CA1"/>
    <w:rsid w:val="4E111A5A"/>
    <w:rsid w:val="4E327823"/>
    <w:rsid w:val="4E4156DB"/>
    <w:rsid w:val="4E93713A"/>
    <w:rsid w:val="4E9702AC"/>
    <w:rsid w:val="4EC314C8"/>
    <w:rsid w:val="4EC42815"/>
    <w:rsid w:val="4EE7316A"/>
    <w:rsid w:val="4F0F5267"/>
    <w:rsid w:val="4F135B85"/>
    <w:rsid w:val="4F1456D4"/>
    <w:rsid w:val="4F691C49"/>
    <w:rsid w:val="4F9905AE"/>
    <w:rsid w:val="4FC33F25"/>
    <w:rsid w:val="4FD001C7"/>
    <w:rsid w:val="4FFF6109"/>
    <w:rsid w:val="500B71A4"/>
    <w:rsid w:val="50180925"/>
    <w:rsid w:val="502E3F19"/>
    <w:rsid w:val="502E60F8"/>
    <w:rsid w:val="50334005"/>
    <w:rsid w:val="50410D12"/>
    <w:rsid w:val="504E780B"/>
    <w:rsid w:val="505D3EB9"/>
    <w:rsid w:val="505E4B9C"/>
    <w:rsid w:val="508036EE"/>
    <w:rsid w:val="50A30487"/>
    <w:rsid w:val="50DD1804"/>
    <w:rsid w:val="50E172E3"/>
    <w:rsid w:val="513918A9"/>
    <w:rsid w:val="51581F75"/>
    <w:rsid w:val="51653D4B"/>
    <w:rsid w:val="518D60D8"/>
    <w:rsid w:val="51A52CE0"/>
    <w:rsid w:val="51DA3C1E"/>
    <w:rsid w:val="52195EFA"/>
    <w:rsid w:val="52893764"/>
    <w:rsid w:val="52953EDE"/>
    <w:rsid w:val="529674E9"/>
    <w:rsid w:val="52A03C76"/>
    <w:rsid w:val="52AF2069"/>
    <w:rsid w:val="52B1378F"/>
    <w:rsid w:val="52B43B7C"/>
    <w:rsid w:val="52B94916"/>
    <w:rsid w:val="52C41B2D"/>
    <w:rsid w:val="53100CAE"/>
    <w:rsid w:val="533745E5"/>
    <w:rsid w:val="534B029F"/>
    <w:rsid w:val="535D3873"/>
    <w:rsid w:val="53876B42"/>
    <w:rsid w:val="53B16FE2"/>
    <w:rsid w:val="53EE716F"/>
    <w:rsid w:val="54153BAB"/>
    <w:rsid w:val="54323C64"/>
    <w:rsid w:val="543E18F6"/>
    <w:rsid w:val="546B1FBF"/>
    <w:rsid w:val="54930E84"/>
    <w:rsid w:val="54996B2C"/>
    <w:rsid w:val="54A506C8"/>
    <w:rsid w:val="54B44F10"/>
    <w:rsid w:val="550A7A2A"/>
    <w:rsid w:val="550F143F"/>
    <w:rsid w:val="5512383F"/>
    <w:rsid w:val="551B53B0"/>
    <w:rsid w:val="554A5B42"/>
    <w:rsid w:val="554A7E27"/>
    <w:rsid w:val="555E1B24"/>
    <w:rsid w:val="556A04C9"/>
    <w:rsid w:val="556A52A1"/>
    <w:rsid w:val="55913CA7"/>
    <w:rsid w:val="559E5653"/>
    <w:rsid w:val="55A049A2"/>
    <w:rsid w:val="55AB3C2F"/>
    <w:rsid w:val="55EC35D4"/>
    <w:rsid w:val="56383CF3"/>
    <w:rsid w:val="56455CD4"/>
    <w:rsid w:val="565C42B5"/>
    <w:rsid w:val="568315AE"/>
    <w:rsid w:val="569F41A2"/>
    <w:rsid w:val="56AE76A6"/>
    <w:rsid w:val="56B714EC"/>
    <w:rsid w:val="56D4209E"/>
    <w:rsid w:val="56DB2C2D"/>
    <w:rsid w:val="56E4418B"/>
    <w:rsid w:val="57064221"/>
    <w:rsid w:val="57065B51"/>
    <w:rsid w:val="57172250"/>
    <w:rsid w:val="572E082D"/>
    <w:rsid w:val="575823DC"/>
    <w:rsid w:val="575E5E0B"/>
    <w:rsid w:val="5773022F"/>
    <w:rsid w:val="57770C7B"/>
    <w:rsid w:val="577861BC"/>
    <w:rsid w:val="57A104F9"/>
    <w:rsid w:val="57E50495"/>
    <w:rsid w:val="57E72F44"/>
    <w:rsid w:val="57EF2F07"/>
    <w:rsid w:val="580A1AEF"/>
    <w:rsid w:val="580D02D9"/>
    <w:rsid w:val="58392BC8"/>
    <w:rsid w:val="58410767"/>
    <w:rsid w:val="5866141B"/>
    <w:rsid w:val="58776655"/>
    <w:rsid w:val="587B3CEC"/>
    <w:rsid w:val="58AD6409"/>
    <w:rsid w:val="58B469F6"/>
    <w:rsid w:val="58B74216"/>
    <w:rsid w:val="58C16652"/>
    <w:rsid w:val="58C43146"/>
    <w:rsid w:val="590752B6"/>
    <w:rsid w:val="591744C4"/>
    <w:rsid w:val="591F15CA"/>
    <w:rsid w:val="59231A6A"/>
    <w:rsid w:val="592C2E0C"/>
    <w:rsid w:val="596D67DA"/>
    <w:rsid w:val="59760D08"/>
    <w:rsid w:val="599E6993"/>
    <w:rsid w:val="59AC5554"/>
    <w:rsid w:val="59C04B5B"/>
    <w:rsid w:val="59C92914"/>
    <w:rsid w:val="59CF5559"/>
    <w:rsid w:val="59E87171"/>
    <w:rsid w:val="5A3B264B"/>
    <w:rsid w:val="5A564466"/>
    <w:rsid w:val="5A56726E"/>
    <w:rsid w:val="5A5C77EA"/>
    <w:rsid w:val="5A902780"/>
    <w:rsid w:val="5A9F4737"/>
    <w:rsid w:val="5AAE2C06"/>
    <w:rsid w:val="5AC10B8B"/>
    <w:rsid w:val="5ACB4792"/>
    <w:rsid w:val="5AD36B10"/>
    <w:rsid w:val="5AE8436A"/>
    <w:rsid w:val="5AF80325"/>
    <w:rsid w:val="5B5714EF"/>
    <w:rsid w:val="5B6339F0"/>
    <w:rsid w:val="5BAD7361"/>
    <w:rsid w:val="5BF6561B"/>
    <w:rsid w:val="5BFA4C14"/>
    <w:rsid w:val="5BFB631F"/>
    <w:rsid w:val="5BFF0A62"/>
    <w:rsid w:val="5C0F6B4C"/>
    <w:rsid w:val="5C131894"/>
    <w:rsid w:val="5C2A6C04"/>
    <w:rsid w:val="5C3543D2"/>
    <w:rsid w:val="5C406532"/>
    <w:rsid w:val="5C4177F7"/>
    <w:rsid w:val="5CAC6809"/>
    <w:rsid w:val="5CC033F7"/>
    <w:rsid w:val="5CC2508E"/>
    <w:rsid w:val="5CE36031"/>
    <w:rsid w:val="5D26561D"/>
    <w:rsid w:val="5D487342"/>
    <w:rsid w:val="5D656145"/>
    <w:rsid w:val="5D7E1743"/>
    <w:rsid w:val="5DB26EB1"/>
    <w:rsid w:val="5DB46785"/>
    <w:rsid w:val="5DBA559D"/>
    <w:rsid w:val="5DF31958"/>
    <w:rsid w:val="5DFE3EA4"/>
    <w:rsid w:val="5E316028"/>
    <w:rsid w:val="5E465887"/>
    <w:rsid w:val="5E473A9D"/>
    <w:rsid w:val="5E4A06EC"/>
    <w:rsid w:val="5E8425FB"/>
    <w:rsid w:val="5EE50BC0"/>
    <w:rsid w:val="5F181B76"/>
    <w:rsid w:val="5F1D188E"/>
    <w:rsid w:val="5F463D55"/>
    <w:rsid w:val="5F7C71D6"/>
    <w:rsid w:val="5F9156AE"/>
    <w:rsid w:val="5FA42829"/>
    <w:rsid w:val="5FCA1FBF"/>
    <w:rsid w:val="5FD4389C"/>
    <w:rsid w:val="5FEC48FC"/>
    <w:rsid w:val="6013374F"/>
    <w:rsid w:val="6031186D"/>
    <w:rsid w:val="60506145"/>
    <w:rsid w:val="6082700E"/>
    <w:rsid w:val="6083350B"/>
    <w:rsid w:val="608E53F7"/>
    <w:rsid w:val="60B116A2"/>
    <w:rsid w:val="60B42F40"/>
    <w:rsid w:val="60B7767B"/>
    <w:rsid w:val="610750C1"/>
    <w:rsid w:val="61221DAA"/>
    <w:rsid w:val="61694C19"/>
    <w:rsid w:val="61696F59"/>
    <w:rsid w:val="617B3D7A"/>
    <w:rsid w:val="61D672CA"/>
    <w:rsid w:val="61E63AF5"/>
    <w:rsid w:val="626A2DAC"/>
    <w:rsid w:val="626F0843"/>
    <w:rsid w:val="62784498"/>
    <w:rsid w:val="62A86D6B"/>
    <w:rsid w:val="62D173D4"/>
    <w:rsid w:val="62EC69C1"/>
    <w:rsid w:val="62F60D1D"/>
    <w:rsid w:val="62F6127D"/>
    <w:rsid w:val="631F3061"/>
    <w:rsid w:val="63293771"/>
    <w:rsid w:val="63647FB2"/>
    <w:rsid w:val="63754E3A"/>
    <w:rsid w:val="637C7D45"/>
    <w:rsid w:val="639808F7"/>
    <w:rsid w:val="63CE2A65"/>
    <w:rsid w:val="642346C3"/>
    <w:rsid w:val="64565496"/>
    <w:rsid w:val="645F2960"/>
    <w:rsid w:val="64654C7D"/>
    <w:rsid w:val="646C7950"/>
    <w:rsid w:val="648842B9"/>
    <w:rsid w:val="64BD496D"/>
    <w:rsid w:val="64BE25DF"/>
    <w:rsid w:val="64BF164C"/>
    <w:rsid w:val="64C44758"/>
    <w:rsid w:val="64D41894"/>
    <w:rsid w:val="64E21BBE"/>
    <w:rsid w:val="64F07C16"/>
    <w:rsid w:val="64F93617"/>
    <w:rsid w:val="6511628B"/>
    <w:rsid w:val="655D3BA6"/>
    <w:rsid w:val="65623AA3"/>
    <w:rsid w:val="65655387"/>
    <w:rsid w:val="659A6BA8"/>
    <w:rsid w:val="65A50F20"/>
    <w:rsid w:val="65FE7BFD"/>
    <w:rsid w:val="660E006B"/>
    <w:rsid w:val="660F5A59"/>
    <w:rsid w:val="661F2C0A"/>
    <w:rsid w:val="662C378C"/>
    <w:rsid w:val="664D7A57"/>
    <w:rsid w:val="66566AD5"/>
    <w:rsid w:val="66EC6F90"/>
    <w:rsid w:val="66F2031E"/>
    <w:rsid w:val="672E29D7"/>
    <w:rsid w:val="677A6041"/>
    <w:rsid w:val="67874F0A"/>
    <w:rsid w:val="67AA7E58"/>
    <w:rsid w:val="67AB0BF9"/>
    <w:rsid w:val="67C73559"/>
    <w:rsid w:val="67F55E37"/>
    <w:rsid w:val="68077DF9"/>
    <w:rsid w:val="68192B09"/>
    <w:rsid w:val="683517E3"/>
    <w:rsid w:val="68382663"/>
    <w:rsid w:val="686314D3"/>
    <w:rsid w:val="6888718C"/>
    <w:rsid w:val="68AD09A1"/>
    <w:rsid w:val="68E5527F"/>
    <w:rsid w:val="69611E61"/>
    <w:rsid w:val="69655E7A"/>
    <w:rsid w:val="69A578CA"/>
    <w:rsid w:val="69BC3663"/>
    <w:rsid w:val="69E304D0"/>
    <w:rsid w:val="6A071E00"/>
    <w:rsid w:val="6A3A536F"/>
    <w:rsid w:val="6A59225A"/>
    <w:rsid w:val="6A7343B6"/>
    <w:rsid w:val="6A8219B9"/>
    <w:rsid w:val="6A8D28E3"/>
    <w:rsid w:val="6A9039F1"/>
    <w:rsid w:val="6AB029CA"/>
    <w:rsid w:val="6AB40090"/>
    <w:rsid w:val="6ADE7537"/>
    <w:rsid w:val="6AE34B4E"/>
    <w:rsid w:val="6AFD3EBF"/>
    <w:rsid w:val="6B12521B"/>
    <w:rsid w:val="6B1F6200"/>
    <w:rsid w:val="6B4A3375"/>
    <w:rsid w:val="6B6A52CA"/>
    <w:rsid w:val="6B825FC3"/>
    <w:rsid w:val="6B8359E9"/>
    <w:rsid w:val="6BB92906"/>
    <w:rsid w:val="6BCE4EB6"/>
    <w:rsid w:val="6BCF0383"/>
    <w:rsid w:val="6C1E2A3C"/>
    <w:rsid w:val="6C4E1F5B"/>
    <w:rsid w:val="6C5F6F46"/>
    <w:rsid w:val="6C613F7C"/>
    <w:rsid w:val="6C631880"/>
    <w:rsid w:val="6C71135B"/>
    <w:rsid w:val="6C806253"/>
    <w:rsid w:val="6C9D621C"/>
    <w:rsid w:val="6CBF5146"/>
    <w:rsid w:val="6CF748E0"/>
    <w:rsid w:val="6CFB656C"/>
    <w:rsid w:val="6D0446EE"/>
    <w:rsid w:val="6D15191A"/>
    <w:rsid w:val="6D372470"/>
    <w:rsid w:val="6D3B6BF1"/>
    <w:rsid w:val="6D4833B1"/>
    <w:rsid w:val="6D4C7FD8"/>
    <w:rsid w:val="6D702199"/>
    <w:rsid w:val="6D717C1E"/>
    <w:rsid w:val="6D7D3037"/>
    <w:rsid w:val="6D934609"/>
    <w:rsid w:val="6DAE50AD"/>
    <w:rsid w:val="6DC74E22"/>
    <w:rsid w:val="6DDA2238"/>
    <w:rsid w:val="6DE01CB0"/>
    <w:rsid w:val="6E0E1EE1"/>
    <w:rsid w:val="6E154E6D"/>
    <w:rsid w:val="6E246B33"/>
    <w:rsid w:val="6E5A21EA"/>
    <w:rsid w:val="6EB8009F"/>
    <w:rsid w:val="6EC72090"/>
    <w:rsid w:val="6F1C418A"/>
    <w:rsid w:val="6F812443"/>
    <w:rsid w:val="6F834B73"/>
    <w:rsid w:val="6F857F81"/>
    <w:rsid w:val="6F913E59"/>
    <w:rsid w:val="6FC62348"/>
    <w:rsid w:val="6FE10E18"/>
    <w:rsid w:val="6FEB7EFB"/>
    <w:rsid w:val="6FEC14A9"/>
    <w:rsid w:val="6FEC6252"/>
    <w:rsid w:val="6FFE0085"/>
    <w:rsid w:val="6FFE241D"/>
    <w:rsid w:val="702E23C7"/>
    <w:rsid w:val="7033254A"/>
    <w:rsid w:val="708A48C4"/>
    <w:rsid w:val="70A15EF2"/>
    <w:rsid w:val="70C96037"/>
    <w:rsid w:val="70CB230C"/>
    <w:rsid w:val="71096141"/>
    <w:rsid w:val="710E21F8"/>
    <w:rsid w:val="719D39CC"/>
    <w:rsid w:val="71C42137"/>
    <w:rsid w:val="71DD0E59"/>
    <w:rsid w:val="721E46BD"/>
    <w:rsid w:val="72271FEC"/>
    <w:rsid w:val="72380DF1"/>
    <w:rsid w:val="72655E48"/>
    <w:rsid w:val="72824C4C"/>
    <w:rsid w:val="72844AE1"/>
    <w:rsid w:val="728A3B01"/>
    <w:rsid w:val="72D93738"/>
    <w:rsid w:val="73434202"/>
    <w:rsid w:val="734819F2"/>
    <w:rsid w:val="734867D2"/>
    <w:rsid w:val="73592668"/>
    <w:rsid w:val="735B7378"/>
    <w:rsid w:val="736507F6"/>
    <w:rsid w:val="737A608E"/>
    <w:rsid w:val="739430D8"/>
    <w:rsid w:val="73A806E2"/>
    <w:rsid w:val="73AD5CF9"/>
    <w:rsid w:val="73BC418E"/>
    <w:rsid w:val="73BD750D"/>
    <w:rsid w:val="73C65A80"/>
    <w:rsid w:val="740558F6"/>
    <w:rsid w:val="741D2E7E"/>
    <w:rsid w:val="7424106B"/>
    <w:rsid w:val="7428231F"/>
    <w:rsid w:val="74294EDD"/>
    <w:rsid w:val="7441134A"/>
    <w:rsid w:val="74606480"/>
    <w:rsid w:val="74840C37"/>
    <w:rsid w:val="74A16CBA"/>
    <w:rsid w:val="74CB28DA"/>
    <w:rsid w:val="74D53759"/>
    <w:rsid w:val="74F33BDF"/>
    <w:rsid w:val="752B5D11"/>
    <w:rsid w:val="752C4F4C"/>
    <w:rsid w:val="752C70F1"/>
    <w:rsid w:val="75387844"/>
    <w:rsid w:val="753903C8"/>
    <w:rsid w:val="75730F03"/>
    <w:rsid w:val="75895CE5"/>
    <w:rsid w:val="75AF136D"/>
    <w:rsid w:val="75BC19B7"/>
    <w:rsid w:val="75CC2E8E"/>
    <w:rsid w:val="75DC4AB5"/>
    <w:rsid w:val="75EC49A0"/>
    <w:rsid w:val="75EF406B"/>
    <w:rsid w:val="76272094"/>
    <w:rsid w:val="763731B7"/>
    <w:rsid w:val="76391AC6"/>
    <w:rsid w:val="7650222A"/>
    <w:rsid w:val="765B7C8E"/>
    <w:rsid w:val="76707B96"/>
    <w:rsid w:val="76726D86"/>
    <w:rsid w:val="767A147A"/>
    <w:rsid w:val="768D36C7"/>
    <w:rsid w:val="76956B17"/>
    <w:rsid w:val="7699558D"/>
    <w:rsid w:val="76C3504D"/>
    <w:rsid w:val="76D04B5F"/>
    <w:rsid w:val="76D121C8"/>
    <w:rsid w:val="76D6152E"/>
    <w:rsid w:val="76ED2C45"/>
    <w:rsid w:val="76F1414E"/>
    <w:rsid w:val="770422FE"/>
    <w:rsid w:val="773029DE"/>
    <w:rsid w:val="77430E54"/>
    <w:rsid w:val="7746449A"/>
    <w:rsid w:val="775546DD"/>
    <w:rsid w:val="77643352"/>
    <w:rsid w:val="7772528F"/>
    <w:rsid w:val="777B6950"/>
    <w:rsid w:val="778C3E77"/>
    <w:rsid w:val="778D0189"/>
    <w:rsid w:val="77B43556"/>
    <w:rsid w:val="77D71E10"/>
    <w:rsid w:val="77E31CE9"/>
    <w:rsid w:val="781F391F"/>
    <w:rsid w:val="78376C25"/>
    <w:rsid w:val="785C5EBB"/>
    <w:rsid w:val="785F1FBE"/>
    <w:rsid w:val="786B044B"/>
    <w:rsid w:val="78746DE5"/>
    <w:rsid w:val="7899684C"/>
    <w:rsid w:val="78A72AF0"/>
    <w:rsid w:val="78A82F32"/>
    <w:rsid w:val="790F6B0E"/>
    <w:rsid w:val="79134850"/>
    <w:rsid w:val="79200163"/>
    <w:rsid w:val="79261AEA"/>
    <w:rsid w:val="79264208"/>
    <w:rsid w:val="792F089A"/>
    <w:rsid w:val="7956473D"/>
    <w:rsid w:val="79627366"/>
    <w:rsid w:val="79667BBC"/>
    <w:rsid w:val="798661F3"/>
    <w:rsid w:val="799314ED"/>
    <w:rsid w:val="79A3738C"/>
    <w:rsid w:val="79A951B4"/>
    <w:rsid w:val="79CC3315"/>
    <w:rsid w:val="79EE2C15"/>
    <w:rsid w:val="7A0128FA"/>
    <w:rsid w:val="7A171012"/>
    <w:rsid w:val="7A1F06C4"/>
    <w:rsid w:val="7A401D4D"/>
    <w:rsid w:val="7A7D67F0"/>
    <w:rsid w:val="7AA46F38"/>
    <w:rsid w:val="7ACB4CB6"/>
    <w:rsid w:val="7ADB75EF"/>
    <w:rsid w:val="7AF161EE"/>
    <w:rsid w:val="7B020D14"/>
    <w:rsid w:val="7B19480F"/>
    <w:rsid w:val="7B1E128A"/>
    <w:rsid w:val="7B467F1D"/>
    <w:rsid w:val="7B5B1C70"/>
    <w:rsid w:val="7B5F1FCE"/>
    <w:rsid w:val="7B6637B3"/>
    <w:rsid w:val="7BA7772C"/>
    <w:rsid w:val="7BE15E8E"/>
    <w:rsid w:val="7C0924C9"/>
    <w:rsid w:val="7C1F1F1D"/>
    <w:rsid w:val="7C507B69"/>
    <w:rsid w:val="7C5F566E"/>
    <w:rsid w:val="7C711A95"/>
    <w:rsid w:val="7C8233E8"/>
    <w:rsid w:val="7C8D4919"/>
    <w:rsid w:val="7CBA4FE2"/>
    <w:rsid w:val="7CD24A22"/>
    <w:rsid w:val="7CFD1A9F"/>
    <w:rsid w:val="7D2F777E"/>
    <w:rsid w:val="7D407BDD"/>
    <w:rsid w:val="7D443A12"/>
    <w:rsid w:val="7D4A1E4C"/>
    <w:rsid w:val="7D5947DF"/>
    <w:rsid w:val="7D5F0561"/>
    <w:rsid w:val="7D60202E"/>
    <w:rsid w:val="7D6458CE"/>
    <w:rsid w:val="7D667DD5"/>
    <w:rsid w:val="7D7E4225"/>
    <w:rsid w:val="7D8555F0"/>
    <w:rsid w:val="7D916095"/>
    <w:rsid w:val="7DB14637"/>
    <w:rsid w:val="7DC51E91"/>
    <w:rsid w:val="7DDD7D4A"/>
    <w:rsid w:val="7DE84806"/>
    <w:rsid w:val="7E114DDB"/>
    <w:rsid w:val="7E141A72"/>
    <w:rsid w:val="7E1C7D03"/>
    <w:rsid w:val="7E2748F9"/>
    <w:rsid w:val="7E430BF7"/>
    <w:rsid w:val="7E703977"/>
    <w:rsid w:val="7E963DC6"/>
    <w:rsid w:val="7EA111FA"/>
    <w:rsid w:val="7EB268B9"/>
    <w:rsid w:val="7EF02F3D"/>
    <w:rsid w:val="7F166E48"/>
    <w:rsid w:val="7F1B1599"/>
    <w:rsid w:val="7F260A4E"/>
    <w:rsid w:val="7F392DBD"/>
    <w:rsid w:val="7F53536E"/>
    <w:rsid w:val="7F5F65D1"/>
    <w:rsid w:val="7F606315"/>
    <w:rsid w:val="7F6210EB"/>
    <w:rsid w:val="7F7A1B59"/>
    <w:rsid w:val="7F8B73C1"/>
    <w:rsid w:val="7F961D37"/>
    <w:rsid w:val="7F9F1077"/>
    <w:rsid w:val="7FA44454"/>
    <w:rsid w:val="7FAC3308"/>
    <w:rsid w:val="7FBA7A5F"/>
    <w:rsid w:val="7FD46D4F"/>
    <w:rsid w:val="CFFEFA81"/>
    <w:rsid w:val="FDAFE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5">
    <w:name w:val="heading 2"/>
    <w:basedOn w:val="1"/>
    <w:next w:val="1"/>
    <w:link w:val="39"/>
    <w:semiHidden/>
    <w:unhideWhenUsed/>
    <w:qFormat/>
    <w:uiPriority w:val="9"/>
    <w:pPr>
      <w:spacing w:line="416" w:lineRule="auto"/>
      <w:outlineLvl w:val="1"/>
    </w:pPr>
    <w:rPr>
      <w:rFonts w:asciiTheme="majorHAnsi" w:hAnsiTheme="majorHAnsi" w:eastAsiaTheme="majorEastAsia" w:cstheme="majorBidi"/>
      <w:sz w:val="32"/>
    </w:rPr>
  </w:style>
  <w:style w:type="paragraph" w:styleId="6">
    <w:name w:val="heading 3"/>
    <w:basedOn w:val="7"/>
    <w:next w:val="1"/>
    <w:qFormat/>
    <w:uiPriority w:val="9"/>
    <w:pPr>
      <w:spacing w:before="260" w:after="260" w:line="240" w:lineRule="auto"/>
      <w:outlineLvl w:val="2"/>
    </w:pPr>
    <w:rPr>
      <w:rFonts w:ascii="宋体" w:hAnsi="宋体" w:eastAsia="宋体"/>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8">
    <w:name w:val="table of authorities"/>
    <w:basedOn w:val="1"/>
    <w:next w:val="1"/>
    <w:qFormat/>
    <w:uiPriority w:val="0"/>
    <w:pPr>
      <w:ind w:left="420" w:leftChars="200"/>
    </w:pPr>
  </w:style>
  <w:style w:type="paragraph" w:styleId="9">
    <w:name w:val="Normal Indent"/>
    <w:basedOn w:val="1"/>
    <w:qFormat/>
    <w:uiPriority w:val="0"/>
    <w:pPr>
      <w:ind w:firstLine="420"/>
    </w:pPr>
    <w:rPr>
      <w:szCs w:val="20"/>
    </w:rPr>
  </w:style>
  <w:style w:type="paragraph" w:styleId="10">
    <w:name w:val="Document Map"/>
    <w:basedOn w:val="1"/>
    <w:link w:val="38"/>
    <w:semiHidden/>
    <w:unhideWhenUsed/>
    <w:qFormat/>
    <w:uiPriority w:val="99"/>
    <w:rPr>
      <w:rFonts w:ascii="宋体" w:eastAsia="宋体"/>
      <w:sz w:val="18"/>
      <w:szCs w:val="18"/>
    </w:rPr>
  </w:style>
  <w:style w:type="paragraph" w:styleId="11">
    <w:name w:val="annotation text"/>
    <w:basedOn w:val="1"/>
    <w:link w:val="40"/>
    <w:unhideWhenUsed/>
    <w:qFormat/>
    <w:uiPriority w:val="99"/>
    <w:pPr>
      <w:jc w:val="left"/>
    </w:pPr>
  </w:style>
  <w:style w:type="paragraph" w:styleId="12">
    <w:name w:val="Body Text Indent"/>
    <w:basedOn w:val="1"/>
    <w:next w:val="13"/>
    <w:qFormat/>
    <w:uiPriority w:val="0"/>
    <w:pPr>
      <w:spacing w:line="360" w:lineRule="auto"/>
      <w:ind w:firstLine="420" w:firstLineChars="200"/>
    </w:pPr>
  </w:style>
  <w:style w:type="paragraph" w:styleId="13">
    <w:name w:val="envelope return"/>
    <w:basedOn w:val="1"/>
    <w:qFormat/>
    <w:uiPriority w:val="0"/>
    <w:pPr>
      <w:snapToGrid w:val="0"/>
    </w:pPr>
    <w:rPr>
      <w:rFonts w:ascii="Arial" w:hAnsi="Arial"/>
    </w:r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Plain Text"/>
    <w:basedOn w:val="1"/>
    <w:link w:val="58"/>
    <w:qFormat/>
    <w:uiPriority w:val="0"/>
    <w:rPr>
      <w:rFonts w:ascii="宋体" w:hAnsi="Courier New"/>
      <w:sz w:val="24"/>
      <w:szCs w:val="20"/>
    </w:rPr>
  </w:style>
  <w:style w:type="paragraph" w:styleId="16">
    <w:name w:val="Balloon Text"/>
    <w:basedOn w:val="1"/>
    <w:link w:val="34"/>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contextualSpacing/>
    </w:pPr>
  </w:style>
  <w:style w:type="paragraph" w:styleId="20">
    <w:name w:val="Normal (Web)"/>
    <w:basedOn w:val="1"/>
    <w:link w:val="35"/>
    <w:qFormat/>
    <w:uiPriority w:val="99"/>
    <w:pPr>
      <w:widowControl/>
      <w:spacing w:before="100" w:beforeAutospacing="1" w:afterAutospacing="1"/>
      <w:jc w:val="left"/>
    </w:pPr>
    <w:rPr>
      <w:rFonts w:ascii="宋体" w:hAnsi="宋体"/>
      <w:sz w:val="24"/>
      <w:szCs w:val="24"/>
    </w:rPr>
  </w:style>
  <w:style w:type="paragraph" w:styleId="21">
    <w:name w:val="annotation subject"/>
    <w:basedOn w:val="11"/>
    <w:next w:val="11"/>
    <w:link w:val="42"/>
    <w:semiHidden/>
    <w:unhideWhenUsed/>
    <w:qFormat/>
    <w:uiPriority w:val="99"/>
    <w:rPr>
      <w:b/>
      <w:bCs/>
    </w:rPr>
  </w:style>
  <w:style w:type="paragraph" w:styleId="22">
    <w:name w:val="Body Text First Indent 2"/>
    <w:basedOn w:val="12"/>
    <w:next w:val="19"/>
    <w:qFormat/>
    <w:uiPriority w:val="0"/>
    <w:pPr>
      <w:spacing w:after="120" w:line="240" w:lineRule="auto"/>
      <w:ind w:left="420" w:left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9">
    <w:name w:val="Hyperlink"/>
    <w:basedOn w:val="25"/>
    <w:unhideWhenUsed/>
    <w:qFormat/>
    <w:uiPriority w:val="99"/>
    <w:rPr>
      <w:color w:val="0000FF" w:themeColor="hyperlink"/>
      <w:u w:val="single"/>
      <w14:textFill>
        <w14:solidFill>
          <w14:schemeClr w14:val="hlink"/>
        </w14:solidFill>
      </w14:textFill>
    </w:rPr>
  </w:style>
  <w:style w:type="character" w:styleId="30">
    <w:name w:val="annotation reference"/>
    <w:basedOn w:val="25"/>
    <w:semiHidden/>
    <w:unhideWhenUsed/>
    <w:qFormat/>
    <w:uiPriority w:val="99"/>
    <w:rPr>
      <w:sz w:val="21"/>
      <w:szCs w:val="21"/>
    </w:rPr>
  </w:style>
  <w:style w:type="paragraph" w:customStyle="1" w:styleId="31">
    <w:name w:val="表格文字"/>
    <w:basedOn w:val="1"/>
    <w:qFormat/>
    <w:uiPriority w:val="0"/>
    <w:pPr>
      <w:spacing w:before="25" w:after="25"/>
      <w:jc w:val="left"/>
    </w:pPr>
    <w:rPr>
      <w:bCs/>
      <w:spacing w:val="10"/>
      <w:kern w:val="0"/>
      <w:sz w:val="24"/>
    </w:rPr>
  </w:style>
  <w:style w:type="character" w:customStyle="1" w:styleId="32">
    <w:name w:val="页眉 字符"/>
    <w:basedOn w:val="25"/>
    <w:link w:val="18"/>
    <w:qFormat/>
    <w:uiPriority w:val="99"/>
    <w:rPr>
      <w:sz w:val="18"/>
      <w:szCs w:val="18"/>
    </w:rPr>
  </w:style>
  <w:style w:type="character" w:customStyle="1" w:styleId="33">
    <w:name w:val="页脚 字符"/>
    <w:basedOn w:val="25"/>
    <w:link w:val="17"/>
    <w:qFormat/>
    <w:uiPriority w:val="99"/>
    <w:rPr>
      <w:sz w:val="18"/>
      <w:szCs w:val="18"/>
    </w:rPr>
  </w:style>
  <w:style w:type="character" w:customStyle="1" w:styleId="34">
    <w:name w:val="批注框文本 字符"/>
    <w:basedOn w:val="25"/>
    <w:link w:val="16"/>
    <w:semiHidden/>
    <w:qFormat/>
    <w:uiPriority w:val="99"/>
    <w:rPr>
      <w:sz w:val="18"/>
      <w:szCs w:val="18"/>
    </w:rPr>
  </w:style>
  <w:style w:type="character" w:customStyle="1" w:styleId="35">
    <w:name w:val="普通(网站) 字符"/>
    <w:link w:val="20"/>
    <w:qFormat/>
    <w:uiPriority w:val="99"/>
    <w:rPr>
      <w:rFonts w:ascii="宋体" w:hAnsi="宋体"/>
      <w:sz w:val="24"/>
      <w:szCs w:val="24"/>
    </w:rPr>
  </w:style>
  <w:style w:type="character" w:customStyle="1" w:styleId="36">
    <w:name w:val="标题 1 字符"/>
    <w:basedOn w:val="25"/>
    <w:link w:val="4"/>
    <w:qFormat/>
    <w:uiPriority w:val="0"/>
    <w:rPr>
      <w:rFonts w:ascii="Arial" w:hAnsi="Arial" w:eastAsia="宋体" w:cs="Times New Roman"/>
      <w:b/>
      <w:bCs/>
      <w:kern w:val="44"/>
      <w:sz w:val="44"/>
      <w:szCs w:val="44"/>
    </w:rPr>
  </w:style>
  <w:style w:type="paragraph" w:styleId="37">
    <w:name w:val="List Paragraph"/>
    <w:basedOn w:val="1"/>
    <w:qFormat/>
    <w:uiPriority w:val="34"/>
    <w:pPr>
      <w:ind w:firstLine="420" w:firstLineChars="200"/>
    </w:pPr>
  </w:style>
  <w:style w:type="character" w:customStyle="1" w:styleId="38">
    <w:name w:val="文档结构图 字符"/>
    <w:basedOn w:val="25"/>
    <w:link w:val="10"/>
    <w:semiHidden/>
    <w:qFormat/>
    <w:uiPriority w:val="99"/>
    <w:rPr>
      <w:rFonts w:ascii="宋体" w:eastAsia="宋体"/>
      <w:sz w:val="18"/>
      <w:szCs w:val="18"/>
    </w:rPr>
  </w:style>
  <w:style w:type="character" w:customStyle="1" w:styleId="39">
    <w:name w:val="标题 2 字符"/>
    <w:basedOn w:val="25"/>
    <w:link w:val="5"/>
    <w:semiHidden/>
    <w:qFormat/>
    <w:uiPriority w:val="9"/>
    <w:rPr>
      <w:rFonts w:asciiTheme="majorHAnsi" w:hAnsiTheme="majorHAnsi" w:eastAsiaTheme="majorEastAsia" w:cstheme="majorBidi"/>
      <w:b/>
      <w:bCs/>
      <w:sz w:val="32"/>
      <w:szCs w:val="32"/>
    </w:rPr>
  </w:style>
  <w:style w:type="character" w:customStyle="1" w:styleId="40">
    <w:name w:val="批注文字 字符"/>
    <w:basedOn w:val="25"/>
    <w:link w:val="11"/>
    <w:qFormat/>
    <w:uiPriority w:val="99"/>
  </w:style>
  <w:style w:type="character" w:customStyle="1" w:styleId="41">
    <w:name w:val="标题 3 Char"/>
    <w:qFormat/>
    <w:uiPriority w:val="0"/>
    <w:rPr>
      <w:rFonts w:ascii="黑体" w:eastAsia="黑体"/>
      <w:bCs/>
      <w:sz w:val="30"/>
    </w:rPr>
  </w:style>
  <w:style w:type="character" w:customStyle="1" w:styleId="42">
    <w:name w:val="批注主题 字符"/>
    <w:basedOn w:val="40"/>
    <w:link w:val="21"/>
    <w:semiHidden/>
    <w:qFormat/>
    <w:uiPriority w:val="99"/>
    <w:rPr>
      <w:b/>
      <w:bCs/>
    </w:rPr>
  </w:style>
  <w:style w:type="table" w:customStyle="1" w:styleId="43">
    <w:name w:val="网格型1"/>
    <w:basedOn w:val="23"/>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45">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8">
    <w:name w:val="font41"/>
    <w:basedOn w:val="25"/>
    <w:qFormat/>
    <w:uiPriority w:val="0"/>
    <w:rPr>
      <w:rFonts w:hint="default" w:ascii="Calibri" w:hAnsi="Calibri" w:cs="Calibri"/>
      <w:color w:val="000000"/>
      <w:sz w:val="21"/>
      <w:szCs w:val="21"/>
      <w:u w:val="none"/>
    </w:rPr>
  </w:style>
  <w:style w:type="character" w:customStyle="1" w:styleId="49">
    <w:name w:val="font31"/>
    <w:basedOn w:val="25"/>
    <w:qFormat/>
    <w:uiPriority w:val="0"/>
    <w:rPr>
      <w:rFonts w:hint="eastAsia" w:ascii="宋体" w:hAnsi="宋体" w:eastAsia="宋体" w:cs="宋体"/>
      <w:color w:val="000000"/>
      <w:sz w:val="21"/>
      <w:szCs w:val="21"/>
      <w:u w:val="none"/>
    </w:rPr>
  </w:style>
  <w:style w:type="character" w:customStyle="1" w:styleId="50">
    <w:name w:val="font51"/>
    <w:basedOn w:val="25"/>
    <w:qFormat/>
    <w:uiPriority w:val="0"/>
    <w:rPr>
      <w:rFonts w:hint="eastAsia" w:ascii="宋体" w:hAnsi="宋体" w:eastAsia="宋体" w:cs="宋体"/>
      <w:b/>
      <w:bCs/>
      <w:color w:val="000000"/>
      <w:sz w:val="22"/>
      <w:szCs w:val="22"/>
      <w:u w:val="none"/>
    </w:rPr>
  </w:style>
  <w:style w:type="character" w:customStyle="1" w:styleId="51">
    <w:name w:val="font01"/>
    <w:basedOn w:val="25"/>
    <w:qFormat/>
    <w:uiPriority w:val="0"/>
    <w:rPr>
      <w:rFonts w:hint="eastAsia" w:ascii="宋体" w:hAnsi="宋体" w:eastAsia="宋体" w:cs="宋体"/>
      <w:b/>
      <w:bCs/>
      <w:color w:val="000000"/>
      <w:sz w:val="24"/>
      <w:szCs w:val="24"/>
      <w:u w:val="none"/>
    </w:rPr>
  </w:style>
  <w:style w:type="character" w:customStyle="1" w:styleId="52">
    <w:name w:val="font21"/>
    <w:basedOn w:val="25"/>
    <w:qFormat/>
    <w:uiPriority w:val="0"/>
    <w:rPr>
      <w:rFonts w:hint="eastAsia" w:ascii="宋体" w:hAnsi="宋体" w:eastAsia="宋体" w:cs="宋体"/>
      <w:b/>
      <w:bCs/>
      <w:color w:val="FF0000"/>
      <w:sz w:val="21"/>
      <w:szCs w:val="21"/>
      <w:u w:val="none"/>
    </w:rPr>
  </w:style>
  <w:style w:type="character" w:customStyle="1" w:styleId="53">
    <w:name w:val="font61"/>
    <w:basedOn w:val="25"/>
    <w:qFormat/>
    <w:uiPriority w:val="0"/>
    <w:rPr>
      <w:rFonts w:hint="default" w:ascii="Calibri" w:hAnsi="Calibri" w:cs="Calibri"/>
      <w:b/>
      <w:bCs/>
      <w:color w:val="FF0000"/>
      <w:sz w:val="21"/>
      <w:szCs w:val="21"/>
      <w:u w:val="none"/>
    </w:rPr>
  </w:style>
  <w:style w:type="paragraph" w:customStyle="1" w:styleId="5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5">
    <w:name w:val="font71"/>
    <w:basedOn w:val="25"/>
    <w:qFormat/>
    <w:uiPriority w:val="0"/>
    <w:rPr>
      <w:rFonts w:ascii="Segoe UI" w:hAnsi="Segoe UI" w:eastAsia="Segoe UI" w:cs="Segoe UI"/>
      <w:color w:val="000000"/>
      <w:sz w:val="24"/>
      <w:szCs w:val="24"/>
      <w:u w:val="none"/>
    </w:rPr>
  </w:style>
  <w:style w:type="character" w:customStyle="1" w:styleId="56">
    <w:name w:val="font11"/>
    <w:basedOn w:val="25"/>
    <w:qFormat/>
    <w:uiPriority w:val="0"/>
    <w:rPr>
      <w:rFonts w:hint="eastAsia" w:ascii="宋体" w:hAnsi="宋体" w:eastAsia="宋体" w:cs="宋体"/>
      <w:color w:val="000000"/>
      <w:sz w:val="21"/>
      <w:szCs w:val="21"/>
      <w:u w:val="none"/>
    </w:rPr>
  </w:style>
  <w:style w:type="character" w:customStyle="1" w:styleId="57">
    <w:name w:val="fontstyle01"/>
    <w:basedOn w:val="25"/>
    <w:qFormat/>
    <w:uiPriority w:val="0"/>
    <w:rPr>
      <w:rFonts w:hint="eastAsia" w:ascii="宋体" w:hAnsi="宋体" w:eastAsia="宋体"/>
      <w:color w:val="000000"/>
      <w:sz w:val="22"/>
      <w:szCs w:val="22"/>
    </w:rPr>
  </w:style>
  <w:style w:type="character" w:customStyle="1" w:styleId="58">
    <w:name w:val="纯文本 字符"/>
    <w:link w:val="15"/>
    <w:qFormat/>
    <w:uiPriority w:val="0"/>
    <w:rPr>
      <w:rFonts w:ascii="宋体" w:hAnsi="Courier New" w:eastAsiaTheme="minorEastAsia" w:cstheme="minorBidi"/>
      <w:kern w:val="2"/>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13152</Words>
  <Characters>13943</Characters>
  <Lines>379</Lines>
  <Paragraphs>106</Paragraphs>
  <TotalTime>0</TotalTime>
  <ScaleCrop>false</ScaleCrop>
  <LinksUpToDate>false</LinksUpToDate>
  <CharactersWithSpaces>14037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2025-04-01T07:41:00Z</dcterms:created>
  <dc:creator>win7-1</dc:creator>
  <cp:lastModifiedBy>DCM</cp:lastModifiedBy>
  <cp:lastPrinted>2021-01-16T17:17:00Z</cp:lastPrinted>
  <dcterms:modified xsi:type="dcterms:W3CDTF">2025-06-23T09:42:43Z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1C807BCEDFF44409AFCD3CE387E4DD05_13</vt:lpwstr>
  </property>
  <property fmtid="{D5CDD505-2E9C-101B-9397-08002B2CF9AE}" pid="4" name="KSOTemplateDocerSaveRecord">
    <vt:lpwstr>eyJoZGlkIjoiM2YxYzYxYjAyMTBiOTY4MmI1N2FjZjVjMjZjZGRmM2EiLCJ1c2VySWQiOiIyNTk3MjIzNTEifQ==</vt:lpwstr>
  </property>
</Properties>
</file>