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78C59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 w:val="0"/>
        <w:overflowPunct/>
        <w:bidi w:val="0"/>
        <w:spacing w:line="440" w:lineRule="exact"/>
        <w:jc w:val="both"/>
        <w:rPr>
          <w:rFonts w:hint="default" w:ascii="黑体" w:eastAsia="黑体"/>
          <w:b w:val="0"/>
          <w:color w:val="auto"/>
          <w:sz w:val="44"/>
          <w:szCs w:val="44"/>
          <w:lang w:val="en-US" w:eastAsia="zh-CN"/>
        </w:rPr>
      </w:pPr>
      <w:bookmarkStart w:id="0" w:name="_Toc148954472"/>
      <w:bookmarkStart w:id="1" w:name="_Toc187729588"/>
      <w:bookmarkStart w:id="2" w:name="_Toc148329809"/>
      <w:bookmarkStart w:id="3" w:name="_Toc163530310"/>
      <w:bookmarkStart w:id="4" w:name="_Toc157847828"/>
      <w:bookmarkStart w:id="5" w:name="_Toc199213628"/>
      <w:bookmarkStart w:id="6" w:name="_Toc199215668"/>
      <w:bookmarkStart w:id="7" w:name="_Toc98817940"/>
      <w:bookmarkStart w:id="8" w:name="_Toc148954867"/>
      <w:bookmarkStart w:id="9" w:name="_Toc188869288"/>
      <w:bookmarkStart w:id="10" w:name="_Toc92212278"/>
      <w:bookmarkStart w:id="11" w:name="_Toc148779960"/>
      <w:bookmarkStart w:id="12" w:name="_Toc148778165"/>
      <w:bookmarkStart w:id="13" w:name="_Toc135666636"/>
      <w:bookmarkStart w:id="14" w:name="_Toc201997803"/>
      <w:bookmarkStart w:id="15" w:name="_Toc143658463"/>
      <w:bookmarkStart w:id="16" w:name="_Toc135666823"/>
      <w:bookmarkStart w:id="17" w:name="_Toc157847819"/>
      <w:bookmarkStart w:id="18" w:name="_Toc98817914"/>
      <w:bookmarkStart w:id="19" w:name="_Toc134852030"/>
      <w:bookmarkStart w:id="20" w:name="_Toc201742944"/>
      <w:bookmarkStart w:id="21" w:name="_Toc148413308"/>
      <w:bookmarkStart w:id="22" w:name="_Toc163530301"/>
      <w:bookmarkStart w:id="23" w:name="_Toc148780246"/>
    </w:p>
    <w:p w14:paraId="2A0BDBAE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 w:val="0"/>
        <w:overflowPunct/>
        <w:bidi w:val="0"/>
        <w:spacing w:line="440" w:lineRule="exact"/>
        <w:ind w:left="402" w:leftChars="0"/>
        <w:jc w:val="center"/>
        <w:rPr>
          <w:rFonts w:hint="default" w:ascii="黑体" w:eastAsia="黑体"/>
          <w:b w:val="0"/>
          <w:color w:val="auto"/>
          <w:sz w:val="44"/>
          <w:szCs w:val="44"/>
          <w:lang w:val="en-US" w:eastAsia="zh-CN"/>
        </w:rPr>
      </w:pPr>
      <w:bookmarkStart w:id="24" w:name="_Toc22856"/>
      <w:r>
        <w:rPr>
          <w:rFonts w:hint="eastAsia" w:ascii="黑体" w:hAnsi="黑体" w:eastAsia="黑体" w:cs="黑体"/>
          <w:bCs/>
          <w:color w:val="auto"/>
          <w:sz w:val="44"/>
          <w:szCs w:val="44"/>
          <w:lang w:val="en-US" w:eastAsia="zh-CN"/>
        </w:rPr>
        <w:t>招标公告</w:t>
      </w:r>
      <w:bookmarkEnd w:id="24"/>
    </w:p>
    <w:p w14:paraId="10AA3FF1">
      <w:pPr>
        <w:keepNext w:val="0"/>
        <w:keepLines w:val="0"/>
        <w:pageBreakBefore w:val="0"/>
        <w:kinsoku/>
        <w:wordWrap w:val="0"/>
        <w:overflowPunct/>
        <w:bidi w:val="0"/>
        <w:spacing w:line="440" w:lineRule="exact"/>
        <w:rPr>
          <w:rFonts w:hint="eastAsia" w:ascii="宋体" w:hAnsi="宋体" w:eastAsia="宋体" w:cs="宋体"/>
          <w:color w:val="auto"/>
        </w:rPr>
      </w:pPr>
    </w:p>
    <w:p w14:paraId="2304A543">
      <w:pPr>
        <w:keepNext w:val="0"/>
        <w:keepLines w:val="0"/>
        <w:pageBreakBefore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u w:val="none"/>
          <w:lang w:val="en-US" w:eastAsia="zh-CN"/>
        </w:rPr>
        <w:t>项目概况</w:t>
      </w:r>
    </w:p>
    <w:p w14:paraId="4C9D5500">
      <w:pPr>
        <w:keepNext w:val="0"/>
        <w:keepLines w:val="0"/>
        <w:pageBreakBefore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潜在投标人应在深圳阳光采购平台（https://www.szygcgpt.com/）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single"/>
        </w:rPr>
        <w:t>获取招标文件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，并于</w:t>
      </w:r>
      <w:r>
        <w:rPr>
          <w:rFonts w:hint="eastAsia" w:ascii="宋体" w:hAnsi="宋体" w:cs="宋体"/>
          <w:color w:val="auto"/>
          <w:kern w:val="0"/>
          <w:sz w:val="28"/>
          <w:szCs w:val="28"/>
          <w:highlight w:val="yellow"/>
          <w:u w:val="none"/>
          <w:lang w:val="en-US" w:eastAsia="zh-CN"/>
        </w:rPr>
        <w:t>详见网页公告时间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前递交投标文件。</w:t>
      </w:r>
    </w:p>
    <w:p w14:paraId="5BF6D01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bookmarkStart w:id="25" w:name="_Toc31801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一、招标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基本情况</w:t>
      </w:r>
      <w:bookmarkEnd w:id="25"/>
    </w:p>
    <w:p w14:paraId="5CEFFD8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项目名称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广田集团2026年年度战略-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玻镁板/硅酸钙板/水泥纤维板材料类</w:t>
      </w:r>
    </w:p>
    <w:p w14:paraId="62B9252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项目编号：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/</w:t>
      </w:r>
    </w:p>
    <w:p w14:paraId="709F4F9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项目地址：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广田集团各项目</w:t>
      </w:r>
    </w:p>
    <w:p w14:paraId="1D9C943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采购方式：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公开招标</w:t>
      </w:r>
    </w:p>
    <w:p w14:paraId="26A56BD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上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限价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/拦标价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*****</w:t>
      </w:r>
    </w:p>
    <w:p w14:paraId="72C7257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评标方法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综合评分法</w:t>
      </w:r>
    </w:p>
    <w:p w14:paraId="2BC7424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投标保证金：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无</w:t>
      </w:r>
    </w:p>
    <w:p w14:paraId="6B35E7E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采购需求：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1"/>
        <w:gridCol w:w="776"/>
        <w:gridCol w:w="847"/>
        <w:gridCol w:w="2927"/>
        <w:gridCol w:w="901"/>
      </w:tblGrid>
      <w:tr w14:paraId="59CC6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1" w:type="dxa"/>
            <w:noWrap w:val="0"/>
            <w:vAlign w:val="center"/>
          </w:tcPr>
          <w:p w14:paraId="6C582B9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标的名称</w:t>
            </w:r>
          </w:p>
        </w:tc>
        <w:tc>
          <w:tcPr>
            <w:tcW w:w="776" w:type="dxa"/>
            <w:noWrap w:val="0"/>
            <w:vAlign w:val="center"/>
          </w:tcPr>
          <w:p w14:paraId="39241FC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数量</w:t>
            </w:r>
          </w:p>
        </w:tc>
        <w:tc>
          <w:tcPr>
            <w:tcW w:w="847" w:type="dxa"/>
            <w:noWrap w:val="0"/>
            <w:vAlign w:val="center"/>
          </w:tcPr>
          <w:p w14:paraId="000250A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单位</w:t>
            </w:r>
          </w:p>
        </w:tc>
        <w:tc>
          <w:tcPr>
            <w:tcW w:w="2927" w:type="dxa"/>
            <w:noWrap w:val="0"/>
            <w:vAlign w:val="center"/>
          </w:tcPr>
          <w:p w14:paraId="1C40186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简要技术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  <w:t>/服务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需求</w:t>
            </w:r>
          </w:p>
        </w:tc>
        <w:tc>
          <w:tcPr>
            <w:tcW w:w="901" w:type="dxa"/>
            <w:noWrap w:val="0"/>
            <w:vAlign w:val="center"/>
          </w:tcPr>
          <w:p w14:paraId="7C1F45A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备注</w:t>
            </w:r>
          </w:p>
        </w:tc>
      </w:tr>
      <w:tr w14:paraId="2EF33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3071" w:type="dxa"/>
            <w:noWrap w:val="0"/>
            <w:vAlign w:val="center"/>
          </w:tcPr>
          <w:p w14:paraId="1876A21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玻镁板/硅酸钙板/水泥纤维板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  <w:lang w:val="en-US" w:eastAsia="zh-CN"/>
              </w:rPr>
              <w:t>材料</w:t>
            </w:r>
            <w:r>
              <w:rPr>
                <w:rFonts w:hint="eastAsia" w:ascii="宋体" w:hAnsi="宋体" w:cs="宋体"/>
                <w:color w:val="0000FF"/>
                <w:kern w:val="0"/>
                <w:sz w:val="28"/>
                <w:szCs w:val="28"/>
                <w:lang w:val="en-US" w:eastAsia="zh-CN"/>
              </w:rPr>
              <w:t>类</w:t>
            </w:r>
          </w:p>
        </w:tc>
        <w:tc>
          <w:tcPr>
            <w:tcW w:w="776" w:type="dxa"/>
            <w:noWrap w:val="0"/>
            <w:vAlign w:val="center"/>
          </w:tcPr>
          <w:p w14:paraId="6E8201D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1</w:t>
            </w:r>
          </w:p>
        </w:tc>
        <w:tc>
          <w:tcPr>
            <w:tcW w:w="847" w:type="dxa"/>
            <w:noWrap w:val="0"/>
            <w:vAlign w:val="center"/>
          </w:tcPr>
          <w:p w14:paraId="1C0E609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项</w:t>
            </w:r>
          </w:p>
        </w:tc>
        <w:tc>
          <w:tcPr>
            <w:tcW w:w="2927" w:type="dxa"/>
            <w:noWrap w:val="0"/>
            <w:vAlign w:val="center"/>
          </w:tcPr>
          <w:p w14:paraId="013327E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详见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  <w:lang w:val="en-US" w:eastAsia="zh-CN"/>
              </w:rPr>
              <w:t>技术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文件</w:t>
            </w:r>
          </w:p>
        </w:tc>
        <w:tc>
          <w:tcPr>
            <w:tcW w:w="901" w:type="dxa"/>
            <w:noWrap w:val="0"/>
            <w:vAlign w:val="center"/>
          </w:tcPr>
          <w:p w14:paraId="161B79C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FF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宋体"/>
                <w:color w:val="0000FF"/>
                <w:sz w:val="28"/>
                <w:szCs w:val="28"/>
                <w:u w:val="single"/>
                <w:lang w:val="en-US" w:eastAsia="zh-CN"/>
              </w:rPr>
              <w:t>详见报价清单</w:t>
            </w:r>
          </w:p>
        </w:tc>
      </w:tr>
    </w:tbl>
    <w:p w14:paraId="33A010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合同履行期限：详见招标文件</w:t>
      </w:r>
    </w:p>
    <w:p w14:paraId="6F1ACE0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26" w:name="_Toc29669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二、投标人资格要求</w:t>
      </w:r>
      <w:bookmarkEnd w:id="26"/>
    </w:p>
    <w:p w14:paraId="0E11F5C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资质要求：</w:t>
      </w:r>
    </w:p>
    <w:p w14:paraId="01F7117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在中华人民共和国境内（不含香港、澳门、台湾）注册的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具有独立法人资格的企业</w:t>
      </w:r>
      <w:r>
        <w:rPr>
          <w:rFonts w:hint="eastAsia" w:ascii="宋体" w:hAnsi="宋体" w:cs="宋体"/>
          <w:color w:val="0000FF"/>
          <w:sz w:val="28"/>
          <w:szCs w:val="28"/>
          <w:lang w:eastAsia="zh-CN"/>
        </w:rPr>
        <w:t>；</w:t>
      </w:r>
    </w:p>
    <w:p w14:paraId="555ECEE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满足《中华人民共和国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eastAsia="zh-CN"/>
        </w:rPr>
        <w:t>采购</w:t>
      </w: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法》第二十二条第一款的条件；（由供应商在《投标及履约承诺函》中作出声明）；</w:t>
      </w:r>
    </w:p>
    <w:p w14:paraId="6D6781E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投标人要有合法、有效的经营资质并符合投标项目经营范围，且有能力保质、保量完成本次招标内容的投标人</w:t>
      </w:r>
      <w:r>
        <w:rPr>
          <w:rFonts w:hint="eastAsia" w:ascii="宋体" w:hAnsi="宋体" w:cs="宋体"/>
          <w:bCs/>
          <w:color w:val="0000FF"/>
          <w:sz w:val="28"/>
          <w:szCs w:val="28"/>
          <w:lang w:eastAsia="zh-CN"/>
        </w:rPr>
        <w:t>；</w:t>
      </w:r>
    </w:p>
    <w:p w14:paraId="4466E52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落实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政府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eastAsia="zh-CN"/>
        </w:rPr>
        <w:t>采购</w:t>
      </w: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政策需满足的资格要求：无</w:t>
      </w:r>
      <w:r>
        <w:rPr>
          <w:rFonts w:hint="eastAsia" w:ascii="宋体" w:hAnsi="宋体" w:cs="宋体"/>
          <w:bCs/>
          <w:color w:val="0000FF"/>
          <w:sz w:val="28"/>
          <w:szCs w:val="28"/>
          <w:lang w:eastAsia="zh-CN"/>
        </w:rPr>
        <w:t>；</w:t>
      </w:r>
    </w:p>
    <w:p w14:paraId="3F6D77F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bCs/>
          <w:color w:val="FF0000"/>
          <w:sz w:val="28"/>
          <w:szCs w:val="28"/>
        </w:rPr>
      </w:pPr>
      <w:r>
        <w:rPr>
          <w:rFonts w:hint="eastAsia" w:ascii="宋体" w:hAnsi="宋体" w:cs="宋体"/>
          <w:bCs/>
          <w:color w:val="FF0000"/>
          <w:sz w:val="28"/>
          <w:szCs w:val="28"/>
          <w:lang w:val="en-US" w:eastAsia="zh-CN"/>
        </w:rPr>
        <w:t>详见</w:t>
      </w:r>
      <w:r>
        <w:rPr>
          <w:rFonts w:hint="eastAsia" w:ascii="宋体" w:hAnsi="宋体" w:eastAsia="宋体" w:cs="宋体"/>
          <w:bCs/>
          <w:color w:val="FF0000"/>
          <w:sz w:val="28"/>
          <w:szCs w:val="28"/>
        </w:rPr>
        <w:t>入围条件审核表</w:t>
      </w:r>
      <w:r>
        <w:rPr>
          <w:rFonts w:hint="eastAsia" w:ascii="宋体" w:hAnsi="宋体" w:cs="宋体"/>
          <w:bCs/>
          <w:color w:val="FF0000"/>
          <w:sz w:val="28"/>
          <w:szCs w:val="28"/>
          <w:lang w:eastAsia="zh-CN"/>
        </w:rPr>
        <w:t>。</w:t>
      </w:r>
    </w:p>
    <w:p w14:paraId="4A814AF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信誉要求：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投标人需具有良好的信用，被列入失信被执行人、重大税收违法案件当事人名单、政府采购严重违法失信行为记录名单、被国家企业信用信息公示系统（http://www.gsxt.gov.cn）、列入严重违法失信企业名单、列入经营异常名录或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在特区建工及广田集团不合格和黑名单供应商名录中的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投标人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禁止参与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  <w:t>或视同为无效标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。</w:t>
      </w:r>
    </w:p>
    <w:p w14:paraId="2BA1E7D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lang w:val="en-US" w:eastAsia="zh-CN"/>
        </w:rPr>
        <w:t>报名投标供应商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  <w:t>必须在</w:t>
      </w:r>
      <w:r>
        <w:rPr>
          <w:rFonts w:hint="eastAsia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  <w:t>注册</w:t>
      </w:r>
      <w:r>
        <w:rPr>
          <w:rFonts w:hint="eastAsia" w:hAnsi="宋体" w:eastAsia="宋体" w:cs="宋体"/>
          <w:bCs/>
          <w:color w:val="auto"/>
          <w:kern w:val="2"/>
          <w:sz w:val="28"/>
          <w:szCs w:val="28"/>
          <w:lang w:val="en-US" w:eastAsia="zh-CN"/>
        </w:rPr>
        <w:t>成功</w:t>
      </w:r>
      <w:r>
        <w:rPr>
          <w:rFonts w:hint="eastAsia" w:hAnsi="宋体" w:cs="宋体"/>
          <w:bCs/>
          <w:color w:val="auto"/>
          <w:kern w:val="2"/>
          <w:sz w:val="28"/>
          <w:szCs w:val="28"/>
          <w:lang w:val="en-US" w:eastAsia="zh-CN"/>
        </w:rPr>
        <w:t>，采购平台地址：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u w:val="single"/>
          <w:lang w:val="en-US" w:eastAsia="zh-CN"/>
        </w:rPr>
        <w:t>https://zcpt.szgt.com/#/portal/home</w:t>
      </w:r>
      <w:r>
        <w:rPr>
          <w:rFonts w:hint="eastAsia" w:ascii="宋体" w:hAnsi="宋体" w:cs="宋体"/>
          <w:bCs/>
          <w:color w:val="0000FF"/>
          <w:sz w:val="28"/>
          <w:szCs w:val="28"/>
          <w:u w:val="single"/>
          <w:lang w:val="en-US" w:eastAsia="zh-CN"/>
        </w:rPr>
        <w:t>。</w:t>
      </w:r>
    </w:p>
    <w:p w14:paraId="1296520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不接受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联合体投标，不允许转包和违法分包。</w:t>
      </w:r>
    </w:p>
    <w:p w14:paraId="12F33EB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bookmarkStart w:id="27" w:name="_Toc20117"/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品牌参考或品牌授权要求：</w:t>
      </w:r>
    </w:p>
    <w:p w14:paraId="50335C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700" w:leftChars="0" w:firstLine="560" w:firstLineChars="200"/>
        <w:textAlignment w:val="auto"/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品牌范围：</w:t>
      </w:r>
      <w:r>
        <w:rPr>
          <w:rFonts w:hint="default" w:ascii="宋体" w:hAnsi="宋体" w:eastAsia="宋体" w:cs="宋体"/>
          <w:bCs/>
          <w:color w:val="FF0000"/>
          <w:sz w:val="28"/>
          <w:szCs w:val="28"/>
          <w:lang w:val="en-US" w:eastAsia="zh-CN"/>
        </w:rPr>
        <w:t>不限定</w:t>
      </w:r>
      <w:r>
        <w:rPr>
          <w:rFonts w:hint="eastAsia" w:ascii="宋体" w:hAnsi="宋体" w:eastAsia="宋体" w:cs="宋体"/>
          <w:bCs/>
          <w:color w:val="FF0000"/>
          <w:sz w:val="28"/>
          <w:szCs w:val="28"/>
          <w:lang w:val="en-US" w:eastAsia="zh-CN"/>
        </w:rPr>
        <w:t>，（1）</w:t>
      </w:r>
      <w:r>
        <w:rPr>
          <w:rFonts w:hint="default" w:ascii="宋体" w:hAnsi="宋体" w:eastAsia="宋体" w:cs="宋体"/>
          <w:bCs/>
          <w:color w:val="FF0000"/>
          <w:sz w:val="28"/>
          <w:szCs w:val="28"/>
          <w:lang w:val="en-US" w:eastAsia="zh-CN"/>
        </w:rPr>
        <w:t>玻镁板可参考锋王、翼德、镁宝、梦牌、鸿恒、安业等其他品牌；</w:t>
      </w:r>
      <w:r>
        <w:rPr>
          <w:rFonts w:hint="eastAsia" w:ascii="宋体" w:hAnsi="宋体" w:eastAsia="宋体" w:cs="宋体"/>
          <w:bCs/>
          <w:color w:val="FF0000"/>
          <w:sz w:val="28"/>
          <w:szCs w:val="28"/>
          <w:lang w:val="en-US" w:eastAsia="zh-CN"/>
        </w:rPr>
        <w:t>（2）硅酸钙板</w:t>
      </w:r>
      <w:r>
        <w:rPr>
          <w:rFonts w:hint="default" w:ascii="宋体" w:hAnsi="宋体" w:eastAsia="宋体" w:cs="宋体"/>
          <w:bCs/>
          <w:color w:val="FF0000"/>
          <w:sz w:val="28"/>
          <w:szCs w:val="28"/>
          <w:lang w:val="en-US" w:eastAsia="zh-CN"/>
        </w:rPr>
        <w:t>可参考佳恒、恒星、哈迪、保实、绿意雅、五羊美特、格林森、美穗等其他品牌；</w:t>
      </w:r>
      <w:r>
        <w:rPr>
          <w:rFonts w:hint="eastAsia" w:ascii="宋体" w:hAnsi="宋体" w:eastAsia="宋体" w:cs="宋体"/>
          <w:bCs/>
          <w:color w:val="FF0000"/>
          <w:sz w:val="28"/>
          <w:szCs w:val="28"/>
          <w:lang w:val="en-US" w:eastAsia="zh-CN"/>
        </w:rPr>
        <w:t>（3）水泥纤维板</w:t>
      </w:r>
      <w:r>
        <w:rPr>
          <w:rFonts w:hint="default" w:ascii="宋体" w:hAnsi="宋体" w:eastAsia="宋体" w:cs="宋体"/>
          <w:bCs/>
          <w:color w:val="FF0000"/>
          <w:sz w:val="28"/>
          <w:szCs w:val="28"/>
          <w:lang w:val="en-US" w:eastAsia="zh-CN"/>
        </w:rPr>
        <w:t>可参考大王椰、三乐、佳恒等其他品牌；</w:t>
      </w:r>
    </w:p>
    <w:p w14:paraId="60CF5523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品牌说明：</w:t>
      </w:r>
    </w:p>
    <w:p w14:paraId="4261BC81">
      <w:pPr>
        <w:keepNext w:val="0"/>
        <w:keepLines w:val="0"/>
        <w:pageBreakBefore w:val="0"/>
        <w:widowControl w:val="0"/>
        <w:numPr>
          <w:ilvl w:val="1"/>
          <w:numId w:val="4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1120" w:leftChars="0" w:hanging="420" w:firstLineChars="0"/>
        <w:textAlignment w:val="auto"/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  <w:t>品牌授权要求</w:t>
      </w:r>
    </w:p>
    <w:p w14:paraId="0D6CA7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700" w:leftChars="0"/>
        <w:textAlignment w:val="auto"/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A.</w:t>
      </w:r>
      <w:r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  <w:t>代理商须提供经品牌方盖章的授权书扫描件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以及经销协议关键页；</w:t>
      </w:r>
    </w:p>
    <w:p w14:paraId="5AF7EC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700" w:leftChars="0"/>
        <w:textAlignment w:val="auto"/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B.</w:t>
      </w:r>
      <w:r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  <w:t>同一品牌授权多家代理商时，各代理商须提供有效授权文件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，以成本/综合评分优先入围；</w:t>
      </w:r>
    </w:p>
    <w:p w14:paraId="19DAB4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700" w:leftChars="0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C.</w:t>
      </w:r>
      <w:r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  <w:t>品牌方与其授权代理商不得同时参与同一标段投标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。</w:t>
      </w:r>
    </w:p>
    <w:p w14:paraId="731B9413">
      <w:pPr>
        <w:keepNext w:val="0"/>
        <w:keepLines w:val="0"/>
        <w:pageBreakBefore w:val="0"/>
        <w:widowControl w:val="0"/>
        <w:numPr>
          <w:ilvl w:val="1"/>
          <w:numId w:val="4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1120" w:leftChars="0" w:hanging="420" w:firstLineChars="0"/>
        <w:textAlignment w:val="auto"/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  <w:t>违规处理</w:t>
      </w:r>
    </w:p>
    <w:p w14:paraId="5CB0B9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700" w:leftChars="0" w:firstLine="560" w:firstLineChars="200"/>
        <w:textAlignment w:val="auto"/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  <w:t>提供虚假授权文件者：</w:t>
      </w:r>
    </w:p>
    <w:p w14:paraId="542D0D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700" w:leftChars="0"/>
        <w:textAlignment w:val="auto"/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A.</w:t>
      </w:r>
      <w:r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  <w:t>取消当次投标资格</w:t>
      </w:r>
    </w:p>
    <w:p w14:paraId="003221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700" w:leftChars="0"/>
        <w:textAlignment w:val="auto"/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B.根据影响情形，给予</w:t>
      </w:r>
      <w:r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  <w:t>暂停3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-12</w:t>
      </w:r>
      <w:r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  <w:t>个月投标权限</w:t>
      </w:r>
    </w:p>
    <w:p w14:paraId="4240AD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700" w:leftChars="0"/>
        <w:textAlignment w:val="auto"/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C.</w:t>
      </w:r>
      <w:r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  <w:t>品牌方与代理商同时投标的，代理商投标文件作废</w:t>
      </w:r>
    </w:p>
    <w:p w14:paraId="2FDDFBD7">
      <w:pPr>
        <w:keepNext w:val="0"/>
        <w:keepLines w:val="0"/>
        <w:pageBreakBefore w:val="0"/>
        <w:widowControl w:val="0"/>
        <w:numPr>
          <w:ilvl w:val="1"/>
          <w:numId w:val="4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1120" w:leftChars="0" w:hanging="420" w:firstLineChars="0"/>
        <w:textAlignment w:val="auto"/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  <w:t>多品牌投标规则</w:t>
      </w:r>
    </w:p>
    <w:p w14:paraId="73C85D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700" w:leftChars="0"/>
        <w:textAlignment w:val="auto"/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A.</w:t>
      </w:r>
      <w:r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  <w:t>有效投标品牌不足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3</w:t>
      </w:r>
      <w:r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  <w:t>个的，招标作废</w:t>
      </w:r>
    </w:p>
    <w:p w14:paraId="15FF46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700" w:leftChars="0"/>
        <w:textAlignment w:val="auto"/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B.仅公开招标时，经评审有效报价≥3家，品牌≥2个的，价格在控制价内且对比分析符合市场行情时，可以继续评标。</w:t>
      </w:r>
    </w:p>
    <w:p w14:paraId="4BB1E3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700" w:leftChars="0"/>
        <w:textAlignment w:val="auto"/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C.</w:t>
      </w:r>
      <w:r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  <w:t>满足品牌数量要求时，按性价比最优原则确定中标候选人</w:t>
      </w:r>
    </w:p>
    <w:p w14:paraId="0BF12375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bCs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8"/>
          <w:szCs w:val="28"/>
          <w:lang w:val="en-US" w:eastAsia="zh-CN"/>
        </w:rPr>
        <w:t>同一供应商同时可投多个品牌。</w:t>
      </w:r>
    </w:p>
    <w:p w14:paraId="4276660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hAnsi="宋体" w:cs="宋体"/>
          <w:color w:val="0000FF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yellow"/>
          <w:lang w:val="en-US" w:eastAsia="zh-CN"/>
        </w:rPr>
        <w:t>投标人需在投标截止时间前提供样板，</w:t>
      </w:r>
      <w:r>
        <w:rPr>
          <w:rFonts w:hint="eastAsia" w:ascii="宋体" w:hAnsi="宋体" w:eastAsia="宋体" w:cs="宋体"/>
          <w:color w:val="FF0000"/>
          <w:sz w:val="28"/>
          <w:szCs w:val="28"/>
          <w:highlight w:val="yellow"/>
          <w:lang w:val="en-US" w:eastAsia="zh-CN"/>
        </w:rPr>
        <w:t>样板要求密封完整，加盖骑缝章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yellow"/>
          <w:lang w:val="en-US" w:eastAsia="zh-CN"/>
        </w:rPr>
        <w:t>。样板邮寄地址：深圳市罗湖区红岭北路2188号广田大厦14层，收件人：</w:t>
      </w:r>
      <w:r>
        <w:rPr>
          <w:rFonts w:hint="eastAsia" w:ascii="宋体" w:hAnsi="宋体" w:cs="宋体"/>
          <w:color w:val="auto"/>
          <w:sz w:val="28"/>
          <w:szCs w:val="28"/>
          <w:highlight w:val="yellow"/>
          <w:lang w:val="en-US" w:eastAsia="zh-CN"/>
        </w:rPr>
        <w:t>林桂松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yellow"/>
          <w:lang w:val="en-US" w:eastAsia="zh-CN"/>
        </w:rPr>
        <w:t>，1</w:t>
      </w:r>
      <w:r>
        <w:rPr>
          <w:rFonts w:hint="eastAsia" w:ascii="宋体" w:hAnsi="宋体" w:cs="宋体"/>
          <w:color w:val="auto"/>
          <w:sz w:val="28"/>
          <w:szCs w:val="28"/>
          <w:highlight w:val="yellow"/>
          <w:lang w:val="en-US" w:eastAsia="zh-CN"/>
        </w:rPr>
        <w:t>5989258426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yellow"/>
          <w:lang w:val="en-US" w:eastAsia="zh-CN"/>
        </w:rPr>
        <w:t>。</w:t>
      </w:r>
      <w:bookmarkStart w:id="33" w:name="_GoBack"/>
      <w:bookmarkEnd w:id="33"/>
    </w:p>
    <w:p w14:paraId="6BFE467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三、线上报名</w:t>
      </w:r>
      <w:bookmarkEnd w:id="27"/>
    </w:p>
    <w:p w14:paraId="5F2EB784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报名方式：登录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报名截止时间之前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，点击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【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报名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】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</w:p>
    <w:p w14:paraId="7AF6BD1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本项目投标人须提供以下报名资料。</w:t>
      </w:r>
    </w:p>
    <w:p w14:paraId="2092C14B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投标人申请表（见附件：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投标函</w:t>
      </w: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）</w:t>
      </w:r>
    </w:p>
    <w:p w14:paraId="3933E89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法定代表人证明书及法定代表人授权委托书扫描件。</w:t>
      </w:r>
    </w:p>
    <w:p w14:paraId="4FC6A4BD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投标申请人营业执照</w:t>
      </w:r>
      <w:r>
        <w:rPr>
          <w:rFonts w:hint="eastAsia" w:ascii="宋体" w:hAnsi="宋体" w:cs="宋体"/>
          <w:bCs/>
          <w:color w:val="0000FF"/>
          <w:sz w:val="28"/>
          <w:szCs w:val="28"/>
          <w:lang w:val="en-US" w:eastAsia="zh-CN"/>
        </w:rPr>
        <w:t>副本。</w:t>
      </w:r>
    </w:p>
    <w:p w14:paraId="693EFB7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8"/>
          <w:szCs w:val="28"/>
        </w:rPr>
      </w:pPr>
      <w:bookmarkStart w:id="28" w:name="_Toc4061"/>
      <w:r>
        <w:rPr>
          <w:rFonts w:hint="eastAsia" w:ascii="宋体" w:hAnsi="宋体" w:eastAsia="宋体" w:cs="宋体"/>
          <w:color w:val="auto"/>
          <w:sz w:val="28"/>
          <w:szCs w:val="28"/>
        </w:rPr>
        <w:t>四、获取采购文件</w:t>
      </w:r>
      <w:bookmarkEnd w:id="28"/>
    </w:p>
    <w:p w14:paraId="5A2B9C8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本项目实行网上投标，采用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在线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电子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下载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投标文件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</w:p>
    <w:p w14:paraId="118651E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地点：</w:t>
      </w:r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深圳阳光采购平台（https://www.szygcgpt.com/）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下载本项目的招标文件。</w:t>
      </w:r>
    </w:p>
    <w:p w14:paraId="3339FE9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售价：免费。</w:t>
      </w:r>
    </w:p>
    <w:p w14:paraId="772B099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29" w:name="_Toc21678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五、投标截止时间、开标时间及地点</w:t>
      </w:r>
      <w:bookmarkEnd w:id="29"/>
    </w:p>
    <w:p w14:paraId="41AF5538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u w:val="singl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投标人应在投标截止时间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之前上传到</w:t>
      </w:r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深圳阳光采购平台（https://www.szygcgpt.com/）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</w:p>
    <w:p w14:paraId="0BAE5037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时间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计划，如下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：</w:t>
      </w:r>
    </w:p>
    <w:tbl>
      <w:tblPr>
        <w:tblStyle w:val="6"/>
        <w:tblW w:w="4999" w:type="pct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3"/>
        <w:gridCol w:w="2172"/>
        <w:gridCol w:w="2553"/>
        <w:gridCol w:w="2172"/>
      </w:tblGrid>
      <w:tr w14:paraId="17242F8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537" w:type="pct"/>
            <w:noWrap w:val="0"/>
            <w:vAlign w:val="center"/>
          </w:tcPr>
          <w:p w14:paraId="1650496F">
            <w:pPr>
              <w:rPr>
                <w:rFonts w:hint="eastAsia" w:ascii="宋体" w:hAnsi="宋体" w:eastAsia="宋体" w:cs="宋体"/>
                <w:color w:val="0000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报名开始时间：</w:t>
            </w:r>
          </w:p>
        </w:tc>
        <w:tc>
          <w:tcPr>
            <w:tcW w:w="1090" w:type="pct"/>
            <w:noWrap w:val="0"/>
            <w:vAlign w:val="center"/>
          </w:tcPr>
          <w:p w14:paraId="4BC8E7C8">
            <w:pPr>
              <w:rPr>
                <w:rFonts w:hint="default" w:ascii="宋体" w:hAnsi="宋体" w:eastAsia="宋体" w:cs="宋体"/>
                <w:color w:val="0000FF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详见招标页面公告时间</w:t>
            </w:r>
          </w:p>
        </w:tc>
        <w:tc>
          <w:tcPr>
            <w:tcW w:w="1281" w:type="pct"/>
            <w:noWrap w:val="0"/>
            <w:vAlign w:val="center"/>
          </w:tcPr>
          <w:p w14:paraId="5DE9BF07">
            <w:pPr>
              <w:rPr>
                <w:rFonts w:hint="eastAsia" w:ascii="宋体" w:hAnsi="宋体" w:eastAsia="宋体" w:cs="宋体"/>
                <w:color w:val="0000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报名截止时间：</w:t>
            </w:r>
          </w:p>
        </w:tc>
        <w:tc>
          <w:tcPr>
            <w:tcW w:w="1090" w:type="pct"/>
            <w:noWrap w:val="0"/>
            <w:vAlign w:val="center"/>
          </w:tcPr>
          <w:p w14:paraId="55E6E1F9">
            <w:pPr>
              <w:rPr>
                <w:rFonts w:hint="eastAsia" w:ascii="宋体" w:hAnsi="宋体" w:eastAsia="宋体" w:cs="宋体"/>
                <w:color w:val="0000FF"/>
                <w:lang w:eastAsia="zh-CN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详见招标页面公告时间</w:t>
            </w:r>
          </w:p>
        </w:tc>
      </w:tr>
      <w:tr w14:paraId="1D0E9A8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537" w:type="pct"/>
            <w:noWrap w:val="0"/>
            <w:vAlign w:val="center"/>
          </w:tcPr>
          <w:p w14:paraId="2A420D18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文件获取开始时间：</w:t>
            </w:r>
          </w:p>
        </w:tc>
        <w:tc>
          <w:tcPr>
            <w:tcW w:w="1090" w:type="pct"/>
            <w:noWrap w:val="0"/>
            <w:vAlign w:val="center"/>
          </w:tcPr>
          <w:p w14:paraId="6C3CF889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详见招标页面公告时间</w:t>
            </w:r>
          </w:p>
        </w:tc>
        <w:tc>
          <w:tcPr>
            <w:tcW w:w="1281" w:type="pct"/>
            <w:noWrap w:val="0"/>
            <w:vAlign w:val="center"/>
          </w:tcPr>
          <w:p w14:paraId="0AA3C9F9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文件获取截止时间：</w:t>
            </w:r>
          </w:p>
        </w:tc>
        <w:tc>
          <w:tcPr>
            <w:tcW w:w="1090" w:type="pct"/>
            <w:noWrap w:val="0"/>
            <w:vAlign w:val="center"/>
          </w:tcPr>
          <w:p w14:paraId="6F7DF72F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详见招标页面公告时间</w:t>
            </w:r>
          </w:p>
        </w:tc>
      </w:tr>
      <w:tr w14:paraId="04E5BDE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537" w:type="pct"/>
            <w:noWrap w:val="0"/>
            <w:vAlign w:val="center"/>
          </w:tcPr>
          <w:p w14:paraId="55D695F4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质疑截止时间：</w:t>
            </w:r>
          </w:p>
        </w:tc>
        <w:tc>
          <w:tcPr>
            <w:tcW w:w="1090" w:type="pct"/>
            <w:noWrap w:val="0"/>
            <w:vAlign w:val="center"/>
          </w:tcPr>
          <w:p w14:paraId="2035041C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详见招标页面公告时间</w:t>
            </w:r>
          </w:p>
        </w:tc>
        <w:tc>
          <w:tcPr>
            <w:tcW w:w="1281" w:type="pct"/>
            <w:noWrap w:val="0"/>
            <w:vAlign w:val="center"/>
          </w:tcPr>
          <w:p w14:paraId="2938AA9B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答疑截止时间：</w:t>
            </w:r>
          </w:p>
        </w:tc>
        <w:tc>
          <w:tcPr>
            <w:tcW w:w="1090" w:type="pct"/>
            <w:noWrap w:val="0"/>
            <w:vAlign w:val="center"/>
          </w:tcPr>
          <w:p w14:paraId="7405BC47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详见招标页面公告时间</w:t>
            </w:r>
          </w:p>
        </w:tc>
      </w:tr>
      <w:tr w14:paraId="22C85CC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537" w:type="pct"/>
            <w:noWrap w:val="0"/>
            <w:vAlign w:val="center"/>
          </w:tcPr>
          <w:p w14:paraId="3392F004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递交投标文件截止时间：</w:t>
            </w:r>
          </w:p>
        </w:tc>
        <w:tc>
          <w:tcPr>
            <w:tcW w:w="1090" w:type="pct"/>
            <w:noWrap w:val="0"/>
            <w:vAlign w:val="center"/>
          </w:tcPr>
          <w:p w14:paraId="36A689BC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详见招标页面公告时间</w:t>
            </w:r>
          </w:p>
        </w:tc>
        <w:tc>
          <w:tcPr>
            <w:tcW w:w="1281" w:type="pct"/>
            <w:noWrap w:val="0"/>
            <w:vAlign w:val="center"/>
          </w:tcPr>
          <w:p w14:paraId="08C0F66F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开标时间：</w:t>
            </w:r>
          </w:p>
        </w:tc>
        <w:tc>
          <w:tcPr>
            <w:tcW w:w="1090" w:type="pct"/>
            <w:noWrap w:val="0"/>
            <w:vAlign w:val="center"/>
          </w:tcPr>
          <w:p w14:paraId="65BF3301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详见招标页面公告时间</w:t>
            </w:r>
          </w:p>
        </w:tc>
      </w:tr>
    </w:tbl>
    <w:p w14:paraId="58314497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递交投标文件：</w:t>
      </w:r>
      <w:r>
        <w:rPr>
          <w:rFonts w:hint="eastAsia" w:ascii="宋体" w:hAnsi="宋体" w:eastAsia="宋体" w:cs="宋体"/>
          <w:color w:val="FF0000"/>
          <w:sz w:val="28"/>
          <w:szCs w:val="28"/>
          <w:highlight w:val="none"/>
          <w:lang w:val="en-US" w:eastAsia="zh-CN"/>
        </w:rPr>
        <w:t>应在投标截止时间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之前上传到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深圳阳光采购平台（https://www.szygcgpt.com/）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本项目单个电子投标文件最大容量为100MB，超过此容量的文件将被拒绝。</w:t>
      </w:r>
    </w:p>
    <w:p w14:paraId="4051A943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开标地点：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深圳市罗湖区红岭北路2188号广田大厦，具体以招标主持人通知为准。</w:t>
      </w:r>
    </w:p>
    <w:p w14:paraId="4AF6569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30" w:name="_Toc13870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六、其他补充事宜</w:t>
      </w:r>
      <w:bookmarkEnd w:id="30"/>
    </w:p>
    <w:p w14:paraId="37E89ABF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本项目实行</w:t>
      </w:r>
      <w:permStart w:id="0" w:edGrp="everyone"/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网上电子封标</w:t>
      </w:r>
      <w:permEnd w:id="0"/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</w:p>
    <w:p w14:paraId="551E7444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报名操作：</w:t>
      </w:r>
    </w:p>
    <w:p w14:paraId="5D43028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（1）如果是未注册供应商，请登录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https://zcpt.szgt.com/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），先办理注册手续。</w:t>
      </w:r>
    </w:p>
    <w:p w14:paraId="569E998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（2）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（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https://zcpt.szgt.com/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）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注册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，根据系统提示：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按系统要求完成注册【注册资料主要包括：①营业执照②法人身份证③银行</w:t>
      </w:r>
      <w:r>
        <w:rPr>
          <w:rFonts w:hint="eastAsia" w:ascii="宋体" w:hAnsi="宋体" w:cs="宋体"/>
          <w:color w:val="FF0000"/>
          <w:sz w:val="28"/>
          <w:szCs w:val="28"/>
          <w:lang w:val="en-US" w:eastAsia="zh-CN"/>
        </w:rPr>
        <w:t>信息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④社保证明（含法人代表、业务联系人近半年在司社保记录）⑤完税证明⑥近半年内银行流水】→审核通过后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登录系统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。</w:t>
      </w:r>
    </w:p>
    <w:p w14:paraId="78B15B5C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采购文件澄清/修改事项：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质疑截止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，供应商如果认为采购文件存在不明确、不清晰和前后不一致等问题，将相关疑问</w:t>
      </w:r>
      <w:permStart w:id="1" w:edGrp="everyone"/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“答疑栏”中提出或发送至指定邮箱“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/</w:t>
      </w:r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”</w:t>
      </w:r>
      <w:permEnd w:id="1"/>
      <w:r>
        <w:rPr>
          <w:rFonts w:hint="eastAsia" w:ascii="宋体" w:hAnsi="宋体" w:eastAsia="宋体" w:cs="宋体"/>
          <w:color w:val="auto"/>
          <w:sz w:val="28"/>
          <w:szCs w:val="28"/>
        </w:rPr>
        <w:t>，按照质疑函模板要求向采购人提交质疑问题，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我司于</w:t>
      </w:r>
      <w:permStart w:id="2" w:edGrp="everyone"/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答疑截止时间</w:t>
      </w:r>
      <w:permEnd w:id="2"/>
      <w:r>
        <w:rPr>
          <w:rFonts w:hint="eastAsia" w:ascii="宋体" w:hAnsi="宋体" w:eastAsia="宋体" w:cs="宋体"/>
          <w:color w:val="auto"/>
          <w:sz w:val="28"/>
          <w:szCs w:val="28"/>
        </w:rPr>
        <w:t>前按原渠道回复质疑。</w:t>
      </w:r>
      <w:r>
        <w:rPr>
          <w:rFonts w:hint="eastAsia" w:ascii="宋体" w:hAnsi="宋体" w:eastAsia="宋体" w:cs="宋体"/>
          <w:color w:val="auto"/>
          <w:sz w:val="28"/>
          <w:szCs w:val="24"/>
        </w:rPr>
        <w:t>澄清或者修改的内容将在</w:t>
      </w:r>
      <w:r>
        <w:rPr>
          <w:rFonts w:hint="eastAsia" w:ascii="宋体" w:hAnsi="宋体" w:eastAsia="宋体" w:cs="宋体"/>
          <w:color w:val="auto"/>
          <w:sz w:val="28"/>
          <w:szCs w:val="24"/>
          <w:lang w:val="en-US" w:eastAsia="zh-CN"/>
        </w:rPr>
        <w:t>阳光</w:t>
      </w:r>
      <w:r>
        <w:rPr>
          <w:rFonts w:hint="eastAsia" w:ascii="宋体" w:hAnsi="宋体" w:eastAsia="宋体" w:cs="宋体"/>
          <w:color w:val="auto"/>
          <w:sz w:val="28"/>
          <w:szCs w:val="24"/>
          <w:lang w:eastAsia="zh-CN"/>
        </w:rPr>
        <w:t>采购平台</w:t>
      </w:r>
      <w:r>
        <w:rPr>
          <w:rFonts w:hint="eastAsia" w:ascii="宋体" w:hAnsi="宋体" w:eastAsia="宋体" w:cs="宋体"/>
          <w:color w:val="auto"/>
          <w:sz w:val="28"/>
          <w:szCs w:val="24"/>
        </w:rPr>
        <w:t>发布，并对投标人具有约束力，招标期间，投标人有义务上网查看，公告一经上网发布，即视为送达，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望投标人予以关注。</w:t>
      </w:r>
    </w:p>
    <w:p w14:paraId="0AF0990B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采购人有权对中标供应商就本项目要求提供的相关证明资料（原件）进行审查。供应商提供虚假资料被查实的，则可能面临被取消本项目中标资格、列入不良行为记录名单的风险。</w:t>
      </w:r>
    </w:p>
    <w:p w14:paraId="169193CD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本招标公告及本项目招标文件所涉及的时间一律为北京时间。投标人有义务在招标活动期间浏览深圳阳光采购平台，在网上公布的与本次招标项目有关的信息视为已送达各投标人。采购人不再电话通知各投标人。</w:t>
      </w:r>
    </w:p>
    <w:p w14:paraId="0C1A23E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31" w:name="_Toc25605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七、采购信息查询网址</w:t>
      </w:r>
      <w:bookmarkEnd w:id="31"/>
    </w:p>
    <w:p w14:paraId="0A094E82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深圳阳光采购平台（https://www.szygcgpt.com/）</w:t>
      </w:r>
    </w:p>
    <w:p w14:paraId="5F8530D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bookmarkStart w:id="32" w:name="_Toc31977"/>
      <w:r>
        <w:rPr>
          <w:rFonts w:hint="eastAsia" w:ascii="宋体" w:hAnsi="宋体" w:eastAsia="宋体" w:cs="宋体"/>
          <w:color w:val="auto"/>
          <w:sz w:val="28"/>
          <w:szCs w:val="28"/>
        </w:rPr>
        <w:t>八、采购人：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深圳广田集团股份有限公司</w:t>
      </w:r>
      <w:bookmarkEnd w:id="32"/>
    </w:p>
    <w:p w14:paraId="143C578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default" w:ascii="宋体" w:hAnsi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联系人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林经理</w:t>
      </w:r>
    </w:p>
    <w:p w14:paraId="43F66E3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color w:val="0000FF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联系电话：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r>
        <w:rPr>
          <w:rFonts w:hint="eastAsia" w:ascii="宋体" w:hAnsi="宋体" w:cs="宋体"/>
          <w:color w:val="0000FF"/>
          <w:sz w:val="28"/>
          <w:szCs w:val="28"/>
          <w:highlight w:val="none"/>
          <w:lang w:val="en-US" w:eastAsia="zh-CN"/>
        </w:rPr>
        <w:t>15989258426</w:t>
      </w:r>
    </w:p>
    <w:p w14:paraId="01D925E9"/>
    <w:sectPr>
      <w:footerReference r:id="rId5" w:type="first"/>
      <w:headerReference r:id="rId3" w:type="default"/>
      <w:footerReference r:id="rId4" w:type="default"/>
      <w:pgSz w:w="11906" w:h="16838"/>
      <w:pgMar w:top="1440" w:right="1080" w:bottom="1440" w:left="1080" w:header="1247" w:footer="737" w:gutter="0"/>
      <w:pgNumType w:fmt="decimal"/>
      <w:cols w:space="720" w:num="1"/>
      <w:docGrid w:linePitch="38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4121D">
    <w:pPr>
      <w:pStyle w:val="4"/>
      <w:ind w:right="36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91047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91047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44140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5DA46">
    <w:pPr>
      <w:pStyle w:val="5"/>
      <w:pBdr>
        <w:bottom w:val="thinThickSmallGap" w:color="auto" w:sz="12" w:space="1"/>
      </w:pBdr>
      <w:jc w:val="both"/>
      <w:rPr>
        <w:rFonts w:hint="eastAsia"/>
        <w:lang w:eastAsia="zh-CN"/>
      </w:rPr>
    </w:pPr>
    <w:r>
      <w:rPr>
        <w:rFonts w:hint="eastAsia"/>
        <w:lang w:eastAsia="zh-CN"/>
      </w:rPr>
      <w:drawing>
        <wp:inline distT="0" distB="0" distL="114300" distR="114300">
          <wp:extent cx="2503170" cy="288290"/>
          <wp:effectExtent l="0" t="0" r="11430" b="1270"/>
          <wp:docPr id="2" name="图片 1" descr="特区建工集团+广田集团组合LOGO规范（（0228暂行）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特区建工集团+广田集团组合LOGO规范（（0228暂行）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317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D8456B"/>
    <w:multiLevelType w:val="singleLevel"/>
    <w:tmpl w:val="8AD8456B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8C3EB37F"/>
    <w:multiLevelType w:val="singleLevel"/>
    <w:tmpl w:val="8C3EB37F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AD2264DC"/>
    <w:multiLevelType w:val="singleLevel"/>
    <w:tmpl w:val="AD2264DC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EEC23193"/>
    <w:multiLevelType w:val="multilevel"/>
    <w:tmpl w:val="EEC23193"/>
    <w:lvl w:ilvl="0" w:tentative="0">
      <w:start w:val="1"/>
      <w:numFmt w:val="decimal"/>
      <w:suff w:val="nothing"/>
      <w:lvlText w:val="(%1)"/>
      <w:lvlJc w:val="left"/>
      <w:pPr>
        <w:ind w:left="705" w:hanging="425"/>
      </w:pPr>
      <w:rPr>
        <w:rFonts w:hint="default"/>
        <w:b w:val="0"/>
        <w:bCs w:val="0"/>
        <w:color w:val="0000FF"/>
        <w:sz w:val="28"/>
        <w:szCs w:val="28"/>
      </w:rPr>
    </w:lvl>
    <w:lvl w:ilvl="1" w:tentative="0">
      <w:start w:val="1"/>
      <w:numFmt w:val="decimalEnclosedCircleChinese"/>
      <w:lvlText w:val="%2"/>
      <w:lvlJc w:val="left"/>
      <w:pPr>
        <w:tabs>
          <w:tab w:val="left" w:pos="840"/>
        </w:tabs>
        <w:ind w:left="1120" w:hanging="420"/>
      </w:pPr>
      <w:rPr>
        <w:rFonts w:hint="default"/>
      </w:rPr>
    </w:lvl>
    <w:lvl w:ilvl="2" w:tentative="0">
      <w:start w:val="1"/>
      <w:numFmt w:val="decimal"/>
      <w:lvlText w:val="%3)"/>
      <w:lvlJc w:val="left"/>
      <w:pPr>
        <w:tabs>
          <w:tab w:val="left" w:pos="1260"/>
        </w:tabs>
        <w:ind w:left="1540" w:hanging="420"/>
      </w:pPr>
      <w:rPr>
        <w:rFonts w:hint="default"/>
      </w:rPr>
    </w:lvl>
    <w:lvl w:ilvl="3" w:tentative="0">
      <w:start w:val="1"/>
      <w:numFmt w:val="lowerLetter"/>
      <w:lvlText w:val="%4."/>
      <w:lvlJc w:val="left"/>
      <w:pPr>
        <w:tabs>
          <w:tab w:val="left" w:pos="1680"/>
        </w:tabs>
        <w:ind w:left="196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380" w:hanging="42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800" w:hanging="420"/>
      </w:pPr>
      <w:rPr>
        <w:rFonts w:hint="default"/>
      </w:rPr>
    </w:lvl>
    <w:lvl w:ilvl="6" w:tentative="0">
      <w:start w:val="1"/>
      <w:numFmt w:val="lowerRoman"/>
      <w:lvlText w:val="%7)"/>
      <w:lvlJc w:val="left"/>
      <w:pPr>
        <w:tabs>
          <w:tab w:val="left" w:pos="2940"/>
        </w:tabs>
        <w:ind w:left="3220" w:hanging="42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3360"/>
        </w:tabs>
        <w:ind w:left="3640" w:hanging="420"/>
      </w:pPr>
      <w:rPr>
        <w:rFonts w:hint="default"/>
      </w:rPr>
    </w:lvl>
    <w:lvl w:ilvl="8" w:tentative="0">
      <w:start w:val="1"/>
      <w:numFmt w:val="lowerLetter"/>
      <w:lvlText w:val="%9)"/>
      <w:lvlJc w:val="left"/>
      <w:pPr>
        <w:tabs>
          <w:tab w:val="left" w:pos="3780"/>
        </w:tabs>
        <w:ind w:left="4060" w:hanging="420"/>
      </w:pPr>
      <w:rPr>
        <w:rFonts w:hint="default"/>
      </w:rPr>
    </w:lvl>
  </w:abstractNum>
  <w:abstractNum w:abstractNumId="4">
    <w:nsid w:val="03C44F97"/>
    <w:multiLevelType w:val="singleLevel"/>
    <w:tmpl w:val="03C44F97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3A404CFB"/>
    <w:multiLevelType w:val="singleLevel"/>
    <w:tmpl w:val="3A404CFB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61DCA99F"/>
    <w:multiLevelType w:val="singleLevel"/>
    <w:tmpl w:val="61DCA99F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64A029B9"/>
    <w:multiLevelType w:val="singleLevel"/>
    <w:tmpl w:val="64A029B9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7E197352"/>
    <w:multiLevelType w:val="singleLevel"/>
    <w:tmpl w:val="7E197352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  <w:color w:val="0000FF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8"/>
  </w:num>
  <w:num w:numId="7">
    <w:abstractNumId w:val="5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8539C"/>
    <w:rsid w:val="05581E8E"/>
    <w:rsid w:val="058E1805"/>
    <w:rsid w:val="068E7B23"/>
    <w:rsid w:val="08471E20"/>
    <w:rsid w:val="09AA5418"/>
    <w:rsid w:val="0F031042"/>
    <w:rsid w:val="0FCB3FB4"/>
    <w:rsid w:val="16091BA4"/>
    <w:rsid w:val="18F32366"/>
    <w:rsid w:val="1A1F5AB7"/>
    <w:rsid w:val="1ACB4B33"/>
    <w:rsid w:val="1C406E5A"/>
    <w:rsid w:val="1F645F68"/>
    <w:rsid w:val="2C6D4EE0"/>
    <w:rsid w:val="332826CA"/>
    <w:rsid w:val="35021D34"/>
    <w:rsid w:val="35171E60"/>
    <w:rsid w:val="39085D74"/>
    <w:rsid w:val="3B685B31"/>
    <w:rsid w:val="3F4D5E52"/>
    <w:rsid w:val="4DE020DC"/>
    <w:rsid w:val="536D4EFC"/>
    <w:rsid w:val="54AA2A61"/>
    <w:rsid w:val="55C80684"/>
    <w:rsid w:val="56CA37E5"/>
    <w:rsid w:val="58E61D0D"/>
    <w:rsid w:val="5CE2303B"/>
    <w:rsid w:val="60522285"/>
    <w:rsid w:val="65014497"/>
    <w:rsid w:val="6E7F693B"/>
    <w:rsid w:val="77016C3D"/>
    <w:rsid w:val="77A3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tabs>
        <w:tab w:val="left" w:pos="2138"/>
      </w:tabs>
      <w:snapToGrid w:val="0"/>
      <w:spacing w:line="360" w:lineRule="auto"/>
    </w:pPr>
    <w:rPr>
      <w:rFonts w:ascii="宋体"/>
      <w:kern w:val="10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2125</Words>
  <Characters>2392</Characters>
  <Lines>0</Lines>
  <Paragraphs>0</Paragraphs>
  <TotalTime>0</TotalTime>
  <ScaleCrop>false</ScaleCrop>
  <LinksUpToDate>false</LinksUpToDate>
  <CharactersWithSpaces>2392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2026-01-15T06:17:00Z</dcterms:created>
  <dc:creator>47099</dc:creator>
  <cp:lastModifiedBy>林桂松</cp:lastModifiedBy>
  <dcterms:modified xsi:type="dcterms:W3CDTF">2026-03-30T09:37:01Z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eyJoZGlkIjoiMDY0NDY2YjcyOWY2YzQ4OTAxZGI2OGM3Y2RmNjhkN2IiLCJ1c2VySWQiOiIxNjY4MDEyNDc1In0=</vt:lpwstr>
  </property>
  <property fmtid="{D5CDD505-2E9C-101B-9397-08002B2CF9AE}" pid="4" name="ICV">
    <vt:lpwstr>CDE8F957BE4E4BDC89768AE4622C2BE1_12</vt:lpwstr>
  </property>
</Properties>
</file>