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E315F">
      <w:pPr>
        <w:pStyle w:val="39"/>
        <w:widowControl/>
        <w:jc w:val="center"/>
        <w:outlineLvl w:val="1"/>
        <w:rPr>
          <w:rFonts w:ascii="黑体" w:hAnsi="宋体" w:eastAsia="黑体" w:cs="黑体"/>
          <w:sz w:val="40"/>
          <w:szCs w:val="40"/>
        </w:rPr>
      </w:pPr>
      <w:bookmarkStart w:id="0" w:name="_Hlk71456902"/>
      <w:r>
        <w:rPr>
          <w:rFonts w:hint="eastAsia" w:ascii="黑体" w:hAnsi="宋体" w:eastAsia="黑体" w:cs="黑体"/>
          <w:sz w:val="40"/>
          <w:szCs w:val="40"/>
        </w:rPr>
        <w:t>招标文件信息</w:t>
      </w:r>
    </w:p>
    <w:tbl>
      <w:tblPr>
        <w:tblStyle w:val="44"/>
        <w:tblW w:w="7943" w:type="dxa"/>
        <w:jc w:val="center"/>
        <w:tblCellSpacing w:w="0" w:type="dxa"/>
        <w:tblLayout w:type="fixed"/>
        <w:tblCellMar>
          <w:top w:w="45" w:type="dxa"/>
          <w:left w:w="45" w:type="dxa"/>
          <w:bottom w:w="45" w:type="dxa"/>
          <w:right w:w="45" w:type="dxa"/>
        </w:tblCellMar>
      </w:tblPr>
      <w:tblGrid>
        <w:gridCol w:w="2723"/>
        <w:gridCol w:w="5220"/>
      </w:tblGrid>
      <w:tr w14:paraId="52058D6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2F60BCB">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346472EA">
            <w:pPr>
              <w:widowControl/>
              <w:jc w:val="left"/>
              <w:rPr>
                <w:sz w:val="30"/>
                <w:szCs w:val="30"/>
              </w:rPr>
            </w:pPr>
            <w:r>
              <w:rPr>
                <w:rFonts w:hint="eastAsia"/>
                <w:sz w:val="30"/>
                <w:szCs w:val="30"/>
              </w:rPr>
              <w:t>LGZXCG-2025-00069</w:t>
            </w:r>
          </w:p>
        </w:tc>
      </w:tr>
      <w:tr w14:paraId="23B1F06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080CE36">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75C5C9D4">
            <w:pPr>
              <w:widowControl/>
              <w:jc w:val="left"/>
              <w:rPr>
                <w:rFonts w:hint="default" w:eastAsia="宋体"/>
                <w:sz w:val="30"/>
                <w:szCs w:val="30"/>
                <w:lang w:val="en-US" w:eastAsia="zh-CN"/>
              </w:rPr>
            </w:pPr>
            <w:r>
              <w:rPr>
                <w:rFonts w:hint="default" w:eastAsia="宋体"/>
                <w:sz w:val="30"/>
                <w:szCs w:val="30"/>
                <w:lang w:val="en-US" w:eastAsia="zh-CN"/>
              </w:rPr>
              <w:t>深圳市龙岗区第二人民医院新院区检验科试剂耗材及配套设备采购项目</w:t>
            </w:r>
          </w:p>
        </w:tc>
      </w:tr>
      <w:tr w14:paraId="580BAF1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622CF84">
            <w:pPr>
              <w:widowControl/>
              <w:jc w:val="right"/>
              <w:rPr>
                <w:sz w:val="30"/>
                <w:szCs w:val="30"/>
              </w:rPr>
            </w:pPr>
            <w:r>
              <w:rPr>
                <w:rFonts w:ascii="宋体" w:hAnsi="宋体" w:cs="宋体"/>
                <w:kern w:val="0"/>
                <w:sz w:val="30"/>
                <w:szCs w:val="30"/>
                <w:lang w:bidi="ar"/>
              </w:rPr>
              <w:t xml:space="preserve">包 </w:t>
            </w: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号：</w:t>
            </w:r>
          </w:p>
        </w:tc>
        <w:tc>
          <w:tcPr>
            <w:tcW w:w="5220" w:type="dxa"/>
            <w:shd w:val="clear" w:color="auto" w:fill="auto"/>
            <w:vAlign w:val="center"/>
          </w:tcPr>
          <w:p w14:paraId="240B2EEA">
            <w:pPr>
              <w:widowControl/>
              <w:jc w:val="left"/>
              <w:rPr>
                <w:sz w:val="30"/>
                <w:szCs w:val="30"/>
              </w:rPr>
            </w:pPr>
            <w:r>
              <w:rPr>
                <w:rFonts w:ascii="宋体" w:hAnsi="宋体" w:cs="宋体"/>
                <w:kern w:val="0"/>
                <w:sz w:val="30"/>
                <w:szCs w:val="30"/>
                <w:lang w:bidi="ar"/>
              </w:rPr>
              <w:t>A</w:t>
            </w:r>
            <w:bookmarkStart w:id="135" w:name="_GoBack"/>
            <w:bookmarkEnd w:id="135"/>
          </w:p>
        </w:tc>
      </w:tr>
      <w:tr w14:paraId="3C246B8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B28244A">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3603FD58">
            <w:pPr>
              <w:widowControl/>
              <w:jc w:val="left"/>
              <w:rPr>
                <w:sz w:val="30"/>
                <w:szCs w:val="30"/>
              </w:rPr>
            </w:pPr>
            <w:r>
              <w:rPr>
                <w:rFonts w:ascii="宋体" w:hAnsi="宋体" w:cs="宋体"/>
                <w:kern w:val="0"/>
                <w:sz w:val="30"/>
                <w:szCs w:val="30"/>
                <w:lang w:bidi="ar"/>
              </w:rPr>
              <w:t>货物类</w:t>
            </w:r>
          </w:p>
        </w:tc>
      </w:tr>
      <w:tr w14:paraId="3CA1EC8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43C9C6B">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373C1A82">
            <w:pPr>
              <w:widowControl/>
              <w:jc w:val="left"/>
              <w:rPr>
                <w:sz w:val="30"/>
                <w:szCs w:val="30"/>
              </w:rPr>
            </w:pPr>
            <w:r>
              <w:rPr>
                <w:rFonts w:ascii="宋体" w:hAnsi="宋体" w:cs="宋体"/>
                <w:kern w:val="0"/>
                <w:sz w:val="30"/>
                <w:szCs w:val="30"/>
                <w:lang w:bidi="ar"/>
              </w:rPr>
              <w:t>公开招标</w:t>
            </w:r>
          </w:p>
        </w:tc>
      </w:tr>
      <w:tr w14:paraId="25CD282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E15C6A4">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1694600F">
            <w:pPr>
              <w:widowControl/>
              <w:jc w:val="left"/>
              <w:rPr>
                <w:sz w:val="30"/>
                <w:szCs w:val="30"/>
              </w:rPr>
            </w:pPr>
            <w:r>
              <w:rPr>
                <w:rFonts w:ascii="宋体" w:hAnsi="宋体" w:cs="宋体"/>
                <w:kern w:val="0"/>
                <w:sz w:val="30"/>
                <w:szCs w:val="30"/>
                <w:lang w:bidi="ar"/>
              </w:rPr>
              <w:t>人民币</w:t>
            </w:r>
          </w:p>
        </w:tc>
      </w:tr>
      <w:tr w14:paraId="06803D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006CB8F">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7017E5AB">
            <w:pPr>
              <w:widowControl/>
              <w:jc w:val="left"/>
              <w:rPr>
                <w:sz w:val="30"/>
                <w:szCs w:val="30"/>
              </w:rPr>
            </w:pPr>
            <w:r>
              <w:rPr>
                <w:rFonts w:ascii="宋体" w:hAnsi="宋体" w:cs="宋体"/>
                <w:kern w:val="0"/>
                <w:sz w:val="30"/>
                <w:szCs w:val="30"/>
                <w:lang w:bidi="ar"/>
              </w:rPr>
              <w:t>综合评分法</w:t>
            </w:r>
          </w:p>
        </w:tc>
      </w:tr>
      <w:bookmarkEnd w:id="0"/>
    </w:tbl>
    <w:p w14:paraId="2F36E393">
      <w:pPr>
        <w:pStyle w:val="39"/>
        <w:widowControl/>
        <w:jc w:val="center"/>
        <w:outlineLvl w:val="1"/>
        <w:rPr>
          <w:rFonts w:hint="eastAsia" w:ascii="黑体" w:hAnsi="宋体" w:eastAsia="黑体" w:cs="黑体"/>
          <w:sz w:val="40"/>
          <w:szCs w:val="40"/>
        </w:rPr>
        <w:sectPr>
          <w:headerReference r:id="rId3" w:type="first"/>
          <w:footerReference r:id="rId4" w:type="default"/>
          <w:pgSz w:w="11907" w:h="16840"/>
          <w:pgMar w:top="1497" w:right="1418" w:bottom="1440" w:left="1531" w:header="851" w:footer="992" w:gutter="0"/>
          <w:pgBorders>
            <w:top w:val="none" w:sz="0" w:space="0"/>
            <w:left w:val="none" w:sz="0" w:space="0"/>
            <w:bottom w:val="none" w:sz="0" w:space="0"/>
            <w:right w:val="none" w:sz="0" w:space="0"/>
          </w:pgBorders>
          <w:cols w:space="425" w:num="1"/>
          <w:titlePg/>
          <w:docGrid w:linePitch="462" w:charSpace="0"/>
        </w:sectPr>
      </w:pPr>
    </w:p>
    <w:p w14:paraId="1041848D">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1B635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0CCAA1">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7462FDE">
            <w:pPr>
              <w:widowControl/>
              <w:jc w:val="center"/>
              <w:rPr>
                <w:sz w:val="28"/>
                <w:szCs w:val="28"/>
              </w:rPr>
            </w:pPr>
            <w:r>
              <w:rPr>
                <w:rFonts w:ascii="宋体" w:hAnsi="宋体" w:cs="宋体"/>
                <w:kern w:val="0"/>
                <w:sz w:val="28"/>
                <w:szCs w:val="28"/>
                <w:lang w:bidi="ar"/>
              </w:rPr>
              <w:t>内容</w:t>
            </w:r>
          </w:p>
        </w:tc>
      </w:tr>
      <w:tr w14:paraId="392237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B828CA1">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FC83BC5">
            <w:pPr>
              <w:widowControl/>
              <w:jc w:val="left"/>
              <w:textAlignment w:val="top"/>
              <w:rPr>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2B97E9B0">
      <w:pPr>
        <w:pStyle w:val="39"/>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4"/>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77063C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26D9AD6">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5112D6C">
            <w:pPr>
              <w:widowControl/>
              <w:jc w:val="center"/>
              <w:rPr>
                <w:sz w:val="28"/>
                <w:szCs w:val="28"/>
              </w:rPr>
            </w:pPr>
            <w:r>
              <w:rPr>
                <w:rFonts w:ascii="宋体" w:hAnsi="宋体" w:cs="宋体"/>
                <w:kern w:val="0"/>
                <w:sz w:val="28"/>
                <w:szCs w:val="28"/>
                <w:lang w:bidi="ar"/>
              </w:rPr>
              <w:t>内容</w:t>
            </w:r>
          </w:p>
        </w:tc>
      </w:tr>
      <w:tr w14:paraId="137B0E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6F23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CDD83F">
            <w:pPr>
              <w:widowControl/>
              <w:jc w:val="left"/>
              <w:textAlignment w:val="top"/>
              <w:rPr>
                <w:szCs w:val="21"/>
              </w:rPr>
            </w:pPr>
            <w:r>
              <w:rPr>
                <w:rFonts w:hint="eastAsia"/>
                <w:lang w:val="en-US" w:eastAsia="zh-CN"/>
              </w:rPr>
              <w:t>不得</w:t>
            </w:r>
            <w:r>
              <w:rPr>
                <w:rFonts w:hint="eastAsia"/>
              </w:rPr>
              <w:t>将一个包的内容拆开投标；</w:t>
            </w:r>
          </w:p>
        </w:tc>
      </w:tr>
      <w:tr w14:paraId="528473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2294B">
            <w:pPr>
              <w:widowControl/>
              <w:jc w:val="center"/>
              <w:textAlignment w:val="top"/>
              <w:rPr>
                <w:szCs w:val="21"/>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3507A9C">
            <w:pPr>
              <w:widowControl/>
              <w:jc w:val="left"/>
              <w:textAlignment w:val="top"/>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7A021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63A71">
            <w:pPr>
              <w:widowControl/>
              <w:jc w:val="center"/>
              <w:textAlignment w:val="top"/>
              <w:rPr>
                <w:szCs w:val="21"/>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6465010">
            <w:pPr>
              <w:widowControl/>
              <w:jc w:val="left"/>
              <w:textAlignment w:val="top"/>
              <w:rPr>
                <w:szCs w:val="21"/>
              </w:rPr>
            </w:pPr>
            <w:r>
              <w:rPr>
                <w:rFonts w:hint="eastAsia"/>
              </w:rPr>
              <w:t>分项报价或投标总价</w:t>
            </w:r>
            <w:r>
              <w:rPr>
                <w:rFonts w:hint="eastAsia"/>
                <w:lang w:val="en-US" w:eastAsia="zh-CN"/>
              </w:rPr>
              <w:t>不得</w:t>
            </w:r>
            <w:r>
              <w:rPr>
                <w:rFonts w:hint="eastAsia"/>
              </w:rPr>
              <w:t>高于</w:t>
            </w:r>
            <w:bookmarkStart w:id="1" w:name="_Hlk71832186"/>
            <w:r>
              <w:rPr>
                <w:rFonts w:hint="eastAsia"/>
              </w:rPr>
              <w:t>相应预算金额（或设定的预算金额下的最高限价）</w:t>
            </w:r>
            <w:bookmarkEnd w:id="1"/>
            <w:r>
              <w:rPr>
                <w:rFonts w:hint="eastAsia"/>
              </w:rPr>
              <w:t>；</w:t>
            </w:r>
          </w:p>
        </w:tc>
      </w:tr>
      <w:tr w14:paraId="66339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5CF99">
            <w:pPr>
              <w:widowControl/>
              <w:jc w:val="center"/>
              <w:textAlignment w:val="top"/>
              <w:rPr>
                <w:szCs w:val="21"/>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B4467DC">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245C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07380">
            <w:pPr>
              <w:widowControl/>
              <w:jc w:val="center"/>
              <w:textAlignment w:val="top"/>
              <w:rPr>
                <w:szCs w:val="21"/>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B8B6856">
            <w:pPr>
              <w:widowControl/>
              <w:jc w:val="left"/>
              <w:textAlignment w:val="top"/>
              <w:rPr>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14:paraId="5FF7F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A1218">
            <w:pPr>
              <w:widowControl/>
              <w:jc w:val="center"/>
              <w:textAlignment w:val="top"/>
              <w:rPr>
                <w:szCs w:val="21"/>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47AD72D">
            <w:pPr>
              <w:widowControl/>
              <w:jc w:val="left"/>
              <w:textAlignment w:val="top"/>
              <w:rPr>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574BE4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8D206">
            <w:pPr>
              <w:widowControl/>
              <w:jc w:val="center"/>
              <w:textAlignment w:val="top"/>
              <w:rPr>
                <w:rFonts w:hint="eastAsia"/>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9712A9F">
            <w:pPr>
              <w:widowControl/>
              <w:jc w:val="left"/>
              <w:textAlignment w:val="top"/>
              <w:rPr>
                <w:rFonts w:hint="eastAsia"/>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3154A8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27FD3">
            <w:pPr>
              <w:widowControl/>
              <w:jc w:val="center"/>
              <w:textAlignment w:val="top"/>
              <w:rPr>
                <w:rFonts w:hint="eastAsia" w:eastAsia="宋体"/>
                <w:szCs w:val="21"/>
                <w:lang w:eastAsia="zh-CN"/>
              </w:rPr>
            </w:pPr>
            <w:r>
              <w:rPr>
                <w:rFonts w:hint="eastAsia" w:ascii="宋体" w:hAnsi="宋体" w:cs="宋体"/>
                <w:kern w:val="0"/>
                <w:szCs w:val="21"/>
                <w:lang w:val="en-US" w:eastAsia="zh-CN"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2C5A2BF">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14:paraId="2C043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F723A">
            <w:pPr>
              <w:widowControl/>
              <w:jc w:val="center"/>
              <w:textAlignment w:val="top"/>
              <w:rPr>
                <w:rFonts w:hint="eastAsia" w:ascii="宋体" w:hAnsi="宋体" w:eastAsia="宋体" w:cs="宋体"/>
                <w:szCs w:val="24"/>
                <w:lang w:val="en-US" w:eastAsia="zh-CN"/>
              </w:rPr>
            </w:pPr>
            <w:r>
              <w:rPr>
                <w:rFonts w:hint="eastAsia" w:ascii="宋体" w:hAnsi="宋体" w:cs="宋体"/>
                <w:szCs w:val="24"/>
                <w:lang w:val="en-US"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B32F632">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3B8BBD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0237F">
            <w:pPr>
              <w:widowControl/>
              <w:jc w:val="center"/>
              <w:textAlignment w:val="top"/>
              <w:rPr>
                <w:rFonts w:hint="default" w:ascii="宋体" w:hAnsi="宋体" w:eastAsia="宋体" w:cs="宋体"/>
                <w:szCs w:val="24"/>
                <w:lang w:val="en-US" w:eastAsia="zh-CN"/>
              </w:rPr>
            </w:pPr>
            <w:r>
              <w:rPr>
                <w:rFonts w:hint="eastAsia" w:ascii="宋体" w:hAnsi="宋体" w:cs="宋体"/>
                <w:szCs w:val="24"/>
                <w:lang w:val="en-US" w:eastAsia="zh-CN"/>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60BA89E">
            <w:pPr>
              <w:widowControl/>
              <w:jc w:val="left"/>
              <w:textAlignment w:val="top"/>
              <w:rPr>
                <w:rFonts w:hint="eastAsia" w:eastAsia="宋体"/>
                <w:szCs w:val="24"/>
                <w:lang w:eastAsia="zh-CN"/>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5B743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99B85">
            <w:pPr>
              <w:widowControl/>
              <w:jc w:val="center"/>
              <w:textAlignment w:val="top"/>
              <w:rPr>
                <w:rFonts w:hint="default" w:eastAsia="宋体"/>
                <w:szCs w:val="21"/>
                <w:lang w:val="en-US" w:eastAsia="zh-CN"/>
              </w:rPr>
            </w:pPr>
            <w:r>
              <w:rPr>
                <w:rFonts w:hint="eastAsia" w:ascii="宋体" w:hAnsi="宋体" w:cs="宋体"/>
                <w:kern w:val="0"/>
                <w:szCs w:val="21"/>
                <w:lang w:val="en-US" w:eastAsia="zh-CN"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AB46464">
            <w:pPr>
              <w:widowControl/>
              <w:jc w:val="left"/>
              <w:textAlignment w:val="top"/>
              <w:rPr>
                <w:szCs w:val="21"/>
              </w:rPr>
            </w:pPr>
            <w:r>
              <w:rPr>
                <w:rFonts w:hint="eastAsia"/>
              </w:rPr>
              <w:t>法律、法规、规章、规范性文件规定的其他情形。</w:t>
            </w:r>
          </w:p>
        </w:tc>
      </w:tr>
    </w:tbl>
    <w:p w14:paraId="16559710">
      <w:pPr>
        <w:pStyle w:val="39"/>
        <w:widowControl/>
        <w:jc w:val="center"/>
        <w:outlineLvl w:val="1"/>
        <w:rPr>
          <w:rFonts w:hint="eastAsia" w:ascii="黑体" w:hAnsi="宋体" w:eastAsia="黑体" w:cs="黑体"/>
          <w:sz w:val="40"/>
          <w:szCs w:val="40"/>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1F837689">
      <w:pPr>
        <w:pStyle w:val="39"/>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4"/>
        <w:tblW w:w="8715"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136"/>
        <w:gridCol w:w="625"/>
        <w:gridCol w:w="627"/>
        <w:gridCol w:w="1041"/>
        <w:gridCol w:w="1067"/>
        <w:gridCol w:w="5152"/>
        <w:gridCol w:w="67"/>
      </w:tblGrid>
      <w:tr w14:paraId="4696FC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715" w:type="dxa"/>
            <w:gridSpan w:val="7"/>
            <w:shd w:val="clear" w:color="auto" w:fill="auto"/>
            <w:vAlign w:val="center"/>
          </w:tcPr>
          <w:p w14:paraId="510785F3">
            <w:pPr>
              <w:jc w:val="left"/>
              <w:rPr>
                <w:rFonts w:ascii="宋体"/>
                <w:b/>
                <w:bCs/>
                <w:sz w:val="21"/>
                <w:szCs w:val="21"/>
              </w:rPr>
            </w:pPr>
            <w:r>
              <w:rPr>
                <w:b/>
                <w:bCs/>
                <w:sz w:val="21"/>
                <w:szCs w:val="21"/>
              </w:rPr>
              <w:t>评标方法：综合评分法</w:t>
            </w:r>
          </w:p>
        </w:tc>
      </w:tr>
      <w:tr w14:paraId="02AD95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715" w:type="dxa"/>
            <w:gridSpan w:val="7"/>
            <w:shd w:val="clear" w:color="auto" w:fill="auto"/>
            <w:vAlign w:val="center"/>
          </w:tcPr>
          <w:p w14:paraId="5F2C2B95">
            <w:pPr>
              <w:keepNext w:val="0"/>
              <w:keepLines w:val="0"/>
              <w:pageBreakBefore w:val="0"/>
              <w:kinsoku/>
              <w:wordWrap/>
              <w:overflowPunct/>
              <w:topLinePunct w:val="0"/>
              <w:autoSpaceDE/>
              <w:autoSpaceDN/>
              <w:bidi w:val="0"/>
              <w:adjustRightInd/>
              <w:snapToGrid/>
              <w:spacing w:beforeAutospacing="0" w:afterAutospacing="0" w:line="240" w:lineRule="auto"/>
              <w:ind w:firstLine="420" w:firstLineChars="200"/>
              <w:textAlignment w:val="auto"/>
              <w:rPr>
                <w:rFonts w:hint="eastAsia" w:eastAsia="宋体"/>
                <w:sz w:val="21"/>
                <w:szCs w:val="21"/>
                <w:lang w:eastAsia="zh-CN"/>
              </w:rPr>
            </w:pPr>
            <w:r>
              <w:rPr>
                <w:sz w:val="21"/>
                <w:szCs w:val="21"/>
              </w:rPr>
              <w:t>综合评分法，</w:t>
            </w:r>
            <w:r>
              <w:rPr>
                <w:rFonts w:hint="eastAsia"/>
                <w:sz w:val="21"/>
                <w:szCs w:val="21"/>
              </w:rPr>
              <w:t>是指投标文件满足招标文件全部实质性要求，且按照评审因素的量化指标评审得分最高的投标人为中标候选人的评标方法。</w:t>
            </w:r>
          </w:p>
          <w:p w14:paraId="644D5AF1">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p>
          <w:p w14:paraId="51E966A2">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rPr>
            </w:pPr>
            <w:r>
              <w:rPr>
                <w:sz w:val="21"/>
                <w:szCs w:val="21"/>
              </w:rPr>
              <w:t>价格分计算方法：</w:t>
            </w:r>
          </w:p>
          <w:p w14:paraId="210DA526">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采用低价优先法计算，即满足招标文件要求且投标价格最低的投标报价为评标基准价，其价格分为满分。其他投标人的价格分统一按照下列公式计算： </w:t>
            </w:r>
          </w:p>
          <w:p w14:paraId="078DE822">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投标报价得分=(评标基准价／投标报价)×100 </w:t>
            </w:r>
          </w:p>
          <w:p w14:paraId="26075984">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评标总得分＝F1×A1＋F2×A2＋……＋Fn×An </w:t>
            </w:r>
          </w:p>
          <w:p w14:paraId="38E09F1A">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F1、F2……Fn分别为各项评审因素的得分； </w:t>
            </w:r>
          </w:p>
          <w:p w14:paraId="2CE700D9">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eastAsia="宋体"/>
                <w:kern w:val="2"/>
                <w:sz w:val="21"/>
                <w:szCs w:val="21"/>
                <w:lang w:eastAsia="zh-CN"/>
              </w:rPr>
            </w:pPr>
            <w:r>
              <w:rPr>
                <w:kern w:val="2"/>
                <w:sz w:val="21"/>
                <w:szCs w:val="21"/>
              </w:rPr>
              <w:t xml:space="preserve">A1、A2、……An 分别为各项评审因素所占的权重(A1＋A2＋……＋An＝1)。 </w:t>
            </w:r>
          </w:p>
          <w:p w14:paraId="1BBB11A3">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评标过程中，不得去掉报价中的最高报价和最低报价。</w:t>
            </w:r>
          </w:p>
          <w:p w14:paraId="6808D7D5">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rFonts w:hint="eastAsia"/>
                <w:kern w:val="2"/>
                <w:sz w:val="21"/>
                <w:szCs w:val="21"/>
              </w:rPr>
            </w:pPr>
            <w:r>
              <w:rPr>
                <w:rFonts w:hint="eastAsia"/>
                <w:kern w:val="2"/>
                <w:sz w:val="21"/>
                <w:szCs w:val="21"/>
              </w:rPr>
              <w:t>因</w:t>
            </w:r>
            <w:r>
              <w:rPr>
                <w:rFonts w:hint="eastAsia"/>
                <w:kern w:val="2"/>
                <w:sz w:val="21"/>
                <w:szCs w:val="21"/>
                <w:lang w:val="en-US" w:eastAsia="zh-CN"/>
              </w:rPr>
              <w:t>参考</w:t>
            </w:r>
            <w:r>
              <w:rPr>
                <w:rFonts w:hint="eastAsia"/>
                <w:kern w:val="2"/>
                <w:sz w:val="21"/>
                <w:szCs w:val="21"/>
              </w:rPr>
              <w:t>落实政府采购政策进行价格调整的，以调整后的价格计算评标基准价和投标报价。</w:t>
            </w:r>
          </w:p>
          <w:p w14:paraId="1EEF4A20">
            <w:pPr>
              <w:pStyle w:val="39"/>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sz w:val="21"/>
                <w:szCs w:val="21"/>
              </w:rPr>
            </w:pPr>
          </w:p>
        </w:tc>
      </w:tr>
      <w:tr w14:paraId="02C530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96ABBA9">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sz w:val="21"/>
                <w:szCs w:val="21"/>
                <w:u w:val="none"/>
              </w:rPr>
            </w:pPr>
            <w:r>
              <w:rPr>
                <w:rFonts w:hint="eastAsia" w:asciiTheme="minorEastAsia" w:hAnsiTheme="minorEastAsia" w:eastAsiaTheme="minorEastAsia" w:cstheme="minorEastAsia"/>
                <w:b/>
                <w:bCs/>
                <w:kern w:val="0"/>
                <w:sz w:val="21"/>
                <w:szCs w:val="21"/>
                <w:u w:val="none"/>
              </w:rPr>
              <w:t>序号</w:t>
            </w:r>
          </w:p>
        </w:tc>
        <w:tc>
          <w:tcPr>
            <w:tcW w:w="2735"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14BAC3BF">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sz w:val="21"/>
                <w:szCs w:val="21"/>
                <w:u w:val="none"/>
              </w:rPr>
            </w:pPr>
            <w:r>
              <w:rPr>
                <w:rFonts w:hint="eastAsia" w:asciiTheme="minorEastAsia" w:hAnsiTheme="minorEastAsia" w:eastAsiaTheme="minorEastAsia" w:cstheme="minorEastAsia"/>
                <w:b/>
                <w:bCs/>
                <w:kern w:val="0"/>
                <w:sz w:val="21"/>
                <w:szCs w:val="21"/>
                <w:u w:val="none"/>
              </w:rPr>
              <w:t>评分项</w:t>
            </w:r>
          </w:p>
        </w:tc>
        <w:tc>
          <w:tcPr>
            <w:tcW w:w="515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DF560D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sz w:val="21"/>
                <w:szCs w:val="21"/>
                <w:u w:val="none"/>
              </w:rPr>
            </w:pPr>
            <w:r>
              <w:rPr>
                <w:rFonts w:hint="eastAsia" w:asciiTheme="minorEastAsia" w:hAnsiTheme="minorEastAsia" w:eastAsiaTheme="minorEastAsia" w:cstheme="minorEastAsia"/>
                <w:b/>
                <w:bCs/>
                <w:kern w:val="0"/>
                <w:sz w:val="21"/>
                <w:szCs w:val="21"/>
                <w:u w:val="none"/>
              </w:rPr>
              <w:t>权重(%)</w:t>
            </w:r>
          </w:p>
        </w:tc>
      </w:tr>
      <w:tr w14:paraId="7879AE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02273">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r>
              <w:rPr>
                <w:rFonts w:hint="eastAsia" w:asciiTheme="minorEastAsia" w:hAnsiTheme="minorEastAsia" w:eastAsiaTheme="minorEastAsia" w:cstheme="minorEastAsia"/>
                <w:b/>
                <w:bCs/>
                <w:color w:val="0000FF"/>
                <w:kern w:val="0"/>
                <w:sz w:val="21"/>
                <w:szCs w:val="21"/>
                <w:u w:val="none"/>
              </w:rPr>
              <w:t>1</w:t>
            </w:r>
          </w:p>
        </w:tc>
        <w:tc>
          <w:tcPr>
            <w:tcW w:w="273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4DD82CEB">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r>
              <w:rPr>
                <w:rFonts w:hint="eastAsia" w:asciiTheme="minorEastAsia" w:hAnsiTheme="minorEastAsia" w:eastAsiaTheme="minorEastAsia" w:cstheme="minorEastAsia"/>
                <w:b/>
                <w:bCs/>
                <w:color w:val="0000FF"/>
                <w:kern w:val="0"/>
                <w:sz w:val="21"/>
                <w:szCs w:val="21"/>
                <w:u w:val="none"/>
              </w:rPr>
              <w:t>价格</w:t>
            </w:r>
          </w:p>
        </w:tc>
        <w:tc>
          <w:tcPr>
            <w:tcW w:w="51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18A43">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r>
              <w:rPr>
                <w:rFonts w:hint="eastAsia" w:asciiTheme="minorEastAsia" w:hAnsiTheme="minorEastAsia" w:eastAsiaTheme="minorEastAsia" w:cstheme="minorEastAsia"/>
                <w:b/>
                <w:bCs/>
                <w:color w:val="0000FF"/>
                <w:kern w:val="0"/>
                <w:sz w:val="21"/>
                <w:szCs w:val="21"/>
                <w:u w:val="none"/>
              </w:rPr>
              <w:t>30</w:t>
            </w:r>
          </w:p>
        </w:tc>
      </w:tr>
      <w:tr w14:paraId="4962C7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restart"/>
            <w:tcBorders>
              <w:top w:val="single" w:color="000000" w:sz="8" w:space="0"/>
              <w:left w:val="single" w:color="000000" w:sz="8" w:space="0"/>
              <w:right w:val="single" w:color="000000" w:sz="8" w:space="0"/>
            </w:tcBorders>
            <w:shd w:val="clear" w:color="auto" w:fill="auto"/>
            <w:vAlign w:val="center"/>
          </w:tcPr>
          <w:p w14:paraId="77FCED6E">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r>
              <w:rPr>
                <w:rFonts w:hint="eastAsia" w:asciiTheme="minorEastAsia" w:hAnsiTheme="minorEastAsia" w:eastAsiaTheme="minorEastAsia" w:cstheme="minorEastAsia"/>
                <w:b/>
                <w:bCs/>
                <w:color w:val="0000FF"/>
                <w:kern w:val="0"/>
                <w:sz w:val="21"/>
                <w:szCs w:val="21"/>
                <w:u w:val="none"/>
              </w:rPr>
              <w:t>2</w:t>
            </w:r>
          </w:p>
        </w:tc>
        <w:tc>
          <w:tcPr>
            <w:tcW w:w="273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EB5B81B">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r>
              <w:rPr>
                <w:rFonts w:hint="eastAsia" w:asciiTheme="minorEastAsia" w:hAnsiTheme="minorEastAsia" w:eastAsiaTheme="minorEastAsia" w:cstheme="minorEastAsia"/>
                <w:b/>
                <w:bCs/>
                <w:color w:val="0000FF"/>
                <w:kern w:val="0"/>
                <w:sz w:val="21"/>
                <w:szCs w:val="21"/>
                <w:u w:val="none"/>
              </w:rPr>
              <w:t>技术部分</w:t>
            </w:r>
          </w:p>
        </w:tc>
        <w:tc>
          <w:tcPr>
            <w:tcW w:w="51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0C1D4">
            <w:pPr>
              <w:keepNext w:val="0"/>
              <w:keepLines w:val="0"/>
              <w:pageBreakBefore w:val="0"/>
              <w:widowControl/>
              <w:kinsoku/>
              <w:wordWrap w:val="0"/>
              <w:overflowPunct/>
              <w:topLinePunct w:val="0"/>
              <w:bidi w:val="0"/>
              <w:adjustRightInd/>
              <w:snapToGrid/>
              <w:ind w:firstLine="0" w:firstLineChars="0"/>
              <w:jc w:val="center"/>
              <w:textAlignment w:val="auto"/>
              <w:rPr>
                <w:rFonts w:hint="default" w:asciiTheme="minorEastAsia" w:hAnsiTheme="minorEastAsia" w:eastAsiaTheme="minorEastAsia" w:cstheme="minorEastAsia"/>
                <w:b/>
                <w:bCs/>
                <w:color w:val="0000FF"/>
                <w:sz w:val="21"/>
                <w:szCs w:val="21"/>
                <w:u w:val="none"/>
                <w:lang w:val="en-US" w:eastAsia="zh-CN"/>
              </w:rPr>
            </w:pPr>
            <w:r>
              <w:rPr>
                <w:rFonts w:hint="eastAsia" w:asciiTheme="minorEastAsia" w:hAnsiTheme="minorEastAsia" w:eastAsiaTheme="minorEastAsia" w:cstheme="minorEastAsia"/>
                <w:b/>
                <w:bCs/>
                <w:color w:val="0000FF"/>
                <w:sz w:val="21"/>
                <w:szCs w:val="21"/>
                <w:u w:val="none"/>
                <w:lang w:val="en-US" w:eastAsia="zh-CN"/>
              </w:rPr>
              <w:t>35</w:t>
            </w:r>
          </w:p>
        </w:tc>
      </w:tr>
      <w:tr w14:paraId="45BD0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right w:val="single" w:color="000000" w:sz="8" w:space="0"/>
            </w:tcBorders>
            <w:shd w:val="clear" w:color="auto" w:fill="E6EFFA"/>
            <w:vAlign w:val="center"/>
          </w:tcPr>
          <w:p w14:paraId="56AD0AEA">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FB4A000">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序号</w:t>
            </w:r>
          </w:p>
        </w:tc>
        <w:tc>
          <w:tcPr>
            <w:tcW w:w="104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2BB2891">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评分因素</w:t>
            </w:r>
          </w:p>
        </w:tc>
        <w:tc>
          <w:tcPr>
            <w:tcW w:w="106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5F5D994">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权重(%)</w:t>
            </w:r>
          </w:p>
        </w:tc>
        <w:tc>
          <w:tcPr>
            <w:tcW w:w="515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92FF39">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评分准则</w:t>
            </w:r>
          </w:p>
        </w:tc>
      </w:tr>
      <w:tr w14:paraId="3B683F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right w:val="single" w:color="000000" w:sz="8" w:space="0"/>
            </w:tcBorders>
            <w:shd w:val="clear" w:color="auto" w:fill="auto"/>
            <w:vAlign w:val="center"/>
          </w:tcPr>
          <w:p w14:paraId="064C0096">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highlight w:val="none"/>
                <w:u w:val="none"/>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E3D0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kern w:val="0"/>
                <w:sz w:val="21"/>
                <w:szCs w:val="21"/>
                <w:highlight w:val="none"/>
                <w:u w:val="none"/>
              </w:rPr>
              <w:t>1</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D112B">
            <w:pPr>
              <w:keepNext w:val="0"/>
              <w:keepLines w:val="0"/>
              <w:pageBreakBefore w:val="0"/>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sz w:val="21"/>
                <w:szCs w:val="21"/>
                <w:highlight w:val="none"/>
                <w:u w:val="none"/>
                <w:lang w:val="en-US" w:eastAsia="zh-CN"/>
              </w:rPr>
              <w:t>整体要求</w:t>
            </w:r>
          </w:p>
        </w:tc>
        <w:tc>
          <w:tcPr>
            <w:tcW w:w="10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CB737">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sz w:val="21"/>
                <w:szCs w:val="21"/>
                <w:highlight w:val="none"/>
                <w:u w:val="none"/>
                <w:lang w:val="en-US" w:eastAsia="zh-CN"/>
              </w:rPr>
              <w:t>15</w:t>
            </w:r>
          </w:p>
        </w:tc>
        <w:tc>
          <w:tcPr>
            <w:tcW w:w="51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EC9091">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（一）评分内容：</w:t>
            </w:r>
          </w:p>
          <w:p w14:paraId="69DE2907">
            <w:pPr>
              <w:wordWrap w:val="0"/>
              <w:jc w:val="both"/>
              <w:rPr>
                <w:rFonts w:hint="eastAsia" w:asciiTheme="minorEastAsia" w:hAnsiTheme="minorEastAsia" w:eastAsiaTheme="minorEastAsia" w:cstheme="minorEastAsia"/>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为提高急诊科室检测质量、运营效率和信息化建设，优先考虑所提供的试剂品类为同一品牌：供应商所提供的</w:t>
            </w:r>
            <w:r>
              <w:rPr>
                <w:rFonts w:hint="eastAsia" w:asciiTheme="minorEastAsia" w:hAnsiTheme="minorEastAsia" w:eastAsiaTheme="minorEastAsia" w:cstheme="minorEastAsia"/>
                <w:szCs w:val="21"/>
                <w:highlight w:val="none"/>
                <w:u w:val="none"/>
                <w:lang w:val="en-US" w:eastAsia="zh-CN"/>
              </w:rPr>
              <w:t>血球试剂（对应“</w:t>
            </w:r>
            <w:r>
              <w:rPr>
                <w:rFonts w:hint="eastAsia"/>
                <w:highlight w:val="none"/>
                <w:u w:val="none"/>
                <w:lang w:val="en-US" w:eastAsia="zh-CN"/>
              </w:rPr>
              <w:t>二、货物清单明细”中货物</w:t>
            </w:r>
            <w:r>
              <w:rPr>
                <w:rFonts w:hint="eastAsia"/>
                <w:b/>
                <w:bCs/>
                <w:highlight w:val="none"/>
                <w:u w:val="none"/>
                <w:lang w:val="en-US" w:eastAsia="zh-CN"/>
              </w:rPr>
              <w:t>“序号1至4”</w:t>
            </w:r>
            <w:r>
              <w:rPr>
                <w:rFonts w:hint="eastAsia"/>
                <w:highlight w:val="none"/>
                <w:u w:val="none"/>
                <w:lang w:val="en-US" w:eastAsia="zh-CN"/>
              </w:rPr>
              <w:t>）”</w:t>
            </w:r>
            <w:r>
              <w:rPr>
                <w:rFonts w:hint="eastAsia" w:asciiTheme="minorEastAsia" w:hAnsiTheme="minorEastAsia" w:eastAsiaTheme="minorEastAsia" w:cstheme="minorEastAsia"/>
                <w:szCs w:val="21"/>
                <w:highlight w:val="none"/>
                <w:u w:val="none"/>
                <w:lang w:val="en-US" w:eastAsia="zh-CN"/>
              </w:rPr>
              <w:t>、生化试剂（对应“</w:t>
            </w:r>
            <w:r>
              <w:rPr>
                <w:rFonts w:hint="eastAsia"/>
                <w:highlight w:val="none"/>
                <w:u w:val="none"/>
                <w:lang w:val="en-US" w:eastAsia="zh-CN"/>
              </w:rPr>
              <w:t>二、货物清单明细”中货物</w:t>
            </w:r>
            <w:r>
              <w:rPr>
                <w:rFonts w:hint="eastAsia"/>
                <w:b/>
                <w:bCs/>
                <w:highlight w:val="none"/>
                <w:u w:val="none"/>
                <w:lang w:val="en-US" w:eastAsia="zh-CN"/>
              </w:rPr>
              <w:t>“序号7至30</w:t>
            </w:r>
            <w:r>
              <w:rPr>
                <w:rFonts w:hint="eastAsia"/>
                <w:highlight w:val="none"/>
                <w:u w:val="none"/>
                <w:lang w:val="en-US" w:eastAsia="zh-CN"/>
              </w:rPr>
              <w:t>”）</w:t>
            </w:r>
            <w:r>
              <w:rPr>
                <w:rFonts w:hint="eastAsia" w:asciiTheme="minorEastAsia" w:hAnsiTheme="minorEastAsia" w:eastAsiaTheme="minorEastAsia" w:cstheme="minorEastAsia"/>
                <w:szCs w:val="21"/>
                <w:highlight w:val="none"/>
                <w:u w:val="none"/>
                <w:lang w:val="en-US" w:eastAsia="zh-CN"/>
              </w:rPr>
              <w:t>、发光试剂（对应“</w:t>
            </w:r>
            <w:r>
              <w:rPr>
                <w:rFonts w:hint="eastAsia"/>
                <w:highlight w:val="none"/>
                <w:u w:val="none"/>
                <w:lang w:val="en-US" w:eastAsia="zh-CN"/>
              </w:rPr>
              <w:t>二、货物清单明细”中货物</w:t>
            </w:r>
            <w:r>
              <w:rPr>
                <w:rFonts w:hint="eastAsia"/>
                <w:b/>
                <w:bCs/>
                <w:highlight w:val="none"/>
                <w:u w:val="none"/>
                <w:lang w:val="en-US" w:eastAsia="zh-CN"/>
              </w:rPr>
              <w:t>序号33至49</w:t>
            </w:r>
            <w:r>
              <w:rPr>
                <w:rFonts w:hint="eastAsia"/>
                <w:highlight w:val="none"/>
                <w:u w:val="none"/>
                <w:lang w:val="en-US" w:eastAsia="zh-CN"/>
              </w:rPr>
              <w:t>）</w:t>
            </w:r>
            <w:r>
              <w:rPr>
                <w:rFonts w:hint="eastAsia" w:asciiTheme="minorEastAsia" w:hAnsiTheme="minorEastAsia" w:eastAsiaTheme="minorEastAsia" w:cstheme="minorEastAsia"/>
                <w:szCs w:val="21"/>
                <w:highlight w:val="none"/>
                <w:u w:val="none"/>
                <w:lang w:val="en-US" w:eastAsia="zh-CN"/>
              </w:rPr>
              <w:t>、凝血试剂（对应“</w:t>
            </w:r>
            <w:r>
              <w:rPr>
                <w:rFonts w:hint="eastAsia"/>
                <w:highlight w:val="none"/>
                <w:u w:val="none"/>
                <w:lang w:val="en-US" w:eastAsia="zh-CN"/>
              </w:rPr>
              <w:t>二、货物清单明细”中货物</w:t>
            </w:r>
            <w:r>
              <w:rPr>
                <w:rFonts w:hint="eastAsia"/>
                <w:b/>
                <w:bCs/>
                <w:highlight w:val="none"/>
                <w:u w:val="none"/>
                <w:lang w:val="en-US" w:eastAsia="zh-CN"/>
              </w:rPr>
              <w:t>序号52至58</w:t>
            </w:r>
            <w:r>
              <w:rPr>
                <w:rFonts w:hint="eastAsia"/>
                <w:highlight w:val="none"/>
                <w:u w:val="none"/>
                <w:lang w:val="en-US" w:eastAsia="zh-CN"/>
              </w:rPr>
              <w:t>）</w:t>
            </w:r>
            <w:r>
              <w:rPr>
                <w:rFonts w:hint="eastAsia" w:asciiTheme="minorEastAsia" w:hAnsiTheme="minorEastAsia" w:eastAsiaTheme="minorEastAsia" w:cstheme="minorEastAsia"/>
                <w:szCs w:val="21"/>
                <w:highlight w:val="none"/>
                <w:u w:val="none"/>
                <w:lang w:val="en-US" w:eastAsia="zh-CN"/>
              </w:rPr>
              <w:t>四大种</w:t>
            </w:r>
            <w:r>
              <w:rPr>
                <w:rFonts w:hint="eastAsia"/>
                <w:highlight w:val="none"/>
                <w:u w:val="none"/>
                <w:lang w:eastAsia="zh-CN"/>
              </w:rPr>
              <w:t>试剂品类</w:t>
            </w:r>
            <w:r>
              <w:rPr>
                <w:rFonts w:hint="eastAsia"/>
                <w:highlight w:val="none"/>
                <w:u w:val="none"/>
                <w:lang w:val="en-US" w:eastAsia="zh-CN"/>
              </w:rPr>
              <w:t>为</w:t>
            </w:r>
            <w:r>
              <w:rPr>
                <w:rFonts w:hint="eastAsia" w:asciiTheme="minorEastAsia" w:hAnsiTheme="minorEastAsia" w:eastAsiaTheme="minorEastAsia" w:cstheme="minorEastAsia"/>
                <w:szCs w:val="21"/>
                <w:highlight w:val="none"/>
                <w:u w:val="none"/>
                <w:lang w:val="en-US" w:eastAsia="zh-CN"/>
              </w:rPr>
              <w:t>同一品牌的，得100分；三大种</w:t>
            </w:r>
            <w:r>
              <w:rPr>
                <w:rFonts w:hint="eastAsia"/>
                <w:highlight w:val="none"/>
                <w:u w:val="none"/>
                <w:lang w:eastAsia="zh-CN"/>
              </w:rPr>
              <w:t>试剂品类</w:t>
            </w:r>
            <w:r>
              <w:rPr>
                <w:rFonts w:hint="eastAsia"/>
                <w:highlight w:val="none"/>
                <w:u w:val="none"/>
                <w:lang w:val="en-US" w:eastAsia="zh-CN"/>
              </w:rPr>
              <w:t>为</w:t>
            </w:r>
            <w:r>
              <w:rPr>
                <w:rFonts w:hint="eastAsia" w:asciiTheme="minorEastAsia" w:hAnsiTheme="minorEastAsia" w:eastAsiaTheme="minorEastAsia" w:cstheme="minorEastAsia"/>
                <w:szCs w:val="21"/>
                <w:highlight w:val="none"/>
                <w:u w:val="none"/>
                <w:lang w:val="en-US" w:eastAsia="zh-CN"/>
              </w:rPr>
              <w:t>同一品牌的，得60分；两大种试剂品类为同一品牌的，得30分。其余情况不得分。</w:t>
            </w:r>
          </w:p>
          <w:p w14:paraId="25410ED9">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（二）评分依据：</w:t>
            </w:r>
          </w:p>
          <w:p w14:paraId="5837D02E">
            <w:pPr>
              <w:wordWrap w:val="0"/>
              <w:jc w:val="both"/>
              <w:rPr>
                <w:rFonts w:hint="default"/>
                <w:highlight w:val="none"/>
                <w:u w:val="none"/>
                <w:lang w:val="en-US" w:eastAsia="zh-CN"/>
              </w:rPr>
            </w:pPr>
            <w:r>
              <w:rPr>
                <w:rFonts w:hint="eastAsia"/>
                <w:highlight w:val="none"/>
                <w:u w:val="none"/>
                <w:lang w:val="en-US" w:eastAsia="zh-CN"/>
              </w:rPr>
              <w:t>1、提供试剂的《医疗器械注册（备案）证》或彩页等佐证材料。</w:t>
            </w:r>
          </w:p>
          <w:p w14:paraId="37B8BD73">
            <w:pPr>
              <w:pStyle w:val="54"/>
              <w:rPr>
                <w:rFonts w:hint="default"/>
                <w:lang w:val="en-US" w:eastAsia="zh-CN"/>
              </w:rPr>
            </w:pPr>
            <w:r>
              <w:rPr>
                <w:rFonts w:hint="default"/>
                <w:lang w:val="en-US" w:eastAsia="zh-CN"/>
              </w:rPr>
              <w:t>2、以上资料均要求提供扫描件，原件备查，未提供有效证明文件或者提供的证明文件不符合要求的或者提供的证明文件不清晰导致评审专家无法辨认的，不得分。</w:t>
            </w:r>
          </w:p>
        </w:tc>
      </w:tr>
      <w:tr w14:paraId="1E469E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bottom w:val="single" w:color="000000" w:sz="8" w:space="0"/>
              <w:right w:val="single" w:color="000000" w:sz="8" w:space="0"/>
            </w:tcBorders>
            <w:shd w:val="clear" w:color="auto" w:fill="auto"/>
            <w:vAlign w:val="center"/>
          </w:tcPr>
          <w:p w14:paraId="3AB90C8B">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highlight w:val="none"/>
                <w:u w:val="none"/>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0038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kern w:val="0"/>
                <w:sz w:val="21"/>
                <w:szCs w:val="21"/>
                <w:highlight w:val="none"/>
                <w:u w:val="none"/>
                <w:lang w:val="en-US" w:eastAsia="zh-CN" w:bidi="ar-SA"/>
              </w:rPr>
            </w:pPr>
            <w:r>
              <w:rPr>
                <w:rFonts w:hint="eastAsia" w:asciiTheme="minorEastAsia" w:hAnsiTheme="minorEastAsia" w:eastAsiaTheme="minorEastAsia" w:cstheme="minorEastAsia"/>
                <w:kern w:val="0"/>
                <w:sz w:val="21"/>
                <w:szCs w:val="21"/>
                <w:highlight w:val="none"/>
                <w:u w:val="none"/>
                <w:lang w:val="en-US" w:eastAsia="zh-CN"/>
              </w:rPr>
              <w:t>2</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16A16">
            <w:pPr>
              <w:keepNext w:val="0"/>
              <w:keepLines w:val="0"/>
              <w:pageBreakBefore w:val="0"/>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kern w:val="2"/>
                <w:sz w:val="21"/>
                <w:szCs w:val="21"/>
                <w:highlight w:val="none"/>
                <w:u w:val="none"/>
                <w:lang w:val="en-US" w:eastAsia="zh-CN" w:bidi="ar-SA"/>
              </w:rPr>
            </w:pPr>
            <w:r>
              <w:rPr>
                <w:rFonts w:hint="eastAsia" w:asciiTheme="minorEastAsia" w:hAnsiTheme="minorEastAsia" w:eastAsiaTheme="minorEastAsia" w:cstheme="minorEastAsia"/>
                <w:sz w:val="21"/>
                <w:szCs w:val="21"/>
                <w:highlight w:val="none"/>
                <w:u w:val="none"/>
                <w:lang w:val="en-US" w:eastAsia="zh-CN"/>
              </w:rPr>
              <w:t>产品质量</w:t>
            </w:r>
          </w:p>
        </w:tc>
        <w:tc>
          <w:tcPr>
            <w:tcW w:w="10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DEA96">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sz w:val="21"/>
                <w:szCs w:val="21"/>
                <w:highlight w:val="none"/>
                <w:u w:val="none"/>
                <w:lang w:val="en-US" w:eastAsia="zh-CN"/>
              </w:rPr>
              <w:t>15</w:t>
            </w:r>
          </w:p>
        </w:tc>
        <w:tc>
          <w:tcPr>
            <w:tcW w:w="51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CCB73">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（一）评分内容：</w:t>
            </w:r>
          </w:p>
          <w:p w14:paraId="2AE19733">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评标专家根据“四、技术要求”中的技术参数指标（除带★号的不可偏离条款，共计13项）响应情况对投标产品质量进行评分。满分为100分，有负偏离的，每负偏离一条扣7.7分，扣完为止。</w:t>
            </w:r>
          </w:p>
          <w:p w14:paraId="50AC3295">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（二）评分依据：</w:t>
            </w:r>
          </w:p>
          <w:p w14:paraId="7B198D95">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szCs w:val="21"/>
                <w:highlight w:val="none"/>
                <w:u w:val="none"/>
                <w:lang w:val="en-US" w:eastAsia="zh-CN"/>
              </w:rPr>
              <w:t>提供《技术</w:t>
            </w:r>
            <w:r>
              <w:rPr>
                <w:rFonts w:hint="eastAsia" w:asciiTheme="minorEastAsia" w:hAnsiTheme="minorEastAsia" w:eastAsiaTheme="minorEastAsia" w:cstheme="minorEastAsia"/>
                <w:sz w:val="21"/>
                <w:szCs w:val="21"/>
                <w:highlight w:val="none"/>
                <w:u w:val="none"/>
                <w:lang w:val="en-US" w:eastAsia="zh-CN"/>
              </w:rPr>
              <w:t>要求偏离表》，并按照招标文件的要求提供相关证明资料（如有）。投标人未提供相关证明材料或者提供的证明材料不符合要求的或提供的证明材料不清晰评审专家无法辨认的，该项参数按照负偏离处理，扣除相应分值。</w:t>
            </w:r>
          </w:p>
        </w:tc>
      </w:tr>
      <w:tr w14:paraId="4A084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left w:val="single" w:color="000000" w:sz="8" w:space="0"/>
              <w:bottom w:val="single" w:color="000000" w:sz="8" w:space="0"/>
              <w:right w:val="single" w:color="000000" w:sz="8" w:space="0"/>
            </w:tcBorders>
            <w:shd w:val="clear" w:color="auto" w:fill="auto"/>
            <w:vAlign w:val="center"/>
          </w:tcPr>
          <w:p w14:paraId="2F98EBF6">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highlight w:val="none"/>
                <w:u w:val="none"/>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2105D">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kern w:val="0"/>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lang w:val="en-US" w:eastAsia="zh-CN"/>
              </w:rPr>
              <w:t>3</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B99B3">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lang w:val="en-US" w:eastAsia="zh-CN"/>
              </w:rPr>
              <w:t>产品响应方案</w:t>
            </w:r>
          </w:p>
        </w:tc>
        <w:tc>
          <w:tcPr>
            <w:tcW w:w="10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C27A9">
            <w:pPr>
              <w:keepNext w:val="0"/>
              <w:keepLines w:val="0"/>
              <w:pageBreakBefore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color w:val="auto"/>
                <w:sz w:val="21"/>
                <w:szCs w:val="21"/>
                <w:highlight w:val="none"/>
                <w:u w:val="none"/>
                <w:lang w:val="en-US" w:eastAsia="zh-CN"/>
              </w:rPr>
              <w:t>5</w:t>
            </w:r>
          </w:p>
        </w:tc>
        <w:tc>
          <w:tcPr>
            <w:tcW w:w="51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B7BA8">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（一）评分内容：</w:t>
            </w:r>
          </w:p>
          <w:p w14:paraId="36616AB0">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考察投标人提供的产品响应方案：</w:t>
            </w:r>
          </w:p>
          <w:p w14:paraId="7D94C18D">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1、投标人对所提供试剂耗材以及配套设备易用性、是否满足临床业务需求等方面对投标产品进行分析；</w:t>
            </w:r>
          </w:p>
          <w:p w14:paraId="43790AFD">
            <w:pPr>
              <w:keepNext w:val="0"/>
              <w:keepLines w:val="0"/>
              <w:pageBreakBefore w:val="0"/>
              <w:kinsoku/>
              <w:wordWrap w:val="0"/>
              <w:overflowPunct/>
              <w:topLinePunct w:val="0"/>
              <w:bidi w:val="0"/>
              <w:adjustRightInd/>
              <w:snapToGrid/>
              <w:ind w:firstLine="0" w:firstLineChars="0"/>
              <w:jc w:val="left"/>
              <w:textAlignment w:val="auto"/>
              <w:rPr>
                <w:rFonts w:hint="eastAsia"/>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2.投标人对所提供试剂耗材配套设备的自动化、智慧化和信息化程度进行分析，包括但不限于所提供设备是否为最新旗舰款、是否仪器之间具备联动性、是否配备人工智能软件系统等方面。</w:t>
            </w:r>
          </w:p>
          <w:p w14:paraId="14690445">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（二）评分依据：</w:t>
            </w:r>
          </w:p>
          <w:p w14:paraId="4E068739">
            <w:pPr>
              <w:pStyle w:val="55"/>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1.针对上述2项内容，提供的产品响应方案中每包含以上任意1项得25分，全部包含得50分。</w:t>
            </w:r>
          </w:p>
          <w:p w14:paraId="06B881BD">
            <w:pPr>
              <w:pStyle w:val="55"/>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2.在第1项评分依据的基础上，根据以下标准按照量化的评审标准进一步评分：</w:t>
            </w:r>
          </w:p>
          <w:p w14:paraId="2172D584">
            <w:pPr>
              <w:pStyle w:val="55"/>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(1)方案符合实际、规范、思路清晰，内容合理性强的，评分为优，加50分；</w:t>
            </w:r>
          </w:p>
          <w:p w14:paraId="2B583C1D">
            <w:pPr>
              <w:pStyle w:val="55"/>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(2)方案较符合实际、较规范、思路较清晰，内容合理性较强的，评分为良，加20分；</w:t>
            </w:r>
          </w:p>
          <w:p w14:paraId="1C3C6E14">
            <w:pPr>
              <w:pStyle w:val="55"/>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(3)方案一般符合实际、规范性一般，思路不够清晰，内容合理性一般的，评分为中，加10分；</w:t>
            </w:r>
          </w:p>
          <w:p w14:paraId="1196AD2A">
            <w:pPr>
              <w:pStyle w:val="55"/>
              <w:rPr>
                <w:rFonts w:hint="eastAsia" w:asciiTheme="minorEastAsia" w:hAnsiTheme="minorEastAsia" w:eastAsiaTheme="minorEastAsia" w:cstheme="minorEastAsia"/>
                <w:color w:val="auto"/>
                <w:sz w:val="21"/>
                <w:szCs w:val="21"/>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(4)方案不符合实际、不规范，思路不清晰，内容合理性较差或未提供的，评分为差，不加分。</w:t>
            </w:r>
          </w:p>
          <w:p w14:paraId="16D4B405">
            <w:pPr>
              <w:pStyle w:val="55"/>
              <w:rPr>
                <w:rFonts w:hint="default"/>
                <w:highlight w:val="none"/>
                <w:u w:val="none"/>
                <w:lang w:val="en-US" w:eastAsia="zh-CN"/>
              </w:rPr>
            </w:pPr>
            <w:r>
              <w:rPr>
                <w:rFonts w:hint="eastAsia" w:asciiTheme="minorEastAsia" w:hAnsiTheme="minorEastAsia" w:eastAsiaTheme="minorEastAsia" w:cstheme="minorEastAsia"/>
                <w:color w:val="auto"/>
                <w:sz w:val="21"/>
                <w:szCs w:val="21"/>
                <w:highlight w:val="none"/>
                <w:u w:val="none"/>
                <w:lang w:val="en-US" w:eastAsia="zh-CN"/>
              </w:rPr>
              <w:t>以上2项累计得分，最高得分100分。</w:t>
            </w:r>
          </w:p>
        </w:tc>
      </w:tr>
      <w:tr w14:paraId="6DCFA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A28E12">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r>
              <w:rPr>
                <w:rFonts w:hint="eastAsia" w:asciiTheme="minorEastAsia" w:hAnsiTheme="minorEastAsia" w:eastAsiaTheme="minorEastAsia" w:cstheme="minorEastAsia"/>
                <w:b/>
                <w:bCs/>
                <w:color w:val="0000FF"/>
                <w:kern w:val="0"/>
                <w:sz w:val="21"/>
                <w:szCs w:val="21"/>
                <w:u w:val="none"/>
              </w:rPr>
              <w:t>3</w:t>
            </w:r>
          </w:p>
        </w:tc>
        <w:tc>
          <w:tcPr>
            <w:tcW w:w="273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220E4F6">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r>
              <w:rPr>
                <w:rFonts w:hint="eastAsia" w:asciiTheme="minorEastAsia" w:hAnsiTheme="minorEastAsia" w:eastAsiaTheme="minorEastAsia" w:cstheme="minorEastAsia"/>
                <w:b/>
                <w:bCs/>
                <w:color w:val="0000FF"/>
                <w:kern w:val="0"/>
                <w:sz w:val="21"/>
                <w:szCs w:val="21"/>
                <w:u w:val="none"/>
              </w:rPr>
              <w:t>商务部分</w:t>
            </w:r>
          </w:p>
        </w:tc>
        <w:tc>
          <w:tcPr>
            <w:tcW w:w="51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CC8D4">
            <w:pPr>
              <w:keepNext w:val="0"/>
              <w:keepLines w:val="0"/>
              <w:pageBreakBefore w:val="0"/>
              <w:widowControl/>
              <w:kinsoku/>
              <w:wordWrap w:val="0"/>
              <w:overflowPunct/>
              <w:topLinePunct w:val="0"/>
              <w:bidi w:val="0"/>
              <w:adjustRightInd/>
              <w:snapToGrid/>
              <w:ind w:firstLine="0" w:firstLineChars="0"/>
              <w:jc w:val="center"/>
              <w:textAlignment w:val="auto"/>
              <w:rPr>
                <w:rFonts w:hint="default" w:asciiTheme="minorEastAsia" w:hAnsiTheme="minorEastAsia" w:eastAsiaTheme="minorEastAsia" w:cstheme="minorEastAsia"/>
                <w:b/>
                <w:bCs/>
                <w:color w:val="0000FF"/>
                <w:sz w:val="21"/>
                <w:szCs w:val="21"/>
                <w:u w:val="none"/>
                <w:lang w:val="en-US" w:eastAsia="zh-CN"/>
              </w:rPr>
            </w:pPr>
            <w:r>
              <w:rPr>
                <w:rFonts w:hint="eastAsia" w:asciiTheme="minorEastAsia" w:hAnsiTheme="minorEastAsia" w:eastAsiaTheme="minorEastAsia" w:cstheme="minorEastAsia"/>
                <w:b/>
                <w:bCs/>
                <w:color w:val="0000FF"/>
                <w:sz w:val="21"/>
                <w:szCs w:val="21"/>
                <w:u w:val="none"/>
                <w:lang w:val="en-US" w:eastAsia="zh-CN"/>
              </w:rPr>
              <w:t>30</w:t>
            </w:r>
          </w:p>
        </w:tc>
      </w:tr>
      <w:tr w14:paraId="2F90A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38A235A">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09F7FCA">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序号</w:t>
            </w:r>
          </w:p>
        </w:tc>
        <w:tc>
          <w:tcPr>
            <w:tcW w:w="104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CA13882">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评分因素</w:t>
            </w:r>
          </w:p>
        </w:tc>
        <w:tc>
          <w:tcPr>
            <w:tcW w:w="106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C862483">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权重(%)</w:t>
            </w:r>
          </w:p>
        </w:tc>
        <w:tc>
          <w:tcPr>
            <w:tcW w:w="515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CDA892E">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评分准则</w:t>
            </w:r>
          </w:p>
        </w:tc>
      </w:tr>
      <w:tr w14:paraId="7BFDD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rHeight w:val="817" w:hRule="atLeast"/>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00F532">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highlight w:val="none"/>
                <w:u w:val="none"/>
              </w:rPr>
            </w:pPr>
          </w:p>
        </w:tc>
        <w:tc>
          <w:tcPr>
            <w:tcW w:w="627" w:type="dxa"/>
            <w:tcBorders>
              <w:top w:val="single" w:color="000000" w:sz="8" w:space="0"/>
              <w:left w:val="single" w:color="000000" w:sz="8" w:space="0"/>
              <w:right w:val="single" w:color="000000" w:sz="8" w:space="0"/>
            </w:tcBorders>
            <w:shd w:val="clear" w:color="auto" w:fill="auto"/>
            <w:vAlign w:val="center"/>
          </w:tcPr>
          <w:p w14:paraId="4EDFFC8A">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color w:val="auto"/>
                <w:kern w:val="2"/>
                <w:sz w:val="21"/>
                <w:szCs w:val="21"/>
                <w:highlight w:val="none"/>
                <w:u w:val="none"/>
                <w:lang w:val="en-US" w:eastAsia="zh-CN"/>
              </w:rPr>
            </w:pPr>
            <w:r>
              <w:rPr>
                <w:rFonts w:hint="eastAsia" w:asciiTheme="minorEastAsia" w:hAnsiTheme="minorEastAsia" w:eastAsiaTheme="minorEastAsia" w:cstheme="minorEastAsia"/>
                <w:color w:val="auto"/>
                <w:kern w:val="2"/>
                <w:sz w:val="21"/>
                <w:szCs w:val="21"/>
                <w:highlight w:val="none"/>
                <w:u w:val="none"/>
                <w:lang w:val="en-US" w:eastAsia="zh-CN"/>
              </w:rPr>
              <w:t>1</w:t>
            </w:r>
          </w:p>
        </w:tc>
        <w:tc>
          <w:tcPr>
            <w:tcW w:w="1041" w:type="dxa"/>
            <w:tcBorders>
              <w:top w:val="single" w:color="000000" w:sz="8" w:space="0"/>
              <w:left w:val="single" w:color="000000" w:sz="8" w:space="0"/>
              <w:right w:val="single" w:color="000000" w:sz="8" w:space="0"/>
            </w:tcBorders>
            <w:shd w:val="clear" w:color="auto" w:fill="auto"/>
            <w:vAlign w:val="center"/>
          </w:tcPr>
          <w:p w14:paraId="0AC7CF9E">
            <w:pPr>
              <w:keepNext w:val="0"/>
              <w:keepLines w:val="0"/>
              <w:pageBreakBefore w:val="0"/>
              <w:widowControl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color w:val="auto"/>
                <w:kern w:val="2"/>
                <w:sz w:val="21"/>
                <w:szCs w:val="21"/>
                <w:highlight w:val="none"/>
                <w:u w:val="none"/>
                <w:lang w:val="en-US" w:eastAsia="zh-CN"/>
              </w:rPr>
            </w:pPr>
            <w:r>
              <w:rPr>
                <w:rFonts w:hint="eastAsia" w:asciiTheme="minorEastAsia" w:hAnsiTheme="minorEastAsia" w:eastAsiaTheme="minorEastAsia" w:cstheme="minorEastAsia"/>
                <w:color w:val="auto"/>
                <w:kern w:val="2"/>
                <w:sz w:val="21"/>
                <w:szCs w:val="21"/>
                <w:highlight w:val="none"/>
                <w:u w:val="none"/>
                <w:lang w:val="en-US" w:eastAsia="zh-CN"/>
              </w:rPr>
              <w:t>市场占有率</w:t>
            </w:r>
          </w:p>
        </w:tc>
        <w:tc>
          <w:tcPr>
            <w:tcW w:w="1067" w:type="dxa"/>
            <w:tcBorders>
              <w:top w:val="single" w:color="000000" w:sz="8" w:space="0"/>
              <w:left w:val="single" w:color="000000" w:sz="8" w:space="0"/>
              <w:right w:val="single" w:color="000000" w:sz="8" w:space="0"/>
            </w:tcBorders>
            <w:shd w:val="clear" w:color="auto" w:fill="auto"/>
            <w:vAlign w:val="center"/>
          </w:tcPr>
          <w:p w14:paraId="1EA55F91">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color w:val="auto"/>
                <w:kern w:val="0"/>
                <w:sz w:val="21"/>
                <w:szCs w:val="21"/>
                <w:highlight w:val="none"/>
                <w:u w:val="none"/>
                <w:lang w:val="en-US" w:eastAsia="zh-CN"/>
              </w:rPr>
            </w:pPr>
            <w:r>
              <w:rPr>
                <w:rFonts w:hint="eastAsia" w:asciiTheme="minorEastAsia" w:hAnsiTheme="minorEastAsia" w:eastAsiaTheme="minorEastAsia" w:cstheme="minorEastAsia"/>
                <w:color w:val="auto"/>
                <w:kern w:val="0"/>
                <w:sz w:val="21"/>
                <w:szCs w:val="21"/>
                <w:highlight w:val="none"/>
                <w:u w:val="none"/>
                <w:lang w:val="en-US" w:eastAsia="zh-CN"/>
              </w:rPr>
              <w:t>20</w:t>
            </w:r>
          </w:p>
        </w:tc>
        <w:tc>
          <w:tcPr>
            <w:tcW w:w="51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E7280">
            <w:pPr>
              <w:keepNext w:val="0"/>
              <w:keepLines w:val="0"/>
              <w:pageBreakBefore w:val="0"/>
              <w:kinsoku/>
              <w:wordWrap w:val="0"/>
              <w:overflowPunct/>
              <w:topLinePunct w:val="0"/>
              <w:bidi w:val="0"/>
              <w:adjustRightInd/>
              <w:snapToGrid/>
              <w:ind w:firstLine="0" w:firstLineChars="0"/>
              <w:jc w:val="both"/>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（一）评分内容：</w:t>
            </w:r>
          </w:p>
          <w:p w14:paraId="152062D8">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jc w:val="both"/>
              <w:textAlignment w:val="auto"/>
              <w:rPr>
                <w:rFonts w:hint="eastAsia"/>
                <w:highlight w:val="none"/>
                <w:u w:val="none"/>
                <w:lang w:eastAsia="zh-CN"/>
              </w:rPr>
            </w:pPr>
            <w:r>
              <w:rPr>
                <w:rFonts w:hint="eastAsia" w:asciiTheme="minorEastAsia" w:hAnsiTheme="minorEastAsia" w:eastAsiaTheme="minorEastAsia" w:cstheme="minorEastAsia"/>
                <w:color w:val="auto"/>
                <w:kern w:val="2"/>
                <w:sz w:val="21"/>
                <w:szCs w:val="21"/>
                <w:highlight w:val="none"/>
                <w:u w:val="none"/>
                <w:lang w:val="en-US" w:eastAsia="zh-CN" w:bidi="ar-SA"/>
              </w:rPr>
              <w:t>投标人</w:t>
            </w:r>
            <w:r>
              <w:rPr>
                <w:rFonts w:hint="eastAsia" w:asciiTheme="minorEastAsia" w:hAnsiTheme="minorEastAsia" w:eastAsiaTheme="minorEastAsia" w:cstheme="minorEastAsia"/>
                <w:color w:val="auto"/>
                <w:kern w:val="2"/>
                <w:sz w:val="21"/>
                <w:szCs w:val="21"/>
                <w:highlight w:val="none"/>
                <w:u w:val="none"/>
                <w:lang w:val="zh-CN" w:eastAsia="zh-CN" w:bidi="ar-SA"/>
              </w:rPr>
              <w:t>需提供</w:t>
            </w:r>
            <w:r>
              <w:rPr>
                <w:rFonts w:hint="eastAsia" w:asciiTheme="minorEastAsia" w:hAnsiTheme="minorEastAsia" w:eastAsiaTheme="minorEastAsia" w:cstheme="minorEastAsia"/>
                <w:color w:val="auto"/>
                <w:kern w:val="2"/>
                <w:sz w:val="21"/>
                <w:szCs w:val="21"/>
                <w:highlight w:val="none"/>
                <w:u w:val="none"/>
                <w:lang w:val="en-US" w:eastAsia="zh-CN" w:bidi="ar-SA"/>
              </w:rPr>
              <w:t>以下投标货物在投标截止日前近三年内在国</w:t>
            </w:r>
            <w:r>
              <w:rPr>
                <w:rFonts w:hint="eastAsia" w:asciiTheme="minorEastAsia" w:hAnsiTheme="minorEastAsia" w:eastAsiaTheme="minorEastAsia" w:cstheme="minorEastAsia"/>
                <w:color w:val="auto"/>
                <w:kern w:val="2"/>
                <w:sz w:val="21"/>
                <w:szCs w:val="21"/>
                <w:highlight w:val="none"/>
                <w:u w:val="none"/>
                <w:lang w:val="zh-CN" w:eastAsia="zh-CN" w:bidi="ar-SA"/>
              </w:rPr>
              <w:t>内二级甲等或</w:t>
            </w:r>
            <w:r>
              <w:rPr>
                <w:rFonts w:hint="eastAsia" w:asciiTheme="minorEastAsia" w:hAnsiTheme="minorEastAsia" w:eastAsiaTheme="minorEastAsia" w:cstheme="minorEastAsia"/>
                <w:color w:val="auto"/>
                <w:kern w:val="2"/>
                <w:sz w:val="21"/>
                <w:szCs w:val="21"/>
                <w:highlight w:val="none"/>
                <w:u w:val="none"/>
                <w:lang w:val="en-US" w:eastAsia="zh-CN" w:bidi="ar-SA"/>
              </w:rPr>
              <w:t>以上级别的</w:t>
            </w:r>
            <w:r>
              <w:rPr>
                <w:rFonts w:hint="eastAsia" w:asciiTheme="minorEastAsia" w:hAnsiTheme="minorEastAsia" w:eastAsiaTheme="minorEastAsia" w:cstheme="minorEastAsia"/>
                <w:color w:val="auto"/>
                <w:kern w:val="2"/>
                <w:sz w:val="21"/>
                <w:szCs w:val="21"/>
                <w:highlight w:val="none"/>
                <w:u w:val="none"/>
                <w:lang w:val="zh-CN" w:eastAsia="zh-CN" w:bidi="ar-SA"/>
              </w:rPr>
              <w:t>医院使用</w:t>
            </w:r>
            <w:r>
              <w:rPr>
                <w:rFonts w:hint="eastAsia" w:asciiTheme="minorEastAsia" w:hAnsiTheme="minorEastAsia" w:eastAsiaTheme="minorEastAsia" w:cstheme="minorEastAsia"/>
                <w:color w:val="auto"/>
                <w:kern w:val="2"/>
                <w:sz w:val="21"/>
                <w:szCs w:val="21"/>
                <w:highlight w:val="none"/>
                <w:u w:val="none"/>
                <w:lang w:val="en-US" w:eastAsia="zh-CN" w:bidi="ar-SA"/>
              </w:rPr>
              <w:t>的</w:t>
            </w:r>
            <w:r>
              <w:rPr>
                <w:rFonts w:hint="eastAsia" w:asciiTheme="minorEastAsia" w:hAnsiTheme="minorEastAsia" w:eastAsiaTheme="minorEastAsia" w:cstheme="minorEastAsia"/>
                <w:color w:val="auto"/>
                <w:kern w:val="2"/>
                <w:sz w:val="21"/>
                <w:szCs w:val="21"/>
                <w:highlight w:val="none"/>
                <w:u w:val="none"/>
                <w:lang w:val="zh-CN" w:eastAsia="zh-CN" w:bidi="ar-SA"/>
              </w:rPr>
              <w:t>证明</w:t>
            </w:r>
            <w:r>
              <w:rPr>
                <w:rFonts w:hint="eastAsia" w:asciiTheme="minorEastAsia" w:hAnsiTheme="minorEastAsia" w:eastAsiaTheme="minorEastAsia" w:cstheme="minorEastAsia"/>
                <w:color w:val="auto"/>
                <w:kern w:val="2"/>
                <w:sz w:val="21"/>
                <w:szCs w:val="21"/>
                <w:highlight w:val="none"/>
                <w:u w:val="none"/>
                <w:lang w:val="en-US" w:eastAsia="zh-CN" w:bidi="ar-SA"/>
              </w:rPr>
              <w:t>材料：</w:t>
            </w:r>
          </w:p>
          <w:p w14:paraId="1ADDA59A">
            <w:pPr>
              <w:numPr>
                <w:ilvl w:val="0"/>
                <w:numId w:val="7"/>
              </w:numPr>
              <w:ind w:firstLine="0" w:firstLineChars="0"/>
              <w:rPr>
                <w:rFonts w:hint="eastAsia"/>
                <w:b w:val="0"/>
                <w:bCs w:val="0"/>
                <w:color w:val="auto"/>
                <w:highlight w:val="none"/>
                <w:u w:val="none"/>
                <w:lang w:val="en-US" w:eastAsia="zh-CN"/>
              </w:rPr>
            </w:pPr>
            <w:r>
              <w:rPr>
                <w:rFonts w:hint="eastAsia"/>
                <w:highlight w:val="none"/>
                <w:u w:val="none"/>
                <w:lang w:eastAsia="zh-CN"/>
              </w:rPr>
              <w:t>血球试剂（“血常规</w:t>
            </w:r>
            <w:r>
              <w:rPr>
                <w:rFonts w:hint="eastAsia"/>
                <w:highlight w:val="none"/>
                <w:u w:val="none"/>
                <w:lang w:val="en-US" w:eastAsia="zh-CN"/>
              </w:rPr>
              <w:t>五分类”\“CRP”\“SAA”，即对应“</w:t>
            </w:r>
            <w:r>
              <w:rPr>
                <w:rFonts w:hint="eastAsia"/>
                <w:b w:val="0"/>
                <w:bCs w:val="0"/>
                <w:color w:val="auto"/>
                <w:highlight w:val="none"/>
                <w:u w:val="none"/>
                <w:lang w:val="en-US" w:eastAsia="zh-CN"/>
              </w:rPr>
              <w:t>二、货物清单明细”中</w:t>
            </w:r>
            <w:r>
              <w:rPr>
                <w:rFonts w:hint="eastAsia"/>
                <w:b/>
                <w:bCs/>
                <w:color w:val="auto"/>
                <w:highlight w:val="none"/>
                <w:u w:val="none"/>
                <w:lang w:val="en-US" w:eastAsia="zh-CN"/>
              </w:rPr>
              <w:t>序号1、序号3、序号4</w:t>
            </w:r>
            <w:r>
              <w:rPr>
                <w:rFonts w:hint="eastAsia"/>
                <w:b w:val="0"/>
                <w:bCs w:val="0"/>
                <w:color w:val="auto"/>
                <w:highlight w:val="none"/>
                <w:u w:val="none"/>
                <w:lang w:val="en-US" w:eastAsia="zh-CN"/>
              </w:rPr>
              <w:t>的货物)，每提供任意1小类（共计3小类）的证明材料，得5分，本项最高得25分。</w:t>
            </w:r>
          </w:p>
          <w:p w14:paraId="7DA1B2E6">
            <w:pPr>
              <w:numPr>
                <w:ilvl w:val="0"/>
                <w:numId w:val="7"/>
              </w:numPr>
              <w:ind w:firstLine="0" w:firstLineChars="0"/>
              <w:rPr>
                <w:rFonts w:ascii="宋体" w:hAnsi="宋体"/>
                <w:b w:val="0"/>
                <w:bCs w:val="0"/>
                <w:strike w:val="0"/>
                <w:color w:val="auto"/>
                <w:szCs w:val="21"/>
                <w:highlight w:val="none"/>
                <w:u w:val="none"/>
              </w:rPr>
            </w:pPr>
            <w:r>
              <w:rPr>
                <w:rFonts w:hint="eastAsia"/>
                <w:b w:val="0"/>
                <w:bCs w:val="0"/>
                <w:color w:val="auto"/>
                <w:highlight w:val="none"/>
                <w:u w:val="none"/>
                <w:lang w:val="en-US" w:eastAsia="zh-CN"/>
              </w:rPr>
              <w:t>生化试剂（“AST”\“ALT”，即对应“二、货物清单明细”中</w:t>
            </w:r>
            <w:r>
              <w:rPr>
                <w:rFonts w:hint="eastAsia"/>
                <w:b/>
                <w:bCs/>
                <w:color w:val="auto"/>
                <w:highlight w:val="none"/>
                <w:u w:val="none"/>
                <w:lang w:val="en-US" w:eastAsia="zh-CN"/>
              </w:rPr>
              <w:t>序号19、序号20</w:t>
            </w:r>
            <w:r>
              <w:rPr>
                <w:rFonts w:hint="eastAsia"/>
                <w:b w:val="0"/>
                <w:bCs w:val="0"/>
                <w:color w:val="auto"/>
                <w:highlight w:val="none"/>
                <w:u w:val="none"/>
                <w:lang w:val="en-US" w:eastAsia="zh-CN"/>
              </w:rPr>
              <w:t>的货物)，每提供任意1小类（共计2小类）的证明材料，得5分，本项最高得25分。</w:t>
            </w:r>
          </w:p>
          <w:p w14:paraId="10AD9B73">
            <w:pPr>
              <w:numPr>
                <w:ilvl w:val="0"/>
                <w:numId w:val="7"/>
              </w:numPr>
              <w:ind w:firstLine="0" w:firstLineChars="0"/>
              <w:rPr>
                <w:rFonts w:ascii="宋体" w:hAnsi="宋体"/>
                <w:b w:val="0"/>
                <w:bCs w:val="0"/>
                <w:strike w:val="0"/>
                <w:color w:val="auto"/>
                <w:szCs w:val="21"/>
                <w:highlight w:val="none"/>
                <w:u w:val="none"/>
              </w:rPr>
            </w:pPr>
            <w:r>
              <w:rPr>
                <w:rFonts w:hint="eastAsia"/>
                <w:b w:val="0"/>
                <w:bCs w:val="0"/>
                <w:color w:val="auto"/>
                <w:highlight w:val="none"/>
                <w:u w:val="none"/>
                <w:lang w:val="en-US" w:eastAsia="zh-CN"/>
              </w:rPr>
              <w:t>发光试剂（“肌酸激酶同工酶”\“高敏肌钙蛋白”\“肌红蛋白”\“PCT”\“</w:t>
            </w:r>
            <w:r>
              <w:rPr>
                <w:rFonts w:hint="eastAsia"/>
                <w:b w:val="0"/>
                <w:bCs w:val="0"/>
                <w:color w:val="auto"/>
                <w:highlight w:val="none"/>
                <w:u w:val="none"/>
              </w:rPr>
              <w:t>丙型肝炎病毒抗体</w:t>
            </w:r>
            <w:r>
              <w:rPr>
                <w:rFonts w:hint="eastAsia"/>
                <w:b w:val="0"/>
                <w:bCs w:val="0"/>
                <w:color w:val="auto"/>
                <w:highlight w:val="none"/>
                <w:u w:val="none"/>
                <w:lang w:val="en-US" w:eastAsia="zh-CN"/>
              </w:rPr>
              <w:t>”</w:t>
            </w:r>
            <w:r>
              <w:rPr>
                <w:rFonts w:hint="eastAsia"/>
                <w:b w:val="0"/>
                <w:bCs w:val="0"/>
                <w:color w:val="auto"/>
                <w:highlight w:val="none"/>
                <w:u w:val="none"/>
                <w:lang w:eastAsia="zh-CN"/>
              </w:rPr>
              <w:t>，</w:t>
            </w:r>
            <w:r>
              <w:rPr>
                <w:rFonts w:hint="eastAsia"/>
                <w:b w:val="0"/>
                <w:bCs w:val="0"/>
                <w:color w:val="auto"/>
                <w:highlight w:val="none"/>
                <w:u w:val="none"/>
                <w:lang w:val="en-US" w:eastAsia="zh-CN"/>
              </w:rPr>
              <w:t>即对应“二、货物清单明细”中</w:t>
            </w:r>
            <w:r>
              <w:rPr>
                <w:rFonts w:hint="eastAsia"/>
                <w:b/>
                <w:bCs/>
                <w:color w:val="auto"/>
                <w:highlight w:val="none"/>
                <w:u w:val="none"/>
                <w:lang w:val="en-US" w:eastAsia="zh-CN"/>
              </w:rPr>
              <w:t>序号34、序号35、序号36、序号37、序号47</w:t>
            </w:r>
            <w:r>
              <w:rPr>
                <w:rFonts w:hint="eastAsia"/>
                <w:b w:val="0"/>
                <w:bCs w:val="0"/>
                <w:color w:val="auto"/>
                <w:highlight w:val="none"/>
                <w:u w:val="none"/>
                <w:lang w:val="en-US" w:eastAsia="zh-CN"/>
              </w:rPr>
              <w:t>的货物)，每提供任意1小类（共计4小类）的证明材料，得5分，本项最高得25分。</w:t>
            </w:r>
          </w:p>
          <w:p w14:paraId="1D0ED180">
            <w:pPr>
              <w:numPr>
                <w:ilvl w:val="0"/>
                <w:numId w:val="7"/>
              </w:numPr>
              <w:ind w:firstLine="0" w:firstLineChars="0"/>
              <w:rPr>
                <w:rFonts w:ascii="宋体" w:hAnsi="宋体"/>
                <w:b w:val="0"/>
                <w:bCs w:val="0"/>
                <w:strike w:val="0"/>
                <w:color w:val="auto"/>
                <w:szCs w:val="21"/>
                <w:highlight w:val="none"/>
                <w:u w:val="none"/>
              </w:rPr>
            </w:pPr>
            <w:r>
              <w:rPr>
                <w:rFonts w:hint="eastAsia"/>
                <w:b w:val="0"/>
                <w:bCs w:val="0"/>
                <w:color w:val="auto"/>
                <w:highlight w:val="none"/>
                <w:u w:val="none"/>
                <w:lang w:val="en-US" w:eastAsia="zh-CN"/>
              </w:rPr>
              <w:t>凝血试剂（“PT”\“APTT”\“FIB”\“TT”\“DD”，即对应“二、货物清单明细”中</w:t>
            </w:r>
            <w:r>
              <w:rPr>
                <w:rFonts w:hint="eastAsia"/>
                <w:b/>
                <w:bCs/>
                <w:color w:val="auto"/>
                <w:highlight w:val="none"/>
                <w:u w:val="none"/>
                <w:lang w:val="en-US" w:eastAsia="zh-CN"/>
              </w:rPr>
              <w:t>序号52、序号53、序号54、序号55、序号56</w:t>
            </w:r>
            <w:r>
              <w:rPr>
                <w:rFonts w:hint="eastAsia"/>
                <w:b w:val="0"/>
                <w:bCs w:val="0"/>
                <w:color w:val="auto"/>
                <w:highlight w:val="none"/>
                <w:u w:val="none"/>
                <w:lang w:val="en-US" w:eastAsia="zh-CN"/>
              </w:rPr>
              <w:t>的货物)，每提供任意1小类（共计5小类）的证明材料，得5分，本项最高得25分。</w:t>
            </w:r>
          </w:p>
          <w:p w14:paraId="05515C77">
            <w:pPr>
              <w:keepNext w:val="0"/>
              <w:keepLines w:val="0"/>
              <w:pageBreakBefore w:val="0"/>
              <w:suppressLineNumbers w:val="0"/>
              <w:kinsoku/>
              <w:overflowPunct/>
              <w:topLinePunct w:val="0"/>
              <w:bidi w:val="0"/>
              <w:adjustRightInd/>
              <w:snapToGrid/>
              <w:spacing w:before="0" w:beforeAutospacing="0" w:after="0" w:afterAutospacing="0"/>
              <w:ind w:left="0" w:right="0" w:firstLine="0" w:firstLineChars="0"/>
              <w:jc w:val="both"/>
              <w:textAlignment w:val="auto"/>
              <w:rPr>
                <w:rFonts w:hint="eastAsia" w:asciiTheme="minorEastAsia" w:hAnsiTheme="minorEastAsia" w:eastAsiaTheme="minorEastAsia" w:cstheme="minorEastAsia"/>
                <w:b/>
                <w:bCs/>
                <w:color w:val="auto"/>
                <w:szCs w:val="21"/>
                <w:highlight w:val="none"/>
                <w:u w:val="none"/>
              </w:rPr>
            </w:pPr>
            <w:r>
              <w:rPr>
                <w:rFonts w:hint="eastAsia" w:asciiTheme="minorEastAsia" w:hAnsiTheme="minorEastAsia" w:eastAsiaTheme="minorEastAsia" w:cstheme="minorEastAsia"/>
                <w:b/>
                <w:bCs/>
                <w:color w:val="auto"/>
                <w:sz w:val="21"/>
                <w:szCs w:val="21"/>
                <w:highlight w:val="none"/>
                <w:u w:val="none"/>
                <w:lang w:val="en-US" w:eastAsia="zh-CN"/>
              </w:rPr>
              <w:t>（二）评分依据：</w:t>
            </w:r>
          </w:p>
          <w:p w14:paraId="40F12B09">
            <w:pPr>
              <w:keepNext w:val="0"/>
              <w:keepLines w:val="0"/>
              <w:pageBreakBefore w:val="0"/>
              <w:numPr>
                <w:ilvl w:val="0"/>
                <w:numId w:val="0"/>
              </w:numPr>
              <w:kinsoku/>
              <w:overflowPunct/>
              <w:topLinePunct w:val="0"/>
              <w:bidi w:val="0"/>
              <w:adjustRightInd/>
              <w:snapToGrid/>
              <w:ind w:firstLine="0" w:firstLineChars="0"/>
              <w:jc w:val="left"/>
              <w:textAlignment w:val="auto"/>
              <w:rPr>
                <w:rFonts w:hint="eastAsia" w:asciiTheme="minorEastAsia" w:hAnsiTheme="minorEastAsia" w:eastAsiaTheme="minorEastAsia" w:cstheme="minorEastAsia"/>
                <w:b w:val="0"/>
                <w:bCs w:val="0"/>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1、投标人提供以上试剂在投标截止日前近三年内在国内二级甲等或以上级别的医院使用的证明材料（包括但不限于价格发票或合同关键信息页【包括但不限于合同标的、签订时间、双方签章页】，且需体现试剂种类等评分关键性内容），同时提供供货医院在卫健部门官网的级别查询截图或者供货医院出具的加盖公章的级别证明材料。</w:t>
            </w:r>
          </w:p>
          <w:p w14:paraId="2941A3E5">
            <w:pPr>
              <w:keepNext w:val="0"/>
              <w:keepLines w:val="0"/>
              <w:pageBreakBefore w:val="0"/>
              <w:kinsoku/>
              <w:overflowPunct/>
              <w:topLinePunct w:val="0"/>
              <w:bidi w:val="0"/>
              <w:adjustRightInd/>
              <w:snapToGrid/>
              <w:ind w:firstLine="0" w:firstLineChars="0"/>
              <w:jc w:val="both"/>
              <w:textAlignment w:val="auto"/>
              <w:rPr>
                <w:rFonts w:hint="default" w:asciiTheme="minorEastAsia" w:hAnsiTheme="minorEastAsia" w:eastAsiaTheme="minorEastAsia" w:cstheme="minorEastAsia"/>
                <w:color w:val="auto"/>
                <w:kern w:val="2"/>
                <w:sz w:val="21"/>
                <w:szCs w:val="21"/>
                <w:highlight w:val="none"/>
                <w:u w:val="none"/>
                <w:lang w:val="en-US" w:eastAsia="zh-CN" w:bidi="ar-SA"/>
              </w:rPr>
            </w:pPr>
            <w:r>
              <w:rPr>
                <w:rFonts w:hint="eastAsia" w:asciiTheme="minorEastAsia" w:hAnsiTheme="minorEastAsia" w:eastAsiaTheme="minorEastAsia" w:cstheme="minorEastAsia"/>
                <w:b w:val="0"/>
                <w:bCs w:val="0"/>
                <w:color w:val="auto"/>
                <w:kern w:val="2"/>
                <w:sz w:val="21"/>
                <w:szCs w:val="21"/>
                <w:highlight w:val="none"/>
                <w:u w:val="none"/>
                <w:lang w:val="en-US" w:eastAsia="zh-CN" w:bidi="ar-SA"/>
              </w:rPr>
              <w:t>2、以上资料均要求提供扫描件，原件备查，未提供有效证明文件或者提供的证</w:t>
            </w:r>
            <w:r>
              <w:rPr>
                <w:rFonts w:hint="eastAsia" w:asciiTheme="minorEastAsia" w:hAnsiTheme="minorEastAsia" w:eastAsiaTheme="minorEastAsia" w:cstheme="minorEastAsia"/>
                <w:color w:val="auto"/>
                <w:kern w:val="2"/>
                <w:sz w:val="21"/>
                <w:szCs w:val="21"/>
                <w:highlight w:val="none"/>
                <w:u w:val="none"/>
                <w:lang w:val="en-US" w:eastAsia="zh-CN" w:bidi="ar-SA"/>
              </w:rPr>
              <w:t>明文件不符合要求的或者提供的证明文件不清晰导致评审专家无法辨认的，不得分。</w:t>
            </w:r>
          </w:p>
        </w:tc>
      </w:tr>
      <w:tr w14:paraId="4E09CE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rHeight w:val="1659" w:hRule="atLeast"/>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FD2509">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highlight w:val="none"/>
                <w:u w:val="none"/>
              </w:rPr>
            </w:pPr>
          </w:p>
        </w:tc>
        <w:tc>
          <w:tcPr>
            <w:tcW w:w="627" w:type="dxa"/>
            <w:tcBorders>
              <w:top w:val="single" w:color="000000" w:sz="8" w:space="0"/>
              <w:left w:val="single" w:color="000000" w:sz="8" w:space="0"/>
              <w:right w:val="single" w:color="000000" w:sz="8" w:space="0"/>
            </w:tcBorders>
            <w:shd w:val="clear" w:color="auto" w:fill="auto"/>
            <w:vAlign w:val="center"/>
          </w:tcPr>
          <w:p w14:paraId="56525A8B">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color w:val="auto"/>
                <w:kern w:val="2"/>
                <w:sz w:val="21"/>
                <w:szCs w:val="21"/>
                <w:highlight w:val="none"/>
                <w:u w:val="none"/>
                <w:lang w:val="en-US" w:eastAsia="zh-CN"/>
              </w:rPr>
              <w:t>2</w:t>
            </w:r>
          </w:p>
        </w:tc>
        <w:tc>
          <w:tcPr>
            <w:tcW w:w="1041" w:type="dxa"/>
            <w:tcBorders>
              <w:top w:val="single" w:color="000000" w:sz="8" w:space="0"/>
              <w:left w:val="single" w:color="000000" w:sz="8" w:space="0"/>
              <w:right w:val="single" w:color="000000" w:sz="8" w:space="0"/>
            </w:tcBorders>
            <w:shd w:val="clear" w:color="auto" w:fill="auto"/>
            <w:vAlign w:val="center"/>
          </w:tcPr>
          <w:p w14:paraId="098FE528">
            <w:pPr>
              <w:keepNext w:val="0"/>
              <w:keepLines w:val="0"/>
              <w:pageBreakBefore w:val="0"/>
              <w:widowControl w:val="0"/>
              <w:suppressLineNumbers w:val="0"/>
              <w:kinsoku/>
              <w:overflowPunct/>
              <w:topLinePunct w:val="0"/>
              <w:bidi w:val="0"/>
              <w:adjustRightInd/>
              <w:snapToGrid/>
              <w:spacing w:before="0" w:beforeAutospacing="0" w:after="0" w:afterAutospacing="0"/>
              <w:ind w:left="0" w:leftChars="0" w:right="0" w:rightChars="0" w:firstLine="0" w:firstLineChars="0"/>
              <w:jc w:val="center"/>
              <w:textAlignment w:val="auto"/>
              <w:rPr>
                <w:rFonts w:hint="eastAsia"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color w:val="auto"/>
                <w:kern w:val="2"/>
                <w:sz w:val="21"/>
                <w:szCs w:val="21"/>
                <w:highlight w:val="none"/>
                <w:u w:val="none"/>
                <w:lang w:val="en-US" w:eastAsia="zh-CN"/>
              </w:rPr>
              <w:t>服务能力</w:t>
            </w:r>
          </w:p>
        </w:tc>
        <w:tc>
          <w:tcPr>
            <w:tcW w:w="1067" w:type="dxa"/>
            <w:tcBorders>
              <w:top w:val="single" w:color="000000" w:sz="8" w:space="0"/>
              <w:left w:val="single" w:color="000000" w:sz="8" w:space="0"/>
              <w:right w:val="single" w:color="000000" w:sz="8" w:space="0"/>
            </w:tcBorders>
            <w:shd w:val="clear" w:color="auto" w:fill="auto"/>
            <w:vAlign w:val="center"/>
          </w:tcPr>
          <w:p w14:paraId="247EEEE6">
            <w:pPr>
              <w:keepNext w:val="0"/>
              <w:keepLines w:val="0"/>
              <w:pageBreakBefore w:val="0"/>
              <w:widowControl w:val="0"/>
              <w:suppressLineNumbers w:val="0"/>
              <w:kinsoku/>
              <w:overflowPunct/>
              <w:topLinePunct w:val="0"/>
              <w:autoSpaceDE w:val="0"/>
              <w:autoSpaceDN w:val="0"/>
              <w:bidi w:val="0"/>
              <w:adjustRightInd/>
              <w:snapToGrid/>
              <w:spacing w:before="0" w:beforeAutospacing="0" w:after="0" w:afterAutospacing="0"/>
              <w:ind w:left="0" w:leftChars="0" w:right="0" w:rightChars="0" w:firstLine="0" w:firstLineChars="0"/>
              <w:jc w:val="center"/>
              <w:textAlignment w:val="auto"/>
              <w:rPr>
                <w:rFonts w:hint="default"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color w:val="auto"/>
                <w:kern w:val="0"/>
                <w:sz w:val="21"/>
                <w:szCs w:val="21"/>
                <w:highlight w:val="none"/>
                <w:u w:val="none"/>
                <w:lang w:val="en-US" w:eastAsia="zh-CN"/>
              </w:rPr>
              <w:t>10</w:t>
            </w:r>
          </w:p>
        </w:tc>
        <w:tc>
          <w:tcPr>
            <w:tcW w:w="51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82DDA">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（一）评分内容：</w:t>
            </w:r>
          </w:p>
          <w:p w14:paraId="347E5C2F">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lang w:val="en-US" w:eastAsia="zh-CN"/>
              </w:rPr>
              <w:t>评标专家根据“五、商务要求”中的“八、售后服务响应表”要求（除带★号的不可偏离条款，共计16项）响应情况对投标人进行评分。满分为100分，有负偏离的，每负偏离一条扣</w:t>
            </w:r>
            <w:r>
              <w:rPr>
                <w:rFonts w:hint="eastAsia" w:cs="Times New Roman"/>
                <w:highlight w:val="none"/>
                <w:u w:val="none"/>
                <w:lang w:val="en-US" w:eastAsia="zh-CN"/>
              </w:rPr>
              <w:t>6</w:t>
            </w:r>
            <w:r>
              <w:rPr>
                <w:rFonts w:hint="eastAsia" w:asciiTheme="minorEastAsia" w:hAnsiTheme="minorEastAsia" w:eastAsiaTheme="minorEastAsia" w:cstheme="minorEastAsia"/>
                <w:sz w:val="21"/>
                <w:szCs w:val="21"/>
                <w:highlight w:val="none"/>
                <w:u w:val="none"/>
                <w:lang w:val="en-US" w:eastAsia="zh-CN"/>
              </w:rPr>
              <w:t>.25分，扣完为止。</w:t>
            </w:r>
          </w:p>
          <w:p w14:paraId="04D60CD7">
            <w:pPr>
              <w:keepNext w:val="0"/>
              <w:keepLines w:val="0"/>
              <w:pageBreakBefore w:val="0"/>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bCs/>
                <w:sz w:val="21"/>
                <w:szCs w:val="21"/>
                <w:highlight w:val="none"/>
                <w:u w:val="none"/>
              </w:rPr>
            </w:pPr>
            <w:r>
              <w:rPr>
                <w:rFonts w:hint="eastAsia" w:asciiTheme="minorEastAsia" w:hAnsiTheme="minorEastAsia" w:eastAsiaTheme="minorEastAsia" w:cstheme="minorEastAsia"/>
                <w:b/>
                <w:bCs/>
                <w:sz w:val="21"/>
                <w:szCs w:val="21"/>
                <w:highlight w:val="none"/>
                <w:u w:val="none"/>
              </w:rPr>
              <w:t>（二）评分依据：</w:t>
            </w:r>
          </w:p>
          <w:p w14:paraId="6418B4F4">
            <w:pPr>
              <w:keepNext w:val="0"/>
              <w:keepLines w:val="0"/>
              <w:pageBreakBefore w:val="0"/>
              <w:kinsoku/>
              <w:overflowPunct/>
              <w:topLinePunct w:val="0"/>
              <w:bidi w:val="0"/>
              <w:adjustRightInd/>
              <w:snapToGrid/>
              <w:ind w:firstLine="0" w:firstLineChars="0"/>
              <w:textAlignment w:val="auto"/>
              <w:rPr>
                <w:rFonts w:hint="eastAsia" w:asciiTheme="minorEastAsia" w:hAnsiTheme="minorEastAsia" w:eastAsiaTheme="minorEastAsia" w:cstheme="minorEastAsia"/>
                <w:kern w:val="2"/>
                <w:sz w:val="21"/>
                <w:szCs w:val="21"/>
                <w:highlight w:val="none"/>
                <w:u w:val="none"/>
                <w:lang w:val="en-US" w:eastAsia="zh-CN" w:bidi="ar-SA"/>
              </w:rPr>
            </w:pPr>
            <w:r>
              <w:rPr>
                <w:rFonts w:hint="eastAsia" w:asciiTheme="minorEastAsia" w:hAnsiTheme="minorEastAsia" w:eastAsiaTheme="minorEastAsia" w:cstheme="minorEastAsia"/>
                <w:szCs w:val="21"/>
                <w:highlight w:val="none"/>
                <w:u w:val="none"/>
                <w:lang w:val="en-US" w:eastAsia="zh-CN"/>
              </w:rPr>
              <w:t>提供《</w:t>
            </w:r>
            <w:r>
              <w:rPr>
                <w:rFonts w:hint="eastAsia" w:asciiTheme="minorEastAsia" w:hAnsiTheme="minorEastAsia" w:eastAsiaTheme="minorEastAsia" w:cstheme="minorEastAsia"/>
                <w:color w:val="auto"/>
                <w:kern w:val="2"/>
                <w:sz w:val="21"/>
                <w:szCs w:val="21"/>
                <w:highlight w:val="none"/>
                <w:u w:val="none"/>
                <w:lang w:val="en-US" w:eastAsia="zh-CN" w:bidi="ar-SA"/>
              </w:rPr>
              <w:t>售后服务响应表</w:t>
            </w:r>
            <w:r>
              <w:rPr>
                <w:rFonts w:hint="eastAsia" w:asciiTheme="minorEastAsia" w:hAnsiTheme="minorEastAsia" w:eastAsiaTheme="minorEastAsia" w:cstheme="minorEastAsia"/>
                <w:sz w:val="21"/>
                <w:szCs w:val="21"/>
                <w:highlight w:val="none"/>
                <w:u w:val="none"/>
                <w:lang w:val="en-US" w:eastAsia="zh-CN"/>
              </w:rPr>
              <w:t>》，并按照招标文件的要求提供相关证明资料（如有）。投标人未提供相关证明材料或者提供的证明材料不符合要求的或提供的证明材料不清晰评审专家无法辨认的，该项参数按照负偏离处理，扣除相应分值。</w:t>
            </w:r>
          </w:p>
        </w:tc>
      </w:tr>
      <w:tr w14:paraId="7D8E2B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A0B504D">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lang w:eastAsia="zh-CN"/>
              </w:rPr>
            </w:pPr>
            <w:r>
              <w:rPr>
                <w:rFonts w:hint="eastAsia" w:asciiTheme="minorEastAsia" w:hAnsiTheme="minorEastAsia" w:eastAsiaTheme="minorEastAsia" w:cstheme="minorEastAsia"/>
                <w:b/>
                <w:bCs/>
                <w:color w:val="0000FF"/>
                <w:kern w:val="0"/>
                <w:sz w:val="21"/>
                <w:szCs w:val="21"/>
                <w:u w:val="none"/>
                <w:lang w:val="en-US" w:eastAsia="zh-CN"/>
              </w:rPr>
              <w:t>4</w:t>
            </w:r>
          </w:p>
        </w:tc>
        <w:tc>
          <w:tcPr>
            <w:tcW w:w="2735"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7328A51">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r>
              <w:rPr>
                <w:rFonts w:hint="eastAsia" w:asciiTheme="minorEastAsia" w:hAnsiTheme="minorEastAsia" w:eastAsiaTheme="minorEastAsia" w:cstheme="minorEastAsia"/>
                <w:b/>
                <w:bCs/>
                <w:color w:val="0000FF"/>
                <w:kern w:val="0"/>
                <w:sz w:val="21"/>
                <w:szCs w:val="21"/>
                <w:u w:val="none"/>
              </w:rPr>
              <w:t>诚信情况</w:t>
            </w:r>
          </w:p>
        </w:tc>
        <w:tc>
          <w:tcPr>
            <w:tcW w:w="51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3C1D7">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lang w:val="en-US" w:eastAsia="zh-CN"/>
              </w:rPr>
            </w:pPr>
            <w:r>
              <w:rPr>
                <w:rFonts w:hint="eastAsia" w:asciiTheme="minorEastAsia" w:hAnsiTheme="minorEastAsia" w:eastAsiaTheme="minorEastAsia" w:cstheme="minorEastAsia"/>
                <w:b/>
                <w:bCs/>
                <w:color w:val="0000FF"/>
                <w:sz w:val="21"/>
                <w:szCs w:val="21"/>
                <w:u w:val="none"/>
                <w:lang w:val="en-US" w:eastAsia="zh-CN"/>
              </w:rPr>
              <w:t>5</w:t>
            </w:r>
          </w:p>
        </w:tc>
      </w:tr>
      <w:tr w14:paraId="4DAF8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8166BF2">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p>
        </w:tc>
        <w:tc>
          <w:tcPr>
            <w:tcW w:w="62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B5EE1BB">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序号</w:t>
            </w:r>
          </w:p>
        </w:tc>
        <w:tc>
          <w:tcPr>
            <w:tcW w:w="104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8F630D4">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评分因素</w:t>
            </w:r>
          </w:p>
        </w:tc>
        <w:tc>
          <w:tcPr>
            <w:tcW w:w="1067"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1D750AE">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权重(%)</w:t>
            </w:r>
          </w:p>
        </w:tc>
        <w:tc>
          <w:tcPr>
            <w:tcW w:w="5152"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949BA20">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kern w:val="0"/>
                <w:sz w:val="21"/>
                <w:szCs w:val="21"/>
                <w:u w:val="none"/>
              </w:rPr>
              <w:t>评分准则</w:t>
            </w:r>
          </w:p>
        </w:tc>
      </w:tr>
      <w:tr w14:paraId="5A5324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36" w:type="dxa"/>
          <w:wAfter w:w="67" w:type="dxa"/>
          <w:tblCellSpacing w:w="0" w:type="dxa"/>
          <w:jc w:val="center"/>
        </w:trPr>
        <w:tc>
          <w:tcPr>
            <w:tcW w:w="6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EF607D">
            <w:pPr>
              <w:keepNext w:val="0"/>
              <w:keepLines w:val="0"/>
              <w:pageBreakBefore w:val="0"/>
              <w:kinsoku/>
              <w:overflowPunct/>
              <w:topLinePunct w:val="0"/>
              <w:bidi w:val="0"/>
              <w:adjustRightInd/>
              <w:snapToGrid/>
              <w:ind w:firstLine="0" w:firstLineChars="0"/>
              <w:jc w:val="center"/>
              <w:textAlignment w:val="auto"/>
              <w:rPr>
                <w:rFonts w:hint="eastAsia" w:asciiTheme="minorEastAsia" w:hAnsiTheme="minorEastAsia" w:eastAsiaTheme="minorEastAsia" w:cstheme="minorEastAsia"/>
                <w:b/>
                <w:bCs/>
                <w:color w:val="0000FF"/>
                <w:sz w:val="21"/>
                <w:szCs w:val="21"/>
                <w:u w:val="none"/>
              </w:rPr>
            </w:pPr>
          </w:p>
        </w:tc>
        <w:tc>
          <w:tcPr>
            <w:tcW w:w="6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A4671">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1</w:t>
            </w:r>
          </w:p>
        </w:tc>
        <w:tc>
          <w:tcPr>
            <w:tcW w:w="104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0AE3B">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诚信情况</w:t>
            </w:r>
          </w:p>
        </w:tc>
        <w:tc>
          <w:tcPr>
            <w:tcW w:w="10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92A58">
            <w:pPr>
              <w:keepNext w:val="0"/>
              <w:keepLines w:val="0"/>
              <w:pageBreakBefore w:val="0"/>
              <w:widowControl/>
              <w:kinsoku/>
              <w:wordWrap w:val="0"/>
              <w:overflowPunct/>
              <w:topLinePunct w:val="0"/>
              <w:bidi w:val="0"/>
              <w:adjustRightInd/>
              <w:snapToGrid/>
              <w:ind w:firstLine="0" w:firstLineChars="0"/>
              <w:jc w:val="center"/>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sz w:val="21"/>
                <w:szCs w:val="21"/>
                <w:u w:val="none"/>
              </w:rPr>
              <w:t>5</w:t>
            </w:r>
          </w:p>
        </w:tc>
        <w:tc>
          <w:tcPr>
            <w:tcW w:w="5152" w:type="dxa"/>
            <w:tcBorders>
              <w:top w:val="single" w:color="000000" w:sz="8" w:space="0"/>
              <w:left w:val="single" w:color="000000" w:sz="8" w:space="0"/>
              <w:bottom w:val="single" w:color="000000" w:sz="8" w:space="0"/>
              <w:right w:val="single" w:color="000000" w:sz="8" w:space="0"/>
            </w:tcBorders>
            <w:shd w:val="clear" w:color="auto" w:fill="auto"/>
          </w:tcPr>
          <w:p w14:paraId="121D0CFE">
            <w:pPr>
              <w:keepNext w:val="0"/>
              <w:keepLines w:val="0"/>
              <w:pageBreakBefore w:val="0"/>
              <w:widowControl/>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b w:val="0"/>
                <w:bCs w:val="0"/>
                <w:sz w:val="21"/>
                <w:szCs w:val="21"/>
                <w:u w:val="none"/>
                <w:lang w:val="en-US" w:eastAsia="zh-CN"/>
              </w:rPr>
            </w:pPr>
            <w:r>
              <w:rPr>
                <w:rFonts w:hint="eastAsia" w:asciiTheme="minorEastAsia" w:hAnsiTheme="minorEastAsia" w:eastAsiaTheme="minorEastAsia" w:cstheme="minorEastAsia"/>
                <w:b w:val="0"/>
                <w:bCs w:val="0"/>
                <w:sz w:val="21"/>
                <w:szCs w:val="21"/>
                <w:u w:val="none"/>
                <w:lang w:val="en-US" w:eastAsia="zh-CN"/>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2C76D063">
            <w:pPr>
              <w:keepNext w:val="0"/>
              <w:keepLines w:val="0"/>
              <w:pageBreakBefore w:val="0"/>
              <w:widowControl/>
              <w:kinsoku/>
              <w:wordWrap w:val="0"/>
              <w:overflowPunct/>
              <w:topLinePunct w:val="0"/>
              <w:bidi w:val="0"/>
              <w:adjustRightInd/>
              <w:snapToGrid/>
              <w:ind w:firstLine="0" w:firstLineChars="0"/>
              <w:jc w:val="left"/>
              <w:textAlignment w:val="auto"/>
              <w:rPr>
                <w:rFonts w:hint="eastAsia" w:asciiTheme="minorEastAsia" w:hAnsiTheme="minorEastAsia" w:eastAsiaTheme="minorEastAsia" w:cstheme="minorEastAsia"/>
                <w:sz w:val="21"/>
                <w:szCs w:val="21"/>
                <w:u w:val="none"/>
              </w:rPr>
            </w:pPr>
            <w:r>
              <w:rPr>
                <w:rFonts w:hint="eastAsia" w:asciiTheme="minorEastAsia" w:hAnsiTheme="minorEastAsia" w:eastAsiaTheme="minorEastAsia" w:cstheme="minorEastAsia"/>
                <w:b w:val="0"/>
                <w:bCs w:val="0"/>
                <w:sz w:val="21"/>
                <w:szCs w:val="21"/>
                <w:u w:val="none"/>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335FD651">
      <w:p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14:paraId="4D14BEDC">
      <w:pPr>
        <w:jc w:val="center"/>
        <w:rPr>
          <w:b/>
          <w:sz w:val="84"/>
          <w:szCs w:val="84"/>
        </w:rPr>
      </w:pPr>
    </w:p>
    <w:p w14:paraId="77EB26A4">
      <w:pPr>
        <w:jc w:val="center"/>
        <w:rPr>
          <w:b/>
          <w:sz w:val="120"/>
          <w:szCs w:val="120"/>
        </w:rPr>
      </w:pPr>
      <w:r>
        <w:rPr>
          <w:rFonts w:hint="eastAsia"/>
          <w:b/>
          <w:sz w:val="120"/>
          <w:szCs w:val="120"/>
        </w:rPr>
        <w:t>招标文件</w:t>
      </w:r>
    </w:p>
    <w:p w14:paraId="34E93316">
      <w:pPr>
        <w:jc w:val="center"/>
        <w:rPr>
          <w:b/>
          <w:sz w:val="52"/>
          <w:szCs w:val="52"/>
        </w:rPr>
      </w:pPr>
      <w:r>
        <w:rPr>
          <w:rFonts w:hint="eastAsia"/>
          <w:b/>
          <w:sz w:val="52"/>
          <w:szCs w:val="52"/>
        </w:rPr>
        <w:t>（货物类）</w:t>
      </w:r>
    </w:p>
    <w:p w14:paraId="06740ED1"/>
    <w:p w14:paraId="04661E82"/>
    <w:p w14:paraId="659209A4"/>
    <w:p w14:paraId="055C9E62"/>
    <w:p w14:paraId="27B82E90"/>
    <w:p w14:paraId="3061F290">
      <w:pPr>
        <w:pStyle w:val="54"/>
      </w:pPr>
    </w:p>
    <w:p w14:paraId="1556F67B">
      <w:pPr>
        <w:pStyle w:val="54"/>
      </w:pPr>
    </w:p>
    <w:p w14:paraId="716698BF"/>
    <w:p w14:paraId="71C366FE"/>
    <w:p w14:paraId="226951E3"/>
    <w:p w14:paraId="751DB2B8"/>
    <w:p w14:paraId="58FFE5B7"/>
    <w:p w14:paraId="455664F2"/>
    <w:p w14:paraId="679DCE40"/>
    <w:p w14:paraId="31A2819E"/>
    <w:p w14:paraId="7808729F"/>
    <w:p w14:paraId="2C03C853"/>
    <w:p w14:paraId="36C620E1"/>
    <w:p w14:paraId="04633956"/>
    <w:p w14:paraId="7BEC0F1C"/>
    <w:p w14:paraId="737332C3"/>
    <w:p w14:paraId="2D674456">
      <w:pPr>
        <w:jc w:val="center"/>
        <w:rPr>
          <w:b/>
          <w:sz w:val="44"/>
          <w:szCs w:val="44"/>
        </w:rPr>
      </w:pPr>
      <w:bookmarkStart w:id="2" w:name="_Hlk71465316"/>
      <w:r>
        <w:rPr>
          <w:rFonts w:hint="eastAsia"/>
          <w:b/>
          <w:sz w:val="44"/>
          <w:szCs w:val="44"/>
        </w:rPr>
        <w:t>深圳公共资源交易中心</w:t>
      </w:r>
    </w:p>
    <w:p w14:paraId="07661478">
      <w:pPr>
        <w:jc w:val="center"/>
        <w:rPr>
          <w:b/>
          <w:sz w:val="44"/>
          <w:szCs w:val="44"/>
        </w:rPr>
      </w:pPr>
      <w:r>
        <w:rPr>
          <w:rFonts w:hint="eastAsia"/>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b/>
          <w:sz w:val="44"/>
          <w:szCs w:val="44"/>
        </w:rPr>
        <w:t>）</w:t>
      </w:r>
    </w:p>
    <w:bookmarkEnd w:id="2"/>
    <w:p w14:paraId="11D316E1">
      <w:pPr>
        <w:widowControl/>
        <w:jc w:val="center"/>
      </w:pPr>
    </w:p>
    <w:p w14:paraId="1A961DEE">
      <w:pPr>
        <w:widowControl/>
        <w:jc w:val="center"/>
      </w:pPr>
      <w:r>
        <w:br w:type="page"/>
      </w:r>
    </w:p>
    <w:p w14:paraId="2DE26C00">
      <w:pPr>
        <w:jc w:val="center"/>
        <w:rPr>
          <w:rFonts w:hint="eastAsia" w:ascii="宋体" w:hAnsi="宋体" w:eastAsia="宋体" w:cs="Times New Roman"/>
          <w:color w:val="FF0000"/>
          <w:szCs w:val="21"/>
        </w:rPr>
      </w:pPr>
      <w:bookmarkStart w:id="3" w:name="_Hlk72218009"/>
      <w:r>
        <w:rPr>
          <w:rFonts w:hint="eastAsia" w:ascii="宋体" w:hAnsi="宋体" w:eastAsia="黑体" w:cs="Times New Roman"/>
          <w:b/>
          <w:bCs/>
          <w:color w:val="FF0000"/>
          <w:kern w:val="44"/>
          <w:sz w:val="28"/>
          <w:szCs w:val="44"/>
        </w:rPr>
        <w:t>警示条款</w:t>
      </w:r>
    </w:p>
    <w:p w14:paraId="346EC0EE">
      <w:pPr>
        <w:ind w:firstLine="400" w:firstLineChars="200"/>
        <w:rPr>
          <w:rFonts w:hint="eastAsia" w:ascii="宋体" w:hAnsi="宋体" w:eastAsia="宋体" w:cs="Times New Roman"/>
          <w:color w:val="FF0000"/>
          <w:sz w:val="20"/>
          <w:szCs w:val="20"/>
        </w:rPr>
      </w:pPr>
    </w:p>
    <w:p w14:paraId="4D5AA0BE">
      <w:pPr>
        <w:ind w:firstLine="400" w:firstLineChars="200"/>
        <w:rPr>
          <w:rFonts w:hint="eastAsia" w:ascii="宋体" w:hAnsi="宋体" w:eastAsia="宋体" w:cs="Times New Roman"/>
          <w:color w:val="FF0000"/>
          <w:sz w:val="20"/>
          <w:szCs w:val="20"/>
          <w:highlight w:val="yellow"/>
        </w:rPr>
      </w:pPr>
      <w:r>
        <w:rPr>
          <w:rFonts w:hint="eastAsia" w:ascii="宋体" w:hAnsi="宋体" w:eastAsia="宋体" w:cs="Times New Roman"/>
          <w:color w:val="FF0000"/>
          <w:sz w:val="20"/>
          <w:szCs w:val="20"/>
          <w:highlight w:val="yellow"/>
        </w:rPr>
        <w:t>本项目参照《深圳经济特区政府采购条例》、《深圳经济特区政府采购条例实施细则》及政府采购其他法律法规，按照采购人内控制度，通过公开招标方式确定中标供应商。</w:t>
      </w:r>
    </w:p>
    <w:p w14:paraId="0318B08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w:t>
      </w:r>
      <w:r>
        <w:rPr>
          <w:rFonts w:hint="eastAsia" w:ascii="宋体" w:hAnsi="宋体" w:eastAsia="宋体" w:cs="Times New Roman"/>
          <w:b/>
          <w:bCs/>
          <w:color w:val="FF0000"/>
          <w:sz w:val="20"/>
          <w:szCs w:val="20"/>
        </w:rPr>
        <w:t>《深圳经济特区政府采购条例》第五十七条</w:t>
      </w:r>
      <w:r>
        <w:rPr>
          <w:rFonts w:hint="eastAsia" w:ascii="宋体" w:hAnsi="宋体" w:eastAsia="宋体" w:cs="Times New Roman"/>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532E2F96">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（一）在采购活动中应当回避而未回避的；</w:t>
      </w:r>
    </w:p>
    <w:p w14:paraId="0252F3D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（二）未按本条例规定签订、履行采购合同，造成严重后果的；</w:t>
      </w:r>
    </w:p>
    <w:p w14:paraId="6D9D1A4D">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（三）隐瞒真实情况，提供虚假资料的；</w:t>
      </w:r>
    </w:p>
    <w:p w14:paraId="02EAEA7D">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（四）以非法手段排斥其他供应商参与竞争的；</w:t>
      </w:r>
    </w:p>
    <w:p w14:paraId="2F75A854">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（五）与其他采购参加人串通投标的；</w:t>
      </w:r>
    </w:p>
    <w:p w14:paraId="475B544F">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（六）恶意投诉的；</w:t>
      </w:r>
    </w:p>
    <w:p w14:paraId="4F12943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（七）向采购项目相关人行贿或者提供其他不当利益的；</w:t>
      </w:r>
    </w:p>
    <w:p w14:paraId="3074A289">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（八）阻碍、抗拒主管部门监督检查的；</w:t>
      </w:r>
    </w:p>
    <w:p w14:paraId="01B5DE11">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（九）其他违反本条例规定的行为。</w:t>
      </w:r>
    </w:p>
    <w:p w14:paraId="36B737A2">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二、《深圳经济特区政府采购条例实施细则》第七十五条 </w:t>
      </w:r>
      <w:r>
        <w:rPr>
          <w:rFonts w:hint="eastAsia" w:ascii="宋体" w:hAnsi="宋体" w:eastAsia="宋体" w:cs="Times New Roman"/>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B68C5D9">
      <w:pPr>
        <w:ind w:firstLine="402" w:firstLineChars="200"/>
        <w:rPr>
          <w:rFonts w:hint="eastAsia" w:ascii="宋体" w:hAnsi="宋体" w:eastAsia="宋体" w:cs="Times New Roman"/>
          <w:color w:val="FF0000"/>
          <w:sz w:val="20"/>
          <w:szCs w:val="20"/>
        </w:rPr>
      </w:pPr>
      <w:r>
        <w:rPr>
          <w:rFonts w:hint="eastAsia" w:ascii="宋体" w:hAnsi="宋体" w:eastAsia="宋体" w:cs="Times New Roman"/>
          <w:b/>
          <w:bCs/>
          <w:color w:val="FF0000"/>
          <w:sz w:val="20"/>
          <w:szCs w:val="20"/>
        </w:rPr>
        <w:t>三、《深圳经济特区政府采购条例实施细则》第七十七条 </w:t>
      </w:r>
      <w:r>
        <w:rPr>
          <w:rFonts w:hint="eastAsia" w:ascii="宋体" w:hAnsi="宋体" w:eastAsia="宋体" w:cs="Times New Roman"/>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BD6708C">
      <w:pPr>
        <w:ind w:firstLine="400" w:firstLineChars="200"/>
        <w:rPr>
          <w:rFonts w:hint="eastAsia" w:ascii="宋体" w:hAnsi="宋体" w:eastAsia="宋体" w:cs="Times New Roman"/>
          <w:color w:val="FF0000"/>
          <w:sz w:val="20"/>
          <w:szCs w:val="20"/>
        </w:rPr>
      </w:pPr>
      <w:r>
        <w:rPr>
          <w:rFonts w:hint="eastAsia" w:ascii="宋体" w:hAnsi="宋体" w:eastAsia="宋体" w:cs="Times New Roman"/>
          <w:color w:val="FF0000"/>
          <w:sz w:val="20"/>
          <w:szCs w:val="20"/>
        </w:rPr>
        <w:t>投标供应商不能提供项目负责人或者主要技术人员的劳动合同、社会保险等劳动关系证明材料的，视为存在前款第（三）项规定的情形。</w:t>
      </w:r>
    </w:p>
    <w:p w14:paraId="4DF0C2A8">
      <w:pPr>
        <w:ind w:firstLine="422" w:firstLineChars="200"/>
        <w:rPr>
          <w:rFonts w:hint="eastAsia" w:ascii="Times New Roman" w:hAnsi="Times New Roman" w:eastAsia="宋体" w:cs="Times New Roman"/>
          <w:b/>
          <w:color w:val="FF0000"/>
        </w:rPr>
      </w:pPr>
      <w:r>
        <w:rPr>
          <w:rFonts w:hint="eastAsia" w:ascii="Times New Roman" w:hAnsi="Times New Roman" w:eastAsia="宋体" w:cs="Times New Roman"/>
          <w:b/>
          <w:color w:val="FF0000"/>
        </w:rPr>
        <w:t>四、请投标供应商阅读《采购违法行为风险知悉确认书》（内容详见“第四章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D942676">
      <w:pPr>
        <w:ind w:firstLine="400" w:firstLineChars="200"/>
        <w:rPr>
          <w:rFonts w:ascii="宋体" w:hAnsi="宋体" w:eastAsia="宋体" w:cs="Times New Roman"/>
          <w:color w:val="FF0000"/>
          <w:sz w:val="20"/>
          <w:szCs w:val="20"/>
        </w:rPr>
      </w:pPr>
      <w:r>
        <w:rPr>
          <w:rFonts w:hint="eastAsia" w:ascii="宋体" w:hAnsi="宋体" w:eastAsia="宋体" w:cs="Times New Roman"/>
          <w:color w:val="FF0000"/>
          <w:sz w:val="20"/>
          <w:szCs w:val="20"/>
        </w:rPr>
        <w:t>五、</w:t>
      </w:r>
      <w:r>
        <w:rPr>
          <w:rFonts w:ascii="宋体" w:hAnsi="宋体" w:eastAsia="宋体" w:cs="Times New Roman"/>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2F9F8C4B">
      <w:pPr>
        <w:rPr>
          <w:rFonts w:ascii="宋体" w:hAnsi="宋体" w:eastAsia="宋体" w:cs="Times New Roman"/>
          <w:color w:val="FF0000"/>
          <w:sz w:val="20"/>
          <w:szCs w:val="20"/>
        </w:rPr>
      </w:pPr>
      <w:r>
        <w:rPr>
          <w:rFonts w:ascii="宋体" w:hAnsi="宋体" w:eastAsia="宋体" w:cs="Times New Roman"/>
          <w:color w:val="FF0000"/>
          <w:sz w:val="20"/>
          <w:szCs w:val="20"/>
        </w:rPr>
        <w:br w:type="page"/>
      </w:r>
    </w:p>
    <w:p w14:paraId="0DD310D1">
      <w:pPr>
        <w:keepNext w:val="0"/>
        <w:keepLines w:val="0"/>
        <w:pageBreakBefore w:val="0"/>
        <w:widowControl w:val="0"/>
        <w:kinsoku/>
        <w:wordWrap/>
        <w:overflowPunct/>
        <w:topLinePunct w:val="0"/>
        <w:autoSpaceDE/>
        <w:autoSpaceDN/>
        <w:bidi w:val="0"/>
        <w:adjustRightInd/>
        <w:snapToGrid/>
        <w:spacing w:before="464" w:beforeLines="100" w:after="464" w:afterLines="100"/>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目   录</w:t>
      </w:r>
    </w:p>
    <w:p w14:paraId="67746C3C">
      <w:pPr>
        <w:outlineLvl w:val="0"/>
        <w:rPr>
          <w:b/>
          <w:sz w:val="24"/>
        </w:rPr>
      </w:pPr>
      <w:r>
        <w:rPr>
          <w:rFonts w:hint="eastAsia"/>
          <w:b/>
          <w:sz w:val="24"/>
        </w:rPr>
        <w:t xml:space="preserve">第一册  </w:t>
      </w:r>
      <w:r>
        <w:rPr>
          <w:rFonts w:hint="eastAsia"/>
          <w:b/>
          <w:sz w:val="24"/>
          <w:lang w:val="en-US" w:eastAsia="zh-CN"/>
        </w:rPr>
        <w:t xml:space="preserve">  </w:t>
      </w:r>
      <w:r>
        <w:rPr>
          <w:rFonts w:hint="eastAsia"/>
          <w:b/>
          <w:sz w:val="24"/>
        </w:rPr>
        <w:t>专用条款</w:t>
      </w:r>
    </w:p>
    <w:p w14:paraId="0921EE6E">
      <w:pPr>
        <w:ind w:firstLine="960" w:firstLineChars="400"/>
        <w:rPr>
          <w:sz w:val="24"/>
        </w:rPr>
      </w:pPr>
      <w:r>
        <w:rPr>
          <w:rFonts w:hint="eastAsia"/>
          <w:sz w:val="24"/>
        </w:rPr>
        <w:t>关键信息</w:t>
      </w:r>
    </w:p>
    <w:p w14:paraId="2E5A4135">
      <w:pPr>
        <w:ind w:left="630" w:leftChars="300" w:firstLine="630" w:firstLineChars="300"/>
        <w:rPr>
          <w:rFonts w:ascii="宋体" w:hAnsi="宋体"/>
          <w:szCs w:val="21"/>
        </w:rPr>
      </w:pPr>
      <w:r>
        <w:rPr>
          <w:rFonts w:hint="eastAsia" w:ascii="宋体" w:hAnsi="宋体"/>
          <w:szCs w:val="21"/>
        </w:rPr>
        <w:t>第一章  招标公告</w:t>
      </w:r>
    </w:p>
    <w:p w14:paraId="0A69BD2E">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14:paraId="7CE6B81D">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4E5B6EC2">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01FC1AD">
      <w:pPr>
        <w:ind w:left="630" w:leftChars="300" w:firstLine="630" w:firstLineChars="300"/>
        <w:rPr>
          <w:rFonts w:ascii="宋体" w:hAnsi="宋体"/>
          <w:szCs w:val="21"/>
        </w:rPr>
      </w:pPr>
      <w:r>
        <w:rPr>
          <w:rFonts w:hint="eastAsia" w:ascii="宋体" w:hAnsi="宋体"/>
          <w:szCs w:val="21"/>
        </w:rPr>
        <w:t>第五章  合同条款及格式</w:t>
      </w:r>
    </w:p>
    <w:p w14:paraId="3A4BF76D">
      <w:pPr>
        <w:rPr>
          <w:b/>
          <w:sz w:val="24"/>
        </w:rPr>
      </w:pPr>
    </w:p>
    <w:p w14:paraId="2B72F195">
      <w:pPr>
        <w:outlineLvl w:val="0"/>
        <w:rPr>
          <w:b/>
          <w:sz w:val="24"/>
        </w:rPr>
      </w:pPr>
      <w:r>
        <w:rPr>
          <w:rFonts w:hint="eastAsia"/>
          <w:b/>
          <w:sz w:val="24"/>
        </w:rPr>
        <w:t>第二册</w:t>
      </w:r>
      <w:r>
        <w:rPr>
          <w:rFonts w:hint="eastAsia"/>
          <w:b/>
          <w:sz w:val="24"/>
          <w:lang w:val="en-US" w:eastAsia="zh-CN"/>
        </w:rPr>
        <w:t xml:space="preserve">  </w:t>
      </w:r>
      <w:r>
        <w:rPr>
          <w:rFonts w:hint="eastAsia"/>
          <w:b/>
          <w:sz w:val="24"/>
        </w:rPr>
        <w:t xml:space="preserve">  通用条款</w:t>
      </w:r>
    </w:p>
    <w:p w14:paraId="5C95498F">
      <w:pPr>
        <w:ind w:left="630" w:leftChars="300" w:firstLine="411" w:firstLineChars="196"/>
        <w:rPr>
          <w:rFonts w:ascii="宋体" w:hAnsi="宋体"/>
          <w:szCs w:val="21"/>
        </w:rPr>
      </w:pPr>
      <w:r>
        <w:rPr>
          <w:rFonts w:hint="eastAsia" w:ascii="宋体" w:hAnsi="宋体"/>
          <w:szCs w:val="21"/>
        </w:rPr>
        <w:t>第一章  总则</w:t>
      </w:r>
    </w:p>
    <w:p w14:paraId="256296FC">
      <w:pPr>
        <w:ind w:left="630" w:leftChars="300" w:firstLine="411" w:firstLineChars="196"/>
        <w:rPr>
          <w:rFonts w:ascii="宋体" w:hAnsi="宋体"/>
          <w:szCs w:val="21"/>
        </w:rPr>
      </w:pPr>
      <w:r>
        <w:rPr>
          <w:rFonts w:hint="eastAsia" w:ascii="宋体" w:hAnsi="宋体"/>
          <w:szCs w:val="21"/>
        </w:rPr>
        <w:t>第二章  招标文件</w:t>
      </w:r>
    </w:p>
    <w:p w14:paraId="23FDFA10">
      <w:pPr>
        <w:ind w:left="630" w:leftChars="300" w:firstLine="411" w:firstLineChars="196"/>
        <w:rPr>
          <w:rFonts w:ascii="宋体" w:hAnsi="宋体"/>
          <w:szCs w:val="21"/>
        </w:rPr>
      </w:pPr>
      <w:r>
        <w:rPr>
          <w:rFonts w:hint="eastAsia" w:ascii="宋体" w:hAnsi="宋体"/>
          <w:szCs w:val="21"/>
        </w:rPr>
        <w:t>第三章  投标文件的编制</w:t>
      </w:r>
    </w:p>
    <w:p w14:paraId="351E2D04">
      <w:pPr>
        <w:ind w:left="630" w:leftChars="300" w:firstLine="411" w:firstLineChars="196"/>
        <w:rPr>
          <w:rFonts w:ascii="宋体" w:hAnsi="宋体"/>
          <w:szCs w:val="21"/>
        </w:rPr>
      </w:pPr>
      <w:r>
        <w:rPr>
          <w:rFonts w:hint="eastAsia" w:ascii="宋体" w:hAnsi="宋体"/>
          <w:szCs w:val="21"/>
        </w:rPr>
        <w:t>第四章  投标文件的递交</w:t>
      </w:r>
    </w:p>
    <w:p w14:paraId="0043E19C">
      <w:pPr>
        <w:ind w:left="630" w:leftChars="300" w:firstLine="411" w:firstLineChars="196"/>
        <w:rPr>
          <w:rFonts w:ascii="宋体" w:hAnsi="宋体"/>
          <w:szCs w:val="21"/>
        </w:rPr>
      </w:pPr>
      <w:r>
        <w:rPr>
          <w:rFonts w:hint="eastAsia" w:ascii="宋体" w:hAnsi="宋体"/>
          <w:szCs w:val="21"/>
        </w:rPr>
        <w:t>第五章  开标</w:t>
      </w:r>
    </w:p>
    <w:p w14:paraId="5712B3AC">
      <w:pPr>
        <w:ind w:left="630" w:leftChars="300" w:firstLine="411" w:firstLineChars="196"/>
        <w:rPr>
          <w:rFonts w:ascii="宋体" w:hAnsi="宋体"/>
          <w:szCs w:val="21"/>
        </w:rPr>
      </w:pPr>
      <w:r>
        <w:rPr>
          <w:rFonts w:hint="eastAsia" w:ascii="宋体" w:hAnsi="宋体"/>
          <w:szCs w:val="21"/>
        </w:rPr>
        <w:t>第六章  评审要求</w:t>
      </w:r>
    </w:p>
    <w:p w14:paraId="61CFEC42">
      <w:pPr>
        <w:ind w:left="630" w:leftChars="300" w:firstLine="411" w:firstLineChars="196"/>
        <w:rPr>
          <w:rFonts w:ascii="宋体" w:hAnsi="宋体"/>
          <w:szCs w:val="21"/>
        </w:rPr>
      </w:pPr>
      <w:r>
        <w:rPr>
          <w:rFonts w:hint="eastAsia" w:ascii="宋体" w:hAnsi="宋体"/>
          <w:szCs w:val="21"/>
        </w:rPr>
        <w:t>第七章  评审程序及评审方法</w:t>
      </w:r>
    </w:p>
    <w:p w14:paraId="04FB3E89">
      <w:pPr>
        <w:ind w:left="630" w:leftChars="300" w:firstLine="411" w:firstLineChars="196"/>
        <w:rPr>
          <w:rFonts w:ascii="宋体" w:hAnsi="宋体"/>
          <w:szCs w:val="21"/>
        </w:rPr>
      </w:pPr>
      <w:r>
        <w:rPr>
          <w:rFonts w:hint="eastAsia" w:ascii="宋体" w:hAnsi="宋体"/>
          <w:szCs w:val="21"/>
        </w:rPr>
        <w:t>第八章  定标及公示</w:t>
      </w:r>
    </w:p>
    <w:p w14:paraId="564A7696">
      <w:pPr>
        <w:ind w:left="630" w:leftChars="300" w:firstLine="411" w:firstLineChars="196"/>
        <w:rPr>
          <w:rFonts w:ascii="宋体" w:hAnsi="宋体"/>
          <w:szCs w:val="21"/>
        </w:rPr>
      </w:pPr>
      <w:r>
        <w:rPr>
          <w:rFonts w:hint="eastAsia" w:ascii="宋体" w:hAnsi="宋体"/>
          <w:szCs w:val="21"/>
        </w:rPr>
        <w:t>第九章  公开招标失败的后续处理</w:t>
      </w:r>
    </w:p>
    <w:p w14:paraId="4F22008C">
      <w:pPr>
        <w:ind w:left="630" w:leftChars="300" w:firstLine="411" w:firstLineChars="196"/>
        <w:rPr>
          <w:rFonts w:ascii="宋体" w:hAnsi="宋体"/>
          <w:szCs w:val="21"/>
        </w:rPr>
      </w:pPr>
      <w:r>
        <w:rPr>
          <w:rFonts w:hint="eastAsia" w:ascii="宋体" w:hAnsi="宋体"/>
          <w:szCs w:val="21"/>
        </w:rPr>
        <w:t>第十章  合同的授予与备案</w:t>
      </w:r>
    </w:p>
    <w:p w14:paraId="6080E1A3">
      <w:pPr>
        <w:ind w:firstLine="1050" w:firstLineChars="500"/>
        <w:rPr>
          <w:rFonts w:hint="eastAsia"/>
        </w:rPr>
      </w:pPr>
      <w:r>
        <w:rPr>
          <w:rFonts w:hint="eastAsia"/>
        </w:rPr>
        <w:t>第十一章  质疑处理</w:t>
      </w:r>
    </w:p>
    <w:p w14:paraId="7F49981F">
      <w:pPr>
        <w:pStyle w:val="18"/>
        <w:rPr>
          <w:rFonts w:hint="eastAsia"/>
        </w:rPr>
      </w:pPr>
    </w:p>
    <w:p w14:paraId="68A06141">
      <w:pPr>
        <w:pStyle w:val="37"/>
        <w:rPr>
          <w:rFonts w:hint="eastAsia"/>
        </w:rPr>
      </w:pPr>
    </w:p>
    <w:p w14:paraId="1AD336F7">
      <w:pPr>
        <w:pStyle w:val="37"/>
        <w:rPr>
          <w:rFonts w:hint="eastAsia"/>
        </w:rPr>
      </w:pPr>
    </w:p>
    <w:p w14:paraId="67A9C05F">
      <w:pPr>
        <w:pStyle w:val="18"/>
        <w:rPr>
          <w:rFonts w:hint="eastAsia"/>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
    <w:p w14:paraId="65953843">
      <w:pPr>
        <w:pStyle w:val="2"/>
        <w:rPr>
          <w:color w:val="FF0000"/>
          <w:sz w:val="24"/>
        </w:rPr>
      </w:pPr>
      <w:bookmarkStart w:id="5" w:name="bt技术标投标文件格式"/>
      <w:bookmarkEnd w:id="5"/>
      <w:bookmarkStart w:id="6" w:name="bt投标人情况介绍"/>
      <w:bookmarkEnd w:id="6"/>
      <w:bookmarkStart w:id="7" w:name="bt开标一览表"/>
      <w:bookmarkEnd w:id="7"/>
      <w:bookmarkStart w:id="8" w:name="合同格式"/>
      <w:bookmarkEnd w:id="8"/>
      <w:bookmarkStart w:id="9" w:name="bt合同条款"/>
      <w:bookmarkEnd w:id="9"/>
      <w:bookmarkStart w:id="10" w:name="bt合同条款及格式"/>
      <w:bookmarkEnd w:id="10"/>
      <w:bookmarkStart w:id="11" w:name="bt投标函"/>
      <w:bookmarkEnd w:id="11"/>
      <w:bookmarkStart w:id="12" w:name="bt合同格式"/>
      <w:bookmarkEnd w:id="12"/>
      <w:bookmarkStart w:id="13" w:name="bt说明"/>
      <w:bookmarkEnd w:id="13"/>
      <w:bookmarkStart w:id="14" w:name="bt其他资料由投标人自定"/>
      <w:bookmarkEnd w:id="14"/>
      <w:bookmarkStart w:id="15" w:name="bt投标人须知"/>
      <w:bookmarkEnd w:id="15"/>
      <w:bookmarkStart w:id="16" w:name="bt其他资料2"/>
      <w:bookmarkEnd w:id="16"/>
      <w:bookmarkStart w:id="17" w:name="bt商务标投标文件格式"/>
      <w:bookmarkEnd w:id="17"/>
      <w:bookmarkStart w:id="18" w:name="bt投标报价汇总表"/>
      <w:bookmarkEnd w:id="18"/>
      <w:bookmarkStart w:id="19" w:name="bt项目管理班子配备情况"/>
      <w:bookmarkEnd w:id="19"/>
      <w:bookmarkStart w:id="20" w:name="bt投标文件签署授权委托书"/>
      <w:bookmarkEnd w:id="20"/>
      <w:bookmarkStart w:id="21" w:name="bt本工程承诺书"/>
      <w:bookmarkEnd w:id="21"/>
      <w:r>
        <w:rPr>
          <w:rFonts w:hint="eastAsia"/>
        </w:rPr>
        <w:t>第一册  专用条款</w:t>
      </w:r>
    </w:p>
    <w:p w14:paraId="1E6BBD90">
      <w:pPr>
        <w:pStyle w:val="5"/>
        <w:rPr>
          <w:sz w:val="28"/>
          <w:szCs w:val="28"/>
        </w:rPr>
      </w:pPr>
      <w:r>
        <w:rPr>
          <w:rFonts w:hint="eastAsia"/>
          <w:sz w:val="28"/>
          <w:szCs w:val="28"/>
        </w:rPr>
        <w:t>第一章  招标公告</w:t>
      </w:r>
    </w:p>
    <w:p w14:paraId="51BEF2A2">
      <w:pPr>
        <w:spacing w:line="360" w:lineRule="auto"/>
        <w:ind w:firstLine="422" w:firstLineChars="200"/>
        <w:rPr>
          <w:rFonts w:ascii="宋体" w:hAnsi="宋体" w:cs="宋体"/>
          <w:b/>
          <w:bCs/>
          <w:kern w:val="0"/>
          <w:szCs w:val="21"/>
        </w:rPr>
      </w:pPr>
      <w:r>
        <w:rPr>
          <w:rFonts w:hint="eastAsia" w:ascii="宋体" w:hAnsi="宋体" w:cs="宋体"/>
          <w:b/>
          <w:bCs/>
          <w:kern w:val="0"/>
          <w:szCs w:val="21"/>
        </w:rPr>
        <w:t>申请人的资格要求：</w:t>
      </w:r>
    </w:p>
    <w:p w14:paraId="2DB748AD">
      <w:pPr>
        <w:ind w:firstLine="422" w:firstLineChars="200"/>
        <w:rPr>
          <w:rFonts w:hint="default" w:ascii="宋体" w:hAnsi="宋体" w:cs="宋体"/>
          <w:b/>
          <w:bCs/>
          <w:kern w:val="0"/>
          <w:szCs w:val="21"/>
          <w:lang w:val="en-US" w:eastAsia="zh-CN"/>
        </w:rPr>
      </w:pPr>
      <w:r>
        <w:rPr>
          <w:rFonts w:hint="eastAsia" w:ascii="宋体" w:hAnsi="宋体" w:cs="宋体"/>
          <w:b/>
          <w:bCs/>
          <w:kern w:val="0"/>
          <w:szCs w:val="21"/>
          <w:lang w:val="en-US" w:eastAsia="zh-CN"/>
        </w:rPr>
        <w:t>一、一般资格要求</w:t>
      </w:r>
    </w:p>
    <w:p w14:paraId="5D14463B">
      <w:pPr>
        <w:ind w:firstLine="420" w:firstLineChars="2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w:t>
      </w:r>
      <w:r>
        <w:rPr>
          <w:rFonts w:hint="eastAsia" w:ascii="宋体" w:hAnsi="宋体" w:cs="宋体"/>
          <w:kern w:val="0"/>
          <w:szCs w:val="21"/>
          <w:lang w:val="en-US" w:eastAsia="zh-CN"/>
        </w:rPr>
        <w:t>有效期内的</w:t>
      </w:r>
      <w:r>
        <w:rPr>
          <w:rFonts w:hint="eastAsia" w:ascii="宋体" w:hAnsi="宋体" w:cs="宋体"/>
          <w:kern w:val="0"/>
          <w:szCs w:val="21"/>
        </w:rPr>
        <w:t>营业执照或事业单位法人证书等证明资料扫描件，原件备查，分支机构参与投标的，须同时提供总公司授权文件且授权书载明其民事责任由总公司承担）</w:t>
      </w:r>
      <w:bookmarkEnd w:id="22"/>
      <w:r>
        <w:rPr>
          <w:rFonts w:hint="eastAsia"/>
          <w:lang w:eastAsia="zh-CN"/>
        </w:rPr>
        <w:t>；</w:t>
      </w:r>
    </w:p>
    <w:p w14:paraId="58AB2E67">
      <w:pPr>
        <w:ind w:firstLine="420" w:firstLineChars="200"/>
        <w:rPr>
          <w:rFonts w:ascii="宋体" w:hAnsi="宋体" w:cs="宋体"/>
          <w:kern w:val="0"/>
          <w:szCs w:val="21"/>
        </w:rPr>
      </w:pPr>
      <w:r>
        <w:rPr>
          <w:rFonts w:hint="eastAsia" w:ascii="宋体" w:hAnsi="宋体" w:cs="宋体"/>
          <w:color w:val="FF0000"/>
          <w:kern w:val="0"/>
          <w:szCs w:val="21"/>
        </w:rPr>
        <w:t>2.本项目不接受联合体投标，不接受分包，不接受投标人选用进口产品参与投标，详见招标文件“第三章 用户需求书”；</w:t>
      </w:r>
    </w:p>
    <w:p w14:paraId="32DA4036">
      <w:pPr>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参与本项目采购活动时不存在被有关部门禁止参与采购活动且在有效期内的情况（由供应商在《采购投标及履约承诺函》中作出声明）；</w:t>
      </w:r>
    </w:p>
    <w:p w14:paraId="6A3461EC">
      <w:pPr>
        <w:ind w:firstLine="420" w:firstLineChars="2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233D0020">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r>
        <w:rPr>
          <w:rFonts w:hint="eastAsia" w:ascii="宋体" w:hAnsi="宋体" w:cs="宋体"/>
          <w:kern w:val="0"/>
          <w:szCs w:val="21"/>
          <w:lang w:val="en-US" w:eastAsia="zh-CN"/>
        </w:rPr>
        <w:t>；</w:t>
      </w:r>
    </w:p>
    <w:p w14:paraId="7BF0DCD6">
      <w:pPr>
        <w:ind w:firstLine="420" w:firstLineChars="2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（由供应商在《采购投标及履约承诺函》中作出声明）</w:t>
      </w:r>
      <w:r>
        <w:rPr>
          <w:rFonts w:hint="eastAsia" w:ascii="宋体" w:hAnsi="宋体" w:cs="宋体"/>
          <w:color w:val="FF0000"/>
          <w:kern w:val="0"/>
          <w:szCs w:val="21"/>
          <w:lang w:val="en-US" w:eastAsia="zh-CN"/>
        </w:rPr>
        <w:t>；</w:t>
      </w:r>
    </w:p>
    <w:p w14:paraId="0ADC8994">
      <w:pPr>
        <w:ind w:firstLine="420" w:firstLineChars="200"/>
        <w:rPr>
          <w:rFonts w:hint="eastAsia" w:ascii="宋体" w:hAnsi="宋体" w:cs="宋体"/>
          <w:kern w:val="0"/>
          <w:szCs w:val="21"/>
          <w:lang w:val="en-US"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.为采购项目提供整体设计、规范编制或者项目管理、监理、检测等服务的供应商，不得再参加该采购项目的其他采购活动（由供应商在《采购投标及履约承诺函》中作出声明）</w:t>
      </w:r>
      <w:r>
        <w:rPr>
          <w:rFonts w:hint="eastAsia" w:ascii="宋体" w:hAnsi="宋体" w:cs="宋体"/>
          <w:kern w:val="0"/>
          <w:szCs w:val="21"/>
          <w:lang w:val="en-US" w:eastAsia="zh-CN"/>
        </w:rPr>
        <w:t>；</w:t>
      </w:r>
    </w:p>
    <w:p w14:paraId="5AE65B45">
      <w:pPr>
        <w:pStyle w:val="54"/>
        <w:ind w:firstLine="420" w:firstLineChars="200"/>
        <w:rPr>
          <w:rFonts w:hint="default" w:ascii="宋体" w:hAnsi="宋体" w:eastAsia="宋体" w:cs="宋体"/>
          <w:color w:val="FF0000"/>
          <w:kern w:val="0"/>
          <w:sz w:val="21"/>
          <w:szCs w:val="21"/>
          <w:lang w:val="en-US" w:eastAsia="zh-CN" w:bidi="ar-SA"/>
        </w:rPr>
      </w:pPr>
      <w:r>
        <w:rPr>
          <w:rFonts w:hint="eastAsia" w:ascii="宋体" w:hAnsi="宋体" w:eastAsia="宋体" w:cs="宋体"/>
          <w:color w:val="FF0000"/>
          <w:kern w:val="0"/>
          <w:sz w:val="21"/>
          <w:szCs w:val="21"/>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w:t>
      </w:r>
    </w:p>
    <w:p w14:paraId="0D5E4E86">
      <w:pPr>
        <w:ind w:firstLine="420" w:firstLineChars="200"/>
        <w:rPr>
          <w:rFonts w:hint="default" w:ascii="宋体" w:hAnsi="宋体" w:eastAsia="宋体" w:cs="宋体"/>
          <w:kern w:val="0"/>
          <w:szCs w:val="21"/>
          <w:lang w:val="en-US" w:eastAsia="zh-CN"/>
        </w:rPr>
      </w:pPr>
      <w:r>
        <w:rPr>
          <w:rFonts w:hint="eastAsia" w:ascii="宋体" w:hAnsi="宋体" w:cs="宋体"/>
          <w:kern w:val="0"/>
          <w:szCs w:val="21"/>
          <w:lang w:val="en-US" w:eastAsia="zh-CN"/>
        </w:rPr>
        <w:t>9</w:t>
      </w:r>
      <w:r>
        <w:rPr>
          <w:rFonts w:hint="eastAsia" w:ascii="宋体" w:hAnsi="宋体" w:cs="宋体"/>
          <w:kern w:val="0"/>
          <w:szCs w:val="21"/>
        </w:rPr>
        <w:t>.本项目</w:t>
      </w:r>
      <w:r>
        <w:rPr>
          <w:rFonts w:hint="eastAsia" w:ascii="宋体" w:hAnsi="宋体" w:cs="宋体"/>
          <w:kern w:val="0"/>
          <w:szCs w:val="21"/>
          <w:lang w:val="en-US" w:eastAsia="zh-CN"/>
        </w:rPr>
        <w:t>非</w:t>
      </w:r>
      <w:r>
        <w:rPr>
          <w:rFonts w:hint="eastAsia" w:ascii="宋体" w:hAnsi="宋体" w:cs="宋体"/>
          <w:kern w:val="0"/>
          <w:szCs w:val="21"/>
        </w:rPr>
        <w:t>专门面向中小企业采购</w:t>
      </w:r>
      <w:r>
        <w:rPr>
          <w:rFonts w:hint="eastAsia" w:ascii="宋体" w:hAnsi="宋体" w:cs="宋体"/>
          <w:kern w:val="0"/>
          <w:szCs w:val="21"/>
          <w:lang w:eastAsia="zh-CN"/>
        </w:rPr>
        <w:t>；</w:t>
      </w:r>
    </w:p>
    <w:p w14:paraId="141E1C68">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宋体" w:hAnsi="宋体" w:eastAsia="宋体" w:cs="宋体"/>
          <w:b/>
          <w:bCs/>
          <w:sz w:val="21"/>
          <w:szCs w:val="21"/>
          <w:lang w:val="en-US" w:eastAsia="zh-CN"/>
        </w:rPr>
      </w:pPr>
    </w:p>
    <w:p w14:paraId="5BCDCAFB">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二、特殊</w:t>
      </w:r>
      <w:r>
        <w:rPr>
          <w:rFonts w:hint="eastAsia" w:ascii="宋体" w:hAnsi="宋体" w:eastAsia="宋体" w:cs="宋体"/>
          <w:b/>
          <w:bCs/>
          <w:sz w:val="21"/>
          <w:szCs w:val="21"/>
        </w:rPr>
        <w:t>资格要求</w:t>
      </w:r>
    </w:p>
    <w:p w14:paraId="1485C3CE">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rPr>
        <w:t>1、</w:t>
      </w:r>
      <w:r>
        <w:rPr>
          <w:rFonts w:hint="eastAsia" w:ascii="宋体" w:hAnsi="宋体" w:cs="宋体"/>
          <w:b/>
          <w:bCs/>
          <w:sz w:val="21"/>
          <w:szCs w:val="21"/>
          <w:lang w:val="en-US" w:eastAsia="zh-CN"/>
        </w:rPr>
        <w:t>提供所投产品说明（格式自拟），说明所投产品是否涉及第二、三类医疗器械。如涉及，同时提供以下材料：</w:t>
      </w:r>
    </w:p>
    <w:p w14:paraId="7249C181">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b/>
          <w:bCs/>
          <w:sz w:val="21"/>
          <w:szCs w:val="21"/>
          <w:lang w:val="en-US" w:eastAsia="zh-CN"/>
        </w:rPr>
        <w:t>投标供应商若为生产企业：</w:t>
      </w:r>
      <w:r>
        <w:rPr>
          <w:rFonts w:hint="default" w:ascii="宋体" w:hAnsi="宋体" w:eastAsia="宋体" w:cs="宋体"/>
          <w:sz w:val="21"/>
          <w:szCs w:val="21"/>
          <w:lang w:val="en-US" w:eastAsia="zh-CN"/>
        </w:rPr>
        <w:t>所投产品为第二、三类医疗器械的，提供监督管理部门签发的涵盖所</w:t>
      </w:r>
      <w:r>
        <w:rPr>
          <w:rFonts w:hint="eastAsia" w:ascii="宋体" w:hAnsi="宋体" w:eastAsia="宋体" w:cs="宋体"/>
          <w:sz w:val="21"/>
          <w:szCs w:val="21"/>
          <w:lang w:val="en-US" w:eastAsia="zh-CN"/>
        </w:rPr>
        <w:t>投产品</w:t>
      </w:r>
      <w:r>
        <w:rPr>
          <w:rFonts w:hint="default" w:ascii="宋体" w:hAnsi="宋体" w:eastAsia="宋体" w:cs="宋体"/>
          <w:sz w:val="21"/>
          <w:szCs w:val="21"/>
          <w:lang w:val="en-US" w:eastAsia="zh-CN"/>
        </w:rPr>
        <w:t>的《医疗器械生产许可证》(有效期内)扫描件，原件备查。</w:t>
      </w:r>
    </w:p>
    <w:p w14:paraId="6BC2FB7C">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2" w:firstLineChars="200"/>
        <w:jc w:val="both"/>
        <w:textAlignment w:val="auto"/>
        <w:rPr>
          <w:rFonts w:hint="default" w:ascii="宋体" w:hAnsi="宋体" w:eastAsia="宋体" w:cs="宋体"/>
          <w:sz w:val="21"/>
          <w:szCs w:val="21"/>
          <w:lang w:val="en-US" w:eastAsia="zh-CN"/>
        </w:rPr>
      </w:pPr>
      <w:r>
        <w:rPr>
          <w:rFonts w:hint="default" w:ascii="宋体" w:hAnsi="宋体" w:eastAsia="宋体" w:cs="宋体"/>
          <w:b/>
          <w:bCs/>
          <w:sz w:val="21"/>
          <w:szCs w:val="21"/>
          <w:lang w:val="en-US" w:eastAsia="zh-CN"/>
        </w:rPr>
        <w:t>投标供应商如为经销商或代理商：</w:t>
      </w:r>
      <w:r>
        <w:rPr>
          <w:rFonts w:hint="default" w:ascii="宋体" w:hAnsi="宋体" w:eastAsia="宋体" w:cs="宋体"/>
          <w:sz w:val="21"/>
          <w:szCs w:val="21"/>
          <w:lang w:val="en-US" w:eastAsia="zh-CN"/>
        </w:rPr>
        <w:t>所投产品为第二类医疗器械的，提供监督管理部门签发的涵盖所投医疗器械的《医疗器械经营备案凭证》(有效期内)扫描件</w:t>
      </w:r>
      <w:r>
        <w:rPr>
          <w:rFonts w:hint="eastAsia" w:ascii="宋体" w:hAnsi="宋体" w:eastAsia="宋体" w:cs="宋体"/>
          <w:sz w:val="21"/>
          <w:szCs w:val="21"/>
          <w:lang w:val="en-US" w:eastAsia="zh-CN"/>
        </w:rPr>
        <w:t>，或者提供承诺函，承诺中标后、合同签订前取得相关备案凭证</w:t>
      </w:r>
      <w:r>
        <w:rPr>
          <w:rFonts w:hint="default" w:ascii="宋体" w:hAnsi="宋体" w:eastAsia="宋体" w:cs="宋体"/>
          <w:sz w:val="21"/>
          <w:szCs w:val="21"/>
          <w:lang w:val="en-US" w:eastAsia="zh-CN"/>
        </w:rPr>
        <w:t>，原件备查；所投产品为第三类医疗器械的，提供监督管理部门签发的涵盖所投报医疗器械的《医疗器械经营许可证》(有效期内)扫描件，原件备查。</w:t>
      </w:r>
    </w:p>
    <w:p w14:paraId="48B53347">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rPr>
      </w:pPr>
    </w:p>
    <w:p w14:paraId="0FFBBA67">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2、</w:t>
      </w:r>
      <w:r>
        <w:rPr>
          <w:rFonts w:hint="eastAsia" w:ascii="宋体" w:hAnsi="宋体" w:eastAsia="宋体" w:cs="宋体"/>
          <w:b/>
          <w:bCs/>
          <w:sz w:val="21"/>
          <w:szCs w:val="21"/>
          <w:lang w:val="en-US" w:eastAsia="zh-CN"/>
        </w:rPr>
        <w:t>投标</w:t>
      </w:r>
      <w:r>
        <w:rPr>
          <w:rFonts w:hint="eastAsia" w:ascii="宋体" w:hAnsi="宋体" w:eastAsia="宋体" w:cs="宋体"/>
          <w:b/>
          <w:bCs/>
          <w:sz w:val="21"/>
          <w:szCs w:val="21"/>
        </w:rPr>
        <w:t>供应商</w:t>
      </w:r>
      <w:r>
        <w:rPr>
          <w:rFonts w:hint="eastAsia" w:ascii="宋体" w:hAnsi="宋体" w:eastAsia="宋体" w:cs="宋体"/>
          <w:b/>
          <w:bCs/>
          <w:sz w:val="21"/>
          <w:szCs w:val="21"/>
          <w:lang w:val="en-US" w:eastAsia="zh-CN"/>
        </w:rPr>
        <w:t>如为所投产品经销商或代理商</w:t>
      </w:r>
      <w:r>
        <w:rPr>
          <w:rFonts w:hint="eastAsia" w:ascii="宋体" w:hAnsi="宋体" w:eastAsia="宋体" w:cs="宋体"/>
          <w:sz w:val="21"/>
          <w:szCs w:val="21"/>
          <w:lang w:val="en-US" w:eastAsia="zh-CN"/>
        </w:rPr>
        <w:t>：提供承诺函（格式自拟），承诺如中标后，可向采购方提供所投货物的经销或者代理授权材料，</w:t>
      </w:r>
      <w:r>
        <w:rPr>
          <w:rFonts w:hint="eastAsia" w:ascii="宋体" w:hAnsi="宋体" w:eastAsia="宋体" w:cs="宋体"/>
          <w:sz w:val="21"/>
          <w:szCs w:val="21"/>
        </w:rPr>
        <w:t>对有争议的授权，</w:t>
      </w:r>
      <w:r>
        <w:rPr>
          <w:rFonts w:hint="eastAsia" w:ascii="宋体" w:hAnsi="宋体" w:eastAsia="宋体" w:cs="宋体"/>
          <w:sz w:val="21"/>
          <w:szCs w:val="21"/>
          <w:lang w:val="en-US" w:eastAsia="zh-CN"/>
        </w:rPr>
        <w:t>采购方</w:t>
      </w:r>
      <w:r>
        <w:rPr>
          <w:rFonts w:hint="eastAsia" w:ascii="宋体" w:hAnsi="宋体" w:eastAsia="宋体" w:cs="宋体"/>
          <w:sz w:val="21"/>
          <w:szCs w:val="21"/>
        </w:rPr>
        <w:t>有权</w:t>
      </w:r>
      <w:r>
        <w:rPr>
          <w:rFonts w:hint="eastAsia" w:ascii="宋体" w:hAnsi="宋体" w:eastAsia="宋体" w:cs="宋体"/>
          <w:sz w:val="21"/>
          <w:szCs w:val="21"/>
          <w:lang w:val="en-US" w:eastAsia="zh-CN"/>
        </w:rPr>
        <w:t>终止中标资格或者合同</w:t>
      </w:r>
      <w:r>
        <w:rPr>
          <w:rFonts w:hint="eastAsia" w:ascii="宋体" w:hAnsi="宋体" w:eastAsia="宋体" w:cs="宋体"/>
          <w:sz w:val="21"/>
          <w:szCs w:val="21"/>
        </w:rPr>
        <w:t>。</w:t>
      </w:r>
      <w:r>
        <w:rPr>
          <w:rFonts w:hint="eastAsia" w:ascii="宋体" w:hAnsi="宋体" w:eastAsia="宋体" w:cs="宋体"/>
          <w:b/>
          <w:bCs/>
          <w:sz w:val="21"/>
          <w:szCs w:val="21"/>
          <w:lang w:val="en-US" w:eastAsia="zh-CN"/>
        </w:rPr>
        <w:t>投标</w:t>
      </w:r>
      <w:r>
        <w:rPr>
          <w:rFonts w:hint="eastAsia" w:ascii="宋体" w:hAnsi="宋体" w:eastAsia="宋体" w:cs="宋体"/>
          <w:b/>
          <w:bCs/>
          <w:sz w:val="21"/>
          <w:szCs w:val="21"/>
        </w:rPr>
        <w:t>供应商</w:t>
      </w:r>
      <w:r>
        <w:rPr>
          <w:rFonts w:hint="eastAsia" w:ascii="宋体" w:hAnsi="宋体" w:eastAsia="宋体" w:cs="宋体"/>
          <w:b/>
          <w:bCs/>
          <w:sz w:val="21"/>
          <w:szCs w:val="21"/>
          <w:lang w:val="en-US" w:eastAsia="zh-CN"/>
        </w:rPr>
        <w:t>如为所投产品生产企业</w:t>
      </w:r>
      <w:r>
        <w:rPr>
          <w:rFonts w:hint="eastAsia" w:ascii="宋体" w:hAnsi="宋体" w:eastAsia="宋体" w:cs="宋体"/>
          <w:sz w:val="21"/>
          <w:szCs w:val="21"/>
          <w:lang w:val="en-US" w:eastAsia="zh-CN"/>
        </w:rPr>
        <w:t>：提供承诺函（格式自拟），承诺为所投货物的厂商，如中标后，可向采购方提供证明材料，对有争议的，采购方有权终止中标资格或者合同。</w:t>
      </w:r>
    </w:p>
    <w:p w14:paraId="3A767FA9">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rPr>
          <w:rFonts w:hint="default" w:ascii="宋体" w:hAnsi="宋体" w:eastAsia="宋体" w:cs="宋体"/>
          <w:sz w:val="21"/>
          <w:szCs w:val="21"/>
          <w:lang w:val="en-US" w:eastAsia="zh-CN"/>
        </w:rPr>
      </w:pPr>
    </w:p>
    <w:p w14:paraId="580B50A4">
      <w:pPr>
        <w:pStyle w:val="3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宋体" w:hAnsi="宋体" w:eastAsia="宋体" w:cs="宋体"/>
          <w:sz w:val="21"/>
          <w:szCs w:val="21"/>
          <w:lang w:val="en-US" w:eastAsia="zh-CN"/>
        </w:rPr>
      </w:pPr>
    </w:p>
    <w:p w14:paraId="0CAE4859">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rPr>
      </w:pPr>
    </w:p>
    <w:p w14:paraId="535E9EEE">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0DB70BF7">
      <w:pPr>
        <w:numPr>
          <w:ilvl w:val="0"/>
          <w:numId w:val="8"/>
        </w:numPr>
        <w:ind w:firstLine="420" w:firstLineChars="200"/>
        <w:rPr>
          <w:rFonts w:hint="eastAsia" w:ascii="宋体" w:hAnsi="宋体"/>
        </w:rPr>
      </w:pPr>
      <w:r>
        <w:rPr>
          <w:rFonts w:hint="eastAsia" w:ascii="宋体" w:hAnsi="宋体"/>
        </w:rPr>
        <w:t>供应商投标（上传投标文件）必须先行办理注册手续，具体操作指引请按照深圳公共资源交易网/交易服务指南/资料下载/深圳政府采购自行采购系统用户操作指引（供应商）相关内容指引办理。</w:t>
      </w:r>
    </w:p>
    <w:p w14:paraId="2F3D1C3D">
      <w:pPr>
        <w:pStyle w:val="18"/>
        <w:numPr>
          <w:ilvl w:val="0"/>
          <w:numId w:val="0"/>
        </w:numPr>
      </w:pPr>
    </w:p>
    <w:p w14:paraId="44B76D76">
      <w:pPr>
        <w:ind w:firstLine="442" w:firstLineChars="200"/>
        <w:rPr>
          <w:b/>
        </w:rPr>
      </w:pPr>
      <w:r>
        <w:rPr>
          <w:rFonts w:hint="eastAsia"/>
          <w:b/>
          <w:sz w:val="22"/>
          <w:szCs w:val="18"/>
          <w:highlight w:val="none"/>
        </w:rPr>
        <w:t>完整公告内容详见：</w:t>
      </w:r>
      <w:r>
        <w:rPr>
          <w:rFonts w:hint="eastAsia"/>
          <w:b/>
          <w:sz w:val="22"/>
          <w:szCs w:val="18"/>
        </w:rPr>
        <w:t>深圳交易集团有限公司网站（https://www.szexgrp.com/）、深圳政府采购自行采购网站（https://zxcg.szggzy.com/home/index.html）</w:t>
      </w:r>
    </w:p>
    <w:p w14:paraId="345A3F00">
      <w:pPr>
        <w:ind w:firstLine="422" w:firstLineChars="200"/>
        <w:rPr>
          <w:b/>
        </w:rPr>
      </w:pPr>
    </w:p>
    <w:p w14:paraId="515F09DC">
      <w:pPr>
        <w:rPr>
          <w:sz w:val="24"/>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p w14:paraId="4D388DBE">
      <w:pPr>
        <w:pStyle w:val="5"/>
        <w:rPr>
          <w:sz w:val="28"/>
          <w:szCs w:val="28"/>
        </w:rPr>
      </w:pPr>
      <w:r>
        <w:rPr>
          <w:rFonts w:hint="eastAsia"/>
          <w:sz w:val="28"/>
          <w:szCs w:val="28"/>
        </w:rPr>
        <w:t xml:space="preserve">第二章 </w:t>
      </w:r>
      <w:bookmarkStart w:id="23" w:name="_Hlk71926094"/>
      <w:r>
        <w:rPr>
          <w:rFonts w:hint="eastAsia"/>
          <w:sz w:val="28"/>
          <w:szCs w:val="28"/>
        </w:rPr>
        <w:t>对通用条款的补充内容及其他关键信息</w:t>
      </w:r>
      <w:bookmarkEnd w:id="23"/>
    </w:p>
    <w:p w14:paraId="6EAC7BBA">
      <w:pPr>
        <w:pStyle w:val="5"/>
        <w:spacing w:before="120" w:beforeLines="50" w:after="120" w:afterLines="50"/>
        <w:rPr>
          <w:szCs w:val="24"/>
        </w:rPr>
      </w:pPr>
      <w:bookmarkStart w:id="24" w:name="_Toc73521547"/>
      <w:bookmarkStart w:id="25" w:name="_Toc60560625"/>
      <w:bookmarkStart w:id="26" w:name="_Toc73518117"/>
      <w:bookmarkStart w:id="27" w:name="_Toc101074876"/>
      <w:bookmarkStart w:id="28" w:name="_Toc60631620"/>
      <w:bookmarkStart w:id="29" w:name="_Toc100052364"/>
      <w:bookmarkStart w:id="30" w:name="_Toc73521635"/>
      <w:bookmarkStart w:id="31" w:name="_Toc73517639"/>
      <w:r>
        <w:rPr>
          <w:rFonts w:hint="eastAsia"/>
          <w:szCs w:val="24"/>
        </w:rPr>
        <w:t>一、对通用条款的补充内容</w:t>
      </w:r>
    </w:p>
    <w:bookmarkEnd w:id="24"/>
    <w:bookmarkEnd w:id="25"/>
    <w:bookmarkEnd w:id="26"/>
    <w:bookmarkEnd w:id="27"/>
    <w:bookmarkEnd w:id="28"/>
    <w:bookmarkEnd w:id="29"/>
    <w:bookmarkEnd w:id="30"/>
    <w:bookmarkEnd w:id="31"/>
    <w:tbl>
      <w:tblPr>
        <w:tblStyle w:val="44"/>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08A0B3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E642324">
            <w:pPr>
              <w:jc w:val="center"/>
              <w:rPr>
                <w:rFonts w:ascii="宋体" w:hAnsi="宋体"/>
                <w:b/>
                <w:bCs/>
              </w:rPr>
            </w:pPr>
            <w:bookmarkStart w:id="32" w:name="_Hlk72218097"/>
            <w:r>
              <w:rPr>
                <w:rFonts w:hint="eastAsia" w:ascii="宋体" w:hAnsi="宋体"/>
                <w:b/>
                <w:bCs/>
              </w:rPr>
              <w:t>通用条款序号</w:t>
            </w:r>
          </w:p>
        </w:tc>
        <w:tc>
          <w:tcPr>
            <w:tcW w:w="2409" w:type="dxa"/>
            <w:vAlign w:val="center"/>
          </w:tcPr>
          <w:p w14:paraId="1ABE86D9">
            <w:pPr>
              <w:jc w:val="center"/>
              <w:rPr>
                <w:rFonts w:ascii="宋体" w:hAnsi="宋体"/>
                <w:b/>
                <w:bCs/>
              </w:rPr>
            </w:pPr>
            <w:r>
              <w:rPr>
                <w:rFonts w:hint="eastAsia" w:ascii="宋体" w:hAnsi="宋体"/>
                <w:b/>
                <w:bCs/>
              </w:rPr>
              <w:t>涉及事项</w:t>
            </w:r>
          </w:p>
        </w:tc>
        <w:tc>
          <w:tcPr>
            <w:tcW w:w="4980" w:type="dxa"/>
            <w:vAlign w:val="center"/>
          </w:tcPr>
          <w:p w14:paraId="25410086">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2DB9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3165C50B">
            <w:pPr>
              <w:jc w:val="center"/>
              <w:rPr>
                <w:rFonts w:hint="default"/>
                <w:lang w:val="en-US" w:eastAsia="zh-CN"/>
              </w:rPr>
            </w:pPr>
            <w:r>
              <w:rPr>
                <w:rFonts w:hint="eastAsia"/>
              </w:rPr>
              <w:t>本项目相关事宜按照招标文件要求及采购单位内控制度执行。</w:t>
            </w:r>
            <w:r>
              <w:rPr>
                <w:rFonts w:hint="eastAsia"/>
                <w:highlight w:val="yellow"/>
                <w:lang w:val="en-US" w:eastAsia="zh-CN"/>
              </w:rPr>
              <w:t>资格审查主体为评审委员会。</w:t>
            </w:r>
          </w:p>
        </w:tc>
      </w:tr>
      <w:tr w14:paraId="55900B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1932A2">
            <w:pPr>
              <w:jc w:val="center"/>
              <w:rPr>
                <w:rFonts w:ascii="宋体" w:hAnsi="宋体"/>
              </w:rPr>
            </w:pPr>
            <w:r>
              <w:rPr>
                <w:rFonts w:hint="eastAsia" w:ascii="宋体" w:hAnsi="宋体"/>
              </w:rPr>
              <w:t>3</w:t>
            </w:r>
            <w:r>
              <w:rPr>
                <w:rFonts w:ascii="宋体" w:hAnsi="宋体"/>
              </w:rPr>
              <w:t>.1</w:t>
            </w:r>
          </w:p>
        </w:tc>
        <w:tc>
          <w:tcPr>
            <w:tcW w:w="2409" w:type="dxa"/>
            <w:vAlign w:val="center"/>
          </w:tcPr>
          <w:p w14:paraId="57AC007A">
            <w:pPr>
              <w:jc w:val="center"/>
            </w:pPr>
            <w:r>
              <w:rPr>
                <w:rFonts w:hint="eastAsia"/>
              </w:rPr>
              <w:t>采购人</w:t>
            </w:r>
          </w:p>
        </w:tc>
        <w:tc>
          <w:tcPr>
            <w:tcW w:w="4980" w:type="dxa"/>
            <w:vAlign w:val="center"/>
          </w:tcPr>
          <w:p w14:paraId="4B6E7312">
            <w:pPr>
              <w:jc w:val="center"/>
              <w:rPr>
                <w:rFonts w:ascii="宋体" w:hAnsi="宋体"/>
              </w:rPr>
            </w:pPr>
            <w:r>
              <w:rPr>
                <w:rFonts w:hint="eastAsia" w:ascii="宋体" w:hAnsi="宋体"/>
              </w:rPr>
              <w:t>深圳市龙岗区第二人民医院</w:t>
            </w:r>
          </w:p>
        </w:tc>
      </w:tr>
      <w:tr w14:paraId="6510F4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27FF47F">
            <w:pPr>
              <w:jc w:val="center"/>
              <w:rPr>
                <w:rFonts w:ascii="宋体" w:hAnsi="宋体"/>
              </w:rPr>
            </w:pPr>
            <w:r>
              <w:rPr>
                <w:rFonts w:hint="eastAsia" w:ascii="宋体" w:hAnsi="宋体"/>
              </w:rPr>
              <w:t>3</w:t>
            </w:r>
            <w:r>
              <w:rPr>
                <w:rFonts w:ascii="宋体" w:hAnsi="宋体"/>
              </w:rPr>
              <w:t>.2</w:t>
            </w:r>
          </w:p>
        </w:tc>
        <w:tc>
          <w:tcPr>
            <w:tcW w:w="2409" w:type="dxa"/>
            <w:vAlign w:val="center"/>
          </w:tcPr>
          <w:p w14:paraId="454D7D73">
            <w:pPr>
              <w:jc w:val="center"/>
              <w:rPr>
                <w:rFonts w:hint="eastAsia" w:ascii="宋体" w:hAnsi="宋体" w:eastAsia="宋体"/>
                <w:lang w:eastAsia="zh-CN"/>
              </w:rPr>
            </w:pPr>
            <w:r>
              <w:rPr>
                <w:rFonts w:hint="eastAsia" w:ascii="宋体" w:hAnsi="宋体"/>
                <w:lang w:val="en-US" w:eastAsia="zh-CN"/>
              </w:rPr>
              <w:t>采购代理机构</w:t>
            </w:r>
          </w:p>
        </w:tc>
        <w:tc>
          <w:tcPr>
            <w:tcW w:w="4980" w:type="dxa"/>
            <w:vAlign w:val="center"/>
          </w:tcPr>
          <w:p w14:paraId="255C7107">
            <w:pPr>
              <w:jc w:val="center"/>
              <w:rPr>
                <w:rFonts w:ascii="宋体" w:hAnsi="宋体"/>
              </w:rPr>
            </w:pPr>
            <w:r>
              <w:rPr>
                <w:rFonts w:hint="eastAsia" w:ascii="宋体" w:hAnsi="宋体"/>
              </w:rPr>
              <w:t>深圳交易集团有限公司龙岗分公司</w:t>
            </w:r>
          </w:p>
        </w:tc>
      </w:tr>
      <w:tr w14:paraId="768897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462F5A">
            <w:pPr>
              <w:jc w:val="center"/>
              <w:rPr>
                <w:rFonts w:ascii="宋体" w:hAnsi="宋体"/>
              </w:rPr>
            </w:pPr>
            <w:r>
              <w:rPr>
                <w:rFonts w:hint="eastAsia" w:ascii="宋体" w:hAnsi="宋体"/>
              </w:rPr>
              <w:t>9</w:t>
            </w:r>
          </w:p>
        </w:tc>
        <w:tc>
          <w:tcPr>
            <w:tcW w:w="2409" w:type="dxa"/>
            <w:vAlign w:val="center"/>
          </w:tcPr>
          <w:p w14:paraId="616FDCFC">
            <w:pPr>
              <w:jc w:val="center"/>
              <w:rPr>
                <w:rFonts w:ascii="宋体" w:hAnsi="宋体"/>
              </w:rPr>
            </w:pPr>
            <w:r>
              <w:rPr>
                <w:rFonts w:hint="eastAsia" w:ascii="宋体" w:hAnsi="宋体"/>
              </w:rPr>
              <w:t>踏勘现场</w:t>
            </w:r>
          </w:p>
        </w:tc>
        <w:tc>
          <w:tcPr>
            <w:tcW w:w="4980" w:type="dxa"/>
            <w:vAlign w:val="center"/>
          </w:tcPr>
          <w:p w14:paraId="28AC24CE">
            <w:pPr>
              <w:jc w:val="center"/>
              <w:rPr>
                <w:rFonts w:ascii="宋体" w:hAnsi="宋体"/>
              </w:rPr>
            </w:pPr>
            <w:r>
              <w:rPr>
                <w:rFonts w:hint="eastAsia" w:ascii="宋体" w:hAnsi="宋体"/>
              </w:rPr>
              <w:t>不组织</w:t>
            </w:r>
          </w:p>
        </w:tc>
      </w:tr>
      <w:tr w14:paraId="788442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76F6FDC">
            <w:pPr>
              <w:jc w:val="center"/>
              <w:rPr>
                <w:rFonts w:ascii="宋体" w:hAnsi="宋体"/>
              </w:rPr>
            </w:pPr>
            <w:r>
              <w:rPr>
                <w:rFonts w:hint="eastAsia" w:ascii="宋体" w:hAnsi="宋体"/>
              </w:rPr>
              <w:t>1</w:t>
            </w:r>
            <w:r>
              <w:rPr>
                <w:rFonts w:ascii="宋体" w:hAnsi="宋体"/>
              </w:rPr>
              <w:t>0</w:t>
            </w:r>
          </w:p>
        </w:tc>
        <w:tc>
          <w:tcPr>
            <w:tcW w:w="2409" w:type="dxa"/>
            <w:vAlign w:val="center"/>
          </w:tcPr>
          <w:p w14:paraId="025764B8">
            <w:pPr>
              <w:jc w:val="center"/>
              <w:rPr>
                <w:rFonts w:ascii="宋体" w:hAnsi="宋体"/>
              </w:rPr>
            </w:pPr>
            <w:r>
              <w:rPr>
                <w:rFonts w:hint="eastAsia" w:ascii="宋体" w:hAnsi="宋体"/>
              </w:rPr>
              <w:t>标前会议</w:t>
            </w:r>
          </w:p>
        </w:tc>
        <w:tc>
          <w:tcPr>
            <w:tcW w:w="4980" w:type="dxa"/>
            <w:vAlign w:val="center"/>
          </w:tcPr>
          <w:p w14:paraId="4DB4CF58">
            <w:pPr>
              <w:jc w:val="center"/>
              <w:rPr>
                <w:rFonts w:ascii="宋体" w:hAnsi="宋体"/>
              </w:rPr>
            </w:pPr>
            <w:r>
              <w:rPr>
                <w:rFonts w:hint="eastAsia" w:ascii="宋体" w:hAnsi="宋体"/>
              </w:rPr>
              <w:t>不组织</w:t>
            </w:r>
          </w:p>
        </w:tc>
      </w:tr>
      <w:tr w14:paraId="669D5E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FA72C2A">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1A54CDEE">
            <w:pPr>
              <w:jc w:val="center"/>
              <w:rPr>
                <w:rFonts w:ascii="宋体" w:hAnsi="宋体"/>
              </w:rPr>
            </w:pPr>
            <w:r>
              <w:rPr>
                <w:rFonts w:hint="eastAsia" w:ascii="宋体" w:hAnsi="宋体"/>
              </w:rPr>
              <w:t>招标文件的澄清和修改</w:t>
            </w:r>
          </w:p>
        </w:tc>
        <w:tc>
          <w:tcPr>
            <w:tcW w:w="4980" w:type="dxa"/>
            <w:vAlign w:val="center"/>
          </w:tcPr>
          <w:p w14:paraId="298F6E3E">
            <w:pPr>
              <w:jc w:val="center"/>
              <w:rPr>
                <w:rFonts w:ascii="宋体" w:hAnsi="宋体"/>
              </w:rPr>
            </w:pPr>
            <w:r>
              <w:rPr>
                <w:rFonts w:hint="eastAsia" w:ascii="宋体" w:hAnsi="宋体"/>
              </w:rPr>
              <w:t>不晚于投标截止日三日前，投标人有义务在招标期间在政府集中采购机构网站浏览与本项目有关的澄清和修改信息</w:t>
            </w:r>
          </w:p>
        </w:tc>
      </w:tr>
      <w:tr w14:paraId="436E7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7A36C7A">
            <w:pPr>
              <w:jc w:val="center"/>
              <w:rPr>
                <w:rFonts w:ascii="宋体" w:hAnsi="宋体"/>
              </w:rPr>
            </w:pPr>
            <w:r>
              <w:rPr>
                <w:rFonts w:hint="eastAsia" w:ascii="宋体" w:hAnsi="宋体"/>
              </w:rPr>
              <w:t>2</w:t>
            </w:r>
            <w:r>
              <w:rPr>
                <w:rFonts w:ascii="宋体" w:hAnsi="宋体"/>
              </w:rPr>
              <w:t>0</w:t>
            </w:r>
          </w:p>
        </w:tc>
        <w:tc>
          <w:tcPr>
            <w:tcW w:w="2409" w:type="dxa"/>
            <w:vAlign w:val="center"/>
          </w:tcPr>
          <w:p w14:paraId="20756C7B">
            <w:pPr>
              <w:jc w:val="center"/>
              <w:rPr>
                <w:rFonts w:ascii="宋体" w:hAnsi="宋体"/>
              </w:rPr>
            </w:pPr>
            <w:r>
              <w:rPr>
                <w:rFonts w:hint="eastAsia" w:ascii="宋体" w:hAnsi="宋体"/>
              </w:rPr>
              <w:t>投标有效期</w:t>
            </w:r>
          </w:p>
        </w:tc>
        <w:tc>
          <w:tcPr>
            <w:tcW w:w="4980" w:type="dxa"/>
            <w:vAlign w:val="center"/>
          </w:tcPr>
          <w:p w14:paraId="42D40522">
            <w:pPr>
              <w:jc w:val="center"/>
              <w:rPr>
                <w:rFonts w:ascii="宋体" w:hAnsi="宋体"/>
              </w:rPr>
            </w:pPr>
            <w:r>
              <w:rPr>
                <w:rFonts w:hint="eastAsia" w:ascii="宋体" w:hAnsi="宋体"/>
              </w:rPr>
              <w:t>120个日历日</w:t>
            </w:r>
          </w:p>
        </w:tc>
      </w:tr>
      <w:tr w14:paraId="5DA694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C864925">
            <w:pPr>
              <w:jc w:val="center"/>
              <w:rPr>
                <w:rFonts w:ascii="宋体" w:hAnsi="宋体"/>
              </w:rPr>
            </w:pPr>
            <w:r>
              <w:rPr>
                <w:rFonts w:hint="eastAsia" w:ascii="宋体" w:hAnsi="宋体"/>
              </w:rPr>
              <w:t>2</w:t>
            </w:r>
            <w:r>
              <w:rPr>
                <w:rFonts w:ascii="宋体" w:hAnsi="宋体"/>
              </w:rPr>
              <w:t>2</w:t>
            </w:r>
          </w:p>
        </w:tc>
        <w:tc>
          <w:tcPr>
            <w:tcW w:w="2409" w:type="dxa"/>
            <w:vAlign w:val="center"/>
          </w:tcPr>
          <w:p w14:paraId="06CFBAE0">
            <w:pPr>
              <w:jc w:val="center"/>
              <w:rPr>
                <w:rFonts w:ascii="宋体" w:hAnsi="宋体"/>
              </w:rPr>
            </w:pPr>
            <w:r>
              <w:rPr>
                <w:rFonts w:hint="eastAsia" w:ascii="宋体" w:hAnsi="宋体"/>
              </w:rPr>
              <w:t>投标人的替代方案</w:t>
            </w:r>
          </w:p>
        </w:tc>
        <w:tc>
          <w:tcPr>
            <w:tcW w:w="4980" w:type="dxa"/>
            <w:vAlign w:val="center"/>
          </w:tcPr>
          <w:p w14:paraId="5380D251">
            <w:pPr>
              <w:jc w:val="center"/>
              <w:rPr>
                <w:rFonts w:ascii="宋体" w:hAnsi="宋体"/>
              </w:rPr>
            </w:pPr>
            <w:r>
              <w:rPr>
                <w:rFonts w:hint="eastAsia" w:ascii="宋体" w:hAnsi="宋体"/>
              </w:rPr>
              <w:t>不接受</w:t>
            </w:r>
          </w:p>
        </w:tc>
      </w:tr>
      <w:tr w14:paraId="4D3750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09D88B8">
            <w:pPr>
              <w:jc w:val="center"/>
              <w:rPr>
                <w:rFonts w:ascii="宋体" w:hAnsi="宋体"/>
              </w:rPr>
            </w:pPr>
            <w:r>
              <w:rPr>
                <w:rFonts w:hint="eastAsia" w:ascii="宋体" w:hAnsi="宋体"/>
              </w:rPr>
              <w:t>2</w:t>
            </w:r>
            <w:r>
              <w:rPr>
                <w:rFonts w:ascii="宋体" w:hAnsi="宋体"/>
              </w:rPr>
              <w:t>5</w:t>
            </w:r>
          </w:p>
        </w:tc>
        <w:tc>
          <w:tcPr>
            <w:tcW w:w="2409" w:type="dxa"/>
            <w:vAlign w:val="center"/>
          </w:tcPr>
          <w:p w14:paraId="55C45838">
            <w:pPr>
              <w:jc w:val="center"/>
              <w:rPr>
                <w:rFonts w:ascii="宋体" w:hAnsi="宋体"/>
              </w:rPr>
            </w:pPr>
            <w:r>
              <w:rPr>
                <w:rFonts w:hint="eastAsia" w:ascii="宋体" w:hAnsi="宋体"/>
              </w:rPr>
              <w:t>投标文件的大小</w:t>
            </w:r>
          </w:p>
        </w:tc>
        <w:tc>
          <w:tcPr>
            <w:tcW w:w="4980" w:type="dxa"/>
            <w:vAlign w:val="center"/>
          </w:tcPr>
          <w:p w14:paraId="10AD983A">
            <w:pPr>
              <w:jc w:val="center"/>
              <w:rPr>
                <w:rFonts w:ascii="宋体" w:hAnsi="宋体"/>
              </w:rPr>
            </w:pPr>
            <w:r>
              <w:rPr>
                <w:rFonts w:hint="eastAsia" w:ascii="宋体" w:hAnsi="宋体"/>
              </w:rPr>
              <w:t>投标文件大小不得超过100MB</w:t>
            </w:r>
          </w:p>
        </w:tc>
      </w:tr>
      <w:tr w14:paraId="3145C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E4066FF">
            <w:pPr>
              <w:jc w:val="center"/>
              <w:rPr>
                <w:rFonts w:ascii="宋体" w:hAnsi="宋体"/>
              </w:rPr>
            </w:pPr>
            <w:r>
              <w:rPr>
                <w:rFonts w:hint="eastAsia" w:ascii="宋体" w:hAnsi="宋体"/>
              </w:rPr>
              <w:t>2</w:t>
            </w:r>
            <w:r>
              <w:rPr>
                <w:rFonts w:ascii="宋体" w:hAnsi="宋体"/>
              </w:rPr>
              <w:t>6</w:t>
            </w:r>
          </w:p>
        </w:tc>
        <w:tc>
          <w:tcPr>
            <w:tcW w:w="2409" w:type="dxa"/>
            <w:vAlign w:val="center"/>
          </w:tcPr>
          <w:p w14:paraId="6CD12B10">
            <w:pPr>
              <w:jc w:val="center"/>
              <w:rPr>
                <w:rFonts w:ascii="宋体" w:hAnsi="宋体"/>
              </w:rPr>
            </w:pPr>
            <w:bookmarkStart w:id="33" w:name="_Hlk71664860"/>
            <w:r>
              <w:rPr>
                <w:rFonts w:hint="eastAsia" w:ascii="宋体" w:hAnsi="宋体"/>
              </w:rPr>
              <w:t>样品、现场演示、方案讲解</w:t>
            </w:r>
            <w:bookmarkEnd w:id="33"/>
          </w:p>
        </w:tc>
        <w:tc>
          <w:tcPr>
            <w:tcW w:w="4980" w:type="dxa"/>
            <w:vAlign w:val="center"/>
          </w:tcPr>
          <w:p w14:paraId="6B2CA78D">
            <w:pPr>
              <w:jc w:val="center"/>
              <w:rPr>
                <w:rFonts w:ascii="宋体" w:hAnsi="宋体"/>
              </w:rPr>
            </w:pPr>
            <w:r>
              <w:rPr>
                <w:rFonts w:hint="eastAsia" w:ascii="宋体" w:hAnsi="宋体"/>
              </w:rPr>
              <w:t>无</w:t>
            </w:r>
          </w:p>
        </w:tc>
      </w:tr>
      <w:tr w14:paraId="39C2F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0504A3A">
            <w:pPr>
              <w:jc w:val="center"/>
              <w:rPr>
                <w:rFonts w:ascii="宋体" w:hAnsi="宋体"/>
              </w:rPr>
            </w:pPr>
            <w:r>
              <w:rPr>
                <w:rFonts w:hint="eastAsia" w:ascii="宋体" w:hAnsi="宋体"/>
              </w:rPr>
              <w:t>3</w:t>
            </w:r>
            <w:r>
              <w:rPr>
                <w:rFonts w:ascii="宋体" w:hAnsi="宋体"/>
              </w:rPr>
              <w:t>7</w:t>
            </w:r>
          </w:p>
        </w:tc>
        <w:tc>
          <w:tcPr>
            <w:tcW w:w="2409" w:type="dxa"/>
            <w:vAlign w:val="center"/>
          </w:tcPr>
          <w:p w14:paraId="19151ADC">
            <w:pPr>
              <w:jc w:val="center"/>
              <w:rPr>
                <w:rFonts w:ascii="宋体" w:hAnsi="宋体"/>
              </w:rPr>
            </w:pPr>
            <w:r>
              <w:rPr>
                <w:rFonts w:hint="eastAsia" w:ascii="宋体" w:hAnsi="宋体"/>
              </w:rPr>
              <w:t>评审方法</w:t>
            </w:r>
          </w:p>
        </w:tc>
        <w:tc>
          <w:tcPr>
            <w:tcW w:w="4980" w:type="dxa"/>
            <w:vAlign w:val="center"/>
          </w:tcPr>
          <w:p w14:paraId="19AA4D77">
            <w:pPr>
              <w:jc w:val="center"/>
              <w:rPr>
                <w:rFonts w:ascii="宋体" w:hAnsi="宋体"/>
              </w:rPr>
            </w:pPr>
            <w:r>
              <w:rPr>
                <w:rFonts w:hint="eastAsia" w:ascii="宋体" w:hAnsi="宋体"/>
              </w:rPr>
              <w:t>综合评分法</w:t>
            </w:r>
          </w:p>
        </w:tc>
      </w:tr>
      <w:tr w14:paraId="57276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4457042">
            <w:pPr>
              <w:jc w:val="center"/>
              <w:rPr>
                <w:rFonts w:ascii="宋体" w:hAnsi="宋体"/>
              </w:rPr>
            </w:pPr>
            <w:r>
              <w:rPr>
                <w:rFonts w:hint="eastAsia" w:ascii="宋体" w:hAnsi="宋体"/>
              </w:rPr>
              <w:t>3</w:t>
            </w:r>
            <w:r>
              <w:rPr>
                <w:rFonts w:ascii="宋体" w:hAnsi="宋体"/>
              </w:rPr>
              <w:t>8</w:t>
            </w:r>
          </w:p>
        </w:tc>
        <w:tc>
          <w:tcPr>
            <w:tcW w:w="2409" w:type="dxa"/>
            <w:vAlign w:val="center"/>
          </w:tcPr>
          <w:p w14:paraId="29F5C3E6">
            <w:pPr>
              <w:jc w:val="center"/>
              <w:rPr>
                <w:rFonts w:ascii="宋体" w:hAnsi="宋体"/>
              </w:rPr>
            </w:pPr>
            <w:r>
              <w:rPr>
                <w:rFonts w:hint="eastAsia" w:ascii="宋体" w:hAnsi="宋体"/>
              </w:rPr>
              <w:t>定标方法</w:t>
            </w:r>
          </w:p>
        </w:tc>
        <w:tc>
          <w:tcPr>
            <w:tcW w:w="4980" w:type="dxa"/>
            <w:vAlign w:val="center"/>
          </w:tcPr>
          <w:p w14:paraId="15B2A379">
            <w:pPr>
              <w:jc w:val="center"/>
              <w:rPr>
                <w:rFonts w:ascii="宋体" w:hAnsi="宋体"/>
              </w:rPr>
            </w:pPr>
            <w:r>
              <w:rPr>
                <w:rFonts w:hint="eastAsia" w:ascii="宋体" w:hAnsi="宋体"/>
              </w:rPr>
              <w:t>非评定分离</w:t>
            </w:r>
          </w:p>
        </w:tc>
      </w:tr>
      <w:tr w14:paraId="3FEFB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09840A4">
            <w:pPr>
              <w:jc w:val="center"/>
              <w:rPr>
                <w:rFonts w:ascii="宋体" w:hAnsi="宋体"/>
              </w:rPr>
            </w:pPr>
            <w:r>
              <w:rPr>
                <w:rFonts w:hint="eastAsia" w:ascii="宋体" w:hAnsi="宋体"/>
              </w:rPr>
              <w:t>4</w:t>
            </w:r>
            <w:r>
              <w:rPr>
                <w:rFonts w:ascii="宋体" w:hAnsi="宋体"/>
              </w:rPr>
              <w:t>6</w:t>
            </w:r>
          </w:p>
        </w:tc>
        <w:tc>
          <w:tcPr>
            <w:tcW w:w="2409" w:type="dxa"/>
            <w:vAlign w:val="center"/>
          </w:tcPr>
          <w:p w14:paraId="57438C2E">
            <w:pPr>
              <w:jc w:val="center"/>
              <w:rPr>
                <w:rFonts w:ascii="宋体" w:hAnsi="宋体"/>
              </w:rPr>
            </w:pPr>
            <w:r>
              <w:rPr>
                <w:rFonts w:hint="eastAsia" w:ascii="宋体" w:hAnsi="宋体"/>
              </w:rPr>
              <w:t>履约担保</w:t>
            </w:r>
          </w:p>
        </w:tc>
        <w:tc>
          <w:tcPr>
            <w:tcW w:w="4980" w:type="dxa"/>
            <w:vAlign w:val="center"/>
          </w:tcPr>
          <w:p w14:paraId="0A5502C5">
            <w:pPr>
              <w:jc w:val="center"/>
              <w:rPr>
                <w:rFonts w:ascii="宋体" w:hAnsi="宋体"/>
              </w:rPr>
            </w:pPr>
            <w:r>
              <w:rPr>
                <w:rFonts w:hint="eastAsia" w:ascii="宋体" w:hAnsi="宋体"/>
              </w:rPr>
              <w:t>不需要</w:t>
            </w:r>
          </w:p>
        </w:tc>
      </w:tr>
    </w:tbl>
    <w:p w14:paraId="3A2F7CC5">
      <w:pPr>
        <w:rPr>
          <w:b/>
        </w:rPr>
      </w:pPr>
      <w:r>
        <w:rPr>
          <w:rFonts w:hint="eastAsia"/>
          <w:szCs w:val="21"/>
        </w:rPr>
        <w:t>备注：本表是通用条款相关条款的补充和明确，如与通用条款内容相冲突的，以本表为准。</w:t>
      </w:r>
    </w:p>
    <w:bookmarkEnd w:id="32"/>
    <w:p w14:paraId="3092DE5D">
      <w:pPr>
        <w:pStyle w:val="5"/>
        <w:spacing w:before="120" w:beforeLines="50" w:after="120" w:afterLines="50"/>
        <w:rPr>
          <w:szCs w:val="24"/>
        </w:rPr>
      </w:pPr>
      <w:bookmarkStart w:id="34" w:name="_Hlk72218117"/>
      <w:r>
        <w:rPr>
          <w:rFonts w:hint="eastAsia"/>
          <w:szCs w:val="24"/>
        </w:rPr>
        <w:t>二、其他关键信息</w:t>
      </w:r>
    </w:p>
    <w:p w14:paraId="31CFF435">
      <w:pPr>
        <w:ind w:firstLine="422" w:firstLineChars="200"/>
        <w:rPr>
          <w:b/>
          <w:bCs/>
        </w:rPr>
      </w:pPr>
      <w:bookmarkStart w:id="35" w:name="_Hlk72579427"/>
      <w:r>
        <w:rPr>
          <w:rFonts w:hint="eastAsia"/>
          <w:b/>
          <w:bCs/>
        </w:rPr>
        <w:t>（一）与“对通用条款的补充内容”章节相关的事项</w:t>
      </w:r>
    </w:p>
    <w:p w14:paraId="0DE9D6B6">
      <w:pPr>
        <w:ind w:firstLine="422" w:firstLineChars="200"/>
        <w:jc w:val="both"/>
        <w:rPr>
          <w:rFonts w:hint="eastAsia"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2C4FEFD3">
      <w:pPr>
        <w:ind w:firstLine="422" w:firstLineChars="200"/>
        <w:jc w:val="center"/>
      </w:pPr>
      <w:r>
        <w:rPr>
          <w:rFonts w:hint="eastAsia"/>
          <w:b/>
        </w:rPr>
        <w:t>非评定分离项目</w:t>
      </w:r>
    </w:p>
    <w:tbl>
      <w:tblPr>
        <w:tblStyle w:val="45"/>
        <w:tblW w:w="8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581"/>
      </w:tblGrid>
      <w:tr w14:paraId="34D5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3F52A258">
            <w:pPr>
              <w:jc w:val="center"/>
            </w:pPr>
            <w:r>
              <w:rPr>
                <w:rFonts w:hint="eastAsia"/>
              </w:rPr>
              <w:t>评标方法</w:t>
            </w:r>
          </w:p>
        </w:tc>
        <w:tc>
          <w:tcPr>
            <w:tcW w:w="5581" w:type="dxa"/>
          </w:tcPr>
          <w:p w14:paraId="6ED3C6B7">
            <w:pPr>
              <w:jc w:val="center"/>
              <w:rPr>
                <w:rFonts w:hint="default" w:eastAsia="宋体"/>
                <w:lang w:val="en-US" w:eastAsia="zh-CN"/>
              </w:rPr>
            </w:pPr>
            <w:r>
              <w:rPr>
                <w:rFonts w:hint="eastAsia"/>
              </w:rPr>
              <w:t>综合评分法</w:t>
            </w:r>
          </w:p>
        </w:tc>
      </w:tr>
      <w:tr w14:paraId="61CD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FDEDFE5">
            <w:pPr>
              <w:jc w:val="center"/>
            </w:pPr>
            <w:r>
              <w:rPr>
                <w:rFonts w:hint="eastAsia"/>
              </w:rPr>
              <w:t>候选中标供应商家数</w:t>
            </w:r>
          </w:p>
        </w:tc>
        <w:tc>
          <w:tcPr>
            <w:tcW w:w="5581" w:type="dxa"/>
          </w:tcPr>
          <w:p w14:paraId="2A051197">
            <w:pPr>
              <w:jc w:val="center"/>
              <w:rPr>
                <w:rFonts w:hint="eastAsia" w:eastAsia="宋体"/>
                <w:lang w:val="en-US" w:eastAsia="zh-CN"/>
              </w:rPr>
            </w:pPr>
            <w:r>
              <w:rPr>
                <w:rFonts w:hint="eastAsia"/>
                <w:lang w:val="en-US" w:eastAsia="zh-CN"/>
              </w:rPr>
              <w:t>1</w:t>
            </w:r>
          </w:p>
        </w:tc>
      </w:tr>
      <w:tr w14:paraId="38D9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0B0BE51">
            <w:pPr>
              <w:jc w:val="center"/>
            </w:pPr>
            <w:r>
              <w:rPr>
                <w:rFonts w:hint="eastAsia"/>
              </w:rPr>
              <w:t>中标供应商家数</w:t>
            </w:r>
          </w:p>
        </w:tc>
        <w:tc>
          <w:tcPr>
            <w:tcW w:w="5581" w:type="dxa"/>
          </w:tcPr>
          <w:p w14:paraId="1FF5DBB3">
            <w:pPr>
              <w:jc w:val="center"/>
            </w:pPr>
            <w:r>
              <w:rPr>
                <w:rFonts w:hint="eastAsia"/>
              </w:rPr>
              <w:t>1</w:t>
            </w:r>
          </w:p>
        </w:tc>
      </w:tr>
    </w:tbl>
    <w:p w14:paraId="317DFF50">
      <w:pPr>
        <w:ind w:firstLine="0" w:firstLineChars="0"/>
        <w:rPr>
          <w:rFonts w:hint="eastAsia"/>
          <w:b/>
        </w:rPr>
      </w:pPr>
    </w:p>
    <w:p w14:paraId="15460B71">
      <w:pPr>
        <w:numPr>
          <w:ilvl w:val="-1"/>
          <w:numId w:val="0"/>
        </w:numPr>
        <w:ind w:firstLine="422" w:firstLineChars="200"/>
        <w:rPr>
          <w:rFonts w:hint="eastAsia" w:ascii="Times New Roman" w:hAnsi="Times New Roman" w:eastAsia="宋体" w:cs="Times New Roman"/>
          <w:b/>
          <w:bCs/>
          <w:sz w:val="21"/>
          <w:szCs w:val="24"/>
        </w:rPr>
      </w:pPr>
      <w:r>
        <w:rPr>
          <w:rFonts w:hint="eastAsia" w:cs="Times New Roman"/>
          <w:b/>
          <w:bCs/>
          <w:sz w:val="21"/>
          <w:szCs w:val="24"/>
          <w:lang w:val="en-US" w:eastAsia="zh-CN"/>
        </w:rPr>
        <w:t>2、</w:t>
      </w:r>
      <w:r>
        <w:rPr>
          <w:rFonts w:hint="eastAsia" w:ascii="Times New Roman" w:hAnsi="Times New Roman" w:eastAsia="宋体" w:cs="Times New Roman"/>
          <w:b/>
          <w:bCs/>
          <w:sz w:val="21"/>
          <w:szCs w:val="24"/>
        </w:rPr>
        <w:t>分包表述</w:t>
      </w:r>
    </w:p>
    <w:p w14:paraId="4ECD9343">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（1）本项目共分为编号为A、B、C</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个包组，将采用综合评分法选择</w:t>
      </w:r>
      <w:r>
        <w:rPr>
          <w:rFonts w:hint="eastAsia" w:ascii="Times New Roman" w:hAnsi="Times New Roman" w:eastAsia="宋体" w:cs="Times New Roman"/>
          <w:bCs w:val="0"/>
          <w:sz w:val="21"/>
          <w:szCs w:val="24"/>
          <w:lang w:val="en-US" w:eastAsia="zh-CN"/>
        </w:rPr>
        <w:t>3</w:t>
      </w:r>
      <w:r>
        <w:rPr>
          <w:rFonts w:hint="eastAsia" w:ascii="Times New Roman" w:hAnsi="Times New Roman" w:eastAsia="宋体" w:cs="Times New Roman"/>
          <w:bCs w:val="0"/>
          <w:sz w:val="21"/>
          <w:szCs w:val="24"/>
        </w:rPr>
        <w:t>家中标单位分别承担A、B、C</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个包组相关任务。本包为</w:t>
      </w:r>
      <w:r>
        <w:rPr>
          <w:rFonts w:hint="eastAsia" w:ascii="Times New Roman" w:hAnsi="Times New Roman" w:eastAsia="宋体" w:cs="Times New Roman"/>
          <w:b/>
          <w:bCs/>
          <w:sz w:val="21"/>
          <w:szCs w:val="24"/>
          <w:highlight w:val="yellow"/>
        </w:rPr>
        <w:t>A包</w:t>
      </w:r>
      <w:r>
        <w:rPr>
          <w:rFonts w:hint="eastAsia" w:ascii="Times New Roman" w:hAnsi="Times New Roman" w:eastAsia="宋体" w:cs="Times New Roman"/>
          <w:bCs w:val="0"/>
          <w:sz w:val="21"/>
          <w:szCs w:val="24"/>
        </w:rPr>
        <w:t>（标的内容详见本文件</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rPr>
        <w:t>第三章 用户需求书</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rPr>
        <w:t>）。</w:t>
      </w:r>
    </w:p>
    <w:p w14:paraId="518BEEB1">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（2）投标原则：投标人可以选择投其中1个包组或多个包组，每个包组</w:t>
      </w:r>
      <w:r>
        <w:rPr>
          <w:rFonts w:hint="eastAsia" w:ascii="Times New Roman" w:hAnsi="Times New Roman" w:eastAsia="宋体" w:cs="Times New Roman"/>
          <w:bCs w:val="0"/>
          <w:sz w:val="21"/>
          <w:szCs w:val="24"/>
          <w:lang w:val="en-US" w:eastAsia="zh-CN"/>
        </w:rPr>
        <w:t>均</w:t>
      </w:r>
      <w:r>
        <w:rPr>
          <w:rFonts w:hint="eastAsia" w:ascii="Times New Roman" w:hAnsi="Times New Roman" w:eastAsia="宋体" w:cs="Times New Roman"/>
          <w:bCs w:val="0"/>
          <w:sz w:val="21"/>
          <w:szCs w:val="24"/>
        </w:rPr>
        <w:t>需要独立制作1份投标文件，并按所投包号上传投标文件。</w:t>
      </w:r>
    </w:p>
    <w:p w14:paraId="5D7E4AAD">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（3）中标原则：本项目按A-</w:t>
      </w:r>
      <w:r>
        <w:rPr>
          <w:rFonts w:hint="eastAsia" w:ascii="Times New Roman" w:hAnsi="Times New Roman" w:eastAsia="宋体" w:cs="Times New Roman"/>
          <w:bCs w:val="0"/>
          <w:sz w:val="21"/>
          <w:szCs w:val="24"/>
          <w:lang w:val="en-US" w:eastAsia="zh-CN"/>
        </w:rPr>
        <w:t>C</w:t>
      </w:r>
      <w:r>
        <w:rPr>
          <w:rFonts w:hint="eastAsia" w:ascii="Times New Roman" w:hAnsi="Times New Roman" w:eastAsia="宋体" w:cs="Times New Roman"/>
          <w:bCs w:val="0"/>
          <w:sz w:val="21"/>
          <w:szCs w:val="24"/>
        </w:rPr>
        <w:t>的顺序对</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个分包组进行评审，每个包组均取排名第一名者为该包组的候选中标供应商。各投标人可同时对多个包组进行投标，但最多只能中一个包</w:t>
      </w:r>
      <w:r>
        <w:rPr>
          <w:rFonts w:hint="eastAsia" w:ascii="Times New Roman" w:hAnsi="Times New Roman" w:eastAsia="宋体" w:cs="Times New Roman"/>
          <w:b w:val="0"/>
          <w:sz w:val="21"/>
          <w:szCs w:val="24"/>
        </w:rPr>
        <w:t>（</w:t>
      </w:r>
      <w:r>
        <w:rPr>
          <w:rFonts w:hint="eastAsia" w:ascii="Times New Roman" w:hAnsi="Times New Roman" w:eastAsia="宋体" w:cs="Times New Roman"/>
          <w:b w:val="0"/>
          <w:sz w:val="21"/>
          <w:szCs w:val="24"/>
          <w:lang w:val="en-US" w:eastAsia="zh-CN"/>
        </w:rPr>
        <w:t>即</w:t>
      </w:r>
      <w:r>
        <w:rPr>
          <w:rFonts w:hint="eastAsia" w:ascii="Times New Roman" w:hAnsi="Times New Roman" w:eastAsia="宋体" w:cs="Times New Roman"/>
          <w:b w:val="0"/>
          <w:sz w:val="21"/>
          <w:szCs w:val="24"/>
        </w:rPr>
        <w:t>可兼投，不可兼中）</w:t>
      </w:r>
      <w:r>
        <w:rPr>
          <w:rFonts w:hint="eastAsia" w:ascii="Times New Roman" w:hAnsi="Times New Roman" w:eastAsia="宋体" w:cs="Times New Roman"/>
          <w:bCs w:val="0"/>
          <w:sz w:val="21"/>
          <w:szCs w:val="24"/>
        </w:rPr>
        <w:t>，当某一投标人已在前一个包</w:t>
      </w:r>
      <w:r>
        <w:rPr>
          <w:rFonts w:hint="eastAsia" w:ascii="Times New Roman" w:hAnsi="Times New Roman" w:eastAsia="宋体" w:cs="Times New Roman"/>
          <w:bCs w:val="0"/>
          <w:sz w:val="21"/>
          <w:szCs w:val="24"/>
          <w:lang w:val="en-US" w:eastAsia="zh-CN"/>
        </w:rPr>
        <w:t>组</w:t>
      </w:r>
      <w:r>
        <w:rPr>
          <w:rFonts w:hint="eastAsia" w:ascii="Times New Roman" w:hAnsi="Times New Roman" w:eastAsia="宋体" w:cs="Times New Roman"/>
          <w:bCs w:val="0"/>
          <w:sz w:val="21"/>
          <w:szCs w:val="24"/>
        </w:rPr>
        <w:t>中综合得分排名第一时，则该投标人不得参与下一个包号评审（</w:t>
      </w:r>
      <w:r>
        <w:rPr>
          <w:rFonts w:hint="eastAsia" w:ascii="Times New Roman" w:hAnsi="Times New Roman" w:eastAsia="宋体" w:cs="Times New Roman"/>
          <w:bCs w:val="0"/>
          <w:sz w:val="21"/>
          <w:szCs w:val="24"/>
          <w:lang w:val="en-US" w:eastAsia="zh-CN"/>
        </w:rPr>
        <w:t>即</w:t>
      </w:r>
      <w:r>
        <w:rPr>
          <w:rFonts w:hint="eastAsia" w:ascii="Times New Roman" w:hAnsi="Times New Roman" w:eastAsia="宋体" w:cs="Times New Roman"/>
          <w:bCs w:val="0"/>
          <w:sz w:val="21"/>
          <w:szCs w:val="24"/>
        </w:rPr>
        <w:t>符合性审查“法律、法规、规章、规范性文件规定的其他情形。”条款不通过）。所有包组有效投标人均必须达到法定数量（三家或以上）方可开标，有效投标人未达到法定数量的包组作废标处理</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lang w:val="en-US" w:eastAsia="zh-CN"/>
        </w:rPr>
        <w:t>不影响其余包组</w:t>
      </w:r>
      <w:r>
        <w:rPr>
          <w:rFonts w:hint="eastAsia" w:ascii="Times New Roman" w:hAnsi="Times New Roman" w:eastAsia="宋体" w:cs="Times New Roman"/>
          <w:bCs w:val="0"/>
          <w:sz w:val="21"/>
          <w:szCs w:val="24"/>
        </w:rPr>
        <w:t>进行评审。</w:t>
      </w:r>
    </w:p>
    <w:p w14:paraId="68A344FC">
      <w:pPr>
        <w:spacing w:before="0" w:beforeLines="-2147483648" w:after="0" w:afterLines="-2147483648"/>
        <w:ind w:firstLine="420" w:firstLineChars="200"/>
        <w:rPr>
          <w:rFonts w:hint="eastAsia" w:ascii="Times New Roman" w:hAnsi="Times New Roman" w:eastAsia="宋体" w:cs="Times New Roman"/>
          <w:bCs w:val="0"/>
          <w:sz w:val="21"/>
          <w:szCs w:val="24"/>
        </w:rPr>
      </w:pPr>
      <w:r>
        <w:rPr>
          <w:rFonts w:hint="eastAsia" w:ascii="Times New Roman" w:hAnsi="Times New Roman" w:eastAsia="宋体" w:cs="Times New Roman"/>
          <w:bCs w:val="0"/>
          <w:sz w:val="21"/>
          <w:szCs w:val="24"/>
        </w:rPr>
        <w:t>举例：供应商甲同时投标</w:t>
      </w:r>
      <w:r>
        <w:rPr>
          <w:rFonts w:hint="eastAsia" w:ascii="Times New Roman" w:hAnsi="Times New Roman" w:eastAsia="宋体" w:cs="Times New Roman"/>
          <w:bCs w:val="0"/>
          <w:sz w:val="21"/>
          <w:szCs w:val="24"/>
          <w:lang w:val="en-US" w:eastAsia="zh-CN"/>
        </w:rPr>
        <w:t>三</w:t>
      </w:r>
      <w:r>
        <w:rPr>
          <w:rFonts w:hint="eastAsia" w:ascii="Times New Roman" w:hAnsi="Times New Roman" w:eastAsia="宋体" w:cs="Times New Roman"/>
          <w:bCs w:val="0"/>
          <w:sz w:val="21"/>
          <w:szCs w:val="24"/>
        </w:rPr>
        <w:t>个包组（A、B、C），且通过综合评分，在A包评审中综合得分排名第一时，则</w:t>
      </w:r>
      <w:r>
        <w:rPr>
          <w:rFonts w:hint="eastAsia" w:ascii="Times New Roman" w:hAnsi="Times New Roman" w:eastAsia="宋体" w:cs="Times New Roman"/>
          <w:bCs w:val="0"/>
          <w:sz w:val="21"/>
          <w:szCs w:val="24"/>
          <w:lang w:val="en-US" w:eastAsia="zh-CN"/>
        </w:rPr>
        <w:t>不得</w:t>
      </w:r>
      <w:r>
        <w:rPr>
          <w:rFonts w:hint="eastAsia" w:ascii="Times New Roman" w:hAnsi="Times New Roman" w:eastAsia="宋体" w:cs="Times New Roman"/>
          <w:bCs w:val="0"/>
          <w:sz w:val="21"/>
          <w:szCs w:val="24"/>
        </w:rPr>
        <w:t>参与B、C包的评审。</w:t>
      </w:r>
    </w:p>
    <w:p w14:paraId="0A27C5AF">
      <w:pPr>
        <w:spacing w:before="0" w:beforeLines="-2147483648" w:after="0" w:afterLines="-2147483648"/>
        <w:ind w:firstLine="420" w:firstLineChars="200"/>
        <w:rPr>
          <w:rFonts w:hint="eastAsia" w:ascii="Times New Roman" w:hAnsi="Times New Roman" w:eastAsia="宋体" w:cs="Times New Roman"/>
          <w:b w:val="0"/>
          <w:bCs w:val="0"/>
          <w:sz w:val="21"/>
          <w:szCs w:val="24"/>
          <w:lang w:val="en-US" w:eastAsia="zh-CN"/>
        </w:rPr>
      </w:pPr>
      <w:r>
        <w:rPr>
          <w:rFonts w:hint="eastAsia" w:ascii="Times New Roman" w:hAnsi="Times New Roman" w:eastAsia="宋体" w:cs="Times New Roman"/>
          <w:bCs w:val="0"/>
          <w:sz w:val="21"/>
          <w:szCs w:val="24"/>
          <w:lang w:val="en-US" w:eastAsia="zh-CN"/>
        </w:rPr>
        <w:t>注：本项目候选中标供应商家数为1家，</w:t>
      </w:r>
      <w:r>
        <w:rPr>
          <w:rFonts w:hint="eastAsia" w:ascii="Times New Roman" w:hAnsi="Times New Roman" w:eastAsia="宋体" w:cs="Times New Roman"/>
          <w:bCs w:val="0"/>
          <w:sz w:val="21"/>
          <w:szCs w:val="24"/>
        </w:rPr>
        <w:t>如其中某一个包组因质疑、投诉或其他原因</w:t>
      </w:r>
      <w:r>
        <w:rPr>
          <w:rFonts w:hint="eastAsia" w:ascii="Times New Roman" w:hAnsi="Times New Roman" w:eastAsia="宋体" w:cs="Times New Roman"/>
          <w:bCs w:val="0"/>
          <w:sz w:val="21"/>
          <w:szCs w:val="24"/>
          <w:lang w:eastAsia="zh-CN"/>
        </w:rPr>
        <w:t>，</w:t>
      </w:r>
      <w:r>
        <w:rPr>
          <w:rFonts w:hint="eastAsia" w:ascii="Times New Roman" w:hAnsi="Times New Roman" w:eastAsia="宋体" w:cs="Times New Roman"/>
          <w:bCs w:val="0"/>
          <w:sz w:val="21"/>
          <w:szCs w:val="24"/>
        </w:rPr>
        <w:t>导致</w:t>
      </w:r>
      <w:r>
        <w:rPr>
          <w:rFonts w:hint="eastAsia" w:ascii="Times New Roman" w:hAnsi="Times New Roman" w:eastAsia="宋体" w:cs="Times New Roman"/>
          <w:bCs w:val="0"/>
          <w:sz w:val="21"/>
          <w:szCs w:val="24"/>
          <w:lang w:val="en-US" w:eastAsia="zh-CN"/>
        </w:rPr>
        <w:t>候选中标供应商被认定投标（中标）资格无效或者</w:t>
      </w:r>
      <w:r>
        <w:rPr>
          <w:rFonts w:hint="eastAsia" w:ascii="Times New Roman" w:hAnsi="Times New Roman" w:eastAsia="宋体" w:cs="Times New Roman"/>
          <w:bCs w:val="0"/>
          <w:sz w:val="21"/>
          <w:szCs w:val="24"/>
        </w:rPr>
        <w:t>中标结果发生变化，该包组重新</w:t>
      </w:r>
      <w:r>
        <w:rPr>
          <w:rFonts w:hint="eastAsia" w:ascii="Times New Roman" w:hAnsi="Times New Roman" w:eastAsia="宋体" w:cs="Times New Roman"/>
          <w:bCs w:val="0"/>
          <w:sz w:val="21"/>
          <w:szCs w:val="24"/>
          <w:lang w:val="en-US" w:eastAsia="zh-CN"/>
        </w:rPr>
        <w:t>采购</w:t>
      </w:r>
      <w:r>
        <w:rPr>
          <w:rFonts w:hint="eastAsia" w:ascii="Times New Roman" w:hAnsi="Times New Roman" w:eastAsia="宋体" w:cs="Times New Roman"/>
          <w:bCs w:val="0"/>
          <w:sz w:val="21"/>
          <w:szCs w:val="24"/>
        </w:rPr>
        <w:t>，相关情况不影响其它包组的</w:t>
      </w:r>
      <w:r>
        <w:rPr>
          <w:rFonts w:hint="eastAsia" w:ascii="Times New Roman" w:hAnsi="Times New Roman" w:eastAsia="宋体" w:cs="Times New Roman"/>
          <w:bCs w:val="0"/>
          <w:sz w:val="21"/>
          <w:szCs w:val="24"/>
          <w:lang w:val="en-US" w:eastAsia="zh-CN"/>
        </w:rPr>
        <w:t>采购程序及采购</w:t>
      </w:r>
      <w:r>
        <w:rPr>
          <w:rFonts w:hint="eastAsia" w:ascii="Times New Roman" w:hAnsi="Times New Roman" w:eastAsia="宋体" w:cs="Times New Roman"/>
          <w:bCs w:val="0"/>
          <w:sz w:val="21"/>
          <w:szCs w:val="24"/>
        </w:rPr>
        <w:t>结果。</w:t>
      </w:r>
    </w:p>
    <w:p w14:paraId="539ED026">
      <w:pPr>
        <w:ind w:firstLine="422" w:firstLineChars="200"/>
        <w:rPr>
          <w:rFonts w:hint="eastAsia"/>
          <w:b/>
        </w:rPr>
      </w:pPr>
    </w:p>
    <w:p w14:paraId="2B961667">
      <w:pPr>
        <w:ind w:firstLine="422" w:firstLineChars="200"/>
        <w:rPr>
          <w:b/>
        </w:rPr>
      </w:pPr>
      <w:r>
        <w:rPr>
          <w:rFonts w:hint="eastAsia"/>
          <w:b/>
        </w:rPr>
        <w:t>（二）其他事项</w:t>
      </w:r>
      <w:bookmarkEnd w:id="35"/>
    </w:p>
    <w:p w14:paraId="024585E9">
      <w:pPr>
        <w:ind w:firstLine="422" w:firstLineChars="200"/>
        <w:rPr>
          <w:rFonts w:hint="default" w:eastAsia="宋体"/>
          <w:b/>
          <w:bCs/>
          <w:lang w:val="en-US" w:eastAsia="zh-CN"/>
        </w:rPr>
      </w:pPr>
      <w:r>
        <w:rPr>
          <w:b/>
          <w:bCs/>
        </w:rPr>
        <w:t>1</w:t>
      </w:r>
      <w:r>
        <w:rPr>
          <w:rFonts w:hint="eastAsia"/>
          <w:b/>
          <w:bCs/>
        </w:rPr>
        <w:t>、</w:t>
      </w:r>
      <w:r>
        <w:rPr>
          <w:rFonts w:hint="eastAsia"/>
          <w:b/>
          <w:bCs/>
          <w:lang w:val="en-US" w:eastAsia="zh-CN"/>
        </w:rPr>
        <w:t>关于享受</w:t>
      </w:r>
      <w:r>
        <w:rPr>
          <w:rFonts w:hint="eastAsia"/>
          <w:b/>
          <w:bCs/>
        </w:rPr>
        <w:t>优惠政策的主体</w:t>
      </w:r>
      <w:r>
        <w:rPr>
          <w:rFonts w:hint="eastAsia"/>
          <w:b/>
          <w:bCs/>
          <w:lang w:eastAsia="zh-CN"/>
        </w:rPr>
        <w:t>、</w:t>
      </w:r>
      <w:r>
        <w:rPr>
          <w:rFonts w:hint="eastAsia"/>
          <w:b/>
          <w:bCs/>
        </w:rPr>
        <w:t>价格扣除比例</w:t>
      </w:r>
      <w:r>
        <w:rPr>
          <w:rFonts w:hint="eastAsia"/>
          <w:b/>
          <w:bCs/>
          <w:lang w:val="en-US" w:eastAsia="zh-CN"/>
        </w:rPr>
        <w:t>及采购标的所属行业的说明</w:t>
      </w:r>
    </w:p>
    <w:p w14:paraId="4AF6717B">
      <w:pPr>
        <w:ind w:firstLine="420" w:firstLineChars="200"/>
        <w:rPr>
          <w:rFonts w:hint="default" w:eastAsia="宋体"/>
          <w:lang w:val="en-US" w:eastAsia="zh-CN"/>
        </w:rPr>
      </w:pPr>
      <w:r>
        <w:rPr>
          <w:rFonts w:hint="eastAsia"/>
        </w:rPr>
        <w:t>（1）</w:t>
      </w:r>
      <w:r>
        <w:rPr>
          <w:rFonts w:hint="eastAsia"/>
          <w:lang w:val="en-US" w:eastAsia="zh-CN"/>
        </w:rPr>
        <w:t>专门面向中小企业采购的项目，不再执行价格扣除比例。</w:t>
      </w:r>
    </w:p>
    <w:p w14:paraId="7F95CBB6">
      <w:pPr>
        <w:ind w:firstLine="420" w:firstLineChars="200"/>
      </w:pPr>
      <w:r>
        <w:rPr>
          <w:rFonts w:hint="eastAsia"/>
          <w:lang w:eastAsia="zh-CN"/>
        </w:rPr>
        <w:t>（</w:t>
      </w:r>
      <w:r>
        <w:rPr>
          <w:rFonts w:hint="eastAsia"/>
          <w:lang w:val="en-US" w:eastAsia="zh-CN"/>
        </w:rPr>
        <w:t>2</w:t>
      </w:r>
      <w:r>
        <w:rPr>
          <w:rFonts w:hint="eastAsia"/>
          <w:lang w:eastAsia="zh-CN"/>
        </w:rPr>
        <w:t>）</w:t>
      </w:r>
      <w:r>
        <w:rPr>
          <w:rFonts w:hint="eastAsia"/>
          <w:lang w:val="en-US" w:eastAsia="zh-CN"/>
        </w:rPr>
        <w:t>非</w:t>
      </w:r>
      <w:r>
        <w:rPr>
          <w:rFonts w:hint="eastAsia" w:ascii="Times New Roman" w:eastAsia="宋体"/>
          <w:lang w:val="en-US" w:eastAsia="zh-CN"/>
        </w:rPr>
        <w:t>专门面向中小企业采购的项目，</w:t>
      </w:r>
      <w:r>
        <w:rPr>
          <w:rFonts w:hint="eastAsia"/>
          <w:lang w:val="en-US" w:eastAsia="zh-CN"/>
        </w:rPr>
        <w:t>应</w:t>
      </w:r>
      <w:r>
        <w:rPr>
          <w:rFonts w:hint="eastAsia" w:ascii="Times New Roman" w:eastAsia="宋体"/>
          <w:lang w:val="en-US" w:eastAsia="zh-CN"/>
        </w:rPr>
        <w:t>执行价格扣除比例</w:t>
      </w:r>
      <w:r>
        <w:rPr>
          <w:rFonts w:hint="eastAsia"/>
          <w:lang w:val="en-US" w:eastAsia="zh-CN"/>
        </w:rPr>
        <w:t>：</w:t>
      </w:r>
      <w:r>
        <w:rPr>
          <w:rFonts w:hint="eastAsia"/>
        </w:rPr>
        <w:t>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lang w:val="en-US" w:eastAsia="zh-CN"/>
        </w:rPr>
        <w:t xml:space="preserve">  10</w:t>
      </w:r>
      <w:r>
        <w:rPr>
          <w:color w:val="FF0000"/>
          <w:u w:val="single"/>
        </w:rPr>
        <w:t xml:space="preserve">  </w:t>
      </w:r>
      <w:r>
        <w:rPr>
          <w:rFonts w:hint="eastAsia"/>
          <w:color w:val="FF0000"/>
          <w:u w:val="single"/>
          <w:lang w:val="en-US" w:eastAsia="zh-CN"/>
        </w:rPr>
        <w:t xml:space="preserve"> </w:t>
      </w:r>
      <w:r>
        <w:rPr>
          <w:rFonts w:hint="eastAsia"/>
          <w:color w:val="FF0000"/>
          <w:u w:val="none"/>
          <w:lang w:val="en-US" w:eastAsia="zh-CN"/>
        </w:rPr>
        <w:t xml:space="preserve"> </w:t>
      </w:r>
      <w:r>
        <w:rPr>
          <w:color w:val="FF0000"/>
          <w:u w:val="none"/>
        </w:rPr>
        <w:t>%</w:t>
      </w:r>
      <w:r>
        <w:rPr>
          <w:rFonts w:hint="eastAsia"/>
        </w:rPr>
        <w:t>的扣除，用扣除后的价格参与评审。满足多项优惠政策的</w:t>
      </w:r>
      <w:r>
        <w:rPr>
          <w:rFonts w:hint="eastAsia"/>
          <w:lang w:val="en-US" w:eastAsia="zh-CN"/>
        </w:rPr>
        <w:t>供应商</w:t>
      </w:r>
      <w:r>
        <w:rPr>
          <w:rFonts w:hint="eastAsia"/>
        </w:rPr>
        <w:t>，不重复享受多项价格扣除政策。</w:t>
      </w:r>
    </w:p>
    <w:p w14:paraId="7B98CB1C">
      <w:pPr>
        <w:ind w:firstLine="420" w:firstLineChars="200"/>
      </w:pPr>
      <w:r>
        <w:rPr>
          <w:rFonts w:hint="eastAsia"/>
        </w:rPr>
        <w:t>备注：（a）</w:t>
      </w:r>
      <w:r>
        <w:rPr>
          <w:rFonts w:hint="eastAsia"/>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hint="eastAsia" w:ascii="宋体" w:hAnsi="宋体" w:cs="宋体"/>
          <w:szCs w:val="21"/>
        </w:rPr>
        <w:t>采购</w:t>
      </w:r>
      <w:r>
        <w:rPr>
          <w:rFonts w:hint="eastAsia"/>
        </w:rPr>
        <w:t>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42E9F88E">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w:t>
      </w:r>
      <w:bookmarkStart w:id="36" w:name="_Hlk71970739"/>
      <w:r>
        <w:rPr>
          <w:rFonts w:hint="eastAsia" w:asciiTheme="minorEastAsia" w:hAnsiTheme="minorEastAsia" w:eastAsiaTheme="minorEastAsia" w:cstheme="minorEastAsia"/>
          <w:sz w:val="21"/>
          <w:szCs w:val="21"/>
        </w:rPr>
        <w:t>中小企业参加</w:t>
      </w:r>
      <w:r>
        <w:rPr>
          <w:rFonts w:hint="eastAsia" w:ascii="宋体" w:hAnsi="宋体" w:cs="宋体"/>
          <w:szCs w:val="21"/>
        </w:rPr>
        <w:t>采购</w:t>
      </w:r>
      <w:r>
        <w:rPr>
          <w:rFonts w:hint="eastAsia" w:asciiTheme="minorEastAsia" w:hAnsiTheme="minorEastAsia" w:eastAsiaTheme="minorEastAsia" w:cstheme="minorEastAsia"/>
          <w:sz w:val="21"/>
          <w:szCs w:val="21"/>
        </w:rPr>
        <w:t>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rPr>
        <w:t>《中小企业声明函》中相关企业</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货物制造商</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rPr>
        <w:t>所属行业应当与采购标的所属行业相一致</w:t>
      </w:r>
      <w:r>
        <w:rPr>
          <w:rFonts w:hint="eastAsia" w:asciiTheme="minorEastAsia" w:hAnsiTheme="minorEastAsia" w:eastAsiaTheme="minorEastAsia" w:cstheme="minorEastAsia"/>
          <w:b/>
          <w:bCs/>
          <w:color w:val="FF0000"/>
          <w:sz w:val="21"/>
          <w:szCs w:val="21"/>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以招标文件第一册第三章用户需求书“货物</w:t>
      </w:r>
      <w:r>
        <w:rPr>
          <w:rFonts w:hint="eastAsia"/>
          <w:b/>
          <w:bCs/>
          <w:color w:val="FF0000"/>
          <w:lang w:val="en-US" w:eastAsia="zh-CN"/>
        </w:rPr>
        <w:t>清单</w:t>
      </w:r>
      <w:r>
        <w:rPr>
          <w:rFonts w:hint="eastAsia" w:ascii="Times New Roman" w:eastAsia="宋体"/>
          <w:b/>
          <w:bCs/>
          <w:color w:val="FF0000"/>
          <w:lang w:val="en-US" w:eastAsia="zh-CN"/>
        </w:rPr>
        <w:t>明细”的“标的所属行业”一栏为准</w:t>
      </w:r>
      <w:r>
        <w:rPr>
          <w:rFonts w:hint="eastAsia" w:asciiTheme="minorEastAsia" w:hAnsiTheme="minorEastAsia" w:eastAsiaTheme="minorEastAsia" w:cstheme="minorEastAsia"/>
          <w:b/>
          <w:bCs/>
          <w:color w:val="FF0000"/>
          <w:sz w:val="21"/>
          <w:szCs w:val="21"/>
        </w:rPr>
        <w:t>。</w:t>
      </w:r>
      <w:bookmarkEnd w:id="36"/>
    </w:p>
    <w:p w14:paraId="5E276CFD">
      <w:pPr>
        <w:ind w:firstLine="420" w:firstLineChars="200"/>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w:t>
      </w:r>
      <w:r>
        <w:rPr>
          <w:rFonts w:hint="eastAsia" w:ascii="Times New Roman" w:eastAsia="宋体"/>
          <w:lang w:val="en-US" w:eastAsia="zh-CN"/>
        </w:rPr>
        <w:t>四</w:t>
      </w:r>
      <w:r>
        <w:rPr>
          <w:rFonts w:hint="eastAsia"/>
        </w:rPr>
        <w:t>章“投标文件组成要求及格式”中“</w:t>
      </w:r>
      <w:r>
        <w:rPr>
          <w:rFonts w:hint="eastAsia" w:ascii="Times New Roman" w:eastAsia="宋体"/>
          <w:lang w:val="en-US" w:eastAsia="zh-CN"/>
        </w:rPr>
        <w:t>三、</w:t>
      </w:r>
      <w:r>
        <w:rPr>
          <w:rFonts w:hint="eastAsia"/>
        </w:rPr>
        <w:t>投标人情况及资格证明文件”章节提供的格式）。</w:t>
      </w:r>
    </w:p>
    <w:p w14:paraId="7F33C217">
      <w:pPr>
        <w:ind w:firstLine="420" w:firstLineChars="200"/>
        <w:rPr>
          <w:color w:val="FF0000"/>
        </w:rPr>
      </w:pPr>
      <w:r>
        <w:rPr>
          <w:rFonts w:hint="eastAsia"/>
        </w:rPr>
        <w:t>（</w:t>
      </w:r>
      <w:r>
        <w:rPr>
          <w:rFonts w:hint="eastAsia"/>
          <w:lang w:val="en-US" w:eastAsia="zh-CN"/>
        </w:rPr>
        <w:t>5</w:t>
      </w:r>
      <w:r>
        <w:rPr>
          <w:rFonts w:hint="eastAsia"/>
        </w:rPr>
        <w:t>）享受价格扣除获得采购合同的，小微企业不得将合同分包给大中型企业。</w:t>
      </w:r>
    </w:p>
    <w:p w14:paraId="109A50BD">
      <w:pPr>
        <w:ind w:firstLine="422" w:firstLineChars="200"/>
        <w:rPr>
          <w:rFonts w:hint="eastAsia"/>
          <w:b/>
          <w:bCs/>
          <w:lang w:val="en-US" w:eastAsia="zh-CN"/>
        </w:rPr>
      </w:pPr>
    </w:p>
    <w:p w14:paraId="3BBA3EF0">
      <w:pPr>
        <w:ind w:firstLine="422" w:firstLineChars="200"/>
        <w:rPr>
          <w:rFonts w:hint="eastAsia"/>
          <w:b/>
          <w:bCs/>
          <w:lang w:val="en-US" w:eastAsia="zh-CN"/>
        </w:rPr>
      </w:pPr>
      <w:r>
        <w:rPr>
          <w:rFonts w:hint="eastAsia"/>
          <w:b/>
          <w:bCs/>
          <w:lang w:val="en-US" w:eastAsia="zh-CN"/>
        </w:rPr>
        <w:t>2、本项目为代理服务项目，将向中标（成交）供应商收取代理服务费。</w:t>
      </w:r>
    </w:p>
    <w:p w14:paraId="41E80ED7">
      <w:pPr>
        <w:ind w:firstLine="420" w:firstLineChars="200"/>
      </w:pPr>
      <w:r>
        <w:rPr>
          <w:rFonts w:hint="eastAsia"/>
        </w:rPr>
        <w:t>中标</w:t>
      </w:r>
      <w:r>
        <w:rPr>
          <w:rFonts w:hint="eastAsia"/>
          <w:lang w:eastAsia="zh-CN"/>
        </w:rPr>
        <w:t>（</w:t>
      </w:r>
      <w:r>
        <w:rPr>
          <w:rFonts w:hint="eastAsia"/>
          <w:lang w:val="en-US" w:eastAsia="zh-CN"/>
        </w:rPr>
        <w:t>成交</w:t>
      </w:r>
      <w:r>
        <w:rPr>
          <w:rFonts w:hint="eastAsia"/>
          <w:lang w:eastAsia="zh-CN"/>
        </w:rPr>
        <w:t>）</w:t>
      </w:r>
      <w:r>
        <w:rPr>
          <w:rFonts w:hint="eastAsia"/>
        </w:rPr>
        <w:t>供应商在领取《中标</w:t>
      </w:r>
      <w:r>
        <w:rPr>
          <w:rFonts w:hint="eastAsia"/>
          <w:lang w:eastAsia="zh-CN"/>
        </w:rPr>
        <w:t>（</w:t>
      </w:r>
      <w:r>
        <w:rPr>
          <w:rFonts w:hint="eastAsia"/>
          <w:lang w:val="en-US" w:eastAsia="zh-CN"/>
        </w:rPr>
        <w:t>成交</w:t>
      </w:r>
      <w:r>
        <w:rPr>
          <w:rFonts w:hint="eastAsia"/>
          <w:lang w:eastAsia="zh-CN"/>
        </w:rPr>
        <w:t>）</w:t>
      </w:r>
      <w:r>
        <w:rPr>
          <w:rFonts w:hint="eastAsia"/>
        </w:rPr>
        <w:t>通知书》之前须向深圳公共资源交易中心（深圳交易集团有限公司</w:t>
      </w:r>
      <w:r>
        <w:rPr>
          <w:rFonts w:hint="eastAsia"/>
          <w:lang w:val="en-US" w:eastAsia="zh-CN"/>
        </w:rPr>
        <w:t>龙岗</w:t>
      </w:r>
      <w:r>
        <w:rPr>
          <w:rFonts w:hint="eastAsia"/>
        </w:rPr>
        <w:t>分公司）交纳代理服务费。若因中标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供应商交纳代理服务费所产生的时间影响到合同签订的，由中标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供应商自行承担责任。代理服务费标准参照</w:t>
      </w:r>
      <w:r>
        <w:rPr>
          <w:rFonts w:hint="eastAsia"/>
          <w:lang w:val="en-US" w:eastAsia="zh-CN"/>
        </w:rPr>
        <w:t>下列</w:t>
      </w:r>
      <w:r>
        <w:rPr>
          <w:rFonts w:hint="eastAsia"/>
        </w:rPr>
        <w:t>标准收取。</w:t>
      </w:r>
      <w:r>
        <w:rPr>
          <w:rFonts w:hint="eastAsia"/>
          <w:b/>
          <w:color w:val="FF0000"/>
        </w:rPr>
        <w:t>本项目类型为货物采购：</w:t>
      </w:r>
    </w:p>
    <w:p w14:paraId="18207604">
      <w:pPr>
        <w:ind w:firstLine="420" w:firstLineChars="200"/>
      </w:pPr>
      <w:r>
        <w:rPr>
          <w:rFonts w:hint="eastAsia"/>
        </w:rPr>
        <w:t>（</w:t>
      </w:r>
      <w:r>
        <w:rPr>
          <w:rFonts w:hint="eastAsia"/>
          <w:lang w:val="en-US" w:eastAsia="zh-CN"/>
        </w:rPr>
        <w:t>1</w:t>
      </w:r>
      <w:r>
        <w:rPr>
          <w:rFonts w:hint="eastAsia"/>
        </w:rPr>
        <w:t>）代理服务费以《中标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通知书》确定的</w:t>
      </w:r>
      <w:r>
        <w:rPr>
          <w:rFonts w:hint="eastAsia"/>
          <w:lang w:val="en-US" w:eastAsia="zh-CN"/>
        </w:rPr>
        <w:t>中标（</w:t>
      </w:r>
      <w:r>
        <w:rPr>
          <w:rFonts w:hint="eastAsia"/>
        </w:rPr>
        <w:t>成交</w:t>
      </w:r>
      <w:r>
        <w:rPr>
          <w:rFonts w:hint="eastAsia"/>
          <w:lang w:eastAsia="zh-CN"/>
        </w:rPr>
        <w:t>）</w:t>
      </w:r>
      <w:r>
        <w:rPr>
          <w:rFonts w:hint="eastAsia"/>
        </w:rPr>
        <w:t>金额作为计算基数，按差额定率累进法计算。</w:t>
      </w:r>
    </w:p>
    <w:p w14:paraId="7AF670AF">
      <w:pPr>
        <w:ind w:firstLine="420" w:firstLineChars="200"/>
      </w:pPr>
      <w:r>
        <w:rPr>
          <w:rFonts w:hint="eastAsia"/>
        </w:rPr>
        <w:t>（</w:t>
      </w:r>
      <w:r>
        <w:rPr>
          <w:rFonts w:hint="eastAsia"/>
          <w:lang w:val="en-US" w:eastAsia="zh-CN"/>
        </w:rPr>
        <w:t>2</w:t>
      </w:r>
      <w:r>
        <w:rPr>
          <w:rFonts w:hint="eastAsia"/>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金额的各部分费率如下表：</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038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096033A">
            <w:pPr>
              <w:widowControl/>
              <w:spacing w:line="360" w:lineRule="auto"/>
              <w:jc w:val="center"/>
            </w:pPr>
            <w:r>
              <w:rPr>
                <w:rFonts w:hint="eastAsia"/>
                <w:lang w:val="en-US" w:eastAsia="zh-CN"/>
              </w:rPr>
              <w:t>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金额</w:t>
            </w:r>
          </w:p>
        </w:tc>
        <w:tc>
          <w:tcPr>
            <w:tcW w:w="1799" w:type="dxa"/>
            <w:vAlign w:val="center"/>
          </w:tcPr>
          <w:p w14:paraId="42F6C6EB">
            <w:pPr>
              <w:widowControl/>
              <w:spacing w:line="360" w:lineRule="auto"/>
              <w:jc w:val="center"/>
            </w:pPr>
            <w:r>
              <w:rPr>
                <w:rFonts w:hint="eastAsia"/>
              </w:rPr>
              <w:t>货物采购</w:t>
            </w:r>
          </w:p>
        </w:tc>
        <w:tc>
          <w:tcPr>
            <w:tcW w:w="1799" w:type="dxa"/>
            <w:vAlign w:val="center"/>
          </w:tcPr>
          <w:p w14:paraId="7BF06ED3">
            <w:pPr>
              <w:widowControl/>
              <w:spacing w:line="360" w:lineRule="auto"/>
              <w:jc w:val="center"/>
            </w:pPr>
            <w:r>
              <w:rPr>
                <w:rFonts w:hint="eastAsia"/>
              </w:rPr>
              <w:t>服务采购</w:t>
            </w:r>
          </w:p>
        </w:tc>
        <w:tc>
          <w:tcPr>
            <w:tcW w:w="1799" w:type="dxa"/>
            <w:vAlign w:val="center"/>
          </w:tcPr>
          <w:p w14:paraId="2E089D89">
            <w:pPr>
              <w:widowControl/>
              <w:spacing w:line="360" w:lineRule="auto"/>
              <w:jc w:val="center"/>
            </w:pPr>
            <w:r>
              <w:rPr>
                <w:rFonts w:hint="eastAsia"/>
              </w:rPr>
              <w:t>工程采购</w:t>
            </w:r>
          </w:p>
        </w:tc>
      </w:tr>
      <w:tr w14:paraId="5856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4466DB">
            <w:pPr>
              <w:widowControl/>
              <w:spacing w:line="360" w:lineRule="auto"/>
              <w:jc w:val="center"/>
            </w:pPr>
            <w:r>
              <w:rPr>
                <w:rFonts w:hint="eastAsia"/>
              </w:rPr>
              <w:t>100万元以下</w:t>
            </w:r>
          </w:p>
        </w:tc>
        <w:tc>
          <w:tcPr>
            <w:tcW w:w="1799" w:type="dxa"/>
            <w:vAlign w:val="center"/>
          </w:tcPr>
          <w:p w14:paraId="3A04E00A">
            <w:pPr>
              <w:widowControl/>
              <w:spacing w:line="360" w:lineRule="auto"/>
              <w:jc w:val="center"/>
            </w:pPr>
            <w:r>
              <w:rPr>
                <w:rFonts w:hint="eastAsia"/>
              </w:rPr>
              <w:t>1.5%</w:t>
            </w:r>
          </w:p>
        </w:tc>
        <w:tc>
          <w:tcPr>
            <w:tcW w:w="1799" w:type="dxa"/>
            <w:vAlign w:val="center"/>
          </w:tcPr>
          <w:p w14:paraId="323CD51E">
            <w:pPr>
              <w:widowControl/>
              <w:spacing w:line="360" w:lineRule="auto"/>
              <w:jc w:val="center"/>
            </w:pPr>
            <w:r>
              <w:rPr>
                <w:rFonts w:hint="eastAsia"/>
              </w:rPr>
              <w:t>1.5%</w:t>
            </w:r>
          </w:p>
        </w:tc>
        <w:tc>
          <w:tcPr>
            <w:tcW w:w="1799" w:type="dxa"/>
            <w:vAlign w:val="center"/>
          </w:tcPr>
          <w:p w14:paraId="578E9179">
            <w:pPr>
              <w:widowControl/>
              <w:spacing w:line="360" w:lineRule="auto"/>
              <w:jc w:val="center"/>
            </w:pPr>
            <w:r>
              <w:rPr>
                <w:rFonts w:hint="eastAsia"/>
              </w:rPr>
              <w:t>1.0%</w:t>
            </w:r>
          </w:p>
        </w:tc>
      </w:tr>
      <w:tr w14:paraId="13C7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DD74A96">
            <w:pPr>
              <w:widowControl/>
              <w:spacing w:line="360" w:lineRule="auto"/>
              <w:jc w:val="center"/>
            </w:pPr>
            <w:r>
              <w:rPr>
                <w:rFonts w:hint="eastAsia"/>
              </w:rPr>
              <w:t>100万元（含）-500万元</w:t>
            </w:r>
          </w:p>
        </w:tc>
        <w:tc>
          <w:tcPr>
            <w:tcW w:w="1799" w:type="dxa"/>
            <w:vAlign w:val="center"/>
          </w:tcPr>
          <w:p w14:paraId="7C8567EA">
            <w:pPr>
              <w:widowControl/>
              <w:spacing w:line="360" w:lineRule="auto"/>
              <w:jc w:val="center"/>
            </w:pPr>
            <w:r>
              <w:rPr>
                <w:rFonts w:hint="eastAsia"/>
              </w:rPr>
              <w:t>1.1%</w:t>
            </w:r>
          </w:p>
        </w:tc>
        <w:tc>
          <w:tcPr>
            <w:tcW w:w="1799" w:type="dxa"/>
            <w:vAlign w:val="center"/>
          </w:tcPr>
          <w:p w14:paraId="4EADCEA8">
            <w:pPr>
              <w:widowControl/>
              <w:spacing w:line="360" w:lineRule="auto"/>
              <w:jc w:val="center"/>
            </w:pPr>
            <w:r>
              <w:rPr>
                <w:rFonts w:hint="eastAsia"/>
              </w:rPr>
              <w:t>0.8%</w:t>
            </w:r>
          </w:p>
        </w:tc>
        <w:tc>
          <w:tcPr>
            <w:tcW w:w="1799" w:type="dxa"/>
            <w:vAlign w:val="center"/>
          </w:tcPr>
          <w:p w14:paraId="2B230290">
            <w:pPr>
              <w:widowControl/>
              <w:spacing w:line="360" w:lineRule="auto"/>
              <w:jc w:val="center"/>
            </w:pPr>
            <w:r>
              <w:rPr>
                <w:rFonts w:hint="eastAsia"/>
              </w:rPr>
              <w:t>0.7%</w:t>
            </w:r>
          </w:p>
        </w:tc>
      </w:tr>
      <w:tr w14:paraId="00AE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6B8EF8">
            <w:pPr>
              <w:widowControl/>
              <w:spacing w:line="360" w:lineRule="auto"/>
              <w:jc w:val="center"/>
            </w:pPr>
            <w:r>
              <w:rPr>
                <w:rFonts w:hint="eastAsia"/>
              </w:rPr>
              <w:t>500万元（含）-1000万元</w:t>
            </w:r>
          </w:p>
        </w:tc>
        <w:tc>
          <w:tcPr>
            <w:tcW w:w="1799" w:type="dxa"/>
            <w:vAlign w:val="center"/>
          </w:tcPr>
          <w:p w14:paraId="3EF94F82">
            <w:pPr>
              <w:widowControl/>
              <w:spacing w:line="360" w:lineRule="auto"/>
              <w:jc w:val="center"/>
            </w:pPr>
            <w:r>
              <w:rPr>
                <w:rFonts w:hint="eastAsia"/>
              </w:rPr>
              <w:t>0.8%</w:t>
            </w:r>
          </w:p>
        </w:tc>
        <w:tc>
          <w:tcPr>
            <w:tcW w:w="1799" w:type="dxa"/>
            <w:vAlign w:val="center"/>
          </w:tcPr>
          <w:p w14:paraId="2412875A">
            <w:pPr>
              <w:widowControl/>
              <w:spacing w:line="360" w:lineRule="auto"/>
              <w:jc w:val="center"/>
            </w:pPr>
            <w:r>
              <w:rPr>
                <w:rFonts w:hint="eastAsia"/>
              </w:rPr>
              <w:t>0.45%</w:t>
            </w:r>
          </w:p>
        </w:tc>
        <w:tc>
          <w:tcPr>
            <w:tcW w:w="1799" w:type="dxa"/>
            <w:vAlign w:val="center"/>
          </w:tcPr>
          <w:p w14:paraId="7A7F349F">
            <w:pPr>
              <w:widowControl/>
              <w:spacing w:line="360" w:lineRule="auto"/>
              <w:jc w:val="center"/>
            </w:pPr>
            <w:r>
              <w:rPr>
                <w:rFonts w:hint="eastAsia"/>
              </w:rPr>
              <w:t>0.55%</w:t>
            </w:r>
          </w:p>
        </w:tc>
      </w:tr>
      <w:tr w14:paraId="6849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FCC358">
            <w:pPr>
              <w:widowControl/>
              <w:spacing w:line="360" w:lineRule="auto"/>
              <w:jc w:val="center"/>
            </w:pPr>
            <w:r>
              <w:rPr>
                <w:rFonts w:hint="eastAsia"/>
              </w:rPr>
              <w:t>1000万元（含）-5000万元</w:t>
            </w:r>
          </w:p>
        </w:tc>
        <w:tc>
          <w:tcPr>
            <w:tcW w:w="1799" w:type="dxa"/>
            <w:vAlign w:val="center"/>
          </w:tcPr>
          <w:p w14:paraId="43A47FFA">
            <w:pPr>
              <w:widowControl/>
              <w:spacing w:line="360" w:lineRule="auto"/>
              <w:jc w:val="center"/>
            </w:pPr>
            <w:r>
              <w:rPr>
                <w:rFonts w:hint="eastAsia"/>
              </w:rPr>
              <w:t>0.5%</w:t>
            </w:r>
          </w:p>
        </w:tc>
        <w:tc>
          <w:tcPr>
            <w:tcW w:w="1799" w:type="dxa"/>
            <w:vAlign w:val="center"/>
          </w:tcPr>
          <w:p w14:paraId="6752E92E">
            <w:pPr>
              <w:widowControl/>
              <w:spacing w:line="360" w:lineRule="auto"/>
              <w:jc w:val="center"/>
            </w:pPr>
            <w:r>
              <w:rPr>
                <w:rFonts w:hint="eastAsia"/>
              </w:rPr>
              <w:t>0.25%</w:t>
            </w:r>
          </w:p>
        </w:tc>
        <w:tc>
          <w:tcPr>
            <w:tcW w:w="1799" w:type="dxa"/>
            <w:vAlign w:val="center"/>
          </w:tcPr>
          <w:p w14:paraId="54F36AC8">
            <w:pPr>
              <w:widowControl/>
              <w:spacing w:line="360" w:lineRule="auto"/>
              <w:jc w:val="center"/>
            </w:pPr>
            <w:r>
              <w:rPr>
                <w:rFonts w:hint="eastAsia"/>
              </w:rPr>
              <w:t>0.35%</w:t>
            </w:r>
          </w:p>
        </w:tc>
      </w:tr>
      <w:tr w14:paraId="4E9C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19F1007">
            <w:pPr>
              <w:widowControl/>
              <w:spacing w:line="360" w:lineRule="auto"/>
              <w:jc w:val="center"/>
            </w:pPr>
            <w:r>
              <w:rPr>
                <w:rFonts w:hint="eastAsia"/>
              </w:rPr>
              <w:t>5000万元（含）-1亿元</w:t>
            </w:r>
          </w:p>
        </w:tc>
        <w:tc>
          <w:tcPr>
            <w:tcW w:w="1799" w:type="dxa"/>
            <w:vAlign w:val="center"/>
          </w:tcPr>
          <w:p w14:paraId="0A02330D">
            <w:pPr>
              <w:widowControl/>
              <w:spacing w:line="360" w:lineRule="auto"/>
              <w:jc w:val="center"/>
            </w:pPr>
            <w:r>
              <w:rPr>
                <w:rFonts w:hint="eastAsia"/>
              </w:rPr>
              <w:t>0.25%</w:t>
            </w:r>
          </w:p>
        </w:tc>
        <w:tc>
          <w:tcPr>
            <w:tcW w:w="1799" w:type="dxa"/>
            <w:vAlign w:val="center"/>
          </w:tcPr>
          <w:p w14:paraId="00D7BFB3">
            <w:pPr>
              <w:widowControl/>
              <w:spacing w:line="360" w:lineRule="auto"/>
              <w:jc w:val="center"/>
            </w:pPr>
            <w:r>
              <w:rPr>
                <w:rFonts w:hint="eastAsia"/>
              </w:rPr>
              <w:t>0.1%</w:t>
            </w:r>
          </w:p>
        </w:tc>
        <w:tc>
          <w:tcPr>
            <w:tcW w:w="1799" w:type="dxa"/>
            <w:vAlign w:val="center"/>
          </w:tcPr>
          <w:p w14:paraId="01EE36C2">
            <w:pPr>
              <w:widowControl/>
              <w:spacing w:line="360" w:lineRule="auto"/>
              <w:jc w:val="center"/>
            </w:pPr>
            <w:r>
              <w:rPr>
                <w:rFonts w:hint="eastAsia"/>
              </w:rPr>
              <w:t>0.2%</w:t>
            </w:r>
          </w:p>
        </w:tc>
      </w:tr>
      <w:tr w14:paraId="4C05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42B5291">
            <w:pPr>
              <w:widowControl/>
              <w:spacing w:line="360" w:lineRule="auto"/>
              <w:jc w:val="center"/>
            </w:pPr>
            <w:r>
              <w:rPr>
                <w:rFonts w:hint="eastAsia"/>
              </w:rPr>
              <w:t>1亿元（含）-5亿元</w:t>
            </w:r>
          </w:p>
        </w:tc>
        <w:tc>
          <w:tcPr>
            <w:tcW w:w="1799" w:type="dxa"/>
            <w:vAlign w:val="center"/>
          </w:tcPr>
          <w:p w14:paraId="47F73FC7">
            <w:pPr>
              <w:widowControl/>
              <w:spacing w:line="360" w:lineRule="auto"/>
              <w:jc w:val="center"/>
            </w:pPr>
            <w:r>
              <w:rPr>
                <w:rFonts w:hint="eastAsia"/>
              </w:rPr>
              <w:t>0.05%</w:t>
            </w:r>
          </w:p>
        </w:tc>
        <w:tc>
          <w:tcPr>
            <w:tcW w:w="1799" w:type="dxa"/>
            <w:vAlign w:val="center"/>
          </w:tcPr>
          <w:p w14:paraId="7F4ED132">
            <w:pPr>
              <w:widowControl/>
              <w:spacing w:line="360" w:lineRule="auto"/>
              <w:jc w:val="center"/>
            </w:pPr>
            <w:r>
              <w:rPr>
                <w:rFonts w:hint="eastAsia"/>
              </w:rPr>
              <w:t>0.05%</w:t>
            </w:r>
          </w:p>
        </w:tc>
        <w:tc>
          <w:tcPr>
            <w:tcW w:w="1799" w:type="dxa"/>
            <w:vAlign w:val="center"/>
          </w:tcPr>
          <w:p w14:paraId="3C15CF2B">
            <w:pPr>
              <w:widowControl/>
              <w:spacing w:line="360" w:lineRule="auto"/>
              <w:jc w:val="center"/>
            </w:pPr>
            <w:r>
              <w:rPr>
                <w:rFonts w:hint="eastAsia"/>
              </w:rPr>
              <w:t>0.05%</w:t>
            </w:r>
          </w:p>
        </w:tc>
      </w:tr>
      <w:tr w14:paraId="02C0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085CDC">
            <w:pPr>
              <w:widowControl/>
              <w:spacing w:line="360" w:lineRule="auto"/>
              <w:jc w:val="center"/>
            </w:pPr>
            <w:r>
              <w:rPr>
                <w:rFonts w:hint="eastAsia"/>
              </w:rPr>
              <w:t>5亿元（含）-10亿元</w:t>
            </w:r>
          </w:p>
        </w:tc>
        <w:tc>
          <w:tcPr>
            <w:tcW w:w="1799" w:type="dxa"/>
            <w:vAlign w:val="center"/>
          </w:tcPr>
          <w:p w14:paraId="2611B594">
            <w:pPr>
              <w:widowControl/>
              <w:spacing w:line="360" w:lineRule="auto"/>
              <w:jc w:val="center"/>
            </w:pPr>
            <w:r>
              <w:rPr>
                <w:rFonts w:hint="eastAsia"/>
              </w:rPr>
              <w:t>0.035%</w:t>
            </w:r>
          </w:p>
        </w:tc>
        <w:tc>
          <w:tcPr>
            <w:tcW w:w="1799" w:type="dxa"/>
            <w:vAlign w:val="center"/>
          </w:tcPr>
          <w:p w14:paraId="0A6AC9D3">
            <w:pPr>
              <w:widowControl/>
              <w:spacing w:line="360" w:lineRule="auto"/>
              <w:jc w:val="center"/>
            </w:pPr>
            <w:r>
              <w:rPr>
                <w:rFonts w:hint="eastAsia"/>
              </w:rPr>
              <w:t>0.035%</w:t>
            </w:r>
          </w:p>
        </w:tc>
        <w:tc>
          <w:tcPr>
            <w:tcW w:w="1799" w:type="dxa"/>
            <w:vAlign w:val="center"/>
          </w:tcPr>
          <w:p w14:paraId="324087A5">
            <w:pPr>
              <w:widowControl/>
              <w:spacing w:line="360" w:lineRule="auto"/>
              <w:jc w:val="center"/>
            </w:pPr>
            <w:r>
              <w:rPr>
                <w:rFonts w:hint="eastAsia"/>
              </w:rPr>
              <w:t>0.035%</w:t>
            </w:r>
          </w:p>
        </w:tc>
      </w:tr>
      <w:tr w14:paraId="3312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0AEB37ED">
            <w:pPr>
              <w:widowControl/>
              <w:spacing w:line="360" w:lineRule="auto"/>
              <w:jc w:val="center"/>
            </w:pPr>
            <w:r>
              <w:rPr>
                <w:rFonts w:hint="eastAsia"/>
              </w:rPr>
              <w:t>10亿元（含）-50亿元</w:t>
            </w:r>
          </w:p>
        </w:tc>
        <w:tc>
          <w:tcPr>
            <w:tcW w:w="1799" w:type="dxa"/>
            <w:vAlign w:val="center"/>
          </w:tcPr>
          <w:p w14:paraId="6DC05A17">
            <w:pPr>
              <w:widowControl/>
              <w:spacing w:line="360" w:lineRule="auto"/>
              <w:jc w:val="center"/>
            </w:pPr>
            <w:r>
              <w:rPr>
                <w:rFonts w:hint="eastAsia"/>
              </w:rPr>
              <w:t>0.008%</w:t>
            </w:r>
          </w:p>
        </w:tc>
        <w:tc>
          <w:tcPr>
            <w:tcW w:w="1799" w:type="dxa"/>
            <w:vAlign w:val="center"/>
          </w:tcPr>
          <w:p w14:paraId="18A1BFA6">
            <w:pPr>
              <w:widowControl/>
              <w:spacing w:line="360" w:lineRule="auto"/>
              <w:jc w:val="center"/>
            </w:pPr>
            <w:r>
              <w:rPr>
                <w:rFonts w:hint="eastAsia"/>
              </w:rPr>
              <w:t>0.008%</w:t>
            </w:r>
          </w:p>
        </w:tc>
        <w:tc>
          <w:tcPr>
            <w:tcW w:w="1799" w:type="dxa"/>
            <w:vAlign w:val="center"/>
          </w:tcPr>
          <w:p w14:paraId="6F9FCBEC">
            <w:pPr>
              <w:widowControl/>
              <w:spacing w:line="360" w:lineRule="auto"/>
              <w:jc w:val="center"/>
            </w:pPr>
            <w:r>
              <w:rPr>
                <w:rFonts w:hint="eastAsia"/>
              </w:rPr>
              <w:t>0.008%</w:t>
            </w:r>
          </w:p>
        </w:tc>
      </w:tr>
      <w:tr w14:paraId="03EC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1E4784A">
            <w:pPr>
              <w:widowControl/>
              <w:spacing w:line="360" w:lineRule="auto"/>
              <w:jc w:val="center"/>
            </w:pPr>
            <w:r>
              <w:rPr>
                <w:rFonts w:hint="eastAsia"/>
              </w:rPr>
              <w:t>50亿元（含）-100亿元</w:t>
            </w:r>
          </w:p>
        </w:tc>
        <w:tc>
          <w:tcPr>
            <w:tcW w:w="1799" w:type="dxa"/>
            <w:vAlign w:val="center"/>
          </w:tcPr>
          <w:p w14:paraId="40D71A66">
            <w:pPr>
              <w:widowControl/>
              <w:spacing w:line="360" w:lineRule="auto"/>
              <w:jc w:val="center"/>
            </w:pPr>
            <w:r>
              <w:rPr>
                <w:rFonts w:hint="eastAsia"/>
              </w:rPr>
              <w:t>0.006%</w:t>
            </w:r>
          </w:p>
        </w:tc>
        <w:tc>
          <w:tcPr>
            <w:tcW w:w="1799" w:type="dxa"/>
            <w:vAlign w:val="center"/>
          </w:tcPr>
          <w:p w14:paraId="6AC24F7B">
            <w:pPr>
              <w:widowControl/>
              <w:spacing w:line="360" w:lineRule="auto"/>
              <w:jc w:val="center"/>
            </w:pPr>
            <w:r>
              <w:rPr>
                <w:rFonts w:hint="eastAsia"/>
              </w:rPr>
              <w:t>0.006%</w:t>
            </w:r>
          </w:p>
        </w:tc>
        <w:tc>
          <w:tcPr>
            <w:tcW w:w="1799" w:type="dxa"/>
            <w:vAlign w:val="center"/>
          </w:tcPr>
          <w:p w14:paraId="2E88C768">
            <w:pPr>
              <w:widowControl/>
              <w:spacing w:line="360" w:lineRule="auto"/>
              <w:jc w:val="center"/>
            </w:pPr>
            <w:r>
              <w:rPr>
                <w:rFonts w:hint="eastAsia"/>
              </w:rPr>
              <w:t>0.006%</w:t>
            </w:r>
          </w:p>
        </w:tc>
      </w:tr>
      <w:tr w14:paraId="25FB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AA928F">
            <w:pPr>
              <w:widowControl/>
              <w:spacing w:line="360" w:lineRule="auto"/>
              <w:jc w:val="center"/>
            </w:pPr>
            <w:r>
              <w:rPr>
                <w:rFonts w:hint="eastAsia"/>
              </w:rPr>
              <w:t>100亿元（含）以上</w:t>
            </w:r>
          </w:p>
        </w:tc>
        <w:tc>
          <w:tcPr>
            <w:tcW w:w="1799" w:type="dxa"/>
            <w:vAlign w:val="center"/>
          </w:tcPr>
          <w:p w14:paraId="347FDDE3">
            <w:pPr>
              <w:widowControl/>
              <w:spacing w:line="360" w:lineRule="auto"/>
              <w:jc w:val="center"/>
            </w:pPr>
            <w:r>
              <w:rPr>
                <w:rFonts w:hint="eastAsia"/>
              </w:rPr>
              <w:t>0.004%</w:t>
            </w:r>
          </w:p>
        </w:tc>
        <w:tc>
          <w:tcPr>
            <w:tcW w:w="1799" w:type="dxa"/>
            <w:vAlign w:val="center"/>
          </w:tcPr>
          <w:p w14:paraId="0F4E03D8">
            <w:pPr>
              <w:widowControl/>
              <w:spacing w:line="360" w:lineRule="auto"/>
              <w:jc w:val="center"/>
            </w:pPr>
            <w:r>
              <w:rPr>
                <w:rFonts w:hint="eastAsia"/>
              </w:rPr>
              <w:t>0.004%</w:t>
            </w:r>
          </w:p>
        </w:tc>
        <w:tc>
          <w:tcPr>
            <w:tcW w:w="1799" w:type="dxa"/>
            <w:vAlign w:val="center"/>
          </w:tcPr>
          <w:p w14:paraId="57374CE0">
            <w:pPr>
              <w:widowControl/>
              <w:spacing w:line="360" w:lineRule="auto"/>
              <w:jc w:val="center"/>
            </w:pPr>
            <w:r>
              <w:rPr>
                <w:rFonts w:hint="eastAsia"/>
              </w:rPr>
              <w:t>0.004%</w:t>
            </w:r>
          </w:p>
        </w:tc>
      </w:tr>
    </w:tbl>
    <w:p w14:paraId="2469DD85">
      <w:pPr>
        <w:ind w:firstLine="420" w:firstLineChars="200"/>
      </w:pPr>
      <w:r>
        <w:rPr>
          <w:rFonts w:hint="eastAsia"/>
        </w:rPr>
        <w:t xml:space="preserve">备注：1.每宗交易代理服务费不低于 </w:t>
      </w:r>
      <w:r>
        <w:rPr>
          <w:rFonts w:hint="eastAsia"/>
          <w:lang w:val="en-US" w:eastAsia="zh-CN"/>
        </w:rPr>
        <w:t>5</w:t>
      </w:r>
      <w:r>
        <w:rPr>
          <w:rFonts w:hint="eastAsia"/>
        </w:rPr>
        <w:t>000 元；</w:t>
      </w:r>
    </w:p>
    <w:p w14:paraId="40350AEE">
      <w:pPr>
        <w:ind w:firstLine="420" w:firstLineChars="200"/>
        <w:rPr>
          <w:rFonts w:hint="eastAsia" w:eastAsia="宋体"/>
          <w:lang w:eastAsia="zh-CN"/>
        </w:rPr>
      </w:pPr>
      <w:r>
        <w:rPr>
          <w:rFonts w:hint="eastAsia"/>
        </w:rPr>
        <w:t>2.对于报总价的采购类项目，中标</w:t>
      </w:r>
      <w:r>
        <w:rPr>
          <w:rFonts w:hint="eastAsia"/>
          <w:lang w:eastAsia="zh-CN"/>
        </w:rPr>
        <w:t>（</w:t>
      </w:r>
      <w:r>
        <w:rPr>
          <w:rFonts w:hint="eastAsia"/>
          <w:lang w:val="en-US" w:eastAsia="zh-CN"/>
        </w:rPr>
        <w:t>成交</w:t>
      </w:r>
      <w:r>
        <w:rPr>
          <w:rFonts w:hint="eastAsia"/>
          <w:lang w:eastAsia="zh-CN"/>
        </w:rPr>
        <w:t>）</w:t>
      </w:r>
      <w:r>
        <w:rPr>
          <w:rFonts w:hint="eastAsia"/>
        </w:rPr>
        <w:t>价为中标（成交）金额；对于报单价、折扣或费率的采购类项目，中标</w:t>
      </w:r>
      <w:r>
        <w:rPr>
          <w:rFonts w:hint="eastAsia" w:eastAsia="宋体"/>
          <w:lang w:eastAsia="zh-CN"/>
        </w:rPr>
        <w:t>（</w:t>
      </w:r>
      <w:r>
        <w:rPr>
          <w:rFonts w:hint="eastAsia" w:ascii="Times New Roman" w:eastAsia="宋体"/>
          <w:lang w:val="en-US" w:eastAsia="zh-CN"/>
        </w:rPr>
        <w:t>成交</w:t>
      </w:r>
      <w:r>
        <w:rPr>
          <w:rFonts w:hint="eastAsia" w:eastAsia="宋体"/>
          <w:lang w:eastAsia="zh-CN"/>
        </w:rPr>
        <w:t>）</w:t>
      </w:r>
      <w:r>
        <w:rPr>
          <w:rFonts w:hint="eastAsia"/>
        </w:rPr>
        <w:t>价为预算上限金额或经委托方与代理方确定的支付上限金额；</w:t>
      </w:r>
    </w:p>
    <w:p w14:paraId="759F31DB">
      <w:pPr>
        <w:ind w:firstLine="420" w:firstLineChars="200"/>
      </w:pPr>
    </w:p>
    <w:p w14:paraId="7F42D481">
      <w:pPr>
        <w:ind w:firstLine="420" w:firstLineChars="200"/>
      </w:pPr>
      <w:r>
        <w:rPr>
          <w:rFonts w:hint="eastAsia"/>
        </w:rPr>
        <w:t>如某货物采购项目，中标（成交）金额为600万元，总共交纳的代理服务费的具体计算过程如下：</w:t>
      </w:r>
    </w:p>
    <w:p w14:paraId="43D78BDF">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0BB90DE9">
      <w:pPr>
        <w:ind w:firstLine="420" w:firstLineChars="200"/>
        <w:rPr>
          <w:rFonts w:hint="eastAsia"/>
        </w:rPr>
      </w:pPr>
      <w:r>
        <w:rPr>
          <w:rFonts w:hint="eastAsia"/>
        </w:rPr>
        <w:t>（</w:t>
      </w:r>
      <w:r>
        <w:rPr>
          <w:rFonts w:hint="eastAsia"/>
          <w:lang w:val="en-US" w:eastAsia="zh-CN"/>
        </w:rPr>
        <w:t>3</w:t>
      </w:r>
      <w:r>
        <w:rPr>
          <w:rFonts w:hint="eastAsia"/>
        </w:rPr>
        <w:t>）中标（成交）供应商中标（成交）后，必须按规定采用银行对公转账方式向深圳交易集团有限公司直接交纳代理服务费，交纳信息及要求按照缴款</w:t>
      </w:r>
      <w:r>
        <w:rPr>
          <w:rFonts w:hint="eastAsia"/>
          <w:lang w:eastAsia="zh-CN"/>
        </w:rPr>
        <w:t>（</w:t>
      </w:r>
      <w:r>
        <w:rPr>
          <w:rFonts w:hint="eastAsia"/>
          <w:lang w:val="en-US" w:eastAsia="zh-CN"/>
        </w:rPr>
        <w:t>付款</w:t>
      </w:r>
      <w:r>
        <w:rPr>
          <w:rFonts w:hint="eastAsia"/>
          <w:lang w:eastAsia="zh-CN"/>
        </w:rPr>
        <w:t>）</w:t>
      </w:r>
      <w:r>
        <w:rPr>
          <w:rFonts w:hint="eastAsia"/>
        </w:rPr>
        <w:t>通知书执行。</w:t>
      </w:r>
    </w:p>
    <w:p w14:paraId="4E473AB0">
      <w:pPr>
        <w:ind w:firstLine="420" w:firstLineChars="200"/>
        <w:rPr>
          <w:rFonts w:hint="default" w:eastAsia="宋体"/>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本项目代理服务费在以上收费标准的基础上下浮20%进行计算，每宗交易代理服务费不低于 5000 元。</w:t>
      </w:r>
    </w:p>
    <w:p w14:paraId="1214D69D">
      <w:pPr>
        <w:pStyle w:val="37"/>
        <w:tabs>
          <w:tab w:val="left" w:pos="2286"/>
        </w:tabs>
        <w:rPr>
          <w:rFonts w:hint="eastAsia" w:eastAsia="宋体"/>
          <w:b/>
          <w:lang w:eastAsia="zh-CN"/>
        </w:rPr>
        <w:sectPr>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pPr>
    </w:p>
    <w:bookmarkEnd w:id="34"/>
    <w:p w14:paraId="4D711D9A">
      <w:pPr>
        <w:pStyle w:val="5"/>
        <w:rPr>
          <w:sz w:val="28"/>
          <w:szCs w:val="28"/>
        </w:rPr>
      </w:pPr>
      <w:r>
        <w:rPr>
          <w:rFonts w:hint="eastAsia"/>
          <w:sz w:val="28"/>
          <w:szCs w:val="28"/>
        </w:rPr>
        <w:t>第三章 用户需求书</w:t>
      </w:r>
    </w:p>
    <w:p w14:paraId="2F674251">
      <w:pPr>
        <w:pStyle w:val="5"/>
        <w:spacing w:before="120" w:beforeLines="50" w:after="120" w:afterLines="50"/>
        <w:rPr>
          <w:szCs w:val="24"/>
        </w:rPr>
      </w:pPr>
      <w:r>
        <w:rPr>
          <w:rFonts w:hint="eastAsia"/>
          <w:szCs w:val="24"/>
        </w:rPr>
        <w:t>一、项目基本信息</w:t>
      </w:r>
    </w:p>
    <w:p w14:paraId="1C30ED7E">
      <w:pPr>
        <w:outlineLvl w:val="0"/>
        <w:rPr>
          <w:rFonts w:ascii="宋体" w:hAnsi="宋体"/>
          <w:b/>
          <w:color w:val="FF0000"/>
          <w:szCs w:val="21"/>
        </w:rPr>
      </w:pP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3142"/>
        <w:gridCol w:w="2456"/>
        <w:gridCol w:w="2457"/>
      </w:tblGrid>
      <w:tr w14:paraId="0347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 w:type="pct"/>
            <w:vAlign w:val="center"/>
          </w:tcPr>
          <w:p w14:paraId="63EB863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序号</w:t>
            </w:r>
          </w:p>
        </w:tc>
        <w:tc>
          <w:tcPr>
            <w:tcW w:w="1842" w:type="pct"/>
            <w:vAlign w:val="center"/>
          </w:tcPr>
          <w:p w14:paraId="63BA0EC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采购项目名称</w:t>
            </w:r>
          </w:p>
        </w:tc>
        <w:tc>
          <w:tcPr>
            <w:tcW w:w="1440" w:type="pct"/>
            <w:vAlign w:val="center"/>
          </w:tcPr>
          <w:p w14:paraId="6F0361CE">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lang w:val="en-US" w:eastAsia="zh-CN"/>
              </w:rPr>
            </w:pPr>
            <w:r>
              <w:rPr>
                <w:rFonts w:hint="eastAsia" w:asciiTheme="minorEastAsia" w:hAnsiTheme="minorEastAsia" w:eastAsiaTheme="minorEastAsia" w:cstheme="minorEastAsia"/>
                <w:b/>
                <w:bCs/>
                <w:color w:val="FF0000"/>
                <w:sz w:val="21"/>
                <w:szCs w:val="21"/>
                <w:lang w:val="en-US" w:eastAsia="zh-CN"/>
              </w:rPr>
              <w:t>包组</w:t>
            </w:r>
          </w:p>
        </w:tc>
        <w:tc>
          <w:tcPr>
            <w:tcW w:w="1440" w:type="pct"/>
            <w:vAlign w:val="center"/>
          </w:tcPr>
          <w:p w14:paraId="5F922BE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预算限额（元）</w:t>
            </w:r>
          </w:p>
        </w:tc>
      </w:tr>
      <w:tr w14:paraId="076E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76" w:type="pct"/>
            <w:vAlign w:val="center"/>
          </w:tcPr>
          <w:p w14:paraId="4B41FE17">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color w:val="FF0000"/>
                <w:sz w:val="21"/>
                <w:szCs w:val="21"/>
              </w:rPr>
            </w:pPr>
            <w:r>
              <w:rPr>
                <w:rFonts w:hint="eastAsia" w:asciiTheme="minorEastAsia" w:hAnsiTheme="minorEastAsia" w:eastAsiaTheme="minorEastAsia" w:cstheme="minorEastAsia"/>
                <w:bCs/>
                <w:color w:val="FF0000"/>
                <w:sz w:val="21"/>
                <w:szCs w:val="21"/>
              </w:rPr>
              <w:t>1</w:t>
            </w:r>
          </w:p>
        </w:tc>
        <w:tc>
          <w:tcPr>
            <w:tcW w:w="1842" w:type="pct"/>
            <w:vAlign w:val="center"/>
          </w:tcPr>
          <w:p w14:paraId="5E691515">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FF0000"/>
                <w:sz w:val="21"/>
                <w:szCs w:val="21"/>
                <w:lang w:eastAsia="zh-CN"/>
              </w:rPr>
            </w:pPr>
            <w:r>
              <w:rPr>
                <w:rFonts w:hint="eastAsia" w:asciiTheme="minorEastAsia" w:hAnsiTheme="minorEastAsia" w:eastAsiaTheme="minorEastAsia" w:cstheme="minorEastAsia"/>
                <w:b/>
                <w:bCs/>
                <w:color w:val="FF0000"/>
                <w:sz w:val="21"/>
                <w:szCs w:val="21"/>
              </w:rPr>
              <w:t>深圳市龙岗区第二人民医院新院区检验科试剂耗材及配套设备采购项目</w:t>
            </w:r>
          </w:p>
        </w:tc>
        <w:tc>
          <w:tcPr>
            <w:tcW w:w="1440" w:type="pct"/>
            <w:vAlign w:val="center"/>
          </w:tcPr>
          <w:p w14:paraId="443267D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color w:val="FF0000"/>
                <w:sz w:val="21"/>
                <w:szCs w:val="21"/>
                <w:lang w:val="en-US" w:eastAsia="zh-CN"/>
              </w:rPr>
            </w:pPr>
            <w:r>
              <w:rPr>
                <w:rFonts w:hint="eastAsia" w:asciiTheme="minorEastAsia" w:hAnsiTheme="minorEastAsia" w:eastAsiaTheme="minorEastAsia" w:cstheme="minorEastAsia"/>
                <w:bCs/>
                <w:color w:val="FF0000"/>
                <w:sz w:val="21"/>
                <w:szCs w:val="21"/>
                <w:lang w:val="en-US" w:eastAsia="zh-CN"/>
              </w:rPr>
              <w:t>A包</w:t>
            </w:r>
          </w:p>
        </w:tc>
        <w:tc>
          <w:tcPr>
            <w:tcW w:w="1440" w:type="pct"/>
            <w:vAlign w:val="center"/>
          </w:tcPr>
          <w:p w14:paraId="37DA76FF">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Cs/>
                <w:color w:val="FF0000"/>
                <w:sz w:val="21"/>
                <w:szCs w:val="21"/>
                <w:lang w:val="en-US" w:eastAsia="zh-CN"/>
              </w:rPr>
            </w:pPr>
            <w:r>
              <w:rPr>
                <w:rFonts w:hint="eastAsia" w:asciiTheme="minorEastAsia" w:hAnsiTheme="minorEastAsia" w:eastAsiaTheme="minorEastAsia" w:cstheme="minorEastAsia"/>
                <w:bCs/>
                <w:color w:val="FF0000"/>
                <w:sz w:val="21"/>
                <w:szCs w:val="21"/>
                <w:lang w:val="en-US" w:eastAsia="zh-CN"/>
              </w:rPr>
              <w:t>6,536,000元</w:t>
            </w:r>
          </w:p>
        </w:tc>
      </w:tr>
    </w:tbl>
    <w:p w14:paraId="2A6BF9FA">
      <w:pPr>
        <w:rPr>
          <w:rFonts w:hint="eastAsia"/>
          <w:szCs w:val="24"/>
        </w:rPr>
      </w:pPr>
      <w:r>
        <w:rPr>
          <w:rFonts w:hint="eastAsia" w:ascii="宋体" w:hAnsi="宋体"/>
          <w:b/>
          <w:color w:val="FF0000"/>
          <w:szCs w:val="21"/>
          <w:lang w:val="en-US" w:eastAsia="zh-CN"/>
        </w:rPr>
        <w:t>注：</w:t>
      </w:r>
      <w:r>
        <w:rPr>
          <w:rFonts w:hint="eastAsia" w:ascii="宋体" w:hAnsi="宋体" w:eastAsia="宋体" w:cs="Times New Roman"/>
          <w:b/>
          <w:bCs w:val="0"/>
          <w:i w:val="0"/>
          <w:iCs w:val="0"/>
          <w:caps w:val="0"/>
          <w:color w:val="FF0000"/>
          <w:spacing w:val="0"/>
          <w:sz w:val="21"/>
          <w:szCs w:val="21"/>
          <w:shd w:val="clear" w:fill="auto"/>
        </w:rPr>
        <w:t>深圳医用耗材阳光交易和监管平台</w:t>
      </w:r>
      <w:r>
        <w:rPr>
          <w:rFonts w:hint="eastAsia" w:ascii="宋体" w:hAnsi="宋体"/>
          <w:b/>
          <w:color w:val="FF0000"/>
          <w:szCs w:val="21"/>
          <w:lang w:val="en-US" w:eastAsia="zh-CN"/>
        </w:rPr>
        <w:t>线上采购标的金额预估规模为：5,105,000元，线下采购标的金额预估规模为：1,431,000元</w:t>
      </w:r>
      <w:bookmarkStart w:id="37" w:name="_Hlk72258617"/>
      <w:r>
        <w:rPr>
          <w:rFonts w:hint="eastAsia" w:ascii="宋体" w:hAnsi="宋体"/>
          <w:b/>
          <w:color w:val="FF0000"/>
          <w:szCs w:val="21"/>
          <w:lang w:val="en-US" w:eastAsia="zh-CN"/>
        </w:rPr>
        <w:t>。</w:t>
      </w:r>
    </w:p>
    <w:p w14:paraId="7F4A778B">
      <w:pPr>
        <w:pStyle w:val="5"/>
        <w:spacing w:before="120" w:beforeLines="50" w:after="120" w:afterLines="50"/>
        <w:rPr>
          <w:rFonts w:hint="eastAsia"/>
          <w:szCs w:val="24"/>
        </w:rPr>
      </w:pPr>
    </w:p>
    <w:p w14:paraId="08ABFA32">
      <w:pPr>
        <w:pStyle w:val="5"/>
        <w:spacing w:before="120" w:beforeLines="50" w:after="120" w:afterLines="50"/>
        <w:rPr>
          <w:rFonts w:hint="eastAsia"/>
          <w:szCs w:val="24"/>
        </w:rPr>
      </w:pPr>
      <w:r>
        <w:rPr>
          <w:rFonts w:hint="eastAsia"/>
          <w:szCs w:val="24"/>
        </w:rPr>
        <w:t>二、</w:t>
      </w:r>
      <w:bookmarkStart w:id="38" w:name="_Hlk72073432"/>
      <w:r>
        <w:rPr>
          <w:rFonts w:hint="eastAsia"/>
          <w:szCs w:val="24"/>
        </w:rPr>
        <w:t>货物</w:t>
      </w:r>
      <w:r>
        <w:rPr>
          <w:rFonts w:hint="eastAsia"/>
          <w:szCs w:val="24"/>
          <w:lang w:val="en-US" w:eastAsia="zh-CN"/>
        </w:rPr>
        <w:t>清单</w:t>
      </w:r>
      <w:r>
        <w:rPr>
          <w:rFonts w:hint="eastAsia"/>
          <w:szCs w:val="24"/>
        </w:rPr>
        <w:t>明细</w:t>
      </w:r>
      <w:bookmarkEnd w:id="38"/>
    </w:p>
    <w:p w14:paraId="10469B4C">
      <w:pPr>
        <w:rPr>
          <w:rFonts w:hint="default" w:eastAsia="宋体"/>
          <w:lang w:val="en-US" w:eastAsia="zh-CN"/>
        </w:rPr>
      </w:pPr>
      <w:r>
        <w:rPr>
          <w:rFonts w:hint="eastAsia"/>
          <w:szCs w:val="24"/>
          <w:lang w:val="en-US" w:eastAsia="zh-CN"/>
        </w:rPr>
        <w:t>注：深圳医用耗材阳光交易和监管平台，以下简称“阳光平台”。</w:t>
      </w:r>
    </w:p>
    <w:tbl>
      <w:tblPr>
        <w:tblStyle w:val="44"/>
        <w:tblpPr w:leftFromText="180" w:rightFromText="180" w:vertAnchor="text" w:horzAnchor="page" w:tblpX="1859" w:tblpY="607"/>
        <w:tblOverlap w:val="never"/>
        <w:tblW w:w="8364" w:type="dxa"/>
        <w:tblInd w:w="0" w:type="dxa"/>
        <w:tblLayout w:type="fixed"/>
        <w:tblCellMar>
          <w:top w:w="0" w:type="dxa"/>
          <w:left w:w="108" w:type="dxa"/>
          <w:bottom w:w="0" w:type="dxa"/>
          <w:right w:w="108" w:type="dxa"/>
        </w:tblCellMar>
      </w:tblPr>
      <w:tblGrid>
        <w:gridCol w:w="600"/>
        <w:gridCol w:w="2235"/>
        <w:gridCol w:w="950"/>
        <w:gridCol w:w="1064"/>
        <w:gridCol w:w="1258"/>
        <w:gridCol w:w="2257"/>
      </w:tblGrid>
      <w:tr w14:paraId="754C8445">
        <w:tblPrEx>
          <w:tblCellMar>
            <w:top w:w="0" w:type="dxa"/>
            <w:left w:w="108" w:type="dxa"/>
            <w:bottom w:w="0" w:type="dxa"/>
            <w:right w:w="108" w:type="dxa"/>
          </w:tblCellMar>
        </w:tblPrEx>
        <w:trPr>
          <w:trHeight w:val="39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C2F8">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734B">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C03F2">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最小计量单位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C897">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预计采购数量</w:t>
            </w:r>
          </w:p>
        </w:tc>
        <w:tc>
          <w:tcPr>
            <w:tcW w:w="12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BDDCA">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最小计量单位单价最高限价</w:t>
            </w:r>
          </w:p>
          <w:p w14:paraId="40D49E71">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（元）</w:t>
            </w:r>
          </w:p>
        </w:tc>
        <w:tc>
          <w:tcPr>
            <w:tcW w:w="22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592F7">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备注</w:t>
            </w:r>
          </w:p>
        </w:tc>
      </w:tr>
      <w:tr w14:paraId="24D45D74">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6FEF">
            <w:pPr>
              <w:widowControl/>
              <w:numPr>
                <w:ilvl w:val="0"/>
                <w:numId w:val="9"/>
              </w:numPr>
              <w:ind w:left="425" w:leftChars="0" w:hanging="425" w:firstLineChars="0"/>
              <w:jc w:val="center"/>
              <w:textAlignment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2DEF">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血常规五分类测定试剂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01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57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100000</w:t>
            </w:r>
          </w:p>
          <w:p w14:paraId="621371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4C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5.1657</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A3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6499C56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9695">
            <w:pPr>
              <w:widowControl/>
              <w:numPr>
                <w:ilvl w:val="0"/>
                <w:numId w:val="9"/>
              </w:numPr>
              <w:ind w:left="425" w:leftChars="0" w:hanging="425" w:firstLineChars="0"/>
              <w:jc w:val="center"/>
              <w:textAlignment w:val="center"/>
              <w:rPr>
                <w:rFonts w:hint="eastAsia" w:ascii="宋体" w:hAnsi="宋体" w:eastAsia="宋体" w:cs="宋体"/>
                <w:color w:val="000000"/>
                <w:sz w:val="21"/>
                <w:szCs w:val="21"/>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ED2C">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网织红测定试剂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FB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8E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800</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55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5.5738</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1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4EDFF3B8">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73FA">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DEC0">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超敏C反应蛋白（hs-CRP）测定试剂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247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E4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0B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10.1036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B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1EE9D63">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2B36">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24419">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血清淀粉样蛋白A (SAA)测定试剂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16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56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D7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12.978</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5B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必须</w:t>
            </w:r>
            <w:r>
              <w:rPr>
                <w:rFonts w:hint="eastAsia" w:ascii="宋体" w:hAnsi="宋体" w:eastAsia="宋体" w:cs="宋体"/>
                <w:i w:val="0"/>
                <w:iCs w:val="0"/>
                <w:color w:val="000000"/>
                <w:kern w:val="0"/>
                <w:sz w:val="21"/>
                <w:szCs w:val="21"/>
                <w:u w:val="none"/>
                <w:lang w:val="en-US" w:eastAsia="zh-CN" w:bidi="ar"/>
              </w:rPr>
              <w:t>阳光平台采购</w:t>
            </w:r>
          </w:p>
        </w:tc>
      </w:tr>
      <w:tr w14:paraId="2D2BDC58">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B338">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7B40">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配套检测设备（血球）</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91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64F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0"/>
                <w:sz w:val="21"/>
                <w:szCs w:val="21"/>
                <w:u w:val="none"/>
                <w:lang w:val="en-US" w:eastAsia="zh-CN" w:bidi="ar"/>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EA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FCE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需要报价，但不参与价格分评审。</w:t>
            </w:r>
          </w:p>
        </w:tc>
      </w:tr>
      <w:tr w14:paraId="00ABC3AC">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99EEA">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84F0">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血球配套校准品、质控品及其他耗材</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A8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7A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C2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1C9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投标商可自行增减相关检测项目的校准品、质控品及其他耗材</w:t>
            </w:r>
            <w:r>
              <w:rPr>
                <w:rFonts w:hint="eastAsia" w:ascii="宋体" w:hAnsi="宋体" w:cs="宋体"/>
                <w:i w:val="0"/>
                <w:iCs w:val="0"/>
                <w:color w:val="000000"/>
                <w:kern w:val="0"/>
                <w:sz w:val="21"/>
                <w:szCs w:val="21"/>
                <w:u w:val="none"/>
                <w:lang w:val="en-US" w:eastAsia="zh-CN" w:bidi="ar"/>
              </w:rPr>
              <w:t>，需要报价，但不参与价格分评审。</w:t>
            </w:r>
          </w:p>
        </w:tc>
      </w:tr>
      <w:tr w14:paraId="0A1455C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E3DA">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59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钙（Ca）测定试剂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6C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05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EE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0.1006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1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5A363CDD">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1C5C">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60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无机磷（P）测定试剂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D6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21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3E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0.0912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B5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3138D44">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1ABF">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59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尿酸（UA）测定试剂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9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29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EB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0.1910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AB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4FB1A55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E259">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D6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尿素（UREA）测定试剂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18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1D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BD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0.2027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79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0643B4C">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5B51">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19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肌酐（CREA）测定试剂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7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3B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5E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1.1668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D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83B364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0AA5">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430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二氧化碳（CO2）测定试剂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42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D5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B38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0.9676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C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4B4CE26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F04F">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F6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镁（Mg）测定试剂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349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B2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95</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EF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0.1416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FD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0AF4C7ED">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A7B7">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DF8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肌酸激酶（CK）测定试剂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D7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BA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1A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0.9635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B5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A803423">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D4F1">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B3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乳酸脱氢酶（LDH）测定试剂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18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EB5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1D2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0.1528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60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09AAEC7D">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39E7">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64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总蛋白（TP）测定试剂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B8A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96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F4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0.0449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7C1C176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DDAA">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E9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白蛋白（ALB）测定试剂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AE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02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B8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0.0320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8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36F9422C">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71F4">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07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β2-微球蛋白（β2-MG）测定试剂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D4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A3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40A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5.3257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D0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7F4C9B12">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CE33">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F2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丙氨酸氨基转移酶（ALT）测定试剂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91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08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8B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0.0789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2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39346A94">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6093">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45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天门冬氨酸氨基转移酶（AST）测定试剂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DF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DE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E3D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0.0794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4A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284A76D7">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A6E3">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30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葡萄糖（Glu）测定试剂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7E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FB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7AD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0.2818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0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262D8327">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C945">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B5D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α-淀粉酶（α-AMY）测定试剂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10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0A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4E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2.2429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E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172844C7">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CA6C">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10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脂肪酶（LIP）测定试剂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F8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C5A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4000</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28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5.8608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19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2DA9353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1FF2">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3A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肌酸激酶MB型同工酶（CK-MB）测定试剂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50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86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6000</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98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2.9202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A3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1E888B6D">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5BAA">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C3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β-羟丁酸（β-HB）测定试剂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00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CF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1A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4.0040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E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06CDF4DC">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F8CA">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46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尿/脑脊液总蛋白（TPUC）测定试剂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F9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3D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w:t>
            </w:r>
            <w:r>
              <w:rPr>
                <w:rFonts w:hint="eastAsia" w:ascii="宋体" w:hAnsi="宋体" w:cs="宋体"/>
                <w:i w:val="0"/>
                <w:iCs w:val="0"/>
                <w:color w:val="000000"/>
                <w:kern w:val="2"/>
                <w:sz w:val="21"/>
                <w:szCs w:val="21"/>
                <w:u w:val="none"/>
                <w:lang w:val="en-US" w:eastAsia="zh-CN" w:bidi="ar-SA"/>
              </w:rPr>
              <w:t>0</w:t>
            </w:r>
            <w:r>
              <w:rPr>
                <w:rFonts w:hint="eastAsia" w:ascii="宋体" w:hAnsi="宋体" w:eastAsia="宋体" w:cs="宋体"/>
                <w:i w:val="0"/>
                <w:iCs w:val="0"/>
                <w:color w:val="000000"/>
                <w:kern w:val="2"/>
                <w:sz w:val="21"/>
                <w:szCs w:val="21"/>
                <w:u w:val="none"/>
                <w:lang w:val="en-US" w:eastAsia="zh-CN" w:bidi="ar-SA"/>
              </w:rPr>
              <w:t>0</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AF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0.2831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B5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7494CD2A">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5569">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99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胆碱酯酶（CHE）测定试剂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E6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BF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300</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71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0.2866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A8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5267513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603F">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A5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总胆红素（T-Bil）测定试剂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EA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73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0000</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0A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0.1289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46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44853F3">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F630">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5A2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直接胆红素（D-Bil）测定试剂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88F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23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0000</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E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0.1480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27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3D97652">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EE48">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5DF0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α-羟丁酸脱氢酶（α-HBDH）测定试剂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99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06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r>
              <w:rPr>
                <w:rFonts w:hint="eastAsia" w:ascii="宋体" w:hAnsi="宋体" w:eastAsia="宋体" w:cs="宋体"/>
                <w:i w:val="0"/>
                <w:iCs w:val="0"/>
                <w:color w:val="000000"/>
                <w:kern w:val="0"/>
                <w:sz w:val="21"/>
                <w:szCs w:val="21"/>
                <w:u w:val="none"/>
                <w:lang w:val="en-US" w:eastAsia="zh-CN" w:bidi="ar"/>
              </w:rPr>
              <w:t>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DBA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0.1768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E5C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79D8059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4FD3">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AB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配套检测设备（生化）</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2A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D7C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B7E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63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需要报价，</w:t>
            </w:r>
            <w:r>
              <w:rPr>
                <w:rFonts w:hint="eastAsia" w:ascii="宋体" w:hAnsi="宋体" w:cs="宋体"/>
                <w:i w:val="0"/>
                <w:iCs w:val="0"/>
                <w:color w:val="000000"/>
                <w:kern w:val="0"/>
                <w:sz w:val="21"/>
                <w:szCs w:val="21"/>
                <w:u w:val="none"/>
                <w:lang w:val="en-US" w:eastAsia="zh-CN" w:bidi="ar"/>
              </w:rPr>
              <w:t>但不参与价格分评审。</w:t>
            </w:r>
          </w:p>
        </w:tc>
      </w:tr>
      <w:tr w14:paraId="2B2FDB1F">
        <w:tblPrEx>
          <w:tblCellMar>
            <w:top w:w="0" w:type="dxa"/>
            <w:left w:w="108" w:type="dxa"/>
            <w:bottom w:w="0" w:type="dxa"/>
            <w:right w:w="108" w:type="dxa"/>
          </w:tblCellMar>
        </w:tblPrEx>
        <w:trPr>
          <w:trHeight w:val="186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119D">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41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生化配套校准品、质控品及其他耗材</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A2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74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0D2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03F4">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投标商可自行增减相关检测项目的校准品、质控品及其他耗材，需要报价，</w:t>
            </w:r>
            <w:r>
              <w:rPr>
                <w:rFonts w:hint="eastAsia" w:ascii="宋体" w:hAnsi="宋体" w:cs="宋体"/>
                <w:i w:val="0"/>
                <w:iCs w:val="0"/>
                <w:color w:val="000000"/>
                <w:kern w:val="2"/>
                <w:sz w:val="21"/>
                <w:szCs w:val="21"/>
                <w:u w:val="none"/>
                <w:lang w:val="en-US" w:eastAsia="zh-CN" w:bidi="ar-SA"/>
              </w:rPr>
              <w:t>但不参与价格分评审。</w:t>
            </w:r>
          </w:p>
        </w:tc>
      </w:tr>
      <w:tr w14:paraId="59F5EB6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65CC">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34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F3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B9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70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78.6240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A0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3D5F693B">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783E">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45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肌酸激酶同工酶MB（CK-MB）测定试剂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19D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AFF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ED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14.6160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C0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33E40FAB">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B93E">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DFF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CA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579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9D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30.6075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D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0AC306C1">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D130">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AC8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肌红蛋白（MYO）测定试剂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29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DC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9C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21.1680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79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4BA76860">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D46A5">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71C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降钙素原（PCT）测定试剂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1EF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4A0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A97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34.6500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3E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1F8E2863">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9742">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1D4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白介素6（IL-6）测定试剂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CE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D4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2A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17.7477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DC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1260954">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DB28">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D3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总 β 人绒毛膜促性腺激素（Total β HCG）测定试剂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7E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EE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3A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10.5000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51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19C42F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4E2F">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0A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孕酮（PROG）测定试剂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F65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EE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51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12.6000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64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7883754B">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7A84">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64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雌二醇（E2）测定试剂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045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A3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63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12.6000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3D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4BC3428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8D48">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03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乙型肝炎病毒表面抗原（HBsAg）测定试剂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F3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86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08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7.0298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1F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2E9E3B56">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9A7B">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1D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乙型肝炎病毒表面抗体（Anti-HBs）测定试剂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49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8E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3FB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7.0298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67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3F7EFABC">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0DA19">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A4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乙型肝炎病毒e抗原(HBeAg)测定试剂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61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C7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2B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7.0875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B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074BA9D2">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C798">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53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乙型肝炎病毒e抗体（Anti-HBe）测定试剂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9D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BE6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E51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7.0298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FD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4EDFA07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E03E">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AAF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乙型肝炎病毒核心抗体（Anti-HBc）测定试剂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8A8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DB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CA2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7.0298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A5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4D4AFFFB">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0E36">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57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丙型肝炎病毒抗体（Anti-HCV）测定试剂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9B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E42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7D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16.9050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A6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49D78FC2">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6949">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B6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梅毒螺旋体抗体（Anti-TP）测定试剂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89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1D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10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13.0410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B8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B2F5F8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4BCF">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168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人类免疫缺陷病毒抗原抗体（HIV）测定试剂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BF8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F1D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85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15.7500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CB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E028337">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D61B">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50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配套检测设备（发光）</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8AC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20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0"/>
                <w:sz w:val="21"/>
                <w:szCs w:val="21"/>
                <w:u w:val="none"/>
                <w:lang w:val="en-US" w:eastAsia="zh-CN" w:bidi="ar"/>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A47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E2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需要报价，但不参与价格分评审。</w:t>
            </w:r>
          </w:p>
        </w:tc>
      </w:tr>
      <w:tr w14:paraId="4B966FA7">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43FA">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AB0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发光配套校准品、质控品及其他耗材</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F10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36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195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1D8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投标商可自行增减相关检测项目的校准品、质控品及其他耗材</w:t>
            </w:r>
            <w:r>
              <w:rPr>
                <w:rFonts w:hint="eastAsia" w:ascii="宋体" w:hAnsi="宋体" w:cs="宋体"/>
                <w:i w:val="0"/>
                <w:iCs w:val="0"/>
                <w:color w:val="000000"/>
                <w:kern w:val="0"/>
                <w:sz w:val="21"/>
                <w:szCs w:val="21"/>
                <w:u w:val="none"/>
                <w:lang w:val="en-US" w:eastAsia="zh-CN" w:bidi="ar"/>
              </w:rPr>
              <w:t>，需要报价，但不参与价格分评审。</w:t>
            </w:r>
          </w:p>
        </w:tc>
      </w:tr>
      <w:tr w14:paraId="5BDB1B53">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DDE3">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FF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凝血酶原时间（PT）测定试剂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394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9E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290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1.5960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8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03A9FD3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B8B2">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F14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活化部分凝血活酶时间（APTT）测定试剂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A3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A4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F0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1.4175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89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33AC7CA">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FFD6">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00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纤维蛋白原（FIB）测定试剂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FAB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6D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75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2.5856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8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3B1456AC">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223E">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E7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凝血酶时间（TT）测定试剂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4E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F1D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A4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1.6433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B3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2FD10E8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2A38">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7D4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D-二聚体（D-Dimer)测定试剂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A8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24B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5316</w:t>
            </w:r>
            <w:r>
              <w:rPr>
                <w:rFonts w:hint="eastAsia" w:ascii="宋体" w:hAnsi="宋体" w:eastAsia="宋体" w:cs="宋体"/>
                <w:i w:val="0"/>
                <w:iCs w:val="0"/>
                <w:color w:val="000000"/>
                <w:kern w:val="0"/>
                <w:sz w:val="21"/>
                <w:szCs w:val="21"/>
                <w:u w:val="none"/>
                <w:lang w:val="en-US" w:eastAsia="zh-CN" w:bidi="ar"/>
              </w:rPr>
              <w:t>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CD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27.1600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A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4FD33B02">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D8AC">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6A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纤维蛋白（原）降解产物（FDP）测定试剂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DC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1F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B7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16.1000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3D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6FDC297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4E3A">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8F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抗凝血酶III（AT III）测定试剂</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85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94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2000人份</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D3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16.0650 </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F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必须阳光平台采购</w:t>
            </w:r>
          </w:p>
        </w:tc>
      </w:tr>
      <w:tr w14:paraId="5629130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06AB">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189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配套检测设备（凝血）</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45E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E6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0"/>
                <w:sz w:val="21"/>
                <w:szCs w:val="21"/>
                <w:u w:val="none"/>
                <w:lang w:val="en-US" w:eastAsia="zh-CN" w:bidi="ar"/>
              </w:rPr>
              <w:t>套</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A9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E9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需要报价，但不参与价格分评审。</w:t>
            </w:r>
          </w:p>
        </w:tc>
      </w:tr>
      <w:tr w14:paraId="1C1148B6">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89E7">
            <w:pPr>
              <w:numPr>
                <w:ilvl w:val="0"/>
                <w:numId w:val="9"/>
              </w:numPr>
              <w:ind w:left="425" w:leftChars="0" w:hanging="425" w:firstLineChars="0"/>
              <w:jc w:val="center"/>
              <w:rPr>
                <w:rFonts w:hint="eastAsia" w:ascii="宋体" w:hAnsi="宋体" w:eastAsia="宋体" w:cs="宋体"/>
                <w:color w:val="000000"/>
                <w:sz w:val="21"/>
                <w:szCs w:val="21"/>
                <w:lang w:val="en-US" w:eastAsia="zh-CN"/>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6A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凝血配套校准品、质控品及其他耗材</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84A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3E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69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22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781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投标商可自行增减相关检测项目的校准品、质控品及其他耗材</w:t>
            </w:r>
            <w:r>
              <w:rPr>
                <w:rFonts w:hint="eastAsia" w:ascii="宋体" w:hAnsi="宋体" w:cs="宋体"/>
                <w:i w:val="0"/>
                <w:iCs w:val="0"/>
                <w:color w:val="000000"/>
                <w:kern w:val="0"/>
                <w:sz w:val="21"/>
                <w:szCs w:val="21"/>
                <w:u w:val="none"/>
                <w:lang w:val="en-US" w:eastAsia="zh-CN" w:bidi="ar"/>
              </w:rPr>
              <w:t>，需要报价，但不参与价格分评审。</w:t>
            </w:r>
          </w:p>
        </w:tc>
      </w:tr>
    </w:tbl>
    <w:p w14:paraId="668298CE">
      <w:pPr>
        <w:ind w:firstLine="422" w:firstLineChars="200"/>
        <w:rPr>
          <w:rFonts w:hint="eastAsia" w:ascii="宋体" w:hAnsi="宋体"/>
          <w:b/>
          <w:color w:val="FF0000"/>
          <w:szCs w:val="21"/>
        </w:rPr>
      </w:pPr>
    </w:p>
    <w:p w14:paraId="2D07C99D">
      <w:pPr>
        <w:ind w:firstLine="422" w:firstLineChars="200"/>
        <w:rPr>
          <w:rFonts w:ascii="宋体" w:hAnsi="宋体"/>
          <w:b/>
          <w:color w:val="FF0000"/>
          <w:szCs w:val="21"/>
        </w:rPr>
      </w:pPr>
      <w:r>
        <w:rPr>
          <w:rFonts w:hint="eastAsia" w:ascii="宋体" w:hAnsi="宋体"/>
          <w:b/>
          <w:color w:val="FF0000"/>
          <w:szCs w:val="21"/>
        </w:rPr>
        <w:t>备注：1.</w:t>
      </w:r>
      <w:r>
        <w:rPr>
          <w:rFonts w:hint="eastAsia" w:ascii="宋体" w:hAnsi="宋体"/>
          <w:b/>
          <w:color w:val="FF0000"/>
          <w:szCs w:val="21"/>
          <w:lang w:val="en-US" w:eastAsia="zh-CN"/>
        </w:rPr>
        <w:t>本项目所有货物不接受进口、不专门面向中小企业，标的所属行业为批发业。</w:t>
      </w:r>
    </w:p>
    <w:p w14:paraId="486CECFD">
      <w:pPr>
        <w:ind w:firstLine="422" w:firstLineChars="200"/>
        <w:rPr>
          <w:rFonts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210B8805">
      <w:pPr>
        <w:ind w:firstLine="422" w:firstLineChars="200"/>
        <w:rPr>
          <w:rFonts w:hint="eastAsia" w:ascii="宋体" w:hAnsi="宋体"/>
          <w:b/>
          <w:bCs w:val="0"/>
          <w:color w:val="FF0000"/>
          <w:szCs w:val="21"/>
        </w:rPr>
      </w:pPr>
      <w:r>
        <w:rPr>
          <w:rFonts w:hint="eastAsia" w:ascii="宋体" w:hAnsi="宋体"/>
          <w:b/>
          <w:bCs w:val="0"/>
          <w:color w:val="FF0000"/>
          <w:szCs w:val="21"/>
        </w:rPr>
        <w:t>3、本项目核心产品为：</w:t>
      </w:r>
    </w:p>
    <w:p w14:paraId="67C837BA">
      <w:pPr>
        <w:pStyle w:val="54"/>
        <w:ind w:firstLine="422" w:firstLineChars="200"/>
        <w:rPr>
          <w:rFonts w:hint="eastAsia"/>
          <w:b/>
          <w:bCs w:val="0"/>
          <w:color w:val="FF0000"/>
        </w:rPr>
      </w:pPr>
      <w:r>
        <w:rPr>
          <w:rFonts w:hint="eastAsia"/>
          <w:b/>
          <w:bCs w:val="0"/>
          <w:color w:val="FF0000"/>
        </w:rPr>
        <w:t>血球试剂（“血常规五分类”\“CRP”\“SAA”，即对应“二、货物清单明细”中序号1、序号3、序号4的货物)。</w:t>
      </w:r>
    </w:p>
    <w:p w14:paraId="23551127">
      <w:pPr>
        <w:pStyle w:val="54"/>
        <w:ind w:firstLine="422" w:firstLineChars="200"/>
        <w:rPr>
          <w:rFonts w:hint="eastAsia"/>
          <w:b/>
          <w:bCs w:val="0"/>
          <w:color w:val="FF0000"/>
        </w:rPr>
      </w:pPr>
      <w:r>
        <w:rPr>
          <w:rFonts w:hint="eastAsia"/>
          <w:b/>
          <w:bCs w:val="0"/>
          <w:color w:val="FF0000"/>
        </w:rPr>
        <w:t>生化试剂（“AST”\“ALT”，即对应“二、货物清单明细”中序号19、序号20的货物)）。</w:t>
      </w:r>
    </w:p>
    <w:p w14:paraId="2338C0FE">
      <w:pPr>
        <w:pStyle w:val="54"/>
        <w:ind w:firstLine="422" w:firstLineChars="200"/>
        <w:rPr>
          <w:rFonts w:hint="eastAsia"/>
          <w:b/>
          <w:bCs w:val="0"/>
          <w:color w:val="FF0000"/>
        </w:rPr>
      </w:pPr>
      <w:r>
        <w:rPr>
          <w:rFonts w:hint="eastAsia"/>
          <w:b/>
          <w:bCs w:val="0"/>
          <w:color w:val="FF0000"/>
        </w:rPr>
        <w:t>发光试剂（“肌酸激酶同工酶”\“高敏肌钙蛋白”\“肌红蛋白”\“PCT”\“丙型肝炎病毒抗体”，即对应“二、货物清单明细”中序号34、序号35、序号36、序号37、序号47的货物)。</w:t>
      </w:r>
    </w:p>
    <w:p w14:paraId="12100F37">
      <w:pPr>
        <w:pStyle w:val="54"/>
        <w:ind w:firstLine="422" w:firstLineChars="200"/>
        <w:rPr>
          <w:b/>
          <w:bCs w:val="0"/>
          <w:color w:val="FF0000"/>
        </w:rPr>
      </w:pPr>
      <w:r>
        <w:rPr>
          <w:rFonts w:hint="eastAsia"/>
          <w:b/>
          <w:bCs w:val="0"/>
          <w:color w:val="FF0000"/>
        </w:rPr>
        <w:t>凝血试剂（“PT”\“APTT”\“FIB”\“TT”\“DD”，即对应“二、货物清单明细”中序号52、序号53、序号54、序号55、序号56的货物)</w:t>
      </w:r>
    </w:p>
    <w:bookmarkEnd w:id="37"/>
    <w:p w14:paraId="6BDFDC73">
      <w:pPr>
        <w:rPr>
          <w:rFonts w:ascii="宋体" w:hAnsi="宋体"/>
          <w:b/>
          <w:color w:val="FF0000"/>
          <w:szCs w:val="21"/>
        </w:rPr>
      </w:pPr>
    </w:p>
    <w:p w14:paraId="6DF8C60E">
      <w:pPr>
        <w:pStyle w:val="18"/>
      </w:pPr>
    </w:p>
    <w:p w14:paraId="49C8DD44">
      <w:pPr>
        <w:pStyle w:val="5"/>
        <w:spacing w:before="120" w:beforeLines="50" w:after="120" w:afterLines="50"/>
        <w:rPr>
          <w:sz w:val="28"/>
          <w:szCs w:val="28"/>
        </w:rPr>
      </w:pPr>
      <w:bookmarkStart w:id="39" w:name="_Toc128884461"/>
      <w:r>
        <w:rPr>
          <w:rFonts w:hint="eastAsia"/>
          <w:sz w:val="28"/>
          <w:szCs w:val="28"/>
        </w:rPr>
        <w:t>三、实质性条款</w:t>
      </w:r>
    </w:p>
    <w:tbl>
      <w:tblPr>
        <w:tblStyle w:val="44"/>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10C1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54CAE813">
            <w:pPr>
              <w:adjustRightInd w:val="0"/>
              <w:snapToGrid w:val="0"/>
              <w:spacing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7282" w:type="dxa"/>
            <w:vAlign w:val="center"/>
          </w:tcPr>
          <w:p w14:paraId="6DA96B42">
            <w:pPr>
              <w:adjustRightInd w:val="0"/>
              <w:snapToGrid w:val="0"/>
              <w:spacing w:line="240" w:lineRule="auto"/>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实质性条款具体内容</w:t>
            </w:r>
          </w:p>
        </w:tc>
      </w:tr>
      <w:tr w14:paraId="47C3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DF3D763">
            <w:pPr>
              <w:adjustRightInd w:val="0"/>
              <w:snapToGrid w:val="0"/>
              <w:spacing w:line="240" w:lineRule="auto"/>
              <w:jc w:val="left"/>
              <w:rPr>
                <w:rFonts w:hint="eastAsia" w:ascii="宋体" w:hAnsi="宋体"/>
                <w:color w:val="auto"/>
                <w:kern w:val="0"/>
                <w:szCs w:val="21"/>
              </w:rPr>
            </w:pPr>
            <w:r>
              <w:rPr>
                <w:rFonts w:hint="eastAsia" w:ascii="宋体" w:hAnsi="宋体"/>
                <w:color w:val="auto"/>
                <w:kern w:val="0"/>
                <w:szCs w:val="21"/>
              </w:rPr>
              <w:t>1</w:t>
            </w:r>
          </w:p>
        </w:tc>
        <w:tc>
          <w:tcPr>
            <w:tcW w:w="7282" w:type="dxa"/>
            <w:vAlign w:val="center"/>
          </w:tcPr>
          <w:p w14:paraId="6EB2FD14">
            <w:pPr>
              <w:adjustRightInd w:val="0"/>
              <w:snapToGrid w:val="0"/>
              <w:spacing w:line="240" w:lineRule="auto"/>
              <w:jc w:val="left"/>
              <w:rPr>
                <w:rFonts w:hint="default" w:ascii="宋体" w:hAnsi="宋体"/>
                <w:color w:val="auto"/>
                <w:kern w:val="0"/>
                <w:szCs w:val="21"/>
                <w:lang w:val="en-US" w:eastAsia="zh-CN"/>
              </w:rPr>
            </w:pPr>
            <w:r>
              <w:rPr>
                <w:rFonts w:hint="eastAsia" w:ascii="宋体" w:hAnsi="宋体"/>
                <w:color w:val="auto"/>
                <w:kern w:val="0"/>
                <w:szCs w:val="21"/>
              </w:rPr>
              <w:t>★所投产品</w:t>
            </w:r>
            <w:r>
              <w:rPr>
                <w:rFonts w:hint="eastAsia" w:ascii="宋体" w:hAnsi="宋体"/>
                <w:color w:val="auto"/>
                <w:kern w:val="0"/>
                <w:szCs w:val="21"/>
                <w:lang w:eastAsia="zh-CN"/>
              </w:rPr>
              <w:t>【“二、货物清单明细”中序号</w:t>
            </w:r>
            <w:r>
              <w:rPr>
                <w:rFonts w:hint="eastAsia" w:ascii="宋体" w:hAnsi="宋体"/>
                <w:color w:val="auto"/>
                <w:kern w:val="0"/>
                <w:szCs w:val="21"/>
                <w:lang w:val="en-US" w:eastAsia="zh-CN"/>
              </w:rPr>
              <w:t>6</w:t>
            </w:r>
            <w:r>
              <w:rPr>
                <w:rFonts w:hint="eastAsia" w:ascii="宋体" w:hAnsi="宋体"/>
                <w:color w:val="auto"/>
                <w:kern w:val="0"/>
                <w:szCs w:val="21"/>
                <w:lang w:eastAsia="zh-CN"/>
              </w:rPr>
              <w:t>、序号</w:t>
            </w:r>
            <w:r>
              <w:rPr>
                <w:rFonts w:hint="eastAsia" w:ascii="宋体" w:hAnsi="宋体"/>
                <w:color w:val="auto"/>
                <w:kern w:val="0"/>
                <w:szCs w:val="21"/>
                <w:lang w:val="en-US" w:eastAsia="zh-CN"/>
              </w:rPr>
              <w:t>32</w:t>
            </w:r>
            <w:r>
              <w:rPr>
                <w:rFonts w:hint="eastAsia" w:ascii="宋体" w:hAnsi="宋体"/>
                <w:color w:val="auto"/>
                <w:kern w:val="0"/>
                <w:szCs w:val="21"/>
                <w:lang w:eastAsia="zh-CN"/>
              </w:rPr>
              <w:t>、序号</w:t>
            </w:r>
            <w:r>
              <w:rPr>
                <w:rFonts w:hint="eastAsia" w:ascii="宋体" w:hAnsi="宋体"/>
                <w:color w:val="auto"/>
                <w:kern w:val="0"/>
                <w:szCs w:val="21"/>
                <w:lang w:val="en-US" w:eastAsia="zh-CN"/>
              </w:rPr>
              <w:t>51</w:t>
            </w:r>
            <w:r>
              <w:rPr>
                <w:rFonts w:hint="eastAsia" w:ascii="宋体" w:hAnsi="宋体"/>
                <w:color w:val="auto"/>
                <w:kern w:val="0"/>
                <w:szCs w:val="21"/>
                <w:lang w:eastAsia="zh-CN"/>
              </w:rPr>
              <w:t>、序号</w:t>
            </w:r>
            <w:r>
              <w:rPr>
                <w:rFonts w:hint="eastAsia" w:ascii="宋体" w:hAnsi="宋体"/>
                <w:color w:val="auto"/>
                <w:kern w:val="0"/>
                <w:szCs w:val="21"/>
                <w:lang w:val="en-US" w:eastAsia="zh-CN"/>
              </w:rPr>
              <w:t>60</w:t>
            </w:r>
            <w:r>
              <w:rPr>
                <w:rFonts w:hint="eastAsia" w:ascii="宋体" w:hAnsi="宋体"/>
                <w:color w:val="auto"/>
                <w:kern w:val="0"/>
                <w:szCs w:val="21"/>
                <w:lang w:eastAsia="zh-CN"/>
              </w:rPr>
              <w:t>的货物</w:t>
            </w:r>
            <w:r>
              <w:rPr>
                <w:rFonts w:hint="eastAsia" w:ascii="宋体" w:hAnsi="宋体"/>
                <w:color w:val="auto"/>
                <w:kern w:val="0"/>
                <w:szCs w:val="21"/>
                <w:lang w:val="en-US" w:eastAsia="zh-CN"/>
              </w:rPr>
              <w:t>除外</w:t>
            </w:r>
            <w:r>
              <w:rPr>
                <w:rFonts w:hint="eastAsia" w:ascii="宋体" w:hAnsi="宋体"/>
                <w:color w:val="auto"/>
                <w:kern w:val="0"/>
                <w:szCs w:val="21"/>
                <w:lang w:eastAsia="zh-CN"/>
              </w:rPr>
              <w:t>】</w:t>
            </w:r>
            <w:r>
              <w:rPr>
                <w:rFonts w:hint="eastAsia" w:ascii="宋体" w:hAnsi="宋体"/>
                <w:color w:val="auto"/>
                <w:kern w:val="0"/>
                <w:szCs w:val="21"/>
              </w:rPr>
              <w:t>必须具备有效期内的《医疗器械注册（备案）证》（投标人须提供上述证书的扫描件，原件备查。）</w:t>
            </w:r>
          </w:p>
        </w:tc>
      </w:tr>
      <w:tr w14:paraId="14FD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06" w:type="dxa"/>
            <w:vAlign w:val="center"/>
          </w:tcPr>
          <w:p w14:paraId="7D7F0F33">
            <w:pPr>
              <w:adjustRightInd w:val="0"/>
              <w:snapToGrid w:val="0"/>
              <w:spacing w:line="240" w:lineRule="auto"/>
              <w:jc w:val="left"/>
              <w:rPr>
                <w:rFonts w:hint="eastAsia" w:ascii="宋体" w:hAnsi="宋体"/>
                <w:color w:val="auto"/>
                <w:kern w:val="0"/>
                <w:szCs w:val="21"/>
                <w:lang w:val="en-US"/>
              </w:rPr>
            </w:pPr>
            <w:r>
              <w:rPr>
                <w:rFonts w:hint="eastAsia" w:ascii="宋体" w:hAnsi="宋体"/>
                <w:color w:val="auto"/>
                <w:kern w:val="0"/>
                <w:szCs w:val="21"/>
              </w:rPr>
              <w:t>2</w:t>
            </w:r>
          </w:p>
        </w:tc>
        <w:tc>
          <w:tcPr>
            <w:tcW w:w="7282" w:type="dxa"/>
            <w:vAlign w:val="center"/>
          </w:tcPr>
          <w:p w14:paraId="3D8828A7">
            <w:pPr>
              <w:adjustRightInd w:val="0"/>
              <w:snapToGrid w:val="0"/>
              <w:spacing w:line="240" w:lineRule="auto"/>
              <w:jc w:val="left"/>
              <w:rPr>
                <w:rFonts w:hint="eastAsia" w:ascii="宋体" w:hAnsi="宋体"/>
                <w:color w:val="auto"/>
                <w:kern w:val="0"/>
                <w:szCs w:val="21"/>
                <w:lang w:val="en-US" w:eastAsia="zh-CN"/>
              </w:rPr>
            </w:pPr>
            <w:r>
              <w:rPr>
                <w:rFonts w:hint="default" w:ascii="宋体" w:hAnsi="宋体"/>
                <w:color w:val="auto"/>
                <w:kern w:val="0"/>
                <w:szCs w:val="21"/>
                <w:lang w:val="en-US" w:eastAsia="zh-CN"/>
              </w:rPr>
              <w:t>★投标供应商提供承诺函（格式自拟），承诺如投标产品是在深圳医用耗材阳光交易和监管平台挂网的产品，如中标，将按要求在深圳医用耗材阳光交易和监管平台签订购销合同。</w:t>
            </w:r>
          </w:p>
        </w:tc>
      </w:tr>
      <w:tr w14:paraId="732E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25006FC0">
            <w:pPr>
              <w:adjustRightInd w:val="0"/>
              <w:snapToGrid w:val="0"/>
              <w:spacing w:line="240" w:lineRule="auto"/>
              <w:jc w:val="left"/>
              <w:rPr>
                <w:rFonts w:hint="default" w:ascii="宋体" w:hAnsi="宋体"/>
                <w:color w:val="auto"/>
                <w:kern w:val="0"/>
                <w:szCs w:val="21"/>
                <w:lang w:val="en-US" w:eastAsia="zh-CN"/>
              </w:rPr>
            </w:pPr>
            <w:r>
              <w:rPr>
                <w:rFonts w:hint="eastAsia" w:ascii="宋体" w:hAnsi="宋体"/>
                <w:color w:val="auto"/>
                <w:kern w:val="0"/>
                <w:szCs w:val="21"/>
                <w:lang w:val="en-US" w:eastAsia="zh-CN"/>
              </w:rPr>
              <w:t>3</w:t>
            </w:r>
          </w:p>
        </w:tc>
        <w:tc>
          <w:tcPr>
            <w:tcW w:w="7282" w:type="dxa"/>
            <w:vAlign w:val="center"/>
          </w:tcPr>
          <w:p w14:paraId="205620F0">
            <w:pPr>
              <w:adjustRightInd w:val="0"/>
              <w:snapToGrid w:val="0"/>
              <w:spacing w:line="240" w:lineRule="auto"/>
              <w:jc w:val="left"/>
              <w:rPr>
                <w:rFonts w:hint="eastAsia" w:ascii="宋体" w:hAnsi="宋体" w:eastAsia="宋体"/>
                <w:color w:val="auto"/>
                <w:kern w:val="0"/>
                <w:szCs w:val="21"/>
                <w:lang w:val="en-US" w:eastAsia="zh-CN"/>
              </w:rPr>
            </w:pPr>
            <w:r>
              <w:rPr>
                <w:rFonts w:hint="eastAsia" w:ascii="宋体" w:hAnsi="宋体"/>
                <w:color w:val="auto"/>
                <w:kern w:val="0"/>
                <w:szCs w:val="21"/>
              </w:rPr>
              <w:t>★丙型肝炎病毒抗体检测试剂盒</w:t>
            </w:r>
            <w:r>
              <w:rPr>
                <w:rFonts w:hint="eastAsia" w:ascii="宋体" w:hAnsi="宋体"/>
                <w:color w:val="auto"/>
                <w:kern w:val="0"/>
                <w:szCs w:val="21"/>
                <w:lang w:val="en-US" w:eastAsia="zh-CN"/>
              </w:rPr>
              <w:t>获</w:t>
            </w:r>
            <w:r>
              <w:rPr>
                <w:rFonts w:hint="eastAsia" w:ascii="宋体" w:hAnsi="宋体"/>
                <w:color w:val="auto"/>
                <w:kern w:val="0"/>
                <w:szCs w:val="21"/>
              </w:rPr>
              <w:t>得欧盟IVDR法规下的最高风险等级Class D认证（提供证书</w:t>
            </w:r>
            <w:r>
              <w:rPr>
                <w:rFonts w:hint="eastAsia" w:ascii="宋体" w:hAnsi="宋体"/>
                <w:color w:val="auto"/>
                <w:kern w:val="0"/>
                <w:szCs w:val="21"/>
                <w:lang w:val="en-US" w:eastAsia="zh-CN"/>
              </w:rPr>
              <w:t>扫描件作为证明材料</w:t>
            </w:r>
            <w:r>
              <w:rPr>
                <w:rFonts w:hint="eastAsia" w:ascii="宋体" w:hAnsi="宋体"/>
                <w:color w:val="auto"/>
                <w:kern w:val="0"/>
                <w:szCs w:val="21"/>
              </w:rPr>
              <w:t>）</w:t>
            </w:r>
            <w:r>
              <w:rPr>
                <w:rFonts w:hint="eastAsia" w:ascii="宋体" w:hAnsi="宋体"/>
                <w:color w:val="auto"/>
                <w:kern w:val="0"/>
                <w:szCs w:val="21"/>
                <w:lang w:eastAsia="zh-CN"/>
              </w:rPr>
              <w:t>。</w:t>
            </w:r>
          </w:p>
        </w:tc>
      </w:tr>
      <w:tr w14:paraId="4D6A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66F4F225">
            <w:pPr>
              <w:adjustRightInd w:val="0"/>
              <w:snapToGrid w:val="0"/>
              <w:spacing w:line="240" w:lineRule="auto"/>
              <w:jc w:val="left"/>
              <w:rPr>
                <w:rFonts w:hint="default" w:ascii="宋体" w:hAnsi="宋体"/>
                <w:color w:val="auto"/>
                <w:kern w:val="0"/>
                <w:szCs w:val="21"/>
                <w:lang w:val="en-US" w:eastAsia="zh-CN"/>
              </w:rPr>
            </w:pPr>
            <w:r>
              <w:rPr>
                <w:rFonts w:hint="eastAsia" w:ascii="宋体" w:hAnsi="宋体"/>
                <w:color w:val="auto"/>
                <w:kern w:val="0"/>
                <w:szCs w:val="21"/>
                <w:lang w:val="en-US" w:eastAsia="zh-CN"/>
              </w:rPr>
              <w:t>4</w:t>
            </w:r>
          </w:p>
        </w:tc>
        <w:tc>
          <w:tcPr>
            <w:tcW w:w="7282" w:type="dxa"/>
            <w:vAlign w:val="center"/>
          </w:tcPr>
          <w:p w14:paraId="6C66FD05">
            <w:pPr>
              <w:adjustRightInd w:val="0"/>
              <w:snapToGrid w:val="0"/>
              <w:spacing w:line="240" w:lineRule="auto"/>
              <w:jc w:val="left"/>
              <w:rPr>
                <w:rFonts w:hint="eastAsia" w:ascii="宋体" w:hAnsi="宋体"/>
                <w:color w:val="auto"/>
                <w:kern w:val="0"/>
                <w:szCs w:val="21"/>
                <w:lang w:val="en-US" w:eastAsia="zh-CN"/>
              </w:rPr>
            </w:pPr>
            <w:r>
              <w:rPr>
                <w:rFonts w:hint="eastAsia" w:ascii="宋体" w:hAnsi="宋体"/>
                <w:color w:val="auto"/>
                <w:kern w:val="0"/>
                <w:szCs w:val="21"/>
                <w:lang w:val="en-US" w:eastAsia="zh-CN"/>
              </w:rPr>
              <w:t>“★五、商务要求”的全部内容。</w:t>
            </w:r>
          </w:p>
          <w:p w14:paraId="1CBDD3A2">
            <w:pPr>
              <w:adjustRightInd w:val="0"/>
              <w:snapToGrid w:val="0"/>
              <w:spacing w:line="240" w:lineRule="auto"/>
              <w:jc w:val="left"/>
              <w:rPr>
                <w:rFonts w:hint="default" w:ascii="宋体" w:hAnsi="宋体"/>
                <w:color w:val="auto"/>
                <w:kern w:val="0"/>
                <w:szCs w:val="21"/>
                <w:lang w:val="en-US" w:eastAsia="zh-CN"/>
              </w:rPr>
            </w:pPr>
            <w:r>
              <w:rPr>
                <w:rFonts w:hint="eastAsia" w:ascii="宋体" w:hAnsi="宋体"/>
                <w:color w:val="auto"/>
                <w:kern w:val="0"/>
                <w:szCs w:val="21"/>
                <w:lang w:val="en-US" w:eastAsia="zh-CN"/>
              </w:rPr>
              <w:t>【要求提供证明材料的内容：投标人须承诺中标后在本地（深圳市）设有产品库，在合同有效期内，保证货源充足，如果设备出现故障，无法修复，需无偿提供配套器械，提供承诺函，格式自拟。】</w:t>
            </w:r>
          </w:p>
        </w:tc>
      </w:tr>
    </w:tbl>
    <w:p w14:paraId="2F3C360F">
      <w:pPr>
        <w:rPr>
          <w:b/>
        </w:rPr>
      </w:pPr>
      <w:r>
        <w:rPr>
          <w:rFonts w:hint="eastAsia"/>
          <w:b/>
        </w:rPr>
        <w:t>注：上表所列内容为不可负偏离条款</w:t>
      </w:r>
      <w:bookmarkEnd w:id="39"/>
      <w:r>
        <w:rPr>
          <w:rFonts w:hint="eastAsia"/>
          <w:b/>
        </w:rPr>
        <w:t>，负偏离将视为未实质性满足招标文件要求作投标无效处理。</w:t>
      </w:r>
    </w:p>
    <w:p w14:paraId="21765D87">
      <w:pPr>
        <w:pStyle w:val="5"/>
        <w:spacing w:before="120" w:beforeLines="50" w:after="120" w:afterLines="50"/>
        <w:rPr>
          <w:sz w:val="28"/>
          <w:szCs w:val="28"/>
        </w:rPr>
      </w:pPr>
      <w:r>
        <w:rPr>
          <w:rFonts w:hint="eastAsia"/>
          <w:sz w:val="28"/>
          <w:szCs w:val="28"/>
        </w:rPr>
        <w:t>四、技术要求</w:t>
      </w:r>
    </w:p>
    <w:p w14:paraId="1B40355D">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b/>
          <w:szCs w:val="21"/>
        </w:rPr>
      </w:pPr>
      <w:bookmarkStart w:id="40" w:name="_Hlk72585069"/>
      <w:r>
        <w:rPr>
          <w:rFonts w:hint="eastAsia"/>
          <w:b/>
          <w:szCs w:val="21"/>
        </w:rPr>
        <w:t>说明：</w:t>
      </w:r>
    </w:p>
    <w:p w14:paraId="46D1F990">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b/>
          <w:szCs w:val="21"/>
        </w:rPr>
      </w:pPr>
      <w:r>
        <w:rPr>
          <w:rFonts w:hint="eastAsia"/>
          <w:b/>
          <w:szCs w:val="21"/>
        </w:rPr>
        <w:t>1、评分时，如对一项招标技术要求（以划分框为准）中的内容存在两处（或以上）负偏离的，在评分时只作一项负偏离扣分。</w:t>
      </w:r>
    </w:p>
    <w:p w14:paraId="194BBC5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b/>
          <w:szCs w:val="21"/>
        </w:rPr>
      </w:pPr>
      <w:r>
        <w:rPr>
          <w:rFonts w:hint="eastAsia"/>
          <w:b/>
          <w:szCs w:val="21"/>
        </w:rPr>
        <w:t>2、带“★”条款为不可负偏离条款，不作为评分准则中的评分内容，如未响应或出现负偏离的，将作投标无效处理；带“▲”指标项为重要参数条款，负偏离时依相关评分准则内容作重点扣分处理。</w:t>
      </w:r>
    </w:p>
    <w:p w14:paraId="67D53AAA">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b/>
          <w:szCs w:val="21"/>
        </w:rPr>
      </w:pPr>
      <w:r>
        <w:rPr>
          <w:rFonts w:hint="eastAsia"/>
          <w:b/>
          <w:szCs w:val="21"/>
        </w:rPr>
        <w:t>3、招标技术要求中，用红色加粗字体标注的指标项均要求提供证明资料；其余指标项未要求提供证明资料，无需提供相关证明资料。具体以下表文字表述为准。</w:t>
      </w:r>
    </w:p>
    <w:p w14:paraId="09BF3179">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b/>
          <w:szCs w:val="21"/>
        </w:rPr>
      </w:pPr>
      <w:r>
        <w:rPr>
          <w:rFonts w:hint="eastAsia"/>
          <w:b/>
          <w:szCs w:val="21"/>
        </w:rPr>
        <w:t>4.针对招标文件产品技术参数如涉及相关既定值、单向范围值、区间范围值的，投标技术参数响应方式举例说明如下：</w:t>
      </w:r>
    </w:p>
    <w:p w14:paraId="3424CDCE">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b/>
          <w:szCs w:val="21"/>
        </w:rPr>
      </w:pPr>
      <w:r>
        <w:rPr>
          <w:rFonts w:hint="eastAsia"/>
          <w:b/>
          <w:szCs w:val="21"/>
        </w:rPr>
        <w:t>（1）涉及相关既定值的，例：招标技术参数要求值为“20L”，投标技术参数响应值与“20L”不一致的，均视为负偏离；</w:t>
      </w:r>
    </w:p>
    <w:p w14:paraId="70CF8589">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b/>
          <w:szCs w:val="21"/>
        </w:rPr>
      </w:pPr>
      <w:r>
        <w:rPr>
          <w:rFonts w:hint="eastAsia"/>
          <w:b/>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3FD76ED7">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b/>
          <w:szCs w:val="21"/>
        </w:rPr>
      </w:pPr>
      <w:r>
        <w:rPr>
          <w:rFonts w:hint="eastAsia"/>
          <w:b/>
          <w:szCs w:val="21"/>
        </w:rPr>
        <w:t>（3）涉及相关区间范围值的，除特别注明以外，均包含首尾两端本数</w:t>
      </w:r>
      <w:r>
        <w:rPr>
          <w:rFonts w:hint="eastAsia"/>
          <w:b/>
          <w:szCs w:val="21"/>
          <w:lang w:eastAsia="zh-CN"/>
        </w:rPr>
        <w:t>。</w:t>
      </w:r>
      <w:r>
        <w:rPr>
          <w:rFonts w:hint="eastAsia"/>
          <w:b/>
          <w:szCs w:val="21"/>
        </w:rPr>
        <w:t>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“9-20ML”或“9ML”等）均视为负偏离。</w:t>
      </w:r>
    </w:p>
    <w:p w14:paraId="01DEDFB0">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b/>
          <w:szCs w:val="21"/>
          <w:lang w:val="en-US" w:eastAsia="zh-CN"/>
        </w:rPr>
      </w:pPr>
      <w:r>
        <w:rPr>
          <w:rFonts w:hint="eastAsia"/>
          <w:b/>
          <w:szCs w:val="21"/>
          <w:lang w:val="en-US" w:eastAsia="zh-CN"/>
        </w:rPr>
        <w:t>5.相关证明材料的产品名称与招标技术要求的货物名称不一致的，需提供为同种产品的说明；若名称不一致又未提供说明的，由评审委员会判定是否符合文件要求。</w:t>
      </w:r>
    </w:p>
    <w:p w14:paraId="7190F8B0">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eastAsia" w:ascii="Times New Roman" w:hAnsi="Times New Roman" w:eastAsia="宋体" w:cs="Times New Roman"/>
          <w:b/>
          <w:bCs w:val="0"/>
          <w:kern w:val="2"/>
          <w:sz w:val="21"/>
          <w:szCs w:val="21"/>
          <w:lang w:val="en-US" w:eastAsia="zh-CN" w:bidi="ar-SA"/>
        </w:rPr>
      </w:pPr>
      <w:r>
        <w:rPr>
          <w:rFonts w:hint="eastAsia"/>
          <w:b/>
          <w:szCs w:val="21"/>
          <w:lang w:val="en-US" w:eastAsia="zh-CN"/>
        </w:rPr>
        <w:t>6.在</w:t>
      </w:r>
      <w:r>
        <w:rPr>
          <w:rFonts w:hint="eastAsia"/>
          <w:b/>
          <w:szCs w:val="21"/>
        </w:rPr>
        <w:t>招标技术要求中</w:t>
      </w:r>
      <w:r>
        <w:rPr>
          <w:rFonts w:hint="eastAsia"/>
          <w:b/>
          <w:szCs w:val="21"/>
          <w:lang w:eastAsia="zh-CN"/>
        </w:rPr>
        <w:t>，</w:t>
      </w:r>
      <w:r>
        <w:rPr>
          <w:rFonts w:hint="eastAsia"/>
          <w:b/>
          <w:szCs w:val="21"/>
          <w:lang w:val="en-US" w:eastAsia="zh-CN"/>
        </w:rPr>
        <w:t>若要求提供检测报告的，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02E35093">
      <w:pPr>
        <w:pStyle w:val="7"/>
        <w:rPr>
          <w:rFonts w:hint="eastAsia"/>
        </w:rPr>
      </w:pPr>
    </w:p>
    <w:bookmarkEnd w:id="40"/>
    <w:p w14:paraId="07E9FEB3">
      <w:pPr>
        <w:rPr>
          <w:rFonts w:hint="eastAsia"/>
        </w:rPr>
      </w:pPr>
      <w:r>
        <w:rPr>
          <w:rFonts w:hint="eastAsia"/>
          <w:b/>
          <w:szCs w:val="21"/>
          <w:lang w:val="en-US" w:eastAsia="zh-CN"/>
        </w:rPr>
        <w:t>一、</w:t>
      </w:r>
      <w:r>
        <w:rPr>
          <w:rFonts w:hint="eastAsia"/>
        </w:rPr>
        <w:t>★所投产品</w:t>
      </w:r>
      <w:r>
        <w:rPr>
          <w:rFonts w:hint="eastAsia"/>
          <w:lang w:eastAsia="zh-CN"/>
        </w:rPr>
        <w:t>【“二、货物清单明细”中序号</w:t>
      </w:r>
      <w:r>
        <w:rPr>
          <w:rFonts w:hint="eastAsia"/>
          <w:lang w:val="en-US" w:eastAsia="zh-CN"/>
        </w:rPr>
        <w:t>6</w:t>
      </w:r>
      <w:r>
        <w:rPr>
          <w:rFonts w:hint="eastAsia"/>
          <w:lang w:eastAsia="zh-CN"/>
        </w:rPr>
        <w:t>、序号</w:t>
      </w:r>
      <w:r>
        <w:rPr>
          <w:rFonts w:hint="eastAsia"/>
          <w:lang w:val="en-US" w:eastAsia="zh-CN"/>
        </w:rPr>
        <w:t>32</w:t>
      </w:r>
      <w:r>
        <w:rPr>
          <w:rFonts w:hint="eastAsia"/>
          <w:lang w:eastAsia="zh-CN"/>
        </w:rPr>
        <w:t>、序号</w:t>
      </w:r>
      <w:r>
        <w:rPr>
          <w:rFonts w:hint="eastAsia"/>
          <w:lang w:val="en-US" w:eastAsia="zh-CN"/>
        </w:rPr>
        <w:t>51</w:t>
      </w:r>
      <w:r>
        <w:rPr>
          <w:rFonts w:hint="eastAsia"/>
          <w:lang w:eastAsia="zh-CN"/>
        </w:rPr>
        <w:t>、序号</w:t>
      </w:r>
      <w:r>
        <w:rPr>
          <w:rFonts w:hint="eastAsia"/>
          <w:lang w:val="en-US" w:eastAsia="zh-CN"/>
        </w:rPr>
        <w:t>60</w:t>
      </w:r>
      <w:r>
        <w:rPr>
          <w:rFonts w:hint="eastAsia"/>
          <w:lang w:eastAsia="zh-CN"/>
        </w:rPr>
        <w:t>的货物</w:t>
      </w:r>
      <w:r>
        <w:rPr>
          <w:rFonts w:hint="eastAsia"/>
          <w:lang w:val="en-US" w:eastAsia="zh-CN"/>
        </w:rPr>
        <w:t>除外</w:t>
      </w:r>
      <w:r>
        <w:rPr>
          <w:rFonts w:hint="eastAsia"/>
          <w:lang w:eastAsia="zh-CN"/>
        </w:rPr>
        <w:t>】</w:t>
      </w:r>
      <w:r>
        <w:rPr>
          <w:rFonts w:hint="eastAsia"/>
        </w:rPr>
        <w:t>必须具备有效期内的《医疗器械注册（备案）证》（投标人须提供上述证书的扫描件，原件备查。）</w:t>
      </w:r>
    </w:p>
    <w:p w14:paraId="612C7E01">
      <w:pPr>
        <w:pStyle w:val="54"/>
        <w:rPr>
          <w:rFonts w:hint="eastAsia"/>
        </w:rPr>
      </w:pPr>
      <w:r>
        <w:rPr>
          <w:rFonts w:hint="eastAsia"/>
          <w:lang w:val="en-US" w:eastAsia="zh-CN"/>
        </w:rPr>
        <w:t>二、★</w:t>
      </w:r>
      <w:r>
        <w:rPr>
          <w:rFonts w:hint="eastAsia"/>
        </w:rPr>
        <w:t>投标供应商提供承诺函（格式自拟），承诺如投标产品是在深圳医用耗材阳光交易和监管平台挂网的产品，如中标，将按要求在深圳医用耗材阳光交易和监管平台签订购销合同。</w:t>
      </w:r>
    </w:p>
    <w:p w14:paraId="12CF5DBB">
      <w:pPr>
        <w:pStyle w:val="54"/>
        <w:rPr>
          <w:rFonts w:hint="eastAsia" w:eastAsia="宋体"/>
          <w:lang w:val="en-US" w:eastAsia="zh-CN"/>
        </w:rPr>
      </w:pPr>
      <w:r>
        <w:rPr>
          <w:rFonts w:hint="eastAsia"/>
          <w:lang w:val="en-US" w:eastAsia="zh-CN"/>
        </w:rPr>
        <w:t>三、技术参数指标</w:t>
      </w:r>
    </w:p>
    <w:tbl>
      <w:tblPr>
        <w:tblStyle w:val="480"/>
        <w:tblW w:w="81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2161"/>
        <w:gridCol w:w="5217"/>
      </w:tblGrid>
      <w:tr w14:paraId="3342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806" w:type="dxa"/>
            <w:vAlign w:val="center"/>
          </w:tcPr>
          <w:p w14:paraId="76DDA4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《二、货物清单明细》对应序号</w:t>
            </w:r>
          </w:p>
        </w:tc>
        <w:tc>
          <w:tcPr>
            <w:tcW w:w="2161" w:type="dxa"/>
            <w:vAlign w:val="center"/>
          </w:tcPr>
          <w:p w14:paraId="2E247D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《二、货物清单明细》对应名称</w:t>
            </w:r>
          </w:p>
        </w:tc>
        <w:tc>
          <w:tcPr>
            <w:tcW w:w="5217" w:type="dxa"/>
            <w:vAlign w:val="center"/>
          </w:tcPr>
          <w:p w14:paraId="7BFF79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技术参数指标</w:t>
            </w:r>
          </w:p>
        </w:tc>
      </w:tr>
      <w:tr w14:paraId="7C4E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06" w:type="dxa"/>
            <w:tcMar>
              <w:top w:w="0" w:type="dxa"/>
              <w:left w:w="113" w:type="dxa"/>
              <w:bottom w:w="0" w:type="dxa"/>
              <w:right w:w="0" w:type="dxa"/>
            </w:tcMar>
            <w:vAlign w:val="center"/>
          </w:tcPr>
          <w:p w14:paraId="3A54DDAB">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6</w:t>
            </w:r>
          </w:p>
        </w:tc>
        <w:tc>
          <w:tcPr>
            <w:tcW w:w="2161" w:type="dxa"/>
            <w:tcMar>
              <w:top w:w="0" w:type="dxa"/>
              <w:left w:w="113" w:type="dxa"/>
              <w:bottom w:w="0" w:type="dxa"/>
              <w:right w:w="0" w:type="dxa"/>
            </w:tcMar>
            <w:vAlign w:val="center"/>
          </w:tcPr>
          <w:p w14:paraId="4520A1CF">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血球配套校准品、质控品及其他耗材</w:t>
            </w:r>
          </w:p>
        </w:tc>
        <w:tc>
          <w:tcPr>
            <w:tcW w:w="5217" w:type="dxa"/>
            <w:tcMar>
              <w:top w:w="0" w:type="dxa"/>
              <w:left w:w="113" w:type="dxa"/>
              <w:bottom w:w="0" w:type="dxa"/>
              <w:right w:w="0" w:type="dxa"/>
            </w:tcMar>
            <w:vAlign w:val="center"/>
          </w:tcPr>
          <w:p w14:paraId="3502226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kern w:val="0"/>
                <w:sz w:val="21"/>
                <w:szCs w:val="21"/>
                <w:lang w:val="en-US" w:eastAsia="zh-CN"/>
              </w:rPr>
            </w:pPr>
            <w:r>
              <w:rPr>
                <w:rFonts w:hint="eastAsia" w:ascii="Times New Roman" w:hAnsi="Times New Roman" w:eastAsia="宋体" w:cs="Times New Roman"/>
                <w:lang w:val="en-US" w:eastAsia="zh-CN"/>
              </w:rPr>
              <w:t>1.血球质控品具备同品牌经过NMPA注册的复合质控品，一支质控品可以涵盖红细胞计数，白细胞分类、网织红细胞等检测项目(以靶值表为准)</w:t>
            </w:r>
            <w:r>
              <w:rPr>
                <w:rFonts w:hint="eastAsia" w:ascii="Times New Roman" w:hAnsi="Times New Roman" w:eastAsia="宋体" w:cs="Times New Roman"/>
                <w:lang w:eastAsia="zh-CN"/>
              </w:rPr>
              <w:t>。</w:t>
            </w:r>
          </w:p>
        </w:tc>
      </w:tr>
      <w:tr w14:paraId="63DD9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0355B768">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6</w:t>
            </w:r>
          </w:p>
        </w:tc>
        <w:tc>
          <w:tcPr>
            <w:tcW w:w="2161" w:type="dxa"/>
            <w:tcMar>
              <w:top w:w="0" w:type="dxa"/>
              <w:left w:w="113" w:type="dxa"/>
              <w:bottom w:w="0" w:type="dxa"/>
              <w:right w:w="0" w:type="dxa"/>
            </w:tcMar>
            <w:vAlign w:val="center"/>
          </w:tcPr>
          <w:p w14:paraId="33F0AA68">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血球配套校准品、质控品及其他耗材</w:t>
            </w:r>
          </w:p>
        </w:tc>
        <w:tc>
          <w:tcPr>
            <w:tcW w:w="5217" w:type="dxa"/>
            <w:tcMar>
              <w:top w:w="0" w:type="dxa"/>
              <w:left w:w="113" w:type="dxa"/>
              <w:bottom w:w="0" w:type="dxa"/>
              <w:right w:w="0" w:type="dxa"/>
            </w:tcMar>
            <w:vAlign w:val="center"/>
          </w:tcPr>
          <w:p w14:paraId="6803595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kern w:val="0"/>
                <w:sz w:val="21"/>
                <w:szCs w:val="21"/>
                <w:lang w:val="en-US" w:eastAsia="zh-CN"/>
              </w:rPr>
            </w:pPr>
            <w:r>
              <w:rPr>
                <w:rFonts w:hint="eastAsia" w:ascii="Times New Roman" w:hAnsi="Times New Roman" w:eastAsia="宋体" w:cs="Times New Roman"/>
                <w:b/>
                <w:bCs/>
                <w:color w:val="FF0000"/>
                <w:lang w:val="en-US" w:eastAsia="zh-CN"/>
              </w:rPr>
              <w:t>2.血球提供原厂校准品溯源报告，具备RET校准品，以注册证为准。</w:t>
            </w:r>
          </w:p>
        </w:tc>
      </w:tr>
      <w:tr w14:paraId="3BC40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jc w:val="center"/>
        </w:trPr>
        <w:tc>
          <w:tcPr>
            <w:tcW w:w="806" w:type="dxa"/>
            <w:tcMar>
              <w:top w:w="0" w:type="dxa"/>
              <w:left w:w="113" w:type="dxa"/>
              <w:bottom w:w="0" w:type="dxa"/>
              <w:right w:w="0" w:type="dxa"/>
            </w:tcMar>
            <w:vAlign w:val="center"/>
          </w:tcPr>
          <w:p w14:paraId="72776C3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47</w:t>
            </w:r>
          </w:p>
        </w:tc>
        <w:tc>
          <w:tcPr>
            <w:tcW w:w="2161" w:type="dxa"/>
            <w:tcMar>
              <w:top w:w="0" w:type="dxa"/>
              <w:left w:w="113" w:type="dxa"/>
              <w:bottom w:w="0" w:type="dxa"/>
              <w:right w:w="0" w:type="dxa"/>
            </w:tcMar>
            <w:vAlign w:val="center"/>
          </w:tcPr>
          <w:p w14:paraId="1711F20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丙型肝炎病毒抗体（Anti-HCV）测定试剂</w:t>
            </w:r>
          </w:p>
        </w:tc>
        <w:tc>
          <w:tcPr>
            <w:tcW w:w="5217" w:type="dxa"/>
            <w:tcMar>
              <w:top w:w="0" w:type="dxa"/>
              <w:left w:w="113" w:type="dxa"/>
              <w:bottom w:w="0" w:type="dxa"/>
              <w:right w:w="0" w:type="dxa"/>
            </w:tcMar>
            <w:vAlign w:val="center"/>
          </w:tcPr>
          <w:p w14:paraId="522C213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eastAsia="宋体" w:asciiTheme="minorEastAsia" w:hAnsiTheme="minorEastAsia" w:cstheme="minorEastAsia"/>
                <w:b/>
                <w:bCs/>
                <w:color w:val="FF0000"/>
                <w:kern w:val="0"/>
                <w:sz w:val="21"/>
                <w:szCs w:val="21"/>
                <w:lang w:val="en-US" w:eastAsia="zh-CN"/>
              </w:rPr>
            </w:pPr>
            <w:r>
              <w:rPr>
                <w:rFonts w:hint="eastAsia"/>
                <w:b/>
                <w:bCs/>
                <w:color w:val="FF0000"/>
                <w:highlight w:val="none"/>
                <w:lang w:val="en-US" w:eastAsia="zh-CN"/>
              </w:rPr>
              <w:t>3</w:t>
            </w:r>
            <w:r>
              <w:rPr>
                <w:rFonts w:hint="eastAsia"/>
                <w:b/>
                <w:bCs/>
                <w:color w:val="FF0000"/>
                <w:highlight w:val="none"/>
              </w:rPr>
              <w:t>.</w:t>
            </w:r>
            <w:r>
              <w:rPr>
                <w:rFonts w:hint="eastAsia"/>
                <w:b/>
                <w:bCs/>
                <w:color w:val="FF0000"/>
                <w:highlight w:val="none"/>
                <w:lang w:val="en-US" w:eastAsia="zh-CN"/>
              </w:rPr>
              <w:t>★</w:t>
            </w:r>
            <w:r>
              <w:rPr>
                <w:rFonts w:hint="eastAsia"/>
                <w:b/>
                <w:bCs/>
                <w:color w:val="FF0000"/>
                <w:highlight w:val="none"/>
              </w:rPr>
              <w:t>丙型肝炎病毒抗体检测试剂盒</w:t>
            </w:r>
            <w:r>
              <w:rPr>
                <w:rFonts w:hint="eastAsia"/>
                <w:b/>
                <w:bCs/>
                <w:color w:val="FF0000"/>
                <w:highlight w:val="none"/>
                <w:lang w:val="en-US" w:eastAsia="zh-CN"/>
              </w:rPr>
              <w:t>获</w:t>
            </w:r>
            <w:r>
              <w:rPr>
                <w:rFonts w:hint="eastAsia"/>
                <w:b/>
                <w:bCs/>
                <w:color w:val="FF0000"/>
                <w:highlight w:val="none"/>
              </w:rPr>
              <w:t>得欧盟IVDR法规下的最高风险等级Class D认证（提供证书</w:t>
            </w:r>
            <w:r>
              <w:rPr>
                <w:rFonts w:hint="eastAsia"/>
                <w:b/>
                <w:bCs/>
                <w:color w:val="FF0000"/>
                <w:highlight w:val="none"/>
                <w:lang w:val="en-US" w:eastAsia="zh-CN"/>
              </w:rPr>
              <w:t>扫描件作为证明材料</w:t>
            </w:r>
            <w:r>
              <w:rPr>
                <w:rFonts w:hint="eastAsia"/>
                <w:b/>
                <w:bCs/>
                <w:color w:val="FF0000"/>
                <w:highlight w:val="none"/>
              </w:rPr>
              <w:t>）</w:t>
            </w:r>
            <w:r>
              <w:rPr>
                <w:rFonts w:hint="eastAsia"/>
                <w:b/>
                <w:bCs/>
                <w:color w:val="FF0000"/>
                <w:highlight w:val="none"/>
                <w:lang w:eastAsia="zh-CN"/>
              </w:rPr>
              <w:t>。</w:t>
            </w:r>
          </w:p>
        </w:tc>
      </w:tr>
      <w:tr w14:paraId="65AE6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0E69CC4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42</w:t>
            </w:r>
          </w:p>
        </w:tc>
        <w:tc>
          <w:tcPr>
            <w:tcW w:w="2161" w:type="dxa"/>
            <w:tcMar>
              <w:top w:w="0" w:type="dxa"/>
              <w:left w:w="113" w:type="dxa"/>
              <w:bottom w:w="0" w:type="dxa"/>
              <w:right w:w="0" w:type="dxa"/>
            </w:tcMar>
            <w:vAlign w:val="center"/>
          </w:tcPr>
          <w:p w14:paraId="1FD7D3B8">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乙型肝炎病毒表面抗原（HBsAg）测定试剂</w:t>
            </w:r>
          </w:p>
        </w:tc>
        <w:tc>
          <w:tcPr>
            <w:tcW w:w="5217" w:type="dxa"/>
            <w:tcMar>
              <w:top w:w="0" w:type="dxa"/>
              <w:left w:w="113" w:type="dxa"/>
              <w:bottom w:w="0" w:type="dxa"/>
              <w:right w:w="0" w:type="dxa"/>
            </w:tcMar>
            <w:vAlign w:val="center"/>
          </w:tcPr>
          <w:p w14:paraId="3E776968">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color w:val="FF0000"/>
                <w:kern w:val="0"/>
                <w:sz w:val="21"/>
                <w:szCs w:val="21"/>
                <w:lang w:val="en-US" w:eastAsia="zh-CN"/>
              </w:rPr>
            </w:pPr>
            <w:r>
              <w:rPr>
                <w:rFonts w:hint="eastAsia"/>
                <w:b/>
                <w:bCs/>
                <w:color w:val="FF0000"/>
                <w:highlight w:val="none"/>
                <w:lang w:val="en-US" w:eastAsia="zh-CN"/>
              </w:rPr>
              <w:t>4</w:t>
            </w:r>
            <w:r>
              <w:rPr>
                <w:rFonts w:hint="eastAsia"/>
                <w:b/>
                <w:bCs/>
                <w:color w:val="FF0000"/>
                <w:highlight w:val="none"/>
              </w:rPr>
              <w:t>.HBSAg 定量满足临床治疗监测场景需要</w:t>
            </w:r>
            <w:r>
              <w:rPr>
                <w:rFonts w:hint="eastAsia"/>
                <w:b/>
                <w:bCs/>
                <w:color w:val="FF0000"/>
                <w:highlight w:val="none"/>
                <w:lang w:eastAsia="zh-CN"/>
              </w:rPr>
              <w:t>：</w:t>
            </w:r>
            <w:r>
              <w:rPr>
                <w:rFonts w:hint="eastAsia"/>
                <w:b/>
                <w:bCs/>
                <w:color w:val="FF0000"/>
                <w:highlight w:val="none"/>
              </w:rPr>
              <w:t>CV&lt;10%。(提供试剂说明书作</w:t>
            </w:r>
            <w:r>
              <w:rPr>
                <w:rFonts w:hint="eastAsia"/>
                <w:b/>
                <w:bCs/>
                <w:color w:val="FF0000"/>
                <w:highlight w:val="none"/>
                <w:lang w:val="en-US" w:eastAsia="zh-CN"/>
              </w:rPr>
              <w:t>扫描件作</w:t>
            </w:r>
            <w:r>
              <w:rPr>
                <w:rFonts w:hint="eastAsia"/>
                <w:b/>
                <w:bCs/>
                <w:color w:val="FF0000"/>
                <w:highlight w:val="none"/>
              </w:rPr>
              <w:t>为证明材料)</w:t>
            </w:r>
          </w:p>
        </w:tc>
      </w:tr>
      <w:tr w14:paraId="600BE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6856919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42</w:t>
            </w:r>
          </w:p>
        </w:tc>
        <w:tc>
          <w:tcPr>
            <w:tcW w:w="2161" w:type="dxa"/>
            <w:tcMar>
              <w:top w:w="0" w:type="dxa"/>
              <w:left w:w="113" w:type="dxa"/>
              <w:bottom w:w="0" w:type="dxa"/>
              <w:right w:w="0" w:type="dxa"/>
            </w:tcMar>
            <w:vAlign w:val="center"/>
          </w:tcPr>
          <w:p w14:paraId="2BCC2C61">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乙型肝炎病毒表面抗原（HBsAg）测定试剂</w:t>
            </w:r>
          </w:p>
        </w:tc>
        <w:tc>
          <w:tcPr>
            <w:tcW w:w="5217" w:type="dxa"/>
            <w:tcMar>
              <w:top w:w="0" w:type="dxa"/>
              <w:left w:w="113" w:type="dxa"/>
              <w:bottom w:w="0" w:type="dxa"/>
              <w:right w:w="0" w:type="dxa"/>
            </w:tcMar>
            <w:vAlign w:val="center"/>
          </w:tcPr>
          <w:p w14:paraId="2D7CCC8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color w:val="FF0000"/>
                <w:kern w:val="0"/>
                <w:sz w:val="21"/>
                <w:szCs w:val="21"/>
                <w:lang w:val="en-US" w:eastAsia="zh-CN"/>
              </w:rPr>
            </w:pPr>
            <w:r>
              <w:rPr>
                <w:rFonts w:hint="eastAsia"/>
                <w:b/>
                <w:bCs/>
                <w:color w:val="FF0000"/>
                <w:highlight w:val="none"/>
                <w:lang w:val="en-US" w:eastAsia="zh-CN"/>
              </w:rPr>
              <w:t>5</w:t>
            </w:r>
            <w:r>
              <w:rPr>
                <w:rFonts w:hint="eastAsia"/>
                <w:b/>
                <w:bCs/>
                <w:color w:val="FF0000"/>
                <w:highlight w:val="none"/>
              </w:rPr>
              <w:t>.乙肝表面抗原分析灵敏度≤0.05。(提供试剂说明书</w:t>
            </w:r>
            <w:r>
              <w:rPr>
                <w:rFonts w:hint="eastAsia"/>
                <w:b/>
                <w:bCs/>
                <w:color w:val="FF0000"/>
                <w:highlight w:val="none"/>
                <w:lang w:val="en-US" w:eastAsia="zh-CN"/>
              </w:rPr>
              <w:t>扫描件</w:t>
            </w:r>
            <w:r>
              <w:rPr>
                <w:rFonts w:hint="eastAsia"/>
                <w:b/>
                <w:bCs/>
                <w:color w:val="FF0000"/>
                <w:highlight w:val="none"/>
              </w:rPr>
              <w:t>作为证明材料)</w:t>
            </w:r>
          </w:p>
        </w:tc>
      </w:tr>
      <w:tr w14:paraId="5AAC4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7E74E1B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35</w:t>
            </w:r>
          </w:p>
        </w:tc>
        <w:tc>
          <w:tcPr>
            <w:tcW w:w="2161" w:type="dxa"/>
            <w:tcMar>
              <w:top w:w="0" w:type="dxa"/>
              <w:left w:w="113" w:type="dxa"/>
              <w:bottom w:w="0" w:type="dxa"/>
              <w:right w:w="0" w:type="dxa"/>
            </w:tcMar>
            <w:vAlign w:val="center"/>
          </w:tcPr>
          <w:p w14:paraId="7A25C9E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5217" w:type="dxa"/>
            <w:tcMar>
              <w:top w:w="0" w:type="dxa"/>
              <w:left w:w="113" w:type="dxa"/>
              <w:bottom w:w="0" w:type="dxa"/>
              <w:right w:w="0" w:type="dxa"/>
            </w:tcMar>
            <w:vAlign w:val="center"/>
          </w:tcPr>
          <w:p w14:paraId="1106437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lang w:val="en-US" w:eastAsia="zh-CN"/>
              </w:rPr>
              <w:t>6</w:t>
            </w:r>
            <w:r>
              <w:rPr>
                <w:rFonts w:hint="eastAsia"/>
                <w:b/>
                <w:bCs/>
                <w:color w:val="FF0000"/>
                <w:highlight w:val="none"/>
              </w:rPr>
              <w:t>.具备高敏肌钙蛋白、NT-proBNP、sST2等项目的检测能力。（提供试剂说明书</w:t>
            </w:r>
            <w:r>
              <w:rPr>
                <w:rFonts w:hint="eastAsia"/>
                <w:b/>
                <w:bCs/>
                <w:color w:val="FF0000"/>
                <w:highlight w:val="none"/>
                <w:lang w:val="en-US" w:eastAsia="zh-CN"/>
              </w:rPr>
              <w:t>扫描件</w:t>
            </w:r>
            <w:r>
              <w:rPr>
                <w:rFonts w:hint="eastAsia"/>
                <w:b/>
                <w:bCs/>
                <w:color w:val="FF0000"/>
                <w:highlight w:val="none"/>
              </w:rPr>
              <w:t>作为证明资料）</w:t>
            </w:r>
          </w:p>
        </w:tc>
      </w:tr>
      <w:tr w14:paraId="3AC04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7FD8D5B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33、35</w:t>
            </w:r>
          </w:p>
        </w:tc>
        <w:tc>
          <w:tcPr>
            <w:tcW w:w="2161" w:type="dxa"/>
            <w:tcMar>
              <w:top w:w="0" w:type="dxa"/>
              <w:left w:w="113" w:type="dxa"/>
              <w:bottom w:w="0" w:type="dxa"/>
              <w:right w:w="0" w:type="dxa"/>
            </w:tcMar>
            <w:vAlign w:val="center"/>
          </w:tcPr>
          <w:p w14:paraId="56808CFF">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5217" w:type="dxa"/>
            <w:tcMar>
              <w:top w:w="0" w:type="dxa"/>
              <w:left w:w="113" w:type="dxa"/>
              <w:bottom w:w="0" w:type="dxa"/>
              <w:right w:w="0" w:type="dxa"/>
            </w:tcMar>
            <w:vAlign w:val="center"/>
          </w:tcPr>
          <w:p w14:paraId="20D5977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val="0"/>
                <w:bCs w:val="0"/>
                <w:color w:val="auto"/>
                <w:highlight w:val="none"/>
                <w:lang w:val="en-US" w:eastAsia="zh-CN"/>
              </w:rPr>
              <w:t>7</w:t>
            </w:r>
            <w:r>
              <w:rPr>
                <w:rFonts w:hint="eastAsia"/>
                <w:b w:val="0"/>
                <w:bCs w:val="0"/>
                <w:color w:val="auto"/>
                <w:highlight w:val="none"/>
              </w:rPr>
              <w:t>.高敏肌钙蛋白试剂可提供健康人群检出率数据，并能提供 IFCC 发布的相关材料支持。</w:t>
            </w:r>
          </w:p>
        </w:tc>
      </w:tr>
      <w:tr w14:paraId="30749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176A441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33、35</w:t>
            </w:r>
          </w:p>
        </w:tc>
        <w:tc>
          <w:tcPr>
            <w:tcW w:w="2161" w:type="dxa"/>
            <w:tcMar>
              <w:top w:w="0" w:type="dxa"/>
              <w:left w:w="113" w:type="dxa"/>
              <w:bottom w:w="0" w:type="dxa"/>
              <w:right w:w="0" w:type="dxa"/>
            </w:tcMar>
            <w:vAlign w:val="center"/>
          </w:tcPr>
          <w:p w14:paraId="04DD3D9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5217" w:type="dxa"/>
            <w:tcMar>
              <w:top w:w="0" w:type="dxa"/>
              <w:left w:w="113" w:type="dxa"/>
              <w:bottom w:w="0" w:type="dxa"/>
              <w:right w:w="0" w:type="dxa"/>
            </w:tcMar>
            <w:vAlign w:val="center"/>
          </w:tcPr>
          <w:p w14:paraId="49B092E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lang w:val="en-US" w:eastAsia="zh-CN"/>
              </w:rPr>
              <w:t>8</w:t>
            </w:r>
            <w:r>
              <w:rPr>
                <w:rFonts w:hint="eastAsia"/>
                <w:b/>
                <w:bCs/>
                <w:color w:val="FF0000"/>
                <w:highlight w:val="none"/>
              </w:rPr>
              <w:t>.心脏标志物（高敏肌钙蛋白或肌钙蛋白、BNP或NT-proBNP)同一批号试剂两次校准间隔时长≥28天（提供试剂说明书</w:t>
            </w:r>
            <w:r>
              <w:rPr>
                <w:rFonts w:hint="eastAsia"/>
                <w:b/>
                <w:bCs/>
                <w:color w:val="FF0000"/>
                <w:highlight w:val="none"/>
                <w:lang w:val="en-US" w:eastAsia="zh-CN"/>
              </w:rPr>
              <w:t>扫描件</w:t>
            </w:r>
            <w:r>
              <w:rPr>
                <w:rFonts w:hint="eastAsia"/>
                <w:b/>
                <w:bCs/>
                <w:color w:val="FF0000"/>
                <w:highlight w:val="none"/>
              </w:rPr>
              <w:t>作为证明资料）</w:t>
            </w:r>
          </w:p>
        </w:tc>
      </w:tr>
      <w:tr w14:paraId="11576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43AB59BE">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35</w:t>
            </w:r>
          </w:p>
        </w:tc>
        <w:tc>
          <w:tcPr>
            <w:tcW w:w="2161" w:type="dxa"/>
            <w:tcMar>
              <w:top w:w="0" w:type="dxa"/>
              <w:left w:w="113" w:type="dxa"/>
              <w:bottom w:w="0" w:type="dxa"/>
              <w:right w:w="0" w:type="dxa"/>
            </w:tcMar>
            <w:vAlign w:val="center"/>
          </w:tcPr>
          <w:p w14:paraId="3289D20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5217" w:type="dxa"/>
            <w:tcMar>
              <w:top w:w="0" w:type="dxa"/>
              <w:left w:w="113" w:type="dxa"/>
              <w:bottom w:w="0" w:type="dxa"/>
              <w:right w:w="0" w:type="dxa"/>
            </w:tcMar>
            <w:vAlign w:val="center"/>
          </w:tcPr>
          <w:p w14:paraId="0487D01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lang w:val="en-US" w:eastAsia="zh-CN"/>
              </w:rPr>
              <w:t>9</w:t>
            </w:r>
            <w:r>
              <w:rPr>
                <w:rFonts w:hint="eastAsia"/>
                <w:b/>
                <w:bCs/>
                <w:color w:val="FF0000"/>
                <w:highlight w:val="none"/>
              </w:rPr>
              <w:t>.高敏肌钙蛋白试剂能提供三个水平的质控。(提供试剂说明书</w:t>
            </w:r>
            <w:r>
              <w:rPr>
                <w:rFonts w:hint="eastAsia"/>
                <w:b/>
                <w:bCs/>
                <w:color w:val="FF0000"/>
                <w:highlight w:val="none"/>
                <w:lang w:val="en-US" w:eastAsia="zh-CN"/>
              </w:rPr>
              <w:t>扫描件</w:t>
            </w:r>
            <w:r>
              <w:rPr>
                <w:rFonts w:hint="eastAsia"/>
                <w:b/>
                <w:bCs/>
                <w:color w:val="FF0000"/>
                <w:highlight w:val="none"/>
              </w:rPr>
              <w:t>作为证明材料)</w:t>
            </w:r>
          </w:p>
        </w:tc>
      </w:tr>
      <w:tr w14:paraId="78D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47C2CBC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33</w:t>
            </w:r>
          </w:p>
        </w:tc>
        <w:tc>
          <w:tcPr>
            <w:tcW w:w="2161" w:type="dxa"/>
            <w:tcMar>
              <w:top w:w="0" w:type="dxa"/>
              <w:left w:w="113" w:type="dxa"/>
              <w:bottom w:w="0" w:type="dxa"/>
              <w:right w:w="0" w:type="dxa"/>
            </w:tcMar>
            <w:vAlign w:val="center"/>
          </w:tcPr>
          <w:p w14:paraId="7B1CEFBB">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p>
        </w:tc>
        <w:tc>
          <w:tcPr>
            <w:tcW w:w="5217" w:type="dxa"/>
            <w:tcMar>
              <w:top w:w="0" w:type="dxa"/>
              <w:left w:w="113" w:type="dxa"/>
              <w:bottom w:w="0" w:type="dxa"/>
              <w:right w:w="0" w:type="dxa"/>
            </w:tcMar>
            <w:vAlign w:val="center"/>
          </w:tcPr>
          <w:p w14:paraId="3D04F0D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rPr>
              <w:t>1</w:t>
            </w:r>
            <w:r>
              <w:rPr>
                <w:rFonts w:hint="eastAsia"/>
                <w:b/>
                <w:bCs/>
                <w:color w:val="FF0000"/>
                <w:highlight w:val="none"/>
                <w:lang w:val="en-US" w:eastAsia="zh-CN"/>
              </w:rPr>
              <w:t>0</w:t>
            </w:r>
            <w:r>
              <w:rPr>
                <w:rFonts w:hint="eastAsia"/>
                <w:b/>
                <w:bCs/>
                <w:color w:val="FF0000"/>
                <w:highlight w:val="none"/>
              </w:rPr>
              <w:t>.NT-proBNP</w:t>
            </w:r>
            <w:r>
              <w:rPr>
                <w:rFonts w:hint="eastAsia"/>
                <w:b/>
                <w:bCs/>
                <w:color w:val="FF0000"/>
                <w:highlight w:val="none"/>
                <w:lang w:eastAsia="zh-CN"/>
              </w:rPr>
              <w:t>，</w:t>
            </w:r>
            <w:r>
              <w:rPr>
                <w:rFonts w:hint="eastAsia"/>
                <w:b/>
                <w:bCs/>
                <w:color w:val="FF0000"/>
                <w:highlight w:val="none"/>
              </w:rPr>
              <w:t>提供以间隔10岁为年龄段男性和女性参考范围。(提供试剂说明书</w:t>
            </w:r>
            <w:r>
              <w:rPr>
                <w:rFonts w:hint="eastAsia"/>
                <w:b/>
                <w:bCs/>
                <w:color w:val="FF0000"/>
                <w:highlight w:val="none"/>
                <w:lang w:val="en-US" w:eastAsia="zh-CN"/>
              </w:rPr>
              <w:t>扫描件</w:t>
            </w:r>
            <w:r>
              <w:rPr>
                <w:rFonts w:hint="eastAsia"/>
                <w:b/>
                <w:bCs/>
                <w:color w:val="FF0000"/>
                <w:highlight w:val="none"/>
              </w:rPr>
              <w:t>作为证明材料)</w:t>
            </w:r>
          </w:p>
        </w:tc>
      </w:tr>
      <w:tr w14:paraId="7D861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shd w:val="clear" w:color="auto" w:fill="auto"/>
            <w:tcMar>
              <w:top w:w="0" w:type="dxa"/>
              <w:left w:w="113" w:type="dxa"/>
              <w:bottom w:w="0" w:type="dxa"/>
              <w:right w:w="0" w:type="dxa"/>
            </w:tcMar>
            <w:vAlign w:val="center"/>
          </w:tcPr>
          <w:p w14:paraId="125388DE">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35</w:t>
            </w:r>
          </w:p>
        </w:tc>
        <w:tc>
          <w:tcPr>
            <w:tcW w:w="2161" w:type="dxa"/>
            <w:shd w:val="clear" w:color="auto" w:fill="auto"/>
            <w:tcMar>
              <w:top w:w="0" w:type="dxa"/>
              <w:left w:w="113" w:type="dxa"/>
              <w:bottom w:w="0" w:type="dxa"/>
              <w:right w:w="0" w:type="dxa"/>
            </w:tcMar>
            <w:vAlign w:val="center"/>
          </w:tcPr>
          <w:p w14:paraId="44EF9A3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5217" w:type="dxa"/>
            <w:shd w:val="clear" w:color="auto" w:fill="auto"/>
            <w:tcMar>
              <w:top w:w="0" w:type="dxa"/>
              <w:left w:w="113" w:type="dxa"/>
              <w:bottom w:w="0" w:type="dxa"/>
              <w:right w:w="0" w:type="dxa"/>
            </w:tcMar>
            <w:vAlign w:val="center"/>
          </w:tcPr>
          <w:p w14:paraId="06E9CD4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2"/>
                <w:sz w:val="21"/>
                <w:szCs w:val="21"/>
                <w:u w:val="none"/>
                <w:lang w:val="en-US" w:eastAsia="zh-CN" w:bidi="ar-SA"/>
              </w:rPr>
            </w:pPr>
            <w:r>
              <w:rPr>
                <w:rFonts w:hint="eastAsia"/>
                <w:b/>
                <w:bCs/>
                <w:color w:val="FF0000"/>
                <w:highlight w:val="none"/>
              </w:rPr>
              <w:t>1</w:t>
            </w:r>
            <w:r>
              <w:rPr>
                <w:rFonts w:hint="eastAsia"/>
                <w:b/>
                <w:bCs/>
                <w:color w:val="FF0000"/>
                <w:highlight w:val="none"/>
                <w:lang w:val="en-US" w:eastAsia="zh-CN"/>
              </w:rPr>
              <w:t>1</w:t>
            </w:r>
            <w:r>
              <w:rPr>
                <w:rFonts w:hint="eastAsia"/>
                <w:b/>
                <w:bCs/>
                <w:color w:val="FF0000"/>
                <w:highlight w:val="none"/>
              </w:rPr>
              <w:t>.高敏肌钙蛋白在2025年上半年国家卫生健康委临床检验中心室间质评中，具备独立分组且总实验室家数＞170家（提供国家卫生健康委临床检验中心相关内容截图证明文件）。</w:t>
            </w:r>
          </w:p>
        </w:tc>
      </w:tr>
      <w:tr w14:paraId="36A01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47EADCDE">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33</w:t>
            </w:r>
          </w:p>
        </w:tc>
        <w:tc>
          <w:tcPr>
            <w:tcW w:w="2161" w:type="dxa"/>
            <w:tcMar>
              <w:top w:w="0" w:type="dxa"/>
              <w:left w:w="113" w:type="dxa"/>
              <w:bottom w:w="0" w:type="dxa"/>
              <w:right w:w="0" w:type="dxa"/>
            </w:tcMar>
            <w:vAlign w:val="center"/>
          </w:tcPr>
          <w:p w14:paraId="32CA168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p>
        </w:tc>
        <w:tc>
          <w:tcPr>
            <w:tcW w:w="5217" w:type="dxa"/>
            <w:tcMar>
              <w:top w:w="0" w:type="dxa"/>
              <w:left w:w="113" w:type="dxa"/>
              <w:bottom w:w="0" w:type="dxa"/>
              <w:right w:w="0" w:type="dxa"/>
            </w:tcMar>
            <w:vAlign w:val="center"/>
          </w:tcPr>
          <w:p w14:paraId="711C0E9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rPr>
              <w:t>1</w:t>
            </w:r>
            <w:r>
              <w:rPr>
                <w:rFonts w:hint="eastAsia"/>
                <w:b/>
                <w:bCs/>
                <w:color w:val="FF0000"/>
                <w:highlight w:val="none"/>
                <w:lang w:val="en-US" w:eastAsia="zh-CN"/>
              </w:rPr>
              <w:t>2</w:t>
            </w:r>
            <w:r>
              <w:rPr>
                <w:rFonts w:hint="eastAsia"/>
                <w:b/>
                <w:bCs/>
                <w:color w:val="FF0000"/>
                <w:highlight w:val="none"/>
              </w:rPr>
              <w:t>.BNP或NT-proBNP在2025年上半年国家卫生健康委临床检验中心室间质评中，具备独立分组且总实验室家数＞150家（提供国家卫生健康委临床检验中心相关内容截图证明文件）。</w:t>
            </w:r>
          </w:p>
        </w:tc>
      </w:tr>
      <w:tr w14:paraId="72D1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3E50E6D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37</w:t>
            </w:r>
          </w:p>
        </w:tc>
        <w:tc>
          <w:tcPr>
            <w:tcW w:w="2161" w:type="dxa"/>
            <w:tcMar>
              <w:top w:w="0" w:type="dxa"/>
              <w:left w:w="113" w:type="dxa"/>
              <w:bottom w:w="0" w:type="dxa"/>
              <w:right w:w="0" w:type="dxa"/>
            </w:tcMar>
            <w:vAlign w:val="center"/>
          </w:tcPr>
          <w:p w14:paraId="20C7B3D8">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降钙素原（PCT）测定试剂</w:t>
            </w:r>
          </w:p>
        </w:tc>
        <w:tc>
          <w:tcPr>
            <w:tcW w:w="5217" w:type="dxa"/>
            <w:tcMar>
              <w:top w:w="0" w:type="dxa"/>
              <w:left w:w="113" w:type="dxa"/>
              <w:bottom w:w="0" w:type="dxa"/>
              <w:right w:w="0" w:type="dxa"/>
            </w:tcMar>
            <w:vAlign w:val="center"/>
          </w:tcPr>
          <w:p w14:paraId="4B6B482B">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rPr>
              <w:t>1</w:t>
            </w:r>
            <w:r>
              <w:rPr>
                <w:rFonts w:hint="eastAsia"/>
                <w:b/>
                <w:bCs/>
                <w:color w:val="FF0000"/>
                <w:highlight w:val="none"/>
                <w:lang w:val="en-US" w:eastAsia="zh-CN"/>
              </w:rPr>
              <w:t>3.</w:t>
            </w:r>
            <w:r>
              <w:rPr>
                <w:rFonts w:hint="eastAsia"/>
                <w:b/>
                <w:bCs/>
                <w:color w:val="FF0000"/>
                <w:highlight w:val="none"/>
              </w:rPr>
              <w:t>PCT在2025年上半年国家卫生健康委临床检验中心室间质评中，具备独立分组且总实验室家数＞200家（提供国家卫生健康委临床检验中心相关内容截图证明文件）。</w:t>
            </w:r>
          </w:p>
        </w:tc>
      </w:tr>
      <w:tr w14:paraId="4C0AA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7BDB9E8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39</w:t>
            </w:r>
          </w:p>
        </w:tc>
        <w:tc>
          <w:tcPr>
            <w:tcW w:w="2161" w:type="dxa"/>
            <w:tcMar>
              <w:top w:w="0" w:type="dxa"/>
              <w:left w:w="113" w:type="dxa"/>
              <w:bottom w:w="0" w:type="dxa"/>
              <w:right w:w="0" w:type="dxa"/>
            </w:tcMar>
            <w:vAlign w:val="center"/>
          </w:tcPr>
          <w:p w14:paraId="5A2C5A3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总 β 人绒毛膜促性腺激素（Total β HCG）测定试剂</w:t>
            </w:r>
          </w:p>
        </w:tc>
        <w:tc>
          <w:tcPr>
            <w:tcW w:w="5217" w:type="dxa"/>
            <w:tcMar>
              <w:top w:w="0" w:type="dxa"/>
              <w:left w:w="113" w:type="dxa"/>
              <w:bottom w:w="0" w:type="dxa"/>
              <w:right w:w="0" w:type="dxa"/>
            </w:tcMar>
            <w:vAlign w:val="center"/>
          </w:tcPr>
          <w:p w14:paraId="7E24689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eastAsia="宋体"/>
                <w:b/>
                <w:bCs/>
                <w:color w:val="FF0000"/>
                <w:highlight w:val="none"/>
                <w:lang w:eastAsia="zh-CN"/>
              </w:rPr>
            </w:pPr>
            <w:r>
              <w:rPr>
                <w:rFonts w:hint="eastAsia"/>
                <w:b/>
                <w:bCs/>
                <w:color w:val="FF0000"/>
                <w:highlight w:val="none"/>
              </w:rPr>
              <w:t>1</w:t>
            </w:r>
            <w:r>
              <w:rPr>
                <w:rFonts w:hint="eastAsia"/>
                <w:b/>
                <w:bCs/>
                <w:color w:val="FF0000"/>
                <w:highlight w:val="none"/>
                <w:lang w:val="en-US" w:eastAsia="zh-CN"/>
              </w:rPr>
              <w:t>4</w:t>
            </w:r>
            <w:r>
              <w:rPr>
                <w:rFonts w:hint="eastAsia"/>
                <w:b/>
                <w:bCs/>
                <w:color w:val="FF0000"/>
                <w:highlight w:val="none"/>
              </w:rPr>
              <w:t>.HCG或β-HCG在2025年上半年国家卫生健康委临床检验中心室间质评中，具备独立分组且总实验室家数＞200家（提供国家卫生健康委临床检验中心相关内容截图证明文件）</w:t>
            </w:r>
            <w:r>
              <w:rPr>
                <w:rFonts w:hint="eastAsia"/>
                <w:b/>
                <w:bCs/>
                <w:color w:val="FF0000"/>
                <w:highlight w:val="none"/>
                <w:lang w:eastAsia="zh-CN"/>
              </w:rPr>
              <w:t>。</w:t>
            </w:r>
          </w:p>
        </w:tc>
      </w:tr>
    </w:tbl>
    <w:p w14:paraId="797458E7">
      <w:pPr>
        <w:rPr>
          <w:b/>
          <w:szCs w:val="21"/>
        </w:rPr>
      </w:pPr>
    </w:p>
    <w:p w14:paraId="40076E32">
      <w:pPr>
        <w:pStyle w:val="5"/>
        <w:spacing w:before="120" w:beforeLines="50" w:after="120" w:afterLines="50"/>
        <w:rPr>
          <w:rFonts w:hint="eastAsia"/>
          <w:sz w:val="28"/>
          <w:szCs w:val="28"/>
        </w:rPr>
      </w:pPr>
    </w:p>
    <w:p w14:paraId="473823F3">
      <w:pPr>
        <w:widowControl w:val="0"/>
        <w:adjustRightInd w:val="0"/>
        <w:spacing w:before="120" w:beforeLines="50" w:after="120" w:afterLines="50"/>
        <w:jc w:val="center"/>
        <w:textAlignment w:val="baseline"/>
        <w:outlineLvl w:val="1"/>
        <w:rPr>
          <w:rFonts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★五、商务要求</w:t>
      </w:r>
    </w:p>
    <w:p w14:paraId="718A39B0">
      <w:pPr>
        <w:pStyle w:val="5"/>
        <w:spacing w:before="120" w:beforeLines="50" w:after="120" w:afterLines="50"/>
        <w:rPr>
          <w:rFonts w:hint="eastAsia"/>
          <w:sz w:val="28"/>
          <w:szCs w:val="28"/>
        </w:rPr>
      </w:pPr>
      <w:r>
        <w:rPr>
          <w:rFonts w:hint="eastAsia" w:ascii="Times New Roman" w:hAnsi="Times New Roman" w:eastAsia="宋体" w:cs="Times New Roman"/>
          <w:b/>
          <w:szCs w:val="21"/>
        </w:rPr>
        <w:t>说明：带★号条款为不可偏离条款，不作为评分准则中的评分内容</w:t>
      </w:r>
      <w:r>
        <w:rPr>
          <w:rFonts w:hint="eastAsia" w:ascii="Times New Roman" w:hAnsi="Times New Roman" w:eastAsia="宋体" w:cs="Times New Roman"/>
          <w:b/>
          <w:szCs w:val="21"/>
          <w:lang w:eastAsia="zh-CN"/>
        </w:rPr>
        <w:t>，</w:t>
      </w:r>
      <w:r>
        <w:rPr>
          <w:rFonts w:hint="eastAsia" w:ascii="Times New Roman" w:hAnsi="Times New Roman" w:eastAsia="宋体" w:cs="Times New Roman"/>
          <w:b/>
          <w:szCs w:val="21"/>
        </w:rPr>
        <w:t>如未响应或出现负偏离的，将作投标无效处理。</w:t>
      </w:r>
    </w:p>
    <w:p w14:paraId="3976D044">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一、报价要求</w:t>
      </w:r>
    </w:p>
    <w:p w14:paraId="231CFF44">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w:t>
      </w:r>
      <w:r>
        <w:rPr>
          <w:rFonts w:hint="default" w:ascii="Times New Roman" w:hAnsi="Times New Roman" w:eastAsia="宋体" w:cs="Times New Roman"/>
          <w:bCs/>
          <w:kern w:val="2"/>
          <w:sz w:val="21"/>
          <w:szCs w:val="21"/>
          <w:lang w:val="en-US" w:eastAsia="zh-CN" w:bidi="ar-SA"/>
        </w:rPr>
        <w:t>投标人所报价格为含税、配送商费用等的全包价</w:t>
      </w:r>
      <w:r>
        <w:rPr>
          <w:rFonts w:hint="eastAsia" w:ascii="Times New Roman" w:hAnsi="Times New Roman" w:eastAsia="宋体" w:cs="Times New Roman"/>
          <w:bCs/>
          <w:kern w:val="2"/>
          <w:sz w:val="21"/>
          <w:szCs w:val="21"/>
          <w:lang w:val="en-US" w:eastAsia="zh-CN" w:bidi="ar-SA"/>
        </w:rPr>
        <w:t>。</w:t>
      </w:r>
      <w:r>
        <w:rPr>
          <w:rFonts w:hint="eastAsia" w:cs="Times New Roman"/>
          <w:bCs/>
          <w:kern w:val="2"/>
          <w:sz w:val="21"/>
          <w:szCs w:val="21"/>
          <w:lang w:val="en-US" w:eastAsia="zh-CN" w:bidi="ar-SA"/>
        </w:rPr>
        <w:t>投标人</w:t>
      </w:r>
      <w:r>
        <w:rPr>
          <w:rFonts w:hint="eastAsia" w:ascii="Times New Roman" w:hAnsi="Times New Roman" w:eastAsia="宋体" w:cs="Times New Roman"/>
          <w:bCs/>
          <w:kern w:val="2"/>
          <w:sz w:val="21"/>
          <w:szCs w:val="21"/>
          <w:lang w:val="en-US" w:eastAsia="zh-CN" w:bidi="ar-SA"/>
        </w:rPr>
        <w:t>按“二、货物清单明细”中的序号1至4、序号7至30、序号33至49、序号5</w:t>
      </w:r>
      <w:r>
        <w:rPr>
          <w:rFonts w:hint="eastAsia" w:cs="Times New Roman"/>
          <w:bCs/>
          <w:kern w:val="2"/>
          <w:sz w:val="21"/>
          <w:szCs w:val="21"/>
          <w:lang w:val="en-US" w:eastAsia="zh-CN" w:bidi="ar-SA"/>
        </w:rPr>
        <w:t>2</w:t>
      </w:r>
      <w:r>
        <w:rPr>
          <w:rFonts w:hint="eastAsia" w:ascii="Times New Roman" w:hAnsi="Times New Roman" w:eastAsia="宋体" w:cs="Times New Roman"/>
          <w:bCs/>
          <w:kern w:val="2"/>
          <w:sz w:val="21"/>
          <w:szCs w:val="21"/>
          <w:lang w:val="en-US" w:eastAsia="zh-CN" w:bidi="ar-SA"/>
        </w:rPr>
        <w:t>至58的货物</w:t>
      </w:r>
      <w:r>
        <w:rPr>
          <w:rFonts w:hint="eastAsia" w:cs="Times New Roman"/>
          <w:bCs/>
          <w:kern w:val="2"/>
          <w:sz w:val="21"/>
          <w:szCs w:val="21"/>
          <w:lang w:val="en-US" w:eastAsia="zh-CN" w:bidi="ar-SA"/>
        </w:rPr>
        <w:t>（</w:t>
      </w:r>
      <w:r>
        <w:rPr>
          <w:rFonts w:hint="eastAsia" w:ascii="Times New Roman" w:hAnsi="Times New Roman" w:eastAsia="宋体" w:cs="Times New Roman"/>
          <w:bCs/>
          <w:kern w:val="2"/>
          <w:sz w:val="21"/>
          <w:szCs w:val="21"/>
          <w:lang w:val="en-US" w:eastAsia="zh-CN" w:bidi="ar-SA"/>
        </w:rPr>
        <w:t>共52项</w:t>
      </w:r>
      <w:r>
        <w:rPr>
          <w:rFonts w:hint="eastAsia" w:cs="Times New Roman"/>
          <w:bCs/>
          <w:kern w:val="2"/>
          <w:sz w:val="21"/>
          <w:szCs w:val="21"/>
          <w:lang w:val="en-US" w:eastAsia="zh-CN" w:bidi="ar-SA"/>
        </w:rPr>
        <w:t>货物）</w:t>
      </w:r>
      <w:r>
        <w:rPr>
          <w:rFonts w:hint="eastAsia" w:ascii="Times New Roman" w:hAnsi="Times New Roman" w:eastAsia="宋体" w:cs="Times New Roman"/>
          <w:bCs/>
          <w:kern w:val="2"/>
          <w:sz w:val="21"/>
          <w:szCs w:val="21"/>
          <w:lang w:val="en-US" w:eastAsia="zh-CN" w:bidi="ar-SA"/>
        </w:rPr>
        <w:t>参与价格分</w:t>
      </w:r>
      <w:r>
        <w:rPr>
          <w:rFonts w:hint="eastAsia" w:cs="Times New Roman"/>
          <w:bCs/>
          <w:kern w:val="2"/>
          <w:sz w:val="21"/>
          <w:szCs w:val="21"/>
          <w:lang w:val="en-US" w:eastAsia="zh-CN" w:bidi="ar-SA"/>
        </w:rPr>
        <w:t>评审</w:t>
      </w:r>
      <w:r>
        <w:rPr>
          <w:rFonts w:hint="eastAsia" w:ascii="Times New Roman" w:hAnsi="Times New Roman" w:eastAsia="宋体" w:cs="Times New Roman"/>
          <w:bCs/>
          <w:kern w:val="2"/>
          <w:sz w:val="21"/>
          <w:szCs w:val="21"/>
          <w:lang w:val="en-US" w:eastAsia="zh-CN" w:bidi="ar-SA"/>
        </w:rPr>
        <w:t>，参与评分的货物</w:t>
      </w:r>
      <w:r>
        <w:rPr>
          <w:rFonts w:hint="eastAsia" w:cs="Times New Roman"/>
          <w:bCs/>
          <w:kern w:val="2"/>
          <w:sz w:val="21"/>
          <w:szCs w:val="21"/>
          <w:lang w:val="en-US" w:eastAsia="zh-CN" w:bidi="ar-SA"/>
        </w:rPr>
        <w:t>以</w:t>
      </w:r>
      <w:r>
        <w:rPr>
          <w:rFonts w:hint="eastAsia" w:ascii="Times New Roman" w:hAnsi="Times New Roman" w:eastAsia="宋体" w:cs="Times New Roman"/>
          <w:bCs/>
          <w:kern w:val="2"/>
          <w:sz w:val="21"/>
          <w:szCs w:val="21"/>
          <w:lang w:val="en-US" w:eastAsia="zh-CN" w:bidi="ar-SA"/>
        </w:rPr>
        <w:t>“预计采购数量”乘以“最小计量单位单价最高限价（元）”</w:t>
      </w:r>
      <w:r>
        <w:rPr>
          <w:rFonts w:hint="eastAsia" w:cs="Times New Roman"/>
          <w:bCs/>
          <w:kern w:val="2"/>
          <w:sz w:val="21"/>
          <w:szCs w:val="21"/>
          <w:lang w:val="en-US" w:eastAsia="zh-CN" w:bidi="ar-SA"/>
        </w:rPr>
        <w:t>作为投标</w:t>
      </w:r>
      <w:r>
        <w:rPr>
          <w:rFonts w:hint="eastAsia" w:ascii="Times New Roman" w:hAnsi="Times New Roman" w:eastAsia="宋体" w:cs="Times New Roman"/>
          <w:bCs/>
          <w:kern w:val="2"/>
          <w:sz w:val="21"/>
          <w:szCs w:val="21"/>
          <w:lang w:val="en-US" w:eastAsia="zh-CN" w:bidi="ar-SA"/>
        </w:rPr>
        <w:t>总价进行</w:t>
      </w:r>
      <w:r>
        <w:rPr>
          <w:rFonts w:hint="eastAsia" w:cs="Times New Roman"/>
          <w:bCs/>
          <w:kern w:val="2"/>
          <w:sz w:val="21"/>
          <w:szCs w:val="21"/>
          <w:lang w:val="en-US" w:eastAsia="zh-CN" w:bidi="ar-SA"/>
        </w:rPr>
        <w:t>价格分评审</w:t>
      </w:r>
      <w:r>
        <w:rPr>
          <w:rFonts w:hint="eastAsia" w:ascii="Times New Roman" w:hAnsi="Times New Roman" w:eastAsia="宋体" w:cs="Times New Roman"/>
          <w:bCs/>
          <w:kern w:val="2"/>
          <w:sz w:val="21"/>
          <w:szCs w:val="21"/>
          <w:lang w:val="en-US" w:eastAsia="zh-CN" w:bidi="ar-SA"/>
        </w:rPr>
        <w:t>。</w:t>
      </w:r>
    </w:p>
    <w:p w14:paraId="2C29A381">
      <w:pPr>
        <w:ind w:firstLine="420" w:firstLineChars="200"/>
        <w:rPr>
          <w:rFonts w:hint="eastAsia" w:ascii="Times New Roman" w:hAnsi="Times New Roman" w:eastAsia="宋体" w:cs="Times New Roman"/>
          <w:bCs/>
          <w:kern w:val="2"/>
          <w:sz w:val="21"/>
          <w:szCs w:val="21"/>
          <w:lang w:val="en-US" w:eastAsia="zh-CN" w:bidi="ar-SA"/>
        </w:rPr>
      </w:pPr>
      <w:r>
        <w:rPr>
          <w:rFonts w:hint="eastAsia" w:cs="Times New Roman"/>
          <w:bCs/>
          <w:kern w:val="2"/>
          <w:sz w:val="21"/>
          <w:szCs w:val="21"/>
          <w:highlight w:val="yellow"/>
          <w:lang w:val="en-US" w:eastAsia="zh-CN" w:bidi="ar-SA"/>
        </w:rPr>
        <w:t>即投标人在《开标一览表》以及《分项报价表》中的“投标总价”只需汇总计算参与价格分评审的货物。</w:t>
      </w:r>
    </w:p>
    <w:p w14:paraId="5F33F6C9">
      <w:pPr>
        <w:ind w:firstLine="420" w:firstLineChars="200"/>
        <w:rPr>
          <w:rFonts w:hint="default"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en-US" w:eastAsia="zh-CN" w:bidi="ar-SA"/>
        </w:rPr>
        <w:t>（2）</w:t>
      </w:r>
      <w:r>
        <w:rPr>
          <w:rFonts w:hint="default" w:ascii="Times New Roman" w:hAnsi="Times New Roman" w:eastAsia="宋体" w:cs="Times New Roman"/>
          <w:bCs/>
          <w:kern w:val="2"/>
          <w:sz w:val="21"/>
          <w:szCs w:val="21"/>
          <w:lang w:val="zh-CN" w:eastAsia="zh-CN" w:bidi="ar-SA"/>
        </w:rPr>
        <w:t>作为医疗器械管理的产品，货物为深圳医用耗材阳光交易和监管平台采购标的，供应商所报价格高于以上平台最低价格的，执行平台最低价格进行结算；供应商所报价格低于以上平台价格的，按供应商所报价格执行且必须在以上平台采购。</w:t>
      </w:r>
    </w:p>
    <w:p w14:paraId="288AC186">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二、付款方式</w:t>
      </w:r>
    </w:p>
    <w:p w14:paraId="5D839B7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（1）以实际采购需求为准，先供货后付款，按月结算。</w:t>
      </w:r>
    </w:p>
    <w:p w14:paraId="15BF98FA">
      <w:pPr>
        <w:ind w:firstLine="420" w:firstLineChars="200"/>
        <w:rPr>
          <w:rFonts w:hint="eastAsia"/>
          <w:b/>
        </w:rPr>
      </w:pPr>
      <w:r>
        <w:rPr>
          <w:rFonts w:hint="eastAsia" w:ascii="Times New Roman" w:hAnsi="Times New Roman" w:eastAsia="宋体" w:cs="Times New Roman"/>
          <w:bCs/>
          <w:kern w:val="2"/>
          <w:sz w:val="21"/>
          <w:szCs w:val="21"/>
          <w:lang w:val="en-US" w:eastAsia="zh-CN" w:bidi="ar-SA"/>
        </w:rPr>
        <w:t>（2）供应商及时定期向采购人提供上月供货量的对账单及验收资料，经采购人确认无误后，供应商根据对账结果出具合法有效的发票，采购人收到发票及经审核确认的结算资料后按照内部支付流程以转账方式付款。若因财政审核等原因导致的逾期支付不视为采购人违约。</w:t>
      </w:r>
    </w:p>
    <w:p w14:paraId="7200967A">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三、服务期</w:t>
      </w:r>
    </w:p>
    <w:p w14:paraId="4295D8B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自合同签订之日起1年。（合同期满后，采购人根据中标单位的履约情况可选择是否续签下一个年度合同，合同履行期限最长不超过24个月。如因政策调整或其他原因，采购人保留不续签的权利。）</w:t>
      </w:r>
    </w:p>
    <w:p w14:paraId="5F83C751">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四、配送时间（货物类）</w:t>
      </w:r>
    </w:p>
    <w:p w14:paraId="7D6DEB2B">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1）中标人应在接到采购人订单后72小时内完成配送，确保货物或服务按时到达指定地点。</w:t>
      </w:r>
    </w:p>
    <w:p w14:paraId="0839D709">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2）对于紧急订单，中标人应在接到通知后4小时内完成配送。</w:t>
      </w:r>
    </w:p>
    <w:p w14:paraId="50E69DA2">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3）如遇特殊情况（如自然灾害、交通管制等不可抗力因素），中标人应及时通知采购人，并与采购人协商确定新的配送时间。</w:t>
      </w:r>
    </w:p>
    <w:p w14:paraId="09FE71F2">
      <w:pPr>
        <w:ind w:firstLine="422" w:firstLineChars="200"/>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三、</w:t>
      </w:r>
      <w:r>
        <w:rPr>
          <w:rFonts w:hint="default" w:ascii="Times New Roman" w:hAnsi="Times New Roman" w:eastAsia="宋体" w:cs="Times New Roman"/>
          <w:b/>
          <w:bCs w:val="0"/>
          <w:kern w:val="2"/>
          <w:sz w:val="21"/>
          <w:szCs w:val="21"/>
          <w:lang w:val="en-US" w:eastAsia="zh-CN" w:bidi="ar-SA"/>
        </w:rPr>
        <w:t>运输及包装方式的要求</w:t>
      </w:r>
    </w:p>
    <w:p w14:paraId="1383F049">
      <w:pPr>
        <w:ind w:firstLine="420" w:firstLineChars="200"/>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kern w:val="2"/>
          <w:sz w:val="21"/>
          <w:szCs w:val="21"/>
          <w:lang w:val="en-US" w:eastAsia="zh-CN" w:bidi="ar-SA"/>
        </w:rPr>
        <w:t>中标供应商应按照其投标时承诺的时间和协议中约定的时间配送产品或提供伴随服务。合同中所有的商品均须由中标人自行运往采购人指定地点，不论商品从何处购置、采用何种方式运输，采购人不承担任何责任及相关费用。中标人应自行处理商品质量和数量短缺等问题。</w:t>
      </w:r>
    </w:p>
    <w:p w14:paraId="3F4D4C5B">
      <w:pPr>
        <w:ind w:firstLine="422" w:firstLineChars="200"/>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四、</w:t>
      </w:r>
      <w:r>
        <w:rPr>
          <w:rFonts w:hint="default" w:ascii="Times New Roman" w:hAnsi="Times New Roman" w:eastAsia="宋体" w:cs="Times New Roman"/>
          <w:b/>
          <w:bCs w:val="0"/>
          <w:kern w:val="2"/>
          <w:sz w:val="21"/>
          <w:szCs w:val="21"/>
          <w:lang w:val="en-US" w:eastAsia="zh-CN" w:bidi="ar-SA"/>
        </w:rPr>
        <w:t>验收要求</w:t>
      </w:r>
    </w:p>
    <w:p w14:paraId="57194503">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按照合同以及需求科室使用要求验收，形成验收报告，由验收参与方签字确认。</w:t>
      </w:r>
    </w:p>
    <w:p w14:paraId="67CEEBDB">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1.成立3人验收小组，包含使用科室负责人、仓库管理人员和采购验收人员。</w:t>
      </w:r>
    </w:p>
    <w:p w14:paraId="5B677A93">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货物抵达指定地点后，验收小组指定验收人员根据采购计划内容的实际情况，查验各项随货单据、送货单/备货单、产品使用说明书等是否齐全，验收员在验收过程中应进行外观检查，查看是否存在受潮、进水、破损、变形、污染等问题。如发现配件不全、数量不符、破损时，应当及时替换处理。查验合格后由验收员在送货单上签名并签章，送货单应有一联留存备查。</w:t>
      </w:r>
    </w:p>
    <w:p w14:paraId="74A9DB8E">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按合同约定一次性结算且有安装施工条目的项目，支付款项申请前，应进行履约验收。验收人员按照国家、行业标准,以及招标文件和采购合同约定的时限和要求，对供应商履约情况组织履约验收，填写验收单，记录验收情况，明确验收结论（合格/不合格）对于不符合合同约定的，采购人应如实记录，并追踪整改落实情况，待整改完成后进行最终确认。验收人员可将验收不合格的情况列入合同违约条款，要求其承担相应的责任。</w:t>
      </w:r>
    </w:p>
    <w:p w14:paraId="30E7F191">
      <w:pPr>
        <w:ind w:firstLine="422" w:firstLineChars="200"/>
        <w:rPr>
          <w:rFonts w:hint="default"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五、</w:t>
      </w:r>
      <w:r>
        <w:rPr>
          <w:rFonts w:hint="default" w:ascii="Times New Roman" w:hAnsi="Times New Roman" w:eastAsia="宋体" w:cs="Times New Roman"/>
          <w:b/>
          <w:bCs w:val="0"/>
          <w:kern w:val="2"/>
          <w:sz w:val="21"/>
          <w:szCs w:val="21"/>
          <w:lang w:val="en-US" w:eastAsia="zh-CN" w:bidi="ar-SA"/>
        </w:rPr>
        <w:t>售后服务</w:t>
      </w:r>
    </w:p>
    <w:p w14:paraId="2B31FE34">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1.供应商可能被要求提供下列服务中的一项或全部服务。</w:t>
      </w:r>
    </w:p>
    <w:p w14:paraId="37E55C44">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（1）产品的现场搬运或入库；</w:t>
      </w:r>
    </w:p>
    <w:p w14:paraId="0DFF2337">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（2）提供产品开箱或分装的用具；</w:t>
      </w:r>
    </w:p>
    <w:p w14:paraId="338E4620">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（3）对开箱时发现的破损、近有效期产品或其他不合格包装产品无条件及时更换；</w:t>
      </w:r>
    </w:p>
    <w:p w14:paraId="4372C97F">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（4）在采购人指定地点为所供产品的临床应用进行现场讲解或培训；</w:t>
      </w:r>
    </w:p>
    <w:p w14:paraId="7532FEE1">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（5）其他供应商应提供的相关服务项目。</w:t>
      </w:r>
    </w:p>
    <w:p w14:paraId="0A9EDC1D">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2.供应商应具备解决紧急问题的能力，如采购人在使用货物的过程中发现问题，供应商应及时到采购人现场解决。供应商下单后需及时送货，不得无故推迟。</w:t>
      </w:r>
    </w:p>
    <w:p w14:paraId="77790348">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3.其他约定：对于接近有效期的产品（有效期3个月或以内的），保证无条件更换新批号且有效期在半年以上的产品。</w:t>
      </w:r>
    </w:p>
    <w:p w14:paraId="31A60667">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六、违约责任</w:t>
      </w:r>
    </w:p>
    <w:p w14:paraId="4D1824AD">
      <w:pPr>
        <w:ind w:firstLine="420" w:firstLineChars="200"/>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zh-CN" w:eastAsia="zh-CN" w:bidi="ar-SA"/>
        </w:rPr>
        <w:t>1.供应商未按照投标文件中承诺的时间交货或提供服务，供应商应承担延期交货和延期服务的违约责任，并赔偿采购人因此造成的实际经济损失。</w:t>
      </w:r>
    </w:p>
    <w:p w14:paraId="35258C73">
      <w:pPr>
        <w:ind w:firstLine="420" w:firstLineChars="200"/>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zh-CN" w:eastAsia="zh-CN" w:bidi="ar-SA"/>
        </w:rPr>
        <w:t>2.在履行合同的过程中，如供应商遇到妨碍按时配送产品和提供伴随服务的情况时，应及时以书面形式将拖延的事实、可能拖延的时间和原因通知采购人。采购人收到供应商通知后，应尽快对情况进行核实，并由采购人确定是否酌情延长交货时间以及是否收取违约金或终止合同。</w:t>
      </w:r>
    </w:p>
    <w:p w14:paraId="282FEACD">
      <w:pPr>
        <w:ind w:firstLine="420" w:firstLineChars="200"/>
        <w:rPr>
          <w:rFonts w:hint="eastAsia" w:ascii="Times New Roman" w:hAnsi="Times New Roman" w:eastAsia="宋体" w:cs="Times New Roman"/>
          <w:bCs/>
          <w:kern w:val="2"/>
          <w:sz w:val="21"/>
          <w:szCs w:val="21"/>
          <w:lang w:val="zh-CN" w:eastAsia="zh-CN" w:bidi="ar-SA"/>
        </w:rPr>
      </w:pPr>
      <w:r>
        <w:rPr>
          <w:rFonts w:hint="eastAsia" w:ascii="Times New Roman" w:hAnsi="Times New Roman" w:eastAsia="宋体" w:cs="Times New Roman"/>
          <w:bCs/>
          <w:kern w:val="2"/>
          <w:sz w:val="21"/>
          <w:szCs w:val="21"/>
          <w:lang w:val="en-US" w:eastAsia="zh-CN" w:bidi="ar-SA"/>
        </w:rPr>
        <w:t>3.</w:t>
      </w:r>
      <w:r>
        <w:rPr>
          <w:rFonts w:hint="eastAsia" w:ascii="Times New Roman" w:hAnsi="Times New Roman" w:eastAsia="宋体" w:cs="Times New Roman"/>
          <w:bCs/>
          <w:kern w:val="2"/>
          <w:sz w:val="21"/>
          <w:szCs w:val="21"/>
          <w:lang w:val="zh-CN" w:eastAsia="zh-CN" w:bidi="ar-SA"/>
        </w:rPr>
        <w:t>供应商所提供耗材或试剂的品种、型号、规格、质量、技术参数等方面不能实质性满足遴选文件要约的，采购人有权拒绝收货，供应商向采购人偿付项目采购金额（</w:t>
      </w:r>
      <w:r>
        <w:rPr>
          <w:rFonts w:hint="eastAsia" w:ascii="Times New Roman" w:hAnsi="Times New Roman" w:eastAsia="宋体" w:cs="Times New Roman"/>
          <w:bCs/>
          <w:kern w:val="2"/>
          <w:sz w:val="21"/>
          <w:szCs w:val="21"/>
          <w:lang w:val="en-US" w:eastAsia="zh-CN" w:bidi="ar-SA"/>
        </w:rPr>
        <w:t>10</w:t>
      </w:r>
      <w:r>
        <w:rPr>
          <w:rFonts w:hint="eastAsia" w:ascii="Times New Roman" w:hAnsi="Times New Roman" w:eastAsia="宋体" w:cs="Times New Roman"/>
          <w:bCs/>
          <w:kern w:val="2"/>
          <w:sz w:val="21"/>
          <w:szCs w:val="21"/>
          <w:lang w:val="zh-CN" w:eastAsia="zh-CN" w:bidi="ar-SA"/>
        </w:rPr>
        <w:t>）%的违约金；造成严重后果的，根据《深圳经济特区政府采购条例》第五十七条第（二）款规定，由主管部门对供应商进行处罚。</w:t>
      </w:r>
    </w:p>
    <w:p w14:paraId="46EB89E0">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4.如供应商无正当理由拖延交货，按逾期交货部分货款计算，应向采购人偿付每日（0.5）‰的违约金，供应商逾期交货超过 30 日，采购人有权解除合同，并由供应商承担采购人因此所受的损失费用。</w:t>
      </w:r>
    </w:p>
    <w:p w14:paraId="3D03AC8F">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5.材料有效期须符合订货周期需要，如提供有效期短，则采购人可根据情况提出退货或换货，供应商必须按采购人要求给予退货或换货。</w:t>
      </w:r>
    </w:p>
    <w:p w14:paraId="1B520267">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6.供应商在供货期间，产品出现质量等问题，经上级相关部门认定结果造成医院及患者的损失，由供应商负全责，包括采购人因此产生纠纷的任何费用开支、患者的赔偿金，包括但不限于诉讼费、律师费、鉴定费等相关费用。</w:t>
      </w:r>
    </w:p>
    <w:p w14:paraId="5AA8221B">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7.供应商在合同期内超过3次未按时交货，或未按时到现场对接采购人工作人员的，给予诫勉谈话，超过5次履约不合格的，采购人有权终止合同。</w:t>
      </w:r>
    </w:p>
    <w:p w14:paraId="6AE2ED5F">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8.在合同期内，如出现用户单位对协议供货、服务等投诉问题，经调查属实，将追究供应商的责任。</w:t>
      </w:r>
    </w:p>
    <w:p w14:paraId="5F2EE8F2">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9.在重大突发公共事件、应急抢险救灾事件或节假日期间，采购人急需采购应急物资，供应商需无条件响应，全力配合采购人做好采购工作，供应商在此情况下推脱2次以上未按时交货的，采购人有权终止合同，向第三方采购。</w:t>
      </w:r>
    </w:p>
    <w:p w14:paraId="206FCFB2">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10.未列入以上条款的其他违规事项，则按照《中华人民共和国招标投标法》法律责任条款处理。</w:t>
      </w:r>
    </w:p>
    <w:p w14:paraId="538BF107">
      <w:pPr>
        <w:ind w:firstLine="422" w:firstLineChars="200"/>
        <w:rPr>
          <w:rFonts w:hint="eastAsia" w:ascii="Times New Roman" w:hAnsi="Times New Roman" w:eastAsia="宋体" w:cs="Times New Roman"/>
          <w:b/>
          <w:bCs w:val="0"/>
          <w:kern w:val="2"/>
          <w:sz w:val="21"/>
          <w:szCs w:val="21"/>
          <w:lang w:val="en-US" w:eastAsia="zh-CN" w:bidi="ar-SA"/>
        </w:rPr>
      </w:pPr>
      <w:r>
        <w:rPr>
          <w:rFonts w:hint="eastAsia" w:ascii="Times New Roman" w:hAnsi="Times New Roman" w:eastAsia="宋体" w:cs="Times New Roman"/>
          <w:b/>
          <w:bCs w:val="0"/>
          <w:kern w:val="2"/>
          <w:sz w:val="21"/>
          <w:szCs w:val="21"/>
          <w:lang w:val="en-US" w:eastAsia="zh-CN" w:bidi="ar-SA"/>
        </w:rPr>
        <w:t>七、注意事项</w:t>
      </w:r>
    </w:p>
    <w:p w14:paraId="07854EA3">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（一）中标人不得将项目非法分包或转包给任何单位和个人。否则，采购单位有权即刻终止合同，并要求中标人赔偿相应损失。</w:t>
      </w:r>
    </w:p>
    <w:p w14:paraId="6024D953">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（二）投标人若认为招标文件的技术要求或其他要求有倾向性或不公正性，可在招标答疑阶段提出，以维护招标行为的公平、公正。</w:t>
      </w:r>
    </w:p>
    <w:p w14:paraId="64097A7D">
      <w:pPr>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（三）如投标人提交伪造资质证书、合同文件等投标文件的，一经发现将报主管部门依法依规处置。</w:t>
      </w:r>
    </w:p>
    <w:p w14:paraId="779799C9">
      <w:pPr>
        <w:pStyle w:val="20"/>
        <w:rPr>
          <w:rFonts w:hint="eastAsia" w:eastAsia="宋体"/>
          <w:lang w:val="en-US" w:eastAsia="zh-CN"/>
        </w:rPr>
      </w:pPr>
    </w:p>
    <w:p w14:paraId="098C8408">
      <w:pPr>
        <w:pStyle w:val="20"/>
        <w:rPr>
          <w:rFonts w:hint="eastAsia" w:eastAsia="宋体"/>
          <w:lang w:val="en-US" w:eastAsia="zh-CN"/>
        </w:rPr>
      </w:pPr>
    </w:p>
    <w:p w14:paraId="43E8CC26">
      <w:pPr>
        <w:pStyle w:val="20"/>
        <w:rPr>
          <w:rFonts w:hint="eastAsia" w:eastAsia="宋体"/>
          <w:lang w:val="en-US" w:eastAsia="zh-CN"/>
        </w:rPr>
      </w:pPr>
    </w:p>
    <w:p w14:paraId="5DB0416D">
      <w:pPr>
        <w:pStyle w:val="20"/>
        <w:rPr>
          <w:rFonts w:hint="eastAsia" w:eastAsia="宋体"/>
          <w:lang w:val="en-US" w:eastAsia="zh-CN"/>
        </w:rPr>
      </w:pPr>
    </w:p>
    <w:p w14:paraId="57B3BA0B">
      <w:pPr>
        <w:pStyle w:val="20"/>
        <w:rPr>
          <w:rFonts w:hint="eastAsia" w:eastAsia="宋体"/>
          <w:lang w:val="en-US" w:eastAsia="zh-CN"/>
        </w:rPr>
      </w:pPr>
    </w:p>
    <w:p w14:paraId="63BB96F8">
      <w:pPr>
        <w:rPr>
          <w:rFonts w:hint="eastAsia" w:eastAsia="宋体"/>
          <w:lang w:val="en-US" w:eastAsia="zh-CN"/>
        </w:rPr>
      </w:pPr>
      <w:r>
        <w:rPr>
          <w:rFonts w:hint="eastAsia" w:eastAsia="宋体"/>
          <w:lang w:val="en-US" w:eastAsia="zh-CN"/>
        </w:rPr>
        <w:br w:type="page"/>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5601"/>
        <w:gridCol w:w="2212"/>
      </w:tblGrid>
      <w:tr w14:paraId="5CD8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0" w:type="auto"/>
            <w:gridSpan w:val="3"/>
            <w:shd w:val="clear" w:color="auto" w:fill="auto"/>
            <w:noWrap/>
            <w:vAlign w:val="center"/>
          </w:tcPr>
          <w:p w14:paraId="3C55980E">
            <w:pPr>
              <w:widowControl/>
              <w:snapToGrid w:val="0"/>
              <w:spacing w:before="100" w:beforeAutospacing="1" w:after="100" w:afterAutospacing="1"/>
              <w:ind w:firstLine="422" w:firstLineChars="200"/>
              <w:jc w:val="left"/>
              <w:rPr>
                <w:rFonts w:hint="eastAsia" w:ascii="宋体" w:hAnsi="宋体" w:eastAsia="宋体" w:cs="宋体"/>
                <w:b/>
                <w:bCs/>
                <w:color w:val="auto"/>
                <w:kern w:val="0"/>
                <w:sz w:val="28"/>
                <w:szCs w:val="28"/>
              </w:rPr>
            </w:pPr>
            <w:r>
              <w:rPr>
                <w:rFonts w:hint="eastAsia" w:ascii="Times New Roman" w:hAnsi="Times New Roman" w:eastAsia="宋体" w:cs="Times New Roman"/>
                <w:b/>
                <w:bCs w:val="0"/>
                <w:kern w:val="2"/>
                <w:sz w:val="21"/>
                <w:szCs w:val="21"/>
                <w:lang w:val="en-US" w:eastAsia="zh-CN" w:bidi="ar-SA"/>
              </w:rPr>
              <w:t>八、售后服务响应表</w:t>
            </w:r>
          </w:p>
        </w:tc>
      </w:tr>
      <w:tr w14:paraId="728E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0" w:type="auto"/>
            <w:shd w:val="clear" w:color="auto" w:fill="auto"/>
            <w:vAlign w:val="center"/>
          </w:tcPr>
          <w:p w14:paraId="58719AC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序号</w:t>
            </w:r>
          </w:p>
        </w:tc>
        <w:tc>
          <w:tcPr>
            <w:tcW w:w="5601" w:type="dxa"/>
            <w:shd w:val="clear" w:color="auto" w:fill="auto"/>
            <w:vAlign w:val="center"/>
          </w:tcPr>
          <w:p w14:paraId="7C4D65C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服务条款</w:t>
            </w:r>
          </w:p>
        </w:tc>
        <w:tc>
          <w:tcPr>
            <w:tcW w:w="2212" w:type="dxa"/>
            <w:shd w:val="clear" w:color="auto" w:fill="auto"/>
            <w:vAlign w:val="center"/>
          </w:tcPr>
          <w:p w14:paraId="594EA0D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说明</w:t>
            </w:r>
          </w:p>
        </w:tc>
      </w:tr>
      <w:tr w14:paraId="18BD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0" w:type="auto"/>
            <w:shd w:val="clear" w:color="auto" w:fill="auto"/>
            <w:vAlign w:val="center"/>
          </w:tcPr>
          <w:p w14:paraId="193EC1E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1</w:t>
            </w:r>
          </w:p>
        </w:tc>
        <w:tc>
          <w:tcPr>
            <w:tcW w:w="0" w:type="auto"/>
            <w:gridSpan w:val="2"/>
            <w:shd w:val="clear" w:color="auto" w:fill="auto"/>
            <w:vAlign w:val="center"/>
          </w:tcPr>
          <w:p w14:paraId="28E24F37">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送货及库存：</w:t>
            </w:r>
          </w:p>
        </w:tc>
      </w:tr>
      <w:tr w14:paraId="252C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0" w:type="auto"/>
            <w:shd w:val="clear" w:color="auto" w:fill="auto"/>
            <w:vAlign w:val="center"/>
          </w:tcPr>
          <w:p w14:paraId="5AE4F603">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1.1</w:t>
            </w:r>
          </w:p>
        </w:tc>
        <w:tc>
          <w:tcPr>
            <w:tcW w:w="5601" w:type="dxa"/>
            <w:shd w:val="clear" w:color="auto" w:fill="auto"/>
            <w:vAlign w:val="center"/>
          </w:tcPr>
          <w:p w14:paraId="0BA073A7">
            <w:pPr>
              <w:widowControl/>
              <w:jc w:val="both"/>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在本地（深圳市）设有产品库，在合同有效期内，保证货源充足，如果设备出现故障，无法修复，需无偿提供配套器械。</w:t>
            </w:r>
          </w:p>
        </w:tc>
        <w:tc>
          <w:tcPr>
            <w:tcW w:w="2212" w:type="dxa"/>
            <w:shd w:val="clear" w:color="auto" w:fill="auto"/>
            <w:vAlign w:val="center"/>
          </w:tcPr>
          <w:p w14:paraId="541711D5">
            <w:pPr>
              <w:widowControl/>
              <w:jc w:val="both"/>
              <w:rPr>
                <w:rFonts w:hint="eastAsia" w:ascii="宋体" w:hAnsi="宋体" w:eastAsia="宋体" w:cs="宋体"/>
                <w:b/>
                <w:bCs/>
                <w:kern w:val="0"/>
                <w:sz w:val="20"/>
                <w:szCs w:val="20"/>
              </w:rPr>
            </w:pPr>
            <w:r>
              <w:rPr>
                <w:rFonts w:hint="eastAsia" w:ascii="Times New Roman" w:hAnsi="Times New Roman" w:eastAsia="宋体" w:cs="Times New Roman"/>
                <w:b/>
                <w:bCs/>
                <w:color w:val="FF0000"/>
                <w:lang w:val="en-US" w:eastAsia="zh-CN"/>
              </w:rPr>
              <w:t>投标人须承诺</w:t>
            </w:r>
            <w:r>
              <w:rPr>
                <w:rFonts w:hint="eastAsia" w:cs="Times New Roman"/>
                <w:b/>
                <w:bCs/>
                <w:color w:val="FF0000"/>
                <w:lang w:val="en-US" w:eastAsia="zh-CN"/>
              </w:rPr>
              <w:t>中标后</w:t>
            </w:r>
            <w:r>
              <w:rPr>
                <w:rFonts w:hint="eastAsia" w:ascii="Times New Roman" w:hAnsi="Times New Roman" w:eastAsia="宋体" w:cs="Times New Roman"/>
                <w:b/>
                <w:bCs/>
                <w:color w:val="FF0000"/>
                <w:lang w:val="en-US" w:eastAsia="zh-CN"/>
              </w:rPr>
              <w:t>在本地（深圳市）设有产品库，在合同有效期内，保证货源充足，如果设备出现故障，无法修复，需无偿提供配套器械</w:t>
            </w:r>
            <w:r>
              <w:rPr>
                <w:rFonts w:hint="eastAsia" w:ascii="Times New Roman" w:hAnsi="Times New Roman" w:eastAsia="宋体" w:cs="宋体"/>
                <w:b/>
                <w:bCs/>
                <w:i w:val="0"/>
                <w:color w:val="FF0000"/>
                <w:kern w:val="0"/>
                <w:sz w:val="20"/>
                <w:szCs w:val="20"/>
                <w:u w:val="none"/>
                <w:lang w:val="en-US" w:eastAsia="zh-CN" w:bidi="ar"/>
              </w:rPr>
              <w:t>，提供承诺函，格式自拟</w:t>
            </w:r>
            <w:r>
              <w:rPr>
                <w:rFonts w:hint="eastAsia" w:cs="宋体"/>
                <w:b/>
                <w:bCs/>
                <w:i w:val="0"/>
                <w:color w:val="FF0000"/>
                <w:kern w:val="0"/>
                <w:sz w:val="20"/>
                <w:szCs w:val="20"/>
                <w:u w:val="none"/>
                <w:lang w:val="en-US" w:eastAsia="zh-CN" w:bidi="ar"/>
              </w:rPr>
              <w:t>。</w:t>
            </w:r>
          </w:p>
        </w:tc>
      </w:tr>
      <w:tr w14:paraId="166D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shd w:val="clear" w:color="auto" w:fill="auto"/>
            <w:vAlign w:val="center"/>
          </w:tcPr>
          <w:p w14:paraId="517B9B94">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1.2</w:t>
            </w:r>
          </w:p>
        </w:tc>
        <w:tc>
          <w:tcPr>
            <w:tcW w:w="5601" w:type="dxa"/>
            <w:shd w:val="clear" w:color="auto" w:fill="auto"/>
            <w:vAlign w:val="center"/>
          </w:tcPr>
          <w:p w14:paraId="4840DF2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保证按照医院指定地点和时间准时送货上门（不分节假日），</w:t>
            </w:r>
            <w:r>
              <w:rPr>
                <w:rFonts w:hint="eastAsia" w:ascii="宋体" w:hAnsi="宋体" w:cs="宋体"/>
                <w:color w:val="auto"/>
                <w:kern w:val="0"/>
                <w:sz w:val="20"/>
                <w:szCs w:val="20"/>
                <w:lang w:val="en-US" w:eastAsia="zh-CN"/>
              </w:rPr>
              <w:t>供应商</w:t>
            </w:r>
            <w:r>
              <w:rPr>
                <w:rFonts w:hint="eastAsia" w:ascii="宋体" w:hAnsi="宋体" w:eastAsia="宋体" w:cs="宋体"/>
                <w:color w:val="auto"/>
                <w:kern w:val="0"/>
                <w:sz w:val="20"/>
                <w:szCs w:val="20"/>
              </w:rPr>
              <w:t>承担全部运费且到达前的损失由</w:t>
            </w:r>
            <w:r>
              <w:rPr>
                <w:rFonts w:hint="eastAsia" w:ascii="宋体" w:hAnsi="宋体" w:cs="宋体"/>
                <w:color w:val="auto"/>
                <w:kern w:val="0"/>
                <w:sz w:val="20"/>
                <w:szCs w:val="20"/>
                <w:lang w:val="en-US" w:eastAsia="zh-CN"/>
              </w:rPr>
              <w:t>供应商</w:t>
            </w:r>
            <w:r>
              <w:rPr>
                <w:rFonts w:hint="eastAsia" w:ascii="宋体" w:hAnsi="宋体" w:eastAsia="宋体" w:cs="宋体"/>
                <w:color w:val="auto"/>
                <w:kern w:val="0"/>
                <w:sz w:val="20"/>
                <w:szCs w:val="20"/>
              </w:rPr>
              <w:t>承担。</w:t>
            </w:r>
          </w:p>
        </w:tc>
        <w:tc>
          <w:tcPr>
            <w:tcW w:w="2212" w:type="dxa"/>
            <w:shd w:val="clear" w:color="auto" w:fill="auto"/>
            <w:vAlign w:val="center"/>
          </w:tcPr>
          <w:p w14:paraId="507F0E07">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682B3A6F">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7D7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0" w:type="auto"/>
            <w:shd w:val="clear" w:color="auto" w:fill="auto"/>
            <w:vAlign w:val="center"/>
          </w:tcPr>
          <w:p w14:paraId="6A494BA0">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1.3</w:t>
            </w:r>
          </w:p>
        </w:tc>
        <w:tc>
          <w:tcPr>
            <w:tcW w:w="5601" w:type="dxa"/>
            <w:shd w:val="clear" w:color="auto" w:fill="auto"/>
            <w:vAlign w:val="center"/>
          </w:tcPr>
          <w:p w14:paraId="7E4B303C">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紧急配送保证</w:t>
            </w:r>
            <w:r>
              <w:rPr>
                <w:rFonts w:hint="eastAsia" w:ascii="宋体" w:hAnsi="宋体" w:cs="宋体"/>
                <w:color w:val="auto"/>
                <w:kern w:val="0"/>
                <w:sz w:val="20"/>
                <w:szCs w:val="20"/>
                <w:lang w:val="en-US" w:eastAsia="zh-CN"/>
              </w:rPr>
              <w:t>2</w:t>
            </w:r>
            <w:r>
              <w:rPr>
                <w:rFonts w:hint="eastAsia" w:ascii="宋体" w:hAnsi="宋体" w:eastAsia="宋体" w:cs="宋体"/>
                <w:color w:val="auto"/>
                <w:kern w:val="0"/>
                <w:sz w:val="20"/>
                <w:szCs w:val="20"/>
              </w:rPr>
              <w:t>小时内送达。</w:t>
            </w:r>
          </w:p>
        </w:tc>
        <w:tc>
          <w:tcPr>
            <w:tcW w:w="2212" w:type="dxa"/>
            <w:shd w:val="clear" w:color="auto" w:fill="auto"/>
            <w:vAlign w:val="center"/>
          </w:tcPr>
          <w:p w14:paraId="363F3741">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7594BB9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330F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0" w:type="auto"/>
            <w:shd w:val="clear" w:color="auto" w:fill="auto"/>
            <w:vAlign w:val="center"/>
          </w:tcPr>
          <w:p w14:paraId="0E1BE801">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1.</w:t>
            </w:r>
            <w:r>
              <w:rPr>
                <w:rFonts w:hint="eastAsia" w:ascii="宋体" w:hAnsi="宋体" w:cs="宋体"/>
                <w:color w:val="auto"/>
                <w:kern w:val="0"/>
                <w:sz w:val="20"/>
                <w:szCs w:val="20"/>
                <w:lang w:val="en-US" w:eastAsia="zh-CN"/>
              </w:rPr>
              <w:t>4</w:t>
            </w:r>
          </w:p>
        </w:tc>
        <w:tc>
          <w:tcPr>
            <w:tcW w:w="5601" w:type="dxa"/>
            <w:shd w:val="clear" w:color="auto" w:fill="auto"/>
            <w:vAlign w:val="center"/>
          </w:tcPr>
          <w:p w14:paraId="1579AB6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产品可紧急进行市外调货，以满足医院临床要求。</w:t>
            </w:r>
          </w:p>
        </w:tc>
        <w:tc>
          <w:tcPr>
            <w:tcW w:w="2212" w:type="dxa"/>
            <w:shd w:val="clear" w:color="auto" w:fill="auto"/>
            <w:vAlign w:val="center"/>
          </w:tcPr>
          <w:p w14:paraId="1BBD9A3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3D5C86B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EC5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vAlign w:val="center"/>
          </w:tcPr>
          <w:p w14:paraId="0CD478B0">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0" w:type="auto"/>
            <w:gridSpan w:val="2"/>
            <w:shd w:val="clear" w:color="auto" w:fill="auto"/>
            <w:vAlign w:val="center"/>
          </w:tcPr>
          <w:p w14:paraId="69CE3477">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退换货：</w:t>
            </w:r>
          </w:p>
        </w:tc>
      </w:tr>
      <w:tr w14:paraId="0B5B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0" w:type="auto"/>
            <w:shd w:val="clear" w:color="auto" w:fill="auto"/>
            <w:vAlign w:val="center"/>
          </w:tcPr>
          <w:p w14:paraId="0C915312">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2.1</w:t>
            </w:r>
          </w:p>
        </w:tc>
        <w:tc>
          <w:tcPr>
            <w:tcW w:w="5601" w:type="dxa"/>
            <w:shd w:val="clear" w:color="auto" w:fill="auto"/>
            <w:vAlign w:val="center"/>
          </w:tcPr>
          <w:p w14:paraId="5D928A9D">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医院接受货物后若有疑义或使用前发现不宜使用的现象，</w:t>
            </w:r>
            <w:r>
              <w:rPr>
                <w:rFonts w:hint="eastAsia" w:ascii="宋体" w:hAnsi="宋体" w:cs="宋体"/>
                <w:color w:val="auto"/>
                <w:kern w:val="0"/>
                <w:sz w:val="20"/>
                <w:szCs w:val="20"/>
                <w:lang w:val="en-US" w:eastAsia="zh-CN"/>
              </w:rPr>
              <w:t>供应商</w:t>
            </w:r>
            <w:r>
              <w:rPr>
                <w:rFonts w:hint="eastAsia" w:ascii="宋体" w:hAnsi="宋体" w:eastAsia="宋体" w:cs="宋体"/>
                <w:color w:val="auto"/>
                <w:kern w:val="0"/>
                <w:sz w:val="20"/>
                <w:szCs w:val="20"/>
              </w:rPr>
              <w:t>随时提供免费退换货服务。</w:t>
            </w:r>
          </w:p>
        </w:tc>
        <w:tc>
          <w:tcPr>
            <w:tcW w:w="2212" w:type="dxa"/>
            <w:shd w:val="clear" w:color="auto" w:fill="auto"/>
            <w:vAlign w:val="center"/>
          </w:tcPr>
          <w:p w14:paraId="2667569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40C2DD9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2B5D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0" w:type="auto"/>
            <w:shd w:val="clear" w:color="auto" w:fill="auto"/>
            <w:vAlign w:val="center"/>
          </w:tcPr>
          <w:p w14:paraId="779E6D07">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2.2</w:t>
            </w:r>
          </w:p>
        </w:tc>
        <w:tc>
          <w:tcPr>
            <w:tcW w:w="5601" w:type="dxa"/>
            <w:shd w:val="clear" w:color="auto" w:fill="auto"/>
            <w:vAlign w:val="center"/>
          </w:tcPr>
          <w:p w14:paraId="39519789">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近效期退换：对于接近有效期的产品（近效期3个月或以上的），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2212" w:type="dxa"/>
            <w:shd w:val="clear" w:color="auto" w:fill="auto"/>
            <w:vAlign w:val="center"/>
          </w:tcPr>
          <w:p w14:paraId="55625C7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6203E98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64CE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0" w:type="auto"/>
            <w:shd w:val="clear" w:color="auto" w:fill="auto"/>
            <w:vAlign w:val="center"/>
          </w:tcPr>
          <w:p w14:paraId="29B32453">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0" w:type="auto"/>
            <w:gridSpan w:val="2"/>
            <w:shd w:val="clear" w:color="auto" w:fill="auto"/>
            <w:vAlign w:val="center"/>
          </w:tcPr>
          <w:p w14:paraId="6A3081F0">
            <w:pPr>
              <w:widowControl/>
              <w:jc w:val="left"/>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技术支持：</w:t>
            </w:r>
          </w:p>
        </w:tc>
      </w:tr>
      <w:tr w14:paraId="2368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0" w:type="auto"/>
            <w:shd w:val="clear" w:color="auto" w:fill="auto"/>
            <w:vAlign w:val="center"/>
          </w:tcPr>
          <w:p w14:paraId="5D9323A2">
            <w:pPr>
              <w:widowControl/>
              <w:jc w:val="center"/>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3.</w:t>
            </w:r>
            <w:r>
              <w:rPr>
                <w:rFonts w:hint="eastAsia" w:ascii="宋体" w:hAnsi="宋体" w:cs="宋体"/>
                <w:color w:val="auto"/>
                <w:kern w:val="0"/>
                <w:sz w:val="20"/>
                <w:szCs w:val="20"/>
                <w:lang w:val="en-US" w:eastAsia="zh-CN"/>
              </w:rPr>
              <w:t>1</w:t>
            </w:r>
          </w:p>
        </w:tc>
        <w:tc>
          <w:tcPr>
            <w:tcW w:w="5601" w:type="dxa"/>
            <w:shd w:val="clear" w:color="auto" w:fill="auto"/>
            <w:vAlign w:val="center"/>
          </w:tcPr>
          <w:p w14:paraId="7F9CD9F6">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免费提供产品的售后技术培训与医用支持，定期配合医院免费为临床医护人员提供新技术培训，确保我院医护人员能够有效和安全</w:t>
            </w:r>
            <w:r>
              <w:rPr>
                <w:rFonts w:hint="eastAsia" w:ascii="宋体" w:hAnsi="宋体" w:eastAsia="宋体" w:cs="宋体"/>
                <w:color w:val="auto"/>
                <w:kern w:val="0"/>
                <w:sz w:val="20"/>
                <w:szCs w:val="20"/>
                <w:lang w:val="en-US" w:eastAsia="zh-CN"/>
              </w:rPr>
              <w:t>地</w:t>
            </w:r>
            <w:r>
              <w:rPr>
                <w:rFonts w:hint="eastAsia" w:ascii="宋体" w:hAnsi="宋体" w:eastAsia="宋体" w:cs="宋体"/>
                <w:color w:val="auto"/>
                <w:kern w:val="0"/>
                <w:sz w:val="20"/>
                <w:szCs w:val="20"/>
              </w:rPr>
              <w:t>使用产品和配套的仪器。</w:t>
            </w:r>
          </w:p>
        </w:tc>
        <w:tc>
          <w:tcPr>
            <w:tcW w:w="2212" w:type="dxa"/>
            <w:shd w:val="clear" w:color="auto" w:fill="auto"/>
            <w:vAlign w:val="center"/>
          </w:tcPr>
          <w:p w14:paraId="66B1468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77828FE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0B8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shd w:val="clear" w:color="auto" w:fill="auto"/>
            <w:vAlign w:val="center"/>
          </w:tcPr>
          <w:p w14:paraId="44D3774D">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4</w:t>
            </w:r>
          </w:p>
        </w:tc>
        <w:tc>
          <w:tcPr>
            <w:tcW w:w="0" w:type="auto"/>
            <w:gridSpan w:val="2"/>
            <w:shd w:val="clear" w:color="auto" w:fill="auto"/>
            <w:vAlign w:val="center"/>
          </w:tcPr>
          <w:p w14:paraId="1B64776F">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不良反应：</w:t>
            </w:r>
          </w:p>
        </w:tc>
      </w:tr>
      <w:tr w14:paraId="5CEF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2C0483A3">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.1</w:t>
            </w:r>
          </w:p>
        </w:tc>
        <w:tc>
          <w:tcPr>
            <w:tcW w:w="5601" w:type="dxa"/>
            <w:shd w:val="clear" w:color="auto" w:fill="auto"/>
            <w:vAlign w:val="center"/>
          </w:tcPr>
          <w:p w14:paraId="104A47A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一旦发生质量问题，</w:t>
            </w:r>
            <w:r>
              <w:rPr>
                <w:rFonts w:hint="eastAsia" w:ascii="宋体" w:hAnsi="宋体" w:cs="宋体"/>
                <w:kern w:val="0"/>
                <w:sz w:val="20"/>
                <w:szCs w:val="20"/>
                <w:lang w:val="en-US" w:eastAsia="zh-CN"/>
              </w:rPr>
              <w:t>供应商</w:t>
            </w:r>
            <w:r>
              <w:rPr>
                <w:rFonts w:hint="eastAsia" w:ascii="宋体" w:hAnsi="宋体" w:eastAsia="宋体" w:cs="宋体"/>
                <w:kern w:val="0"/>
                <w:sz w:val="20"/>
                <w:szCs w:val="20"/>
              </w:rPr>
              <w:t>保证接到通知后半小时内响应，两小时内赶到现场。</w:t>
            </w:r>
          </w:p>
        </w:tc>
        <w:tc>
          <w:tcPr>
            <w:tcW w:w="2212" w:type="dxa"/>
            <w:shd w:val="clear" w:color="auto" w:fill="auto"/>
            <w:vAlign w:val="center"/>
          </w:tcPr>
          <w:p w14:paraId="7FD05D6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4FAEA93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47B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0" w:type="auto"/>
            <w:shd w:val="clear" w:color="auto" w:fill="auto"/>
            <w:vAlign w:val="center"/>
          </w:tcPr>
          <w:p w14:paraId="2A8B7179">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.2</w:t>
            </w:r>
          </w:p>
        </w:tc>
        <w:tc>
          <w:tcPr>
            <w:tcW w:w="5601" w:type="dxa"/>
            <w:shd w:val="clear" w:color="auto" w:fill="auto"/>
            <w:vAlign w:val="center"/>
          </w:tcPr>
          <w:p w14:paraId="1C0CA01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在临床使用中若出现不良医疗反应现象，经国家相关质量监察部门鉴定后，确实属于产品质量问题的，</w:t>
            </w:r>
            <w:r>
              <w:rPr>
                <w:rFonts w:hint="eastAsia" w:ascii="宋体" w:hAnsi="宋体" w:cs="宋体"/>
                <w:kern w:val="0"/>
                <w:sz w:val="20"/>
                <w:szCs w:val="20"/>
                <w:lang w:val="en-US" w:eastAsia="zh-CN"/>
              </w:rPr>
              <w:t>供应商</w:t>
            </w:r>
            <w:r>
              <w:rPr>
                <w:rFonts w:hint="eastAsia" w:ascii="宋体" w:hAnsi="宋体" w:eastAsia="宋体" w:cs="宋体"/>
                <w:kern w:val="0"/>
                <w:sz w:val="20"/>
                <w:szCs w:val="20"/>
              </w:rPr>
              <w:t>承担全部责任。</w:t>
            </w:r>
          </w:p>
        </w:tc>
        <w:tc>
          <w:tcPr>
            <w:tcW w:w="2212" w:type="dxa"/>
            <w:shd w:val="clear" w:color="auto" w:fill="auto"/>
            <w:vAlign w:val="center"/>
          </w:tcPr>
          <w:p w14:paraId="1BFC9E2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77DB0A3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E47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44A7FACE">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4</w:t>
            </w:r>
            <w:r>
              <w:rPr>
                <w:rFonts w:hint="eastAsia" w:ascii="宋体" w:hAnsi="宋体" w:eastAsia="宋体" w:cs="宋体"/>
                <w:kern w:val="0"/>
                <w:sz w:val="20"/>
                <w:szCs w:val="20"/>
              </w:rPr>
              <w:t>.3</w:t>
            </w:r>
          </w:p>
        </w:tc>
        <w:tc>
          <w:tcPr>
            <w:tcW w:w="5601" w:type="dxa"/>
            <w:shd w:val="clear" w:color="auto" w:fill="auto"/>
            <w:vAlign w:val="center"/>
          </w:tcPr>
          <w:p w14:paraId="14271B6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若医院发生与产品相关的事故，不论是否与产品质量有关，</w:t>
            </w:r>
            <w:r>
              <w:rPr>
                <w:rFonts w:hint="eastAsia" w:ascii="宋体" w:hAnsi="宋体" w:cs="宋体"/>
                <w:kern w:val="0"/>
                <w:sz w:val="20"/>
                <w:szCs w:val="20"/>
                <w:lang w:val="en-US" w:eastAsia="zh-CN"/>
              </w:rPr>
              <w:t>供应商</w:t>
            </w:r>
            <w:r>
              <w:rPr>
                <w:rFonts w:hint="eastAsia" w:ascii="宋体" w:hAnsi="宋体" w:eastAsia="宋体" w:cs="宋体"/>
                <w:kern w:val="0"/>
                <w:sz w:val="20"/>
                <w:szCs w:val="20"/>
              </w:rPr>
              <w:t>必须积极参与医院事故的处理。</w:t>
            </w:r>
          </w:p>
        </w:tc>
        <w:tc>
          <w:tcPr>
            <w:tcW w:w="2212" w:type="dxa"/>
            <w:shd w:val="clear" w:color="auto" w:fill="auto"/>
            <w:vAlign w:val="center"/>
          </w:tcPr>
          <w:p w14:paraId="14138E2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659F087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2C2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0" w:type="auto"/>
            <w:shd w:val="clear" w:color="auto" w:fill="auto"/>
            <w:vAlign w:val="center"/>
          </w:tcPr>
          <w:p w14:paraId="3A8873FB">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5</w:t>
            </w:r>
          </w:p>
        </w:tc>
        <w:tc>
          <w:tcPr>
            <w:tcW w:w="0" w:type="auto"/>
            <w:gridSpan w:val="2"/>
            <w:shd w:val="clear" w:color="auto" w:fill="auto"/>
            <w:vAlign w:val="center"/>
          </w:tcPr>
          <w:p w14:paraId="1DCF7C13">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质量保证：</w:t>
            </w:r>
          </w:p>
        </w:tc>
      </w:tr>
      <w:tr w14:paraId="38C9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38995D67">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.1</w:t>
            </w:r>
          </w:p>
        </w:tc>
        <w:tc>
          <w:tcPr>
            <w:tcW w:w="5601" w:type="dxa"/>
            <w:shd w:val="clear" w:color="auto" w:fill="auto"/>
            <w:vAlign w:val="center"/>
          </w:tcPr>
          <w:p w14:paraId="4AFE2EFD">
            <w:pPr>
              <w:widowControl/>
              <w:jc w:val="left"/>
              <w:rPr>
                <w:rFonts w:hint="eastAsia" w:ascii="宋体" w:hAnsi="宋体" w:eastAsia="宋体" w:cs="宋体"/>
                <w:kern w:val="0"/>
                <w:sz w:val="20"/>
                <w:szCs w:val="20"/>
              </w:rPr>
            </w:pPr>
            <w:r>
              <w:rPr>
                <w:rFonts w:hint="eastAsia" w:ascii="宋体" w:hAnsi="宋体" w:cs="宋体"/>
                <w:kern w:val="0"/>
                <w:sz w:val="20"/>
                <w:szCs w:val="20"/>
                <w:lang w:val="en-US" w:eastAsia="zh-CN"/>
              </w:rPr>
              <w:t>标的配送企业</w:t>
            </w:r>
            <w:r>
              <w:rPr>
                <w:rFonts w:hint="eastAsia" w:ascii="宋体" w:hAnsi="宋体" w:eastAsia="宋体" w:cs="宋体"/>
                <w:kern w:val="0"/>
                <w:sz w:val="20"/>
                <w:szCs w:val="20"/>
              </w:rPr>
              <w:t>具有合法的</w:t>
            </w:r>
            <w:r>
              <w:rPr>
                <w:rFonts w:hint="eastAsia" w:ascii="宋体" w:hAnsi="宋体" w:cs="宋体"/>
                <w:kern w:val="0"/>
                <w:sz w:val="20"/>
                <w:szCs w:val="20"/>
                <w:lang w:val="en-US" w:eastAsia="zh-CN"/>
              </w:rPr>
              <w:t>资质要求</w:t>
            </w:r>
            <w:r>
              <w:rPr>
                <w:rFonts w:hint="eastAsia" w:ascii="宋体" w:hAnsi="宋体" w:eastAsia="宋体" w:cs="宋体"/>
                <w:kern w:val="0"/>
                <w:sz w:val="20"/>
                <w:szCs w:val="20"/>
              </w:rPr>
              <w:t>，严格按照采购方的要求，及时供货并提供全面完善的服务</w:t>
            </w:r>
          </w:p>
        </w:tc>
        <w:tc>
          <w:tcPr>
            <w:tcW w:w="2212" w:type="dxa"/>
            <w:shd w:val="clear" w:color="auto" w:fill="auto"/>
            <w:vAlign w:val="center"/>
          </w:tcPr>
          <w:p w14:paraId="4B63D8F9">
            <w:pPr>
              <w:widowControl/>
              <w:jc w:val="center"/>
              <w:rPr>
                <w:rFonts w:hint="eastAsia" w:ascii="宋体" w:hAnsi="宋体" w:eastAsia="宋体" w:cs="宋体"/>
                <w:b/>
                <w:bCs/>
                <w:kern w:val="0"/>
                <w:sz w:val="20"/>
                <w:szCs w:val="20"/>
              </w:rPr>
            </w:pPr>
          </w:p>
        </w:tc>
      </w:tr>
      <w:tr w14:paraId="644D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007F4B16">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.2</w:t>
            </w:r>
          </w:p>
        </w:tc>
        <w:tc>
          <w:tcPr>
            <w:tcW w:w="5601" w:type="dxa"/>
            <w:shd w:val="clear" w:color="auto" w:fill="auto"/>
            <w:vAlign w:val="center"/>
          </w:tcPr>
          <w:p w14:paraId="1B47913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产品质量符合国家和国际承认的相应标准。</w:t>
            </w:r>
          </w:p>
        </w:tc>
        <w:tc>
          <w:tcPr>
            <w:tcW w:w="2212" w:type="dxa"/>
            <w:shd w:val="clear" w:color="auto" w:fill="auto"/>
            <w:vAlign w:val="center"/>
          </w:tcPr>
          <w:p w14:paraId="1CB917BC">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0850F6DB">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5477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0" w:type="auto"/>
            <w:shd w:val="clear" w:color="auto" w:fill="auto"/>
            <w:vAlign w:val="center"/>
          </w:tcPr>
          <w:p w14:paraId="492DA37B">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.3</w:t>
            </w:r>
          </w:p>
        </w:tc>
        <w:tc>
          <w:tcPr>
            <w:tcW w:w="5601" w:type="dxa"/>
            <w:shd w:val="clear" w:color="auto" w:fill="auto"/>
            <w:vAlign w:val="center"/>
          </w:tcPr>
          <w:p w14:paraId="3354935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产品的包装及相关资料证件严格符合医院要求。</w:t>
            </w:r>
          </w:p>
        </w:tc>
        <w:tc>
          <w:tcPr>
            <w:tcW w:w="2212" w:type="dxa"/>
            <w:shd w:val="clear" w:color="auto" w:fill="auto"/>
            <w:vAlign w:val="center"/>
          </w:tcPr>
          <w:p w14:paraId="3D596E72">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176FD1F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F7D1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0" w:type="auto"/>
            <w:shd w:val="clear" w:color="auto" w:fill="auto"/>
            <w:vAlign w:val="center"/>
          </w:tcPr>
          <w:p w14:paraId="41D210C4">
            <w:pPr>
              <w:widowControl/>
              <w:jc w:val="center"/>
              <w:rPr>
                <w:rFonts w:hint="eastAsia" w:ascii="宋体" w:hAnsi="宋体" w:eastAsia="宋体" w:cs="宋体"/>
                <w:kern w:val="0"/>
                <w:sz w:val="20"/>
                <w:szCs w:val="20"/>
                <w:lang w:eastAsia="zh-CN"/>
              </w:rPr>
            </w:pPr>
            <w:r>
              <w:rPr>
                <w:rFonts w:hint="eastAsia" w:ascii="宋体" w:hAnsi="宋体" w:cs="宋体"/>
                <w:kern w:val="0"/>
                <w:sz w:val="20"/>
                <w:szCs w:val="20"/>
                <w:lang w:val="en-US" w:eastAsia="zh-CN"/>
              </w:rPr>
              <w:t>5</w:t>
            </w:r>
            <w:r>
              <w:rPr>
                <w:rFonts w:hint="eastAsia" w:ascii="宋体" w:hAnsi="宋体" w:eastAsia="宋体" w:cs="宋体"/>
                <w:kern w:val="0"/>
                <w:sz w:val="20"/>
                <w:szCs w:val="20"/>
              </w:rPr>
              <w:t>.</w:t>
            </w:r>
            <w:r>
              <w:rPr>
                <w:rFonts w:hint="eastAsia" w:ascii="宋体" w:hAnsi="宋体" w:cs="宋体"/>
                <w:kern w:val="0"/>
                <w:sz w:val="20"/>
                <w:szCs w:val="20"/>
                <w:lang w:val="en-US" w:eastAsia="zh-CN"/>
              </w:rPr>
              <w:t>4</w:t>
            </w:r>
          </w:p>
        </w:tc>
        <w:tc>
          <w:tcPr>
            <w:tcW w:w="5601" w:type="dxa"/>
            <w:shd w:val="clear" w:color="auto" w:fill="auto"/>
            <w:vAlign w:val="center"/>
          </w:tcPr>
          <w:p w14:paraId="4CC8B61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保证产品的严格消毒灭菌，</w:t>
            </w:r>
            <w:r>
              <w:rPr>
                <w:rFonts w:hint="eastAsia" w:ascii="宋体" w:hAnsi="宋体" w:cs="宋体"/>
                <w:kern w:val="0"/>
                <w:sz w:val="20"/>
                <w:szCs w:val="20"/>
                <w:lang w:val="en-US" w:eastAsia="zh-CN"/>
              </w:rPr>
              <w:t>无</w:t>
            </w:r>
            <w:r>
              <w:rPr>
                <w:rFonts w:hint="eastAsia" w:ascii="宋体" w:hAnsi="宋体" w:eastAsia="宋体" w:cs="宋体"/>
                <w:kern w:val="0"/>
                <w:sz w:val="20"/>
                <w:szCs w:val="20"/>
              </w:rPr>
              <w:t>感染</w:t>
            </w:r>
            <w:r>
              <w:rPr>
                <w:rFonts w:hint="eastAsia" w:ascii="宋体" w:hAnsi="宋体" w:cs="宋体"/>
                <w:kern w:val="0"/>
                <w:sz w:val="20"/>
                <w:szCs w:val="20"/>
                <w:lang w:val="en-US" w:eastAsia="zh-CN"/>
              </w:rPr>
              <w:t>性</w:t>
            </w:r>
            <w:r>
              <w:rPr>
                <w:rFonts w:hint="eastAsia" w:ascii="宋体" w:hAnsi="宋体" w:eastAsia="宋体" w:cs="宋体"/>
                <w:kern w:val="0"/>
                <w:sz w:val="20"/>
                <w:szCs w:val="20"/>
              </w:rPr>
              <w:t>。</w:t>
            </w:r>
          </w:p>
        </w:tc>
        <w:tc>
          <w:tcPr>
            <w:tcW w:w="2212" w:type="dxa"/>
            <w:shd w:val="clear" w:color="auto" w:fill="auto"/>
            <w:vAlign w:val="center"/>
          </w:tcPr>
          <w:p w14:paraId="1142954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4C80BD49">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2F5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0" w:type="auto"/>
            <w:shd w:val="clear" w:color="auto" w:fill="auto"/>
            <w:vAlign w:val="center"/>
          </w:tcPr>
          <w:p w14:paraId="1DEC0FC0">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6</w:t>
            </w:r>
          </w:p>
        </w:tc>
        <w:tc>
          <w:tcPr>
            <w:tcW w:w="0" w:type="auto"/>
            <w:gridSpan w:val="2"/>
            <w:shd w:val="clear" w:color="auto" w:fill="auto"/>
            <w:vAlign w:val="center"/>
          </w:tcPr>
          <w:p w14:paraId="02E92A30">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对意外事故的保险处理：</w:t>
            </w:r>
          </w:p>
        </w:tc>
      </w:tr>
      <w:tr w14:paraId="175C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0" w:type="auto"/>
            <w:shd w:val="clear" w:color="auto" w:fill="auto"/>
            <w:vAlign w:val="center"/>
          </w:tcPr>
          <w:p w14:paraId="49F3EEE4">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6</w:t>
            </w:r>
            <w:r>
              <w:rPr>
                <w:rFonts w:hint="eastAsia" w:ascii="宋体" w:hAnsi="宋体" w:eastAsia="宋体" w:cs="宋体"/>
                <w:kern w:val="0"/>
                <w:sz w:val="20"/>
                <w:szCs w:val="20"/>
              </w:rPr>
              <w:t>.1</w:t>
            </w:r>
          </w:p>
        </w:tc>
        <w:tc>
          <w:tcPr>
            <w:tcW w:w="5601" w:type="dxa"/>
            <w:shd w:val="clear" w:color="auto" w:fill="auto"/>
            <w:vAlign w:val="center"/>
          </w:tcPr>
          <w:p w14:paraId="27485DE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有相关的质量保险和赔付</w:t>
            </w:r>
            <w:r>
              <w:rPr>
                <w:rFonts w:hint="eastAsia" w:ascii="宋体" w:hAnsi="宋体" w:cs="宋体"/>
                <w:kern w:val="0"/>
                <w:sz w:val="20"/>
                <w:szCs w:val="20"/>
                <w:lang w:val="en-US" w:eastAsia="zh-CN"/>
              </w:rPr>
              <w:t>机制</w:t>
            </w:r>
            <w:r>
              <w:rPr>
                <w:rFonts w:hint="eastAsia"/>
                <w:lang w:eastAsia="zh-CN"/>
              </w:rPr>
              <w:t>，出现意外事故均由中标方负责。</w:t>
            </w:r>
          </w:p>
        </w:tc>
        <w:tc>
          <w:tcPr>
            <w:tcW w:w="2212" w:type="dxa"/>
            <w:shd w:val="clear" w:color="auto" w:fill="auto"/>
            <w:vAlign w:val="center"/>
          </w:tcPr>
          <w:p w14:paraId="34A056A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16860DC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0A70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0" w:type="auto"/>
            <w:shd w:val="clear" w:color="auto" w:fill="auto"/>
            <w:vAlign w:val="center"/>
          </w:tcPr>
          <w:p w14:paraId="70EC52D0">
            <w:pPr>
              <w:widowControl/>
              <w:jc w:val="center"/>
              <w:rPr>
                <w:rFonts w:hint="eastAsia" w:ascii="宋体" w:hAnsi="宋体" w:eastAsia="宋体" w:cs="宋体"/>
                <w:b/>
                <w:bCs/>
                <w:kern w:val="0"/>
                <w:sz w:val="20"/>
                <w:szCs w:val="20"/>
                <w:lang w:eastAsia="zh-CN"/>
              </w:rPr>
            </w:pPr>
            <w:r>
              <w:rPr>
                <w:rFonts w:hint="eastAsia" w:ascii="宋体" w:hAnsi="宋体" w:cs="宋体"/>
                <w:b/>
                <w:bCs/>
                <w:kern w:val="0"/>
                <w:sz w:val="20"/>
                <w:szCs w:val="20"/>
                <w:lang w:val="en-US" w:eastAsia="zh-CN"/>
              </w:rPr>
              <w:t>7</w:t>
            </w:r>
          </w:p>
        </w:tc>
        <w:tc>
          <w:tcPr>
            <w:tcW w:w="0" w:type="auto"/>
            <w:gridSpan w:val="2"/>
            <w:shd w:val="clear" w:color="auto" w:fill="auto"/>
            <w:vAlign w:val="center"/>
          </w:tcPr>
          <w:p w14:paraId="7914937A">
            <w:pPr>
              <w:widowControl/>
              <w:jc w:val="left"/>
              <w:rPr>
                <w:rFonts w:hint="eastAsia" w:ascii="宋体" w:hAnsi="宋体" w:eastAsia="宋体" w:cs="宋体"/>
                <w:b/>
                <w:bCs/>
                <w:kern w:val="0"/>
                <w:sz w:val="20"/>
                <w:szCs w:val="20"/>
              </w:rPr>
            </w:pPr>
            <w:r>
              <w:rPr>
                <w:rFonts w:hint="eastAsia" w:ascii="宋体" w:hAnsi="宋体" w:eastAsia="宋体" w:cs="宋体"/>
                <w:b/>
                <w:bCs/>
                <w:kern w:val="0"/>
                <w:sz w:val="20"/>
                <w:szCs w:val="20"/>
              </w:rPr>
              <w:t>保证：</w:t>
            </w:r>
          </w:p>
        </w:tc>
      </w:tr>
      <w:tr w14:paraId="4128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7B8461B8">
            <w:pPr>
              <w:widowControl/>
              <w:jc w:val="center"/>
              <w:rPr>
                <w:rFonts w:hint="eastAsia" w:ascii="宋体" w:hAnsi="宋体" w:eastAsia="宋体" w:cs="宋体"/>
                <w:kern w:val="0"/>
                <w:sz w:val="20"/>
                <w:szCs w:val="20"/>
              </w:rPr>
            </w:pPr>
            <w:r>
              <w:rPr>
                <w:rFonts w:hint="eastAsia" w:ascii="宋体" w:hAnsi="宋体" w:cs="宋体"/>
                <w:kern w:val="0"/>
                <w:sz w:val="20"/>
                <w:szCs w:val="20"/>
                <w:lang w:val="en-US" w:eastAsia="zh-CN"/>
              </w:rPr>
              <w:t>7</w:t>
            </w:r>
            <w:r>
              <w:rPr>
                <w:rFonts w:hint="eastAsia" w:ascii="宋体" w:hAnsi="宋体" w:eastAsia="宋体" w:cs="宋体"/>
                <w:kern w:val="0"/>
                <w:sz w:val="20"/>
                <w:szCs w:val="20"/>
              </w:rPr>
              <w:t>.1</w:t>
            </w:r>
          </w:p>
        </w:tc>
        <w:tc>
          <w:tcPr>
            <w:tcW w:w="5601" w:type="dxa"/>
            <w:shd w:val="clear" w:color="auto" w:fill="auto"/>
            <w:vAlign w:val="center"/>
          </w:tcPr>
          <w:p w14:paraId="5DCA7067">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保证不向临床人员及职能部门提供礼品、回扣等，保证合法经营，不参加不良竞争。</w:t>
            </w:r>
          </w:p>
        </w:tc>
        <w:tc>
          <w:tcPr>
            <w:tcW w:w="2212" w:type="dxa"/>
            <w:shd w:val="clear" w:color="auto" w:fill="auto"/>
            <w:vAlign w:val="center"/>
          </w:tcPr>
          <w:p w14:paraId="754B1ACD">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p w14:paraId="6A2AFA2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　</w:t>
            </w:r>
          </w:p>
        </w:tc>
      </w:tr>
      <w:tr w14:paraId="787C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39519306">
            <w:pPr>
              <w:widowControl/>
              <w:jc w:val="center"/>
              <w:rPr>
                <w:rFonts w:hint="eastAsia" w:ascii="宋体" w:hAnsi="宋体" w:eastAsia="宋体" w:cs="宋体"/>
                <w:b w:val="0"/>
                <w:bCs w:val="0"/>
                <w:color w:val="auto"/>
                <w:kern w:val="0"/>
                <w:sz w:val="20"/>
                <w:szCs w:val="20"/>
                <w:lang w:val="en-US" w:eastAsia="zh-CN" w:bidi="ar-SA"/>
              </w:rPr>
            </w:pPr>
            <w:r>
              <w:rPr>
                <w:rFonts w:hint="eastAsia" w:ascii="宋体" w:hAnsi="宋体" w:cs="宋体"/>
                <w:b w:val="0"/>
                <w:bCs w:val="0"/>
                <w:color w:val="auto"/>
                <w:kern w:val="0"/>
                <w:sz w:val="20"/>
                <w:szCs w:val="20"/>
                <w:lang w:val="en-US" w:eastAsia="zh-CN"/>
              </w:rPr>
              <w:t>7</w:t>
            </w:r>
            <w:r>
              <w:rPr>
                <w:rFonts w:hint="eastAsia" w:ascii="宋体" w:hAnsi="宋体" w:eastAsia="宋体" w:cs="宋体"/>
                <w:b w:val="0"/>
                <w:bCs w:val="0"/>
                <w:color w:val="auto"/>
                <w:kern w:val="0"/>
                <w:sz w:val="20"/>
                <w:szCs w:val="20"/>
                <w:lang w:val="en-US" w:eastAsia="zh-CN"/>
              </w:rPr>
              <w:t>.</w:t>
            </w:r>
            <w:r>
              <w:rPr>
                <w:rFonts w:hint="eastAsia" w:ascii="宋体" w:hAnsi="宋体" w:cs="宋体"/>
                <w:b w:val="0"/>
                <w:bCs w:val="0"/>
                <w:color w:val="auto"/>
                <w:kern w:val="0"/>
                <w:sz w:val="20"/>
                <w:szCs w:val="20"/>
                <w:lang w:val="en-US" w:eastAsia="zh-CN"/>
              </w:rPr>
              <w:t>2</w:t>
            </w:r>
          </w:p>
        </w:tc>
        <w:tc>
          <w:tcPr>
            <w:tcW w:w="5601" w:type="dxa"/>
            <w:shd w:val="clear" w:color="auto" w:fill="auto"/>
            <w:vAlign w:val="center"/>
          </w:tcPr>
          <w:p w14:paraId="5A147E44">
            <w:pPr>
              <w:widowControl/>
              <w:jc w:val="left"/>
              <w:rPr>
                <w:rFonts w:hint="eastAsia" w:ascii="宋体" w:hAnsi="宋体" w:eastAsia="宋体" w:cs="宋体"/>
                <w:b w:val="0"/>
                <w:bCs w:val="0"/>
                <w:color w:val="auto"/>
                <w:kern w:val="0"/>
                <w:sz w:val="20"/>
                <w:szCs w:val="20"/>
                <w:lang w:val="en-US" w:eastAsia="zh-CN" w:bidi="ar-SA"/>
              </w:rPr>
            </w:pPr>
            <w:r>
              <w:rPr>
                <w:rFonts w:hint="eastAsia" w:ascii="宋体" w:hAnsi="宋体" w:eastAsia="宋体" w:cs="宋体"/>
                <w:b w:val="0"/>
                <w:bCs w:val="0"/>
                <w:color w:val="auto"/>
                <w:kern w:val="0"/>
                <w:sz w:val="20"/>
                <w:szCs w:val="20"/>
              </w:rPr>
              <w:t>可收费的医用耗材必须提供国家医保编码，如供货后无法提供国家医保编码将不予结算。</w:t>
            </w:r>
          </w:p>
        </w:tc>
        <w:tc>
          <w:tcPr>
            <w:tcW w:w="2212" w:type="dxa"/>
            <w:shd w:val="clear" w:color="auto" w:fill="auto"/>
            <w:vAlign w:val="center"/>
          </w:tcPr>
          <w:p w14:paraId="1FAF4ABC">
            <w:pPr>
              <w:widowControl/>
              <w:jc w:val="center"/>
              <w:rPr>
                <w:rFonts w:hint="eastAsia" w:ascii="宋体" w:hAnsi="宋体" w:eastAsia="宋体" w:cs="宋体"/>
                <w:b/>
                <w:bCs/>
                <w:kern w:val="0"/>
                <w:sz w:val="20"/>
                <w:szCs w:val="20"/>
              </w:rPr>
            </w:pPr>
          </w:p>
        </w:tc>
      </w:tr>
      <w:tr w14:paraId="30C4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shd w:val="clear" w:color="auto" w:fill="auto"/>
            <w:vAlign w:val="center"/>
          </w:tcPr>
          <w:p w14:paraId="7BAE90AC">
            <w:pPr>
              <w:widowControl/>
              <w:jc w:val="center"/>
              <w:rPr>
                <w:rFonts w:hint="default" w:ascii="宋体" w:hAnsi="宋体" w:eastAsia="宋体" w:cs="宋体"/>
                <w:b w:val="0"/>
                <w:bCs w:val="0"/>
                <w:color w:val="auto"/>
                <w:kern w:val="0"/>
                <w:sz w:val="20"/>
                <w:szCs w:val="20"/>
                <w:lang w:val="en-US" w:eastAsia="zh-CN"/>
              </w:rPr>
            </w:pPr>
            <w:r>
              <w:rPr>
                <w:rFonts w:hint="eastAsia" w:ascii="宋体" w:hAnsi="宋体" w:cs="宋体"/>
                <w:b w:val="0"/>
                <w:bCs w:val="0"/>
                <w:color w:val="auto"/>
                <w:kern w:val="0"/>
                <w:sz w:val="20"/>
                <w:szCs w:val="20"/>
                <w:lang w:val="en-US" w:eastAsia="zh-CN"/>
              </w:rPr>
              <w:t>7.3</w:t>
            </w:r>
          </w:p>
        </w:tc>
        <w:tc>
          <w:tcPr>
            <w:tcW w:w="5601" w:type="dxa"/>
            <w:shd w:val="clear" w:color="auto" w:fill="auto"/>
            <w:vAlign w:val="center"/>
          </w:tcPr>
          <w:p w14:paraId="131DCB54">
            <w:pPr>
              <w:widowControl/>
              <w:jc w:val="left"/>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此次中标价为协议价格，如在合同执行期间平台货物价格在深圳医用耗材阳光交易和监管平台上显示为红色区域，中标供应商需无条件配合调价至绿区最低价，否则，采购方有权终止合同。</w:t>
            </w:r>
          </w:p>
        </w:tc>
        <w:tc>
          <w:tcPr>
            <w:tcW w:w="2212" w:type="dxa"/>
            <w:shd w:val="clear" w:color="auto" w:fill="auto"/>
            <w:vAlign w:val="center"/>
          </w:tcPr>
          <w:p w14:paraId="7F4CD5E3">
            <w:pPr>
              <w:widowControl/>
              <w:jc w:val="center"/>
              <w:rPr>
                <w:rFonts w:hint="eastAsia" w:ascii="宋体" w:hAnsi="宋体" w:eastAsia="宋体" w:cs="宋体"/>
                <w:b/>
                <w:bCs/>
                <w:kern w:val="0"/>
                <w:sz w:val="20"/>
                <w:szCs w:val="20"/>
              </w:rPr>
            </w:pPr>
          </w:p>
        </w:tc>
      </w:tr>
    </w:tbl>
    <w:p w14:paraId="59F07846">
      <w:pPr>
        <w:numPr>
          <w:ilvl w:val="-1"/>
          <w:numId w:val="0"/>
        </w:numPr>
        <w:rPr>
          <w:rFonts w:hint="eastAsia" w:eastAsia="宋体"/>
          <w:lang w:val="en-US" w:eastAsia="zh-CN"/>
        </w:rPr>
      </w:pPr>
    </w:p>
    <w:p w14:paraId="6B66628A">
      <w:pPr>
        <w:pStyle w:val="5"/>
        <w:spacing w:before="120" w:beforeLines="50" w:after="120" w:afterLines="50"/>
        <w:rPr>
          <w:sz w:val="28"/>
          <w:szCs w:val="28"/>
        </w:rPr>
      </w:pPr>
      <w:r>
        <w:rPr>
          <w:rFonts w:hint="eastAsia"/>
          <w:sz w:val="28"/>
          <w:szCs w:val="28"/>
          <w:lang w:val="en-US" w:eastAsia="zh-CN"/>
        </w:rPr>
        <w:t>六</w:t>
      </w:r>
      <w:r>
        <w:rPr>
          <w:rFonts w:hint="eastAsia"/>
          <w:sz w:val="28"/>
          <w:szCs w:val="28"/>
        </w:rPr>
        <w:t>、其他重要条款</w:t>
      </w:r>
    </w:p>
    <w:p w14:paraId="284CD030">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121E990">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5CBC47A4">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3AFD8A7">
      <w:pPr>
        <w:ind w:firstLine="420" w:firstLineChars="200"/>
        <w:rPr>
          <w:bCs/>
          <w:szCs w:val="21"/>
        </w:rPr>
      </w:pPr>
      <w:r>
        <w:rPr>
          <w:rFonts w:hint="eastAsia"/>
          <w:bCs/>
          <w:szCs w:val="21"/>
          <w:lang w:val="en-US" w:eastAsia="zh-CN"/>
        </w:rPr>
        <w:t>4</w:t>
      </w:r>
      <w:r>
        <w:rPr>
          <w:rFonts w:hint="eastAsia"/>
          <w:bCs/>
          <w:szCs w:val="21"/>
        </w:rPr>
        <w:t>、除采购合同继续履行将损害国家利益和社会公共利益外，双方当事人不得擅自变更、中止或者终止合同。</w:t>
      </w:r>
    </w:p>
    <w:p w14:paraId="7688C87C">
      <w:pPr>
        <w:ind w:firstLine="420" w:firstLineChars="200"/>
        <w:rPr>
          <w:rFonts w:hint="eastAsia"/>
          <w:bCs/>
          <w:szCs w:val="21"/>
          <w:lang w:val="en-US" w:eastAsia="zh-CN"/>
        </w:rPr>
      </w:pPr>
      <w:r>
        <w:rPr>
          <w:rFonts w:hint="eastAsia"/>
          <w:bCs/>
          <w:szCs w:val="21"/>
          <w:lang w:val="en-US" w:eastAsia="zh-CN"/>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bCs/>
          <w:szCs w:val="21"/>
          <w:lang w:val="en-US" w:eastAsia="zh-CN"/>
        </w:rPr>
        <w:t>。</w:t>
      </w:r>
    </w:p>
    <w:p w14:paraId="70FAEEB0">
      <w:pPr>
        <w:ind w:firstLine="0" w:firstLineChars="0"/>
        <w:rPr>
          <w:rFonts w:hint="eastAsia"/>
          <w:bCs/>
          <w:szCs w:val="21"/>
          <w:lang w:val="en-US" w:eastAsia="zh-CN"/>
        </w:rPr>
      </w:pPr>
      <w:r>
        <w:rPr>
          <w:rFonts w:hint="eastAsia"/>
          <w:bCs/>
          <w:szCs w:val="21"/>
          <w:lang w:val="en-US" w:eastAsia="zh-CN"/>
        </w:rPr>
        <w:br w:type="page"/>
      </w:r>
    </w:p>
    <w:p w14:paraId="69A39405">
      <w:pPr>
        <w:jc w:val="center"/>
        <w:rPr>
          <w:rFonts w:hint="eastAsia"/>
          <w:sz w:val="28"/>
          <w:szCs w:val="28"/>
        </w:rPr>
      </w:pPr>
      <w:r>
        <w:rPr>
          <w:rFonts w:hint="eastAsia"/>
          <w:sz w:val="28"/>
          <w:szCs w:val="28"/>
        </w:rPr>
        <w:t>第四章  投标文件组成要求及格式</w:t>
      </w:r>
    </w:p>
    <w:p w14:paraId="4454BD30">
      <w:pPr>
        <w:rPr>
          <w:rFonts w:hint="eastAsia"/>
          <w:sz w:val="28"/>
          <w:szCs w:val="28"/>
        </w:rPr>
      </w:pPr>
    </w:p>
    <w:p w14:paraId="4A98F934">
      <w:r>
        <w:rPr>
          <w:rFonts w:hint="eastAsia"/>
        </w:rPr>
        <w:t>投标文件组成</w:t>
      </w:r>
      <w:bookmarkStart w:id="41" w:name="_Hlk72257253"/>
      <w:r>
        <w:rPr>
          <w:rFonts w:hint="eastAsia"/>
        </w:rPr>
        <w:t>主要包括以下内容：</w:t>
      </w:r>
    </w:p>
    <w:p w14:paraId="455359CC">
      <w:pPr>
        <w:ind w:left="718" w:leftChars="342" w:firstLine="1417" w:firstLineChars="675"/>
        <w:rPr>
          <w:szCs w:val="21"/>
        </w:rPr>
      </w:pPr>
      <w:r>
        <w:rPr>
          <w:rFonts w:hint="eastAsia"/>
          <w:szCs w:val="21"/>
        </w:rPr>
        <w:t>（1）</w:t>
      </w:r>
      <w:bookmarkStart w:id="42" w:name="_Hlk72070784"/>
      <w:r>
        <w:rPr>
          <w:rFonts w:hint="eastAsia"/>
          <w:szCs w:val="21"/>
        </w:rPr>
        <w:t>投标函</w:t>
      </w:r>
      <w:bookmarkEnd w:id="42"/>
    </w:p>
    <w:p w14:paraId="59AEB000">
      <w:pPr>
        <w:ind w:left="718" w:leftChars="342" w:firstLine="1417" w:firstLineChars="675"/>
        <w:rPr>
          <w:szCs w:val="21"/>
        </w:rPr>
      </w:pPr>
      <w:r>
        <w:rPr>
          <w:rFonts w:hint="eastAsia"/>
          <w:szCs w:val="21"/>
        </w:rPr>
        <w:t>（2）</w:t>
      </w:r>
      <w:bookmarkStart w:id="43" w:name="_Hlk72062521"/>
      <w:r>
        <w:rPr>
          <w:rFonts w:hint="eastAsia"/>
          <w:szCs w:val="21"/>
        </w:rPr>
        <w:t>采购投标及履约承诺函</w:t>
      </w:r>
      <w:bookmarkEnd w:id="43"/>
    </w:p>
    <w:p w14:paraId="7A02078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A61DFAF">
      <w:pPr>
        <w:ind w:left="718" w:leftChars="342" w:firstLine="1417" w:firstLineChars="675"/>
        <w:rPr>
          <w:szCs w:val="21"/>
        </w:rPr>
      </w:pPr>
      <w:bookmarkStart w:id="44" w:name="_Hlk72257201"/>
      <w:r>
        <w:rPr>
          <w:rFonts w:hint="eastAsia"/>
          <w:szCs w:val="21"/>
        </w:rPr>
        <w:t>（</w:t>
      </w:r>
      <w:r>
        <w:rPr>
          <w:szCs w:val="21"/>
        </w:rPr>
        <w:t>4</w:t>
      </w:r>
      <w:r>
        <w:rPr>
          <w:rFonts w:hint="eastAsia"/>
          <w:szCs w:val="21"/>
        </w:rPr>
        <w:t>）项目详细报价</w:t>
      </w:r>
    </w:p>
    <w:bookmarkEnd w:id="44"/>
    <w:p w14:paraId="742F04AA">
      <w:pPr>
        <w:ind w:firstLine="2100" w:firstLineChars="1000"/>
        <w:rPr>
          <w:szCs w:val="21"/>
        </w:rPr>
      </w:pPr>
      <w:r>
        <w:rPr>
          <w:rFonts w:hint="eastAsia"/>
          <w:szCs w:val="21"/>
        </w:rPr>
        <w:t>（5）供应商基本情况表</w:t>
      </w:r>
    </w:p>
    <w:p w14:paraId="7857DFCD">
      <w:pPr>
        <w:ind w:firstLine="2100" w:firstLineChars="1000"/>
        <w:rPr>
          <w:szCs w:val="21"/>
        </w:rPr>
      </w:pPr>
      <w:r>
        <w:rPr>
          <w:rFonts w:hint="eastAsia"/>
          <w:szCs w:val="21"/>
        </w:rPr>
        <w:t>（6）法定代表人（负责人）证明书</w:t>
      </w:r>
    </w:p>
    <w:p w14:paraId="1372F3D7">
      <w:pPr>
        <w:ind w:left="718" w:leftChars="342" w:firstLine="1417" w:firstLineChars="675"/>
        <w:rPr>
          <w:szCs w:val="21"/>
        </w:rPr>
      </w:pPr>
      <w:r>
        <w:rPr>
          <w:rFonts w:hint="eastAsia"/>
          <w:szCs w:val="21"/>
        </w:rPr>
        <w:t>（7）投标文件签署授权委托书</w:t>
      </w:r>
    </w:p>
    <w:p w14:paraId="3013674F">
      <w:pPr>
        <w:ind w:left="718" w:leftChars="342" w:firstLine="1417" w:firstLineChars="675"/>
        <w:rPr>
          <w:szCs w:val="21"/>
        </w:rPr>
      </w:pPr>
      <w:r>
        <w:rPr>
          <w:rFonts w:hint="eastAsia"/>
          <w:szCs w:val="21"/>
        </w:rPr>
        <w:t>（8）实质性条款响应情况表</w:t>
      </w:r>
    </w:p>
    <w:p w14:paraId="6A1A6DA1">
      <w:pPr>
        <w:ind w:left="718" w:leftChars="342" w:firstLine="1417" w:firstLineChars="675"/>
        <w:rPr>
          <w:rFonts w:hint="eastAsia" w:eastAsia="宋体"/>
          <w:szCs w:val="21"/>
          <w:lang w:eastAsia="zh-CN"/>
        </w:rPr>
      </w:pPr>
      <w:r>
        <w:rPr>
          <w:rFonts w:hint="eastAsia"/>
          <w:szCs w:val="21"/>
        </w:rPr>
        <w:t>（9）整体要求</w:t>
      </w:r>
    </w:p>
    <w:p w14:paraId="06B9362D">
      <w:pPr>
        <w:ind w:left="718" w:leftChars="342" w:firstLine="1417" w:firstLineChars="675"/>
        <w:rPr>
          <w:rFonts w:hint="eastAsia"/>
          <w:szCs w:val="21"/>
        </w:rPr>
      </w:pPr>
      <w:r>
        <w:rPr>
          <w:rFonts w:hint="eastAsia"/>
          <w:szCs w:val="21"/>
        </w:rPr>
        <w:t>（10）技术要求偏离表</w:t>
      </w:r>
    </w:p>
    <w:p w14:paraId="3062A482">
      <w:pPr>
        <w:ind w:left="718" w:leftChars="342" w:firstLine="1417" w:firstLineChars="675"/>
        <w:rPr>
          <w:rFonts w:hint="eastAsia"/>
          <w:szCs w:val="21"/>
        </w:rPr>
      </w:pPr>
      <w:r>
        <w:rPr>
          <w:rFonts w:hint="eastAsia"/>
          <w:szCs w:val="21"/>
        </w:rPr>
        <w:t>（1</w:t>
      </w:r>
      <w:r>
        <w:rPr>
          <w:rFonts w:hint="eastAsia" w:ascii="Times New Roman" w:eastAsia="宋体"/>
          <w:szCs w:val="21"/>
          <w:lang w:val="en-US" w:eastAsia="zh-CN"/>
        </w:rPr>
        <w:t>1</w:t>
      </w:r>
      <w:r>
        <w:rPr>
          <w:rFonts w:hint="eastAsia"/>
          <w:szCs w:val="21"/>
        </w:rPr>
        <w:t>）产品响应方案</w:t>
      </w:r>
    </w:p>
    <w:p w14:paraId="3738CA01">
      <w:pPr>
        <w:ind w:left="718" w:leftChars="342" w:firstLine="1417" w:firstLineChars="675"/>
        <w:rPr>
          <w:rFonts w:hint="eastAsia"/>
          <w:szCs w:val="21"/>
        </w:rPr>
      </w:pPr>
      <w:r>
        <w:rPr>
          <w:rFonts w:hint="eastAsia"/>
          <w:szCs w:val="21"/>
        </w:rPr>
        <w:t>（1</w:t>
      </w:r>
      <w:r>
        <w:rPr>
          <w:rFonts w:hint="eastAsia" w:ascii="Times New Roman" w:eastAsia="宋体"/>
          <w:szCs w:val="21"/>
          <w:lang w:val="en-US" w:eastAsia="zh-CN"/>
        </w:rPr>
        <w:t>2</w:t>
      </w:r>
      <w:r>
        <w:rPr>
          <w:rFonts w:hint="eastAsia"/>
          <w:szCs w:val="21"/>
        </w:rPr>
        <w:t>）市场占有率</w:t>
      </w:r>
    </w:p>
    <w:p w14:paraId="0391A4E7">
      <w:pPr>
        <w:ind w:left="718" w:leftChars="342" w:firstLine="1417" w:firstLineChars="675"/>
        <w:rPr>
          <w:rFonts w:hint="eastAsia"/>
          <w:szCs w:val="21"/>
        </w:rPr>
      </w:pPr>
      <w:r>
        <w:rPr>
          <w:rFonts w:hint="eastAsia"/>
          <w:szCs w:val="21"/>
        </w:rPr>
        <w:t>（1</w:t>
      </w:r>
      <w:r>
        <w:rPr>
          <w:rFonts w:hint="eastAsia" w:ascii="Times New Roman" w:eastAsia="宋体"/>
          <w:szCs w:val="21"/>
          <w:lang w:val="en-US" w:eastAsia="zh-CN"/>
        </w:rPr>
        <w:t>3</w:t>
      </w:r>
      <w:r>
        <w:rPr>
          <w:rFonts w:hint="eastAsia"/>
          <w:szCs w:val="21"/>
        </w:rPr>
        <w:t>）</w:t>
      </w:r>
      <w:r>
        <w:rPr>
          <w:rFonts w:hint="eastAsia" w:ascii="Times New Roman" w:eastAsia="宋体"/>
          <w:szCs w:val="21"/>
          <w:lang w:val="en-US" w:eastAsia="zh-CN"/>
        </w:rPr>
        <w:t>服务能力</w:t>
      </w:r>
    </w:p>
    <w:p w14:paraId="15B99BC8">
      <w:pPr>
        <w:ind w:left="718" w:leftChars="342" w:firstLine="1417" w:firstLineChars="675"/>
        <w:rPr>
          <w:szCs w:val="21"/>
        </w:rPr>
      </w:pPr>
      <w:r>
        <w:rPr>
          <w:rFonts w:hint="eastAsia"/>
          <w:szCs w:val="21"/>
        </w:rPr>
        <w:t>（1</w:t>
      </w:r>
      <w:r>
        <w:rPr>
          <w:rFonts w:hint="eastAsia" w:ascii="Times New Roman" w:eastAsia="宋体"/>
          <w:szCs w:val="21"/>
          <w:lang w:val="en-US" w:eastAsia="zh-CN"/>
        </w:rPr>
        <w:t>4</w:t>
      </w:r>
      <w:r>
        <w:rPr>
          <w:rFonts w:hint="eastAsia"/>
          <w:szCs w:val="21"/>
        </w:rPr>
        <w:t>）投标人认为需要加以说明的其他内容</w:t>
      </w:r>
    </w:p>
    <w:p w14:paraId="1F8073A7">
      <w:pPr>
        <w:pStyle w:val="18"/>
      </w:pPr>
    </w:p>
    <w:bookmarkEnd w:id="41"/>
    <w:p w14:paraId="37A032EE">
      <w:pPr>
        <w:ind w:left="718" w:leftChars="342" w:firstLine="1417" w:firstLineChars="675"/>
        <w:rPr>
          <w:szCs w:val="21"/>
        </w:rPr>
      </w:pPr>
    </w:p>
    <w:p w14:paraId="4AA28CB7">
      <w:pPr>
        <w:ind w:firstLine="426" w:firstLineChars="202"/>
        <w:rPr>
          <w:rFonts w:hint="eastAsia" w:ascii="宋体" w:hAnsi="宋体"/>
          <w:b/>
          <w:szCs w:val="21"/>
        </w:rPr>
      </w:pPr>
      <w:bookmarkStart w:id="45" w:name="_Hlk72257771"/>
      <w:r>
        <w:rPr>
          <w:rFonts w:hint="eastAsia" w:ascii="宋体" w:hAnsi="宋体"/>
          <w:b/>
          <w:szCs w:val="21"/>
        </w:rPr>
        <w:t>备注：</w:t>
      </w:r>
    </w:p>
    <w:p w14:paraId="6025E50E">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475CF42">
      <w:pPr>
        <w:ind w:firstLine="422" w:firstLineChars="200"/>
        <w:rPr>
          <w:rFonts w:hint="eastAsia" w:ascii="宋体" w:hAnsi="宋体"/>
          <w:b/>
          <w:szCs w:val="21"/>
        </w:rPr>
      </w:pPr>
      <w:bookmarkStart w:id="46" w:name="_Hlk72263559"/>
      <w:r>
        <w:rPr>
          <w:rFonts w:hint="eastAsia" w:ascii="宋体" w:hAnsi="宋体"/>
          <w:b/>
          <w:szCs w:val="21"/>
        </w:rPr>
        <w:t>2.关于填写“开标一览表”的说明：“开标一览表”中除“投标总价”外，其他信息不作评审依据。</w:t>
      </w:r>
      <w:bookmarkEnd w:id="45"/>
      <w:bookmarkEnd w:id="46"/>
    </w:p>
    <w:p w14:paraId="31C3D7D2">
      <w:pPr>
        <w:rPr>
          <w:rFonts w:hint="eastAsia" w:ascii="宋体" w:hAnsi="宋体"/>
          <w:b/>
          <w:szCs w:val="21"/>
        </w:rPr>
      </w:pPr>
      <w:r>
        <w:rPr>
          <w:rFonts w:hint="eastAsia" w:ascii="宋体" w:hAnsi="宋体"/>
          <w:b/>
          <w:szCs w:val="21"/>
        </w:rPr>
        <w:br w:type="page"/>
      </w:r>
    </w:p>
    <w:p w14:paraId="40D47881">
      <w:pPr>
        <w:pStyle w:val="3"/>
        <w:jc w:val="center"/>
        <w:rPr>
          <w:rFonts w:hint="eastAsia" w:ascii="黑体" w:eastAsia="黑体"/>
          <w:b w:val="0"/>
          <w:sz w:val="24"/>
        </w:rPr>
      </w:pPr>
      <w:r>
        <w:rPr>
          <w:rFonts w:hint="eastAsia" w:ascii="黑体" w:eastAsia="黑体"/>
          <w:b w:val="0"/>
          <w:sz w:val="24"/>
        </w:rPr>
        <w:t>一、投标函</w:t>
      </w:r>
    </w:p>
    <w:p w14:paraId="216AC101">
      <w:pPr>
        <w:spacing w:line="360" w:lineRule="auto"/>
        <w:rPr>
          <w:rFonts w:hint="eastAsia" w:ascii="宋体" w:hAnsi="宋体"/>
          <w:szCs w:val="21"/>
        </w:rPr>
      </w:pPr>
      <w:bookmarkStart w:id="47" w:name="_Hlk72257506"/>
      <w:r>
        <w:rPr>
          <w:rFonts w:hint="eastAsia" w:ascii="宋体" w:hAnsi="宋体"/>
          <w:szCs w:val="21"/>
        </w:rPr>
        <w:t>致：</w:t>
      </w:r>
      <w:r>
        <w:rPr>
          <w:rFonts w:hint="eastAsia" w:ascii="宋体" w:hAnsi="宋体"/>
          <w:szCs w:val="21"/>
          <w:u w:val="single"/>
        </w:rPr>
        <w:t>深圳交易集团有限公司龙岗分公司</w:t>
      </w:r>
      <w:r>
        <w:rPr>
          <w:rFonts w:hint="eastAsia" w:ascii="宋体" w:hAnsi="宋体"/>
          <w:szCs w:val="21"/>
          <w:u w:val="single"/>
          <w:lang w:eastAsia="zh-CN"/>
        </w:rPr>
        <w:t>、深圳市龙岗区第二人民医院</w:t>
      </w:r>
      <w:r>
        <w:rPr>
          <w:rFonts w:hint="eastAsia" w:ascii="宋体" w:hAnsi="宋体"/>
          <w:szCs w:val="21"/>
          <w:u w:val="single"/>
        </w:rPr>
        <w:t xml:space="preserve"> </w:t>
      </w:r>
    </w:p>
    <w:p w14:paraId="1A7022D3">
      <w:pPr>
        <w:ind w:firstLine="420" w:firstLineChars="200"/>
        <w:rPr>
          <w:rFonts w:hint="eastAsia" w:ascii="宋体" w:hAnsi="宋体"/>
          <w:szCs w:val="21"/>
        </w:rPr>
      </w:pPr>
      <w:bookmarkStart w:id="48"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49" w:name="_Hlk72263588"/>
      <w:r>
        <w:rPr>
          <w:rFonts w:hint="eastAsia"/>
          <w:szCs w:val="21"/>
        </w:rPr>
        <w:t>愿意按照招标文件要求承包上述项目并修补其任何缺陷。</w:t>
      </w:r>
      <w:bookmarkEnd w:id="49"/>
    </w:p>
    <w:p w14:paraId="51BF2135">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50" w:name="_Hlk73819847"/>
      <w:r>
        <w:rPr>
          <w:rFonts w:hint="eastAsia" w:ascii="宋体" w:hAnsi="宋体"/>
          <w:szCs w:val="21"/>
        </w:rPr>
        <w:t>投标价格见</w:t>
      </w:r>
      <w:r>
        <w:rPr>
          <w:rFonts w:hint="eastAsia"/>
          <w:szCs w:val="21"/>
        </w:rPr>
        <w:t>投标书编制软件中填写的投标报价。</w:t>
      </w:r>
      <w:bookmarkEnd w:id="50"/>
    </w:p>
    <w:p w14:paraId="1244E38E">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5BF20638">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3FDE15B5">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41ED141C">
      <w:pPr>
        <w:ind w:firstLine="420" w:firstLine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48"/>
      <w:r>
        <w:rPr>
          <w:rFonts w:hint="eastAsia" w:ascii="宋体" w:hAnsi="宋体"/>
          <w:szCs w:val="21"/>
        </w:rPr>
        <w:t>。</w:t>
      </w:r>
    </w:p>
    <w:p w14:paraId="48208126">
      <w:pPr>
        <w:ind w:firstLine="422" w:firstLine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w:t>
      </w:r>
      <w:r>
        <w:rPr>
          <w:rFonts w:hint="eastAsia" w:ascii="宋体" w:hAnsi="宋体"/>
          <w:b/>
          <w:szCs w:val="21"/>
        </w:rPr>
        <w:t>深圳交易集团有限公司龙岗分公司</w:t>
      </w:r>
      <w:r>
        <w:rPr>
          <w:rFonts w:ascii="宋体" w:hAnsi="宋体"/>
          <w:b/>
          <w:szCs w:val="21"/>
        </w:rPr>
        <w:t>对我单位提交的样品进行清理。</w:t>
      </w:r>
    </w:p>
    <w:p w14:paraId="4D886429">
      <w:pPr>
        <w:ind w:left="420" w:leftChars="200" w:firstLine="210" w:firstLineChars="100"/>
        <w:rPr>
          <w:szCs w:val="21"/>
        </w:rPr>
      </w:pPr>
    </w:p>
    <w:p w14:paraId="7B4E6A3B">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单位地址：</w:t>
      </w:r>
      <w:r>
        <w:rPr>
          <w:rFonts w:hint="eastAsia"/>
          <w:szCs w:val="21"/>
          <w:u w:val="thick"/>
        </w:rPr>
        <w:t xml:space="preserve">                                            </w:t>
      </w:r>
      <w:r>
        <w:rPr>
          <w:rFonts w:hint="eastAsia"/>
          <w:szCs w:val="21"/>
        </w:rPr>
        <w:t>；</w:t>
      </w:r>
    </w:p>
    <w:p w14:paraId="072759C8">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1B5D25A">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0F3A700D">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4B34A147">
      <w:pPr>
        <w:rPr>
          <w:rFonts w:hint="eastAsia" w:ascii="黑体" w:hAnsi="宋体" w:eastAsia="黑体"/>
        </w:rPr>
      </w:pPr>
    </w:p>
    <w:p w14:paraId="5A700964">
      <w:pPr>
        <w:rPr>
          <w:rFonts w:hint="eastAsia" w:ascii="黑体" w:hAnsi="宋体" w:eastAsia="黑体"/>
        </w:rPr>
      </w:pPr>
    </w:p>
    <w:bookmarkEnd w:id="47"/>
    <w:p w14:paraId="49604664">
      <w:pPr>
        <w:pStyle w:val="3"/>
        <w:jc w:val="center"/>
        <w:rPr>
          <w:rFonts w:hint="eastAsia" w:ascii="黑体" w:eastAsia="黑体"/>
          <w:b w:val="0"/>
          <w:sz w:val="24"/>
        </w:rPr>
      </w:pPr>
      <w:r>
        <w:rPr>
          <w:rFonts w:hint="eastAsia" w:ascii="黑体" w:eastAsia="黑体"/>
          <w:b w:val="0"/>
          <w:sz w:val="24"/>
        </w:rPr>
        <w:t>二、采购投标及履约承诺函</w:t>
      </w:r>
    </w:p>
    <w:p w14:paraId="2C4E87B4">
      <w:pPr>
        <w:rPr>
          <w:rFonts w:hint="eastAsia" w:ascii="宋体" w:hAnsi="宋体"/>
          <w:color w:val="FF0000"/>
          <w:szCs w:val="21"/>
        </w:rPr>
      </w:pPr>
      <w:bookmarkStart w:id="51" w:name="_Hlk72257530"/>
      <w:r>
        <w:rPr>
          <w:rFonts w:hint="eastAsia" w:ascii="宋体" w:hAnsi="宋体"/>
          <w:color w:val="FF0000"/>
          <w:szCs w:val="21"/>
        </w:rPr>
        <w:t>致：</w:t>
      </w:r>
      <w:r>
        <w:rPr>
          <w:rFonts w:hint="eastAsia" w:ascii="宋体" w:hAnsi="宋体"/>
          <w:color w:val="FF0000"/>
          <w:szCs w:val="21"/>
          <w:u w:val="single"/>
        </w:rPr>
        <w:t>深圳交易集团有限公司龙岗分公司、深圳市龙岗区第二人民医院</w:t>
      </w:r>
    </w:p>
    <w:p w14:paraId="692A8383">
      <w:pPr>
        <w:ind w:right="-815" w:firstLine="420" w:firstLineChars="200"/>
        <w:rPr>
          <w:rFonts w:hint="eastAsia" w:ascii="宋体" w:hAnsi="宋体"/>
          <w:szCs w:val="21"/>
        </w:rPr>
      </w:pPr>
      <w:r>
        <w:rPr>
          <w:rFonts w:hint="eastAsia" w:ascii="宋体" w:hAnsi="宋体"/>
          <w:szCs w:val="21"/>
        </w:rPr>
        <w:t>我单位承诺：</w:t>
      </w:r>
    </w:p>
    <w:p w14:paraId="718E8DE1">
      <w:pPr>
        <w:ind w:firstLine="420" w:firstLineChars="200"/>
        <w:rPr>
          <w:rFonts w:hint="eastAsia" w:ascii="宋体" w:hAnsi="宋体"/>
          <w:b/>
          <w:szCs w:val="21"/>
        </w:rPr>
      </w:pPr>
      <w:r>
        <w:rPr>
          <w:rFonts w:hint="eastAsia" w:ascii="宋体" w:hAnsi="宋体"/>
          <w:bCs/>
          <w:szCs w:val="21"/>
        </w:rPr>
        <w:t>1.我单位参与本项目所投标（响应）的货物、工程或服务，不存在侵犯知识产权的情况。</w:t>
      </w:r>
    </w:p>
    <w:p w14:paraId="30D9D31A">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采购活动时不存在被有关部门禁止参与采购活动且在有效期内的情况。</w:t>
      </w:r>
    </w:p>
    <w:p w14:paraId="1F4E276D">
      <w:pPr>
        <w:ind w:firstLine="420" w:firstLineChars="200"/>
        <w:rPr>
          <w:rFonts w:hint="eastAsia" w:ascii="宋体" w:hAnsi="宋体"/>
          <w:szCs w:val="21"/>
        </w:rPr>
      </w:pPr>
      <w:r>
        <w:rPr>
          <w:rFonts w:hint="eastAsia" w:ascii="宋体" w:hAnsi="宋体"/>
          <w:szCs w:val="21"/>
        </w:rPr>
        <w:t>3.我单位具备《中华人民共和国政府采购法》第二十二条第一款规定的六项条件。</w:t>
      </w:r>
    </w:p>
    <w:p w14:paraId="2796D33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19C78D1C">
      <w:pPr>
        <w:ind w:firstLine="420" w:firstLineChars="200"/>
        <w:rPr>
          <w:color w:val="FF0000"/>
        </w:rPr>
      </w:pPr>
      <w:r>
        <w:rPr>
          <w:rFonts w:hint="eastAsia"/>
          <w:color w:val="FF0000"/>
        </w:rPr>
        <w:t>5.我单位不存在《深圳市财政局政府采购供应商信用信息管理办法》（深财规〔2023〕3号）列明的严重违法失信行为。</w:t>
      </w:r>
    </w:p>
    <w:p w14:paraId="479DDF88">
      <w:pPr>
        <w:ind w:firstLine="420" w:firstLineChars="200"/>
        <w:rPr>
          <w:rFonts w:hint="eastAsia" w:ascii="宋体" w:hAnsi="宋体"/>
          <w:szCs w:val="21"/>
        </w:rPr>
      </w:pPr>
      <w:r>
        <w:rPr>
          <w:rFonts w:hint="eastAsia" w:ascii="宋体" w:hAnsi="宋体"/>
          <w:szCs w:val="21"/>
        </w:rPr>
        <w:t>6.</w:t>
      </w:r>
      <w:bookmarkStart w:id="52" w:name="_Hlk72587269"/>
      <w:bookmarkStart w:id="53"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52"/>
      <w:r>
        <w:rPr>
          <w:rFonts w:hint="eastAsia" w:ascii="宋体" w:hAnsi="宋体"/>
          <w:szCs w:val="21"/>
        </w:rPr>
        <w:t>。</w:t>
      </w:r>
    </w:p>
    <w:bookmarkEnd w:id="53"/>
    <w:p w14:paraId="79ADF2EC">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7F56FFD">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C4702B">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3FA72E2">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0D0EEB4E">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6EFFB82">
      <w:pPr>
        <w:ind w:firstLine="420" w:firstLineChars="200"/>
        <w:rPr>
          <w:rFonts w:hint="eastAsia" w:ascii="宋体" w:hAnsi="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1B0F8706">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5584DCEC">
      <w:pPr>
        <w:ind w:firstLine="420" w:firstLineChars="200"/>
        <w:rPr>
          <w:rFonts w:hint="eastAsia" w:ascii="宋体" w:hAnsi="宋体" w:cs="宋体"/>
          <w:b/>
          <w:color w:val="FF0000"/>
          <w:kern w:val="0"/>
          <w:szCs w:val="21"/>
        </w:rPr>
      </w:pPr>
      <w:r>
        <w:rPr>
          <w:rFonts w:hint="eastAsia" w:ascii="宋体" w:hAnsi="宋体"/>
          <w:bCs/>
        </w:rPr>
        <w:t>13</w:t>
      </w:r>
      <w:r>
        <w:rPr>
          <w:rFonts w:ascii="宋体" w:hAnsi="宋体"/>
          <w:bCs/>
        </w:rPr>
        <w:t>.我单位保证，符合《中华人民共和国政府采购法实施条例》第十八条规定，与其他投标供应商不存在单位负责人为同一人或者存在直接控股、管理关系；</w:t>
      </w:r>
      <w:r>
        <w:rPr>
          <w:rFonts w:hint="eastAsia" w:ascii="宋体" w:hAnsi="宋体"/>
          <w:bCs/>
        </w:rPr>
        <w:t>不存在为</w:t>
      </w:r>
      <w:r>
        <w:rPr>
          <w:rFonts w:ascii="宋体" w:hAnsi="宋体"/>
          <w:bCs/>
        </w:rPr>
        <w:t>本次采购项目提供整体设计、规范编制或者项目管理、监理、检测等服务的情形。</w:t>
      </w:r>
      <w:r>
        <w:rPr>
          <w:rFonts w:hint="eastAsia" w:ascii="宋体" w:hAnsi="宋体"/>
          <w:bCs/>
        </w:rPr>
        <w:t>若存在“不同供应商的董事、股东或其他高级管理人员为同一人的”情形的，我单位保证不存在串通投标、恶意串通或者视为串通投标的情形。</w:t>
      </w:r>
    </w:p>
    <w:p w14:paraId="0068CC77">
      <w:pPr>
        <w:ind w:firstLine="420" w:firstLineChars="200"/>
        <w:rPr>
          <w:rFonts w:hint="eastAsia" w:ascii="宋体" w:hAnsi="宋体"/>
        </w:rPr>
      </w:pPr>
    </w:p>
    <w:p w14:paraId="5E4F5B54">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1A77EE39">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bookmarkEnd w:id="51"/>
    <w:p w14:paraId="53392261">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2F9E9E94">
      <w:pPr>
        <w:ind w:firstLine="645"/>
        <w:rPr>
          <w:rFonts w:hint="eastAsia"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226EA41C">
      <w:pPr>
        <w:ind w:firstLine="645"/>
        <w:rPr>
          <w:rFonts w:hint="eastAsia" w:ascii="宋体" w:hAnsi="宋体"/>
          <w:szCs w:val="21"/>
        </w:rPr>
      </w:pPr>
    </w:p>
    <w:p w14:paraId="036FAA77">
      <w:pPr>
        <w:rPr>
          <w:rFonts w:ascii="宋体"/>
          <w:b/>
          <w:szCs w:val="21"/>
        </w:rPr>
      </w:pPr>
    </w:p>
    <w:p w14:paraId="333C91CB">
      <w:pPr>
        <w:ind w:firstLine="482" w:firstLineChars="200"/>
        <w:jc w:val="center"/>
        <w:rPr>
          <w:rFonts w:hint="eastAsia" w:hAnsi="宋体"/>
          <w:b/>
          <w:bCs/>
          <w:sz w:val="24"/>
        </w:rPr>
      </w:pPr>
    </w:p>
    <w:p w14:paraId="2C370E00">
      <w:pPr>
        <w:pStyle w:val="3"/>
        <w:jc w:val="center"/>
        <w:rPr>
          <w:rFonts w:hint="eastAsia" w:ascii="黑体" w:eastAsia="黑体"/>
          <w:b w:val="0"/>
          <w:sz w:val="24"/>
          <w:szCs w:val="24"/>
        </w:rPr>
      </w:pPr>
      <w:r>
        <w:rPr>
          <w:rFonts w:hint="eastAsia" w:ascii="黑体" w:eastAsia="黑体"/>
          <w:b w:val="0"/>
          <w:sz w:val="24"/>
          <w:szCs w:val="24"/>
        </w:rPr>
        <w:t>三、投标人情况及资格证明文件</w:t>
      </w:r>
    </w:p>
    <w:p w14:paraId="6A4A8D00">
      <w:pPr>
        <w:rPr>
          <w:b/>
          <w:bCs/>
          <w:sz w:val="24"/>
        </w:rPr>
      </w:pPr>
    </w:p>
    <w:p w14:paraId="473C3577">
      <w:pPr>
        <w:ind w:firstLine="2640" w:firstLineChars="1100"/>
        <w:outlineLvl w:val="3"/>
        <w:rPr>
          <w:rFonts w:hint="eastAsia" w:ascii="黑体" w:hAnsi="宋体" w:eastAsia="黑体"/>
          <w:bCs/>
          <w:kern w:val="0"/>
          <w:sz w:val="24"/>
          <w:szCs w:val="32"/>
        </w:rPr>
      </w:pPr>
      <w:bookmarkStart w:id="54" w:name="_Hlk72257590"/>
      <w:r>
        <w:rPr>
          <w:rFonts w:hint="eastAsia" w:ascii="黑体" w:hAnsi="宋体" w:eastAsia="黑体"/>
          <w:bCs/>
          <w:kern w:val="0"/>
          <w:sz w:val="24"/>
          <w:szCs w:val="32"/>
        </w:rPr>
        <w:t>（一）投标人资格证明文件</w:t>
      </w:r>
    </w:p>
    <w:p w14:paraId="22653867">
      <w:pPr>
        <w:spacing w:before="120" w:beforeLines="50"/>
        <w:ind w:firstLine="422" w:firstLineChars="200"/>
        <w:rPr>
          <w:b/>
          <w:bCs/>
          <w:highlight w:val="yellow"/>
        </w:rPr>
      </w:pPr>
      <w:r>
        <w:rPr>
          <w:rFonts w:hint="eastAsia"/>
          <w:b/>
          <w:bCs/>
          <w:highlight w:val="yellow"/>
        </w:rPr>
        <w:t>（特别提示：投标人须按本招标文件第一册第一章招标公告“申请人的资格要求”（即投标人资格要求）提供相关的资格证明资料，未提供或提供不完整、不符合要求的，将作投标无效处理，其中要求提供《采购投标及履约承诺函》《供应商基本情况表》且已在规定章节中提供的，此处不重复提供。）</w:t>
      </w:r>
    </w:p>
    <w:p w14:paraId="425BF126">
      <w:pPr>
        <w:rPr>
          <w:b/>
          <w:bCs/>
          <w:sz w:val="24"/>
          <w:highlight w:val="yellow"/>
        </w:rPr>
      </w:pPr>
    </w:p>
    <w:p w14:paraId="603FED00">
      <w:pPr>
        <w:ind w:firstLine="480" w:firstLineChars="200"/>
        <w:outlineLvl w:val="3"/>
        <w:rPr>
          <w:rFonts w:hint="eastAsia" w:ascii="黑体" w:hAnsi="宋体" w:eastAsia="黑体"/>
          <w:bCs/>
          <w:kern w:val="0"/>
          <w:sz w:val="24"/>
          <w:szCs w:val="32"/>
        </w:rPr>
      </w:pPr>
      <w:bookmarkStart w:id="55" w:name="_Hlk72257908"/>
      <w:r>
        <w:rPr>
          <w:rFonts w:hint="eastAsia" w:ascii="黑体" w:hAnsi="宋体" w:eastAsia="黑体"/>
          <w:bCs/>
          <w:kern w:val="0"/>
          <w:sz w:val="24"/>
          <w:szCs w:val="32"/>
        </w:rPr>
        <w:t>（二）中小企业声明函、残疾人福利性单位声明函及监狱企业声明函</w:t>
      </w:r>
    </w:p>
    <w:bookmarkEnd w:id="54"/>
    <w:p w14:paraId="27CE7135">
      <w:pPr>
        <w:jc w:val="left"/>
        <w:rPr>
          <w:rFonts w:hint="eastAsia" w:ascii="黑体" w:hAnsi="宋体" w:eastAsia="黑体"/>
          <w:bCs/>
          <w:kern w:val="0"/>
          <w:sz w:val="24"/>
          <w:szCs w:val="32"/>
        </w:rPr>
      </w:pPr>
    </w:p>
    <w:p w14:paraId="4F067BEA">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填写指引：</w:t>
      </w:r>
    </w:p>
    <w:p w14:paraId="69C63D5C">
      <w:pPr>
        <w:ind w:firstLine="420" w:firstLineChars="200"/>
        <w:rPr>
          <w:rFonts w:hint="eastAsia" w:ascii="黑体" w:hAnsi="黑体" w:eastAsia="黑体"/>
          <w:szCs w:val="21"/>
          <w:highlight w:val="yellow"/>
        </w:rPr>
      </w:pPr>
      <w:r>
        <w:rPr>
          <w:rFonts w:hint="eastAsia" w:ascii="黑体" w:hAnsi="宋体" w:eastAsia="黑体"/>
          <w:bCs/>
          <w:kern w:val="0"/>
          <w:szCs w:val="21"/>
          <w:highlight w:val="yellow"/>
        </w:rPr>
        <w:t>1、该部分内容由投标人根据自身实际情况填写，不符合要求的投标人可以不填写或直接删除相应的声明函。</w:t>
      </w:r>
      <w:r>
        <w:rPr>
          <w:rFonts w:hint="eastAsia" w:ascii="黑体" w:hAnsi="黑体" w:eastAsia="黑体"/>
          <w:szCs w:val="21"/>
          <w:highlight w:val="yellow"/>
        </w:rPr>
        <w:t>投标人提供的声明函不属实的，属于提供虚假资料谋取中标，依照《中华人民共和国政府采购法》等国家有关规定追究相应责任。</w:t>
      </w:r>
    </w:p>
    <w:p w14:paraId="45FECE2B">
      <w:pPr>
        <w:ind w:firstLine="420" w:firstLineChars="200"/>
        <w:rPr>
          <w:rFonts w:hint="eastAsia" w:ascii="黑体" w:hAnsi="黑体" w:eastAsia="黑体"/>
          <w:szCs w:val="21"/>
          <w:highlight w:val="yellow"/>
        </w:rPr>
      </w:pPr>
      <w:r>
        <w:rPr>
          <w:rFonts w:hint="eastAsia" w:ascii="黑体" w:hAnsi="黑体" w:eastAsia="黑体"/>
          <w:szCs w:val="21"/>
          <w:highlight w:val="yellow"/>
        </w:rPr>
        <w:t>2、该部分内容填写需要参考的相关文件：</w:t>
      </w:r>
    </w:p>
    <w:p w14:paraId="5BF8652D">
      <w:pPr>
        <w:ind w:firstLine="420" w:firstLineChars="200"/>
        <w:rPr>
          <w:rFonts w:hint="eastAsia" w:ascii="黑体" w:hAnsi="黑体" w:eastAsia="黑体"/>
          <w:szCs w:val="21"/>
          <w:highlight w:val="yellow"/>
        </w:rPr>
      </w:pPr>
      <w:r>
        <w:rPr>
          <w:rFonts w:hint="eastAsia" w:ascii="黑体" w:hAnsi="黑体" w:eastAsia="黑体"/>
          <w:szCs w:val="21"/>
          <w:highlight w:val="yellow"/>
        </w:rPr>
        <w:t>(</w:t>
      </w:r>
      <w:r>
        <w:rPr>
          <w:rFonts w:ascii="黑体" w:hAnsi="黑体" w:eastAsia="黑体"/>
          <w:szCs w:val="21"/>
          <w:highlight w:val="yellow"/>
        </w:rPr>
        <w:t>1</w:t>
      </w:r>
      <w:r>
        <w:rPr>
          <w:rFonts w:hint="eastAsia" w:ascii="黑体" w:hAnsi="黑体" w:eastAsia="黑体"/>
          <w:szCs w:val="21"/>
          <w:highlight w:val="yellow"/>
        </w:rPr>
        <w:t>)财政部《政府采购促进中小企业发展管理办法》（财库〔2020〕46号）；</w:t>
      </w:r>
    </w:p>
    <w:p w14:paraId="3648D070">
      <w:pPr>
        <w:ind w:firstLine="420" w:firstLineChars="200"/>
        <w:rPr>
          <w:rFonts w:hint="eastAsia" w:ascii="黑体" w:hAnsi="黑体" w:eastAsia="黑体"/>
          <w:szCs w:val="21"/>
          <w:highlight w:val="yellow"/>
        </w:rPr>
      </w:pPr>
      <w:r>
        <w:rPr>
          <w:rFonts w:hint="eastAsia" w:ascii="黑体" w:hAnsi="黑体" w:eastAsia="黑体"/>
          <w:szCs w:val="21"/>
          <w:highlight w:val="yellow"/>
        </w:rPr>
        <w:t>(</w:t>
      </w:r>
      <w:r>
        <w:rPr>
          <w:rFonts w:ascii="黑体" w:hAnsi="黑体" w:eastAsia="黑体"/>
          <w:szCs w:val="21"/>
          <w:highlight w:val="yellow"/>
        </w:rPr>
        <w:t>2</w:t>
      </w:r>
      <w:r>
        <w:rPr>
          <w:rFonts w:hint="eastAsia" w:ascii="黑体" w:hAnsi="黑体" w:eastAsia="黑体"/>
          <w:szCs w:val="21"/>
          <w:highlight w:val="yellow"/>
        </w:rPr>
        <w:t>)《工业和信息化部、国家统计局、国家发展和改革委员会、财政部关于印发中小企业划型标准规定的通知》（工信部联企业〔2011〕300号）；</w:t>
      </w:r>
    </w:p>
    <w:p w14:paraId="522D438E">
      <w:pPr>
        <w:ind w:firstLine="420" w:firstLineChars="200"/>
        <w:rPr>
          <w:rFonts w:hint="eastAsia" w:ascii="黑体" w:hAnsi="黑体" w:eastAsia="黑体"/>
          <w:szCs w:val="21"/>
          <w:highlight w:val="yellow"/>
        </w:rPr>
      </w:pPr>
      <w:r>
        <w:rPr>
          <w:rFonts w:hint="eastAsia" w:ascii="黑体" w:hAnsi="黑体" w:eastAsia="黑体"/>
          <w:szCs w:val="21"/>
          <w:highlight w:val="yellow"/>
        </w:rPr>
        <w:t>(3)《统计上大中小微型企业划分办法(2017)》（国统字〔2017〕213号）；</w:t>
      </w:r>
    </w:p>
    <w:p w14:paraId="1CFBA61C">
      <w:pPr>
        <w:ind w:firstLine="420" w:firstLineChars="200"/>
        <w:rPr>
          <w:rFonts w:hint="eastAsia" w:ascii="黑体" w:hAnsi="黑体" w:eastAsia="黑体"/>
          <w:szCs w:val="21"/>
          <w:highlight w:val="yellow"/>
        </w:rPr>
      </w:pPr>
      <w:r>
        <w:rPr>
          <w:rFonts w:hint="eastAsia" w:ascii="黑体" w:hAnsi="黑体" w:eastAsia="黑体"/>
          <w:szCs w:val="21"/>
          <w:highlight w:val="yellow"/>
        </w:rPr>
        <w:t>(4)《关于促进残疾人就业政府采购政策的通知》（财库〔2017〕141号）；</w:t>
      </w:r>
    </w:p>
    <w:p w14:paraId="5D6C44D9">
      <w:pPr>
        <w:ind w:firstLine="420" w:firstLineChars="200"/>
        <w:rPr>
          <w:rFonts w:hint="eastAsia" w:ascii="黑体" w:hAnsi="黑体" w:eastAsia="黑体"/>
          <w:szCs w:val="21"/>
          <w:highlight w:val="yellow"/>
        </w:rPr>
      </w:pPr>
      <w:r>
        <w:rPr>
          <w:rFonts w:hint="eastAsia" w:ascii="黑体" w:hAnsi="黑体" w:eastAsia="黑体"/>
          <w:szCs w:val="21"/>
          <w:highlight w:val="yellow"/>
        </w:rPr>
        <w:t>(5)《关于政府采购支持监狱企业发展有关问题的通知》（财库〔2014〕68号）</w:t>
      </w:r>
    </w:p>
    <w:p w14:paraId="5B78CE07">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3、请依照提供的格式和内容填写声明函，不要随意变更格式；声明函不需要盖章或签字；</w:t>
      </w:r>
      <w:r>
        <w:rPr>
          <w:rFonts w:hint="eastAsia" w:ascii="黑体" w:hAnsi="黑体" w:eastAsia="黑体"/>
          <w:szCs w:val="21"/>
          <w:highlight w:val="yellow"/>
        </w:rPr>
        <w:t>满足多项优惠政策的投标人，不重复享受多项价格扣除政策。</w:t>
      </w:r>
    </w:p>
    <w:p w14:paraId="682B2E20">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4、声明函具体填写要求：</w:t>
      </w:r>
    </w:p>
    <w:p w14:paraId="2E5DD3DF">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（1）声明是中小企业须填写《中小企业声明函》的以下内容：</w:t>
      </w:r>
    </w:p>
    <w:p w14:paraId="0FCE7C9C">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第一处，在“单位名称”下划线处如实填写采购人名称（深圳公共资源交易中心不是本项目的采购人，而是组织实施机构）；</w:t>
      </w:r>
    </w:p>
    <w:p w14:paraId="519A9D22">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7032692D">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第三处，在“标的名称”下划线处填写所采购货物（标的）的具体名称（以招标文件第一册第三章用户需求书“</w:t>
      </w:r>
      <w:r>
        <w:rPr>
          <w:rFonts w:hint="eastAsia" w:ascii="黑体" w:hAnsi="宋体" w:eastAsia="黑体"/>
          <w:bCs/>
          <w:kern w:val="0"/>
          <w:szCs w:val="21"/>
          <w:highlight w:val="yellow"/>
          <w:lang w:eastAsia="zh-CN"/>
        </w:rPr>
        <w:t>货物清单明细</w:t>
      </w:r>
      <w:r>
        <w:rPr>
          <w:rFonts w:hint="eastAsia" w:ascii="黑体" w:hAnsi="宋体" w:eastAsia="黑体"/>
          <w:bCs/>
          <w:kern w:val="0"/>
          <w:szCs w:val="21"/>
          <w:highlight w:val="yellow"/>
        </w:rPr>
        <w:t>”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7ECE904B">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12B0E14B">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第五处，在“企业名称”下划线处如实填写</w:t>
      </w:r>
      <w:r>
        <w:rPr>
          <w:rFonts w:hint="eastAsia" w:ascii="黑体" w:hAnsi="宋体" w:eastAsia="黑体"/>
          <w:b/>
          <w:kern w:val="0"/>
          <w:szCs w:val="21"/>
          <w:highlight w:val="yellow"/>
        </w:rPr>
        <w:t>货物制造商名称。</w:t>
      </w:r>
      <w:r>
        <w:rPr>
          <w:rFonts w:hint="eastAsia" w:ascii="黑体" w:hAnsi="宋体" w:eastAsia="黑体"/>
          <w:bCs/>
          <w:kern w:val="0"/>
          <w:szCs w:val="21"/>
          <w:highlight w:val="yellow"/>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D877063">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92316DD">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4D8400D0">
      <w:pPr>
        <w:pStyle w:val="54"/>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28678E6">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（3）事业单位、社会组织等非企业主体不享受中小企业扶持政策，但事业单位、社会组织等非企业主体提供全部由中小企业制造的货物参加货物采购项目的除外。</w:t>
      </w:r>
    </w:p>
    <w:p w14:paraId="1947DF1B">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（4）声明是残疾人福利性单位须填写《残疾人福利性单位声明函》的相关内容，具体参照以上《中小企业声明函》填写要求执行。</w:t>
      </w:r>
    </w:p>
    <w:p w14:paraId="114F818A">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（5）声明是监狱企业须填写《监狱企业声明函》的三项内容（填写位置的字体已加粗），具体参照以上《中小企业声明函》填写要求执行。</w:t>
      </w:r>
    </w:p>
    <w:p w14:paraId="54A42A5C">
      <w:pPr>
        <w:ind w:firstLine="420" w:firstLineChars="200"/>
        <w:rPr>
          <w:rFonts w:hint="eastAsia" w:ascii="黑体" w:hAnsi="宋体" w:eastAsia="黑体"/>
          <w:bCs/>
          <w:kern w:val="0"/>
          <w:szCs w:val="21"/>
          <w:highlight w:val="yellow"/>
        </w:rPr>
      </w:pPr>
      <w:r>
        <w:rPr>
          <w:rFonts w:hint="eastAsia" w:ascii="黑体" w:hAnsi="宋体" w:eastAsia="黑体"/>
          <w:bCs/>
          <w:kern w:val="0"/>
          <w:szCs w:val="21"/>
          <w:highlight w:val="yellow"/>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6DDF8AC">
      <w:pPr>
        <w:pStyle w:val="54"/>
        <w:ind w:firstLine="420" w:firstLineChars="200"/>
        <w:rPr>
          <w:rFonts w:eastAsia="黑体"/>
          <w:highlight w:val="yellow"/>
        </w:rPr>
      </w:pPr>
      <w:r>
        <w:rPr>
          <w:rFonts w:hint="eastAsia" w:ascii="黑体" w:hAnsi="宋体" w:eastAsia="黑体"/>
          <w:bCs/>
          <w:kern w:val="0"/>
          <w:szCs w:val="21"/>
          <w:highlight w:val="yellow"/>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DB12F21">
      <w:pPr>
        <w:ind w:firstLine="420" w:firstLineChars="200"/>
      </w:pPr>
    </w:p>
    <w:p w14:paraId="1B6F2867">
      <w:pPr>
        <w:numPr>
          <w:ilvl w:val="0"/>
          <w:numId w:val="10"/>
        </w:numPr>
        <w:jc w:val="center"/>
        <w:rPr>
          <w:b/>
          <w:sz w:val="24"/>
        </w:rPr>
      </w:pPr>
      <w:r>
        <w:rPr>
          <w:b/>
          <w:sz w:val="24"/>
        </w:rPr>
        <w:t>中小企业声明函（货物）</w:t>
      </w:r>
    </w:p>
    <w:p w14:paraId="7E75F20B">
      <w:pPr>
        <w:pStyle w:val="18"/>
      </w:pPr>
    </w:p>
    <w:p w14:paraId="18D0136F">
      <w:pPr>
        <w:pStyle w:val="37"/>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rPr>
        <w:t xml:space="preserve">    （单位名称）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rPr>
        <w:t xml:space="preserve">    （项目名称）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539743AE">
      <w:pPr>
        <w:pStyle w:val="37"/>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786605CE">
      <w:pPr>
        <w:pStyle w:val="37"/>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31D6BDBB">
      <w:pPr>
        <w:pStyle w:val="37"/>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23371BCF">
      <w:pPr>
        <w:pStyle w:val="37"/>
        <w:ind w:firstLine="420" w:firstLineChars="200"/>
        <w:rPr>
          <w:rFonts w:hint="eastAsia" w:asciiTheme="minorEastAsia" w:hAnsiTheme="minorEastAsia" w:eastAsiaTheme="minorEastAsia" w:cstheme="minorEastAsia"/>
          <w:sz w:val="21"/>
          <w:szCs w:val="21"/>
        </w:rPr>
      </w:pPr>
    </w:p>
    <w:p w14:paraId="7AFCC2A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1AD11DA2">
      <w:pPr>
        <w:spacing w:line="360" w:lineRule="auto"/>
        <w:ind w:firstLine="420" w:firstLineChars="200"/>
        <w:rPr>
          <w:rFonts w:hint="eastAsia" w:asciiTheme="minorEastAsia" w:hAnsiTheme="minorEastAsia" w:eastAsiaTheme="minorEastAsia" w:cstheme="minorEastAsia"/>
          <w:szCs w:val="21"/>
        </w:rPr>
      </w:pPr>
      <w:bookmarkStart w:id="56" w:name="_Hlk73562203"/>
      <w:r>
        <w:rPr>
          <w:rFonts w:hint="eastAsia" w:asciiTheme="minorEastAsia" w:hAnsiTheme="minorEastAsia" w:eastAsiaTheme="minorEastAsia" w:cstheme="minorEastAsia"/>
          <w:szCs w:val="21"/>
        </w:rPr>
        <w:t>本投标人对上述声明内容的真实性负责。如有虚假，将依法承担相应责任。</w:t>
      </w:r>
    </w:p>
    <w:p w14:paraId="7FB79CA0">
      <w:pPr>
        <w:spacing w:line="360" w:lineRule="auto"/>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56"/>
    </w:p>
    <w:p w14:paraId="5FA52F3C">
      <w:pPr>
        <w:ind w:firstLine="420" w:firstLineChars="200"/>
        <w:rPr>
          <w:rFonts w:hint="eastAsia" w:ascii="宋体" w:hAnsi="宋体"/>
          <w:bCs/>
          <w:color w:val="FF0000"/>
          <w:kern w:val="0"/>
          <w:szCs w:val="21"/>
        </w:rPr>
      </w:pPr>
    </w:p>
    <w:p w14:paraId="07AB3500"/>
    <w:p w14:paraId="03F13126">
      <w:pPr>
        <w:ind w:firstLine="420" w:firstLineChars="200"/>
      </w:pPr>
    </w:p>
    <w:p w14:paraId="04B6808B">
      <w:pPr>
        <w:jc w:val="center"/>
        <w:rPr>
          <w:b/>
          <w:sz w:val="24"/>
        </w:rPr>
      </w:pPr>
      <w:r>
        <w:rPr>
          <w:rFonts w:hint="eastAsia"/>
          <w:b/>
          <w:sz w:val="24"/>
        </w:rPr>
        <w:t>2、残疾人福利性单位声明函（货物类）</w:t>
      </w:r>
    </w:p>
    <w:p w14:paraId="075C79FB">
      <w:pPr>
        <w:rPr>
          <w:b/>
          <w:bCs/>
        </w:rPr>
      </w:pPr>
    </w:p>
    <w:p w14:paraId="1904933E">
      <w:pPr>
        <w:spacing w:line="360" w:lineRule="auto"/>
        <w:ind w:firstLine="420" w:firstLineChars="200"/>
        <w:rPr>
          <w:rFonts w:hint="eastAsia" w:asciiTheme="minorEastAsia" w:hAnsiTheme="minorEastAsia" w:eastAsiaTheme="minorEastAsia" w:cstheme="minorEastAsia"/>
          <w:szCs w:val="21"/>
        </w:rPr>
      </w:pPr>
      <w:bookmarkStart w:id="57" w:name="_Hlk73562331"/>
      <w:bookmarkStart w:id="58"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0992C16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1E409964">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57"/>
    </w:p>
    <w:bookmarkEnd w:id="58"/>
    <w:p w14:paraId="4F717E1E">
      <w:pPr>
        <w:ind w:firstLine="420" w:firstLineChars="200"/>
        <w:rPr>
          <w:rFonts w:hint="eastAsia" w:ascii="宋体" w:hAnsi="宋体"/>
          <w:szCs w:val="21"/>
        </w:rPr>
      </w:pPr>
    </w:p>
    <w:p w14:paraId="040B7576">
      <w:pPr>
        <w:ind w:firstLine="420" w:firstLineChars="200"/>
        <w:rPr>
          <w:rFonts w:hint="eastAsia" w:ascii="宋体" w:hAnsi="宋体"/>
          <w:szCs w:val="21"/>
        </w:rPr>
      </w:pPr>
    </w:p>
    <w:p w14:paraId="627422E7">
      <w:pPr>
        <w:jc w:val="center"/>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60CB0388">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077124D0">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02714016">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4767E9DC">
      <w:pPr>
        <w:spacing w:line="360" w:lineRule="auto"/>
        <w:ind w:firstLine="420" w:firstLineChars="200"/>
        <w:rPr>
          <w:rFonts w:hint="eastAsia" w:ascii="宋体" w:hAnsi="宋体"/>
          <w:szCs w:val="21"/>
        </w:rPr>
      </w:pPr>
      <w:r>
        <w:rPr>
          <w:rFonts w:ascii="宋体" w:hAnsi="宋体"/>
          <w:szCs w:val="21"/>
        </w:rPr>
        <w:t xml:space="preserve">…… </w:t>
      </w:r>
    </w:p>
    <w:p w14:paraId="64D7BEC8">
      <w:pPr>
        <w:spacing w:line="360" w:lineRule="auto"/>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17DCCD18">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55"/>
    </w:p>
    <w:p w14:paraId="703BA727">
      <w:pPr>
        <w:pStyle w:val="3"/>
        <w:jc w:val="center"/>
        <w:rPr>
          <w:rFonts w:hint="eastAsia" w:ascii="黑体" w:eastAsia="黑体"/>
          <w:b w:val="0"/>
          <w:sz w:val="24"/>
          <w:szCs w:val="24"/>
        </w:rPr>
      </w:pPr>
      <w:bookmarkStart w:id="59" w:name="_Hlk72259976"/>
      <w:r>
        <w:rPr>
          <w:rFonts w:hint="eastAsia" w:ascii="黑体" w:eastAsia="黑体"/>
          <w:b w:val="0"/>
          <w:sz w:val="24"/>
          <w:szCs w:val="24"/>
        </w:rPr>
        <w:t>四、项目详细报价</w:t>
      </w:r>
    </w:p>
    <w:p w14:paraId="7E5B24BC">
      <w:pPr>
        <w:tabs>
          <w:tab w:val="left" w:pos="720"/>
        </w:tabs>
        <w:ind w:firstLine="3132" w:firstLineChars="1300"/>
        <w:rPr>
          <w:rFonts w:hint="eastAsia"/>
          <w:b/>
          <w:sz w:val="24"/>
        </w:rPr>
      </w:pPr>
      <w:r>
        <w:rPr>
          <w:rFonts w:hint="eastAsia"/>
          <w:b/>
          <w:sz w:val="24"/>
        </w:rPr>
        <w:t>（一）分项报价表</w:t>
      </w:r>
    </w:p>
    <w:tbl>
      <w:tblPr>
        <w:tblStyle w:val="44"/>
        <w:tblpPr w:leftFromText="180" w:rightFromText="180" w:vertAnchor="text" w:horzAnchor="page" w:tblpX="1859" w:tblpY="607"/>
        <w:tblOverlap w:val="never"/>
        <w:tblW w:w="8216" w:type="dxa"/>
        <w:tblInd w:w="0" w:type="dxa"/>
        <w:tblLayout w:type="fixed"/>
        <w:tblCellMar>
          <w:top w:w="0" w:type="dxa"/>
          <w:left w:w="108" w:type="dxa"/>
          <w:bottom w:w="0" w:type="dxa"/>
          <w:right w:w="108" w:type="dxa"/>
        </w:tblCellMar>
      </w:tblPr>
      <w:tblGrid>
        <w:gridCol w:w="600"/>
        <w:gridCol w:w="935"/>
        <w:gridCol w:w="876"/>
        <w:gridCol w:w="908"/>
        <w:gridCol w:w="1443"/>
        <w:gridCol w:w="503"/>
        <w:gridCol w:w="503"/>
        <w:gridCol w:w="503"/>
        <w:gridCol w:w="503"/>
        <w:gridCol w:w="503"/>
        <w:gridCol w:w="939"/>
      </w:tblGrid>
      <w:tr w14:paraId="44F730C8">
        <w:tblPrEx>
          <w:tblCellMar>
            <w:top w:w="0" w:type="dxa"/>
            <w:left w:w="108" w:type="dxa"/>
            <w:bottom w:w="0" w:type="dxa"/>
            <w:right w:w="108" w:type="dxa"/>
          </w:tblCellMar>
        </w:tblPrEx>
        <w:trPr>
          <w:trHeight w:val="39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E306">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rPr>
              <w:t>序号</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2420">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名称</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A2CD">
            <w:pPr>
              <w:widowControl/>
              <w:jc w:val="center"/>
              <w:textAlignment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kern w:val="2"/>
                <w:sz w:val="21"/>
                <w:szCs w:val="21"/>
                <w:lang w:val="en-US" w:eastAsia="zh-CN" w:bidi="ar-SA"/>
              </w:rPr>
              <w:t>最小计量单位</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20BD">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预计采购数量</w:t>
            </w:r>
          </w:p>
        </w:tc>
        <w:tc>
          <w:tcPr>
            <w:tcW w:w="14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02EE0">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最小计量单位单价最高限价</w:t>
            </w:r>
          </w:p>
          <w:p w14:paraId="4449C3C1">
            <w:pPr>
              <w:widowControl/>
              <w:jc w:val="center"/>
              <w:textAlignment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（元）</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FE980">
            <w:pPr>
              <w:jc w:val="center"/>
              <w:rPr>
                <w:rFonts w:hint="eastAsia" w:ascii="宋体" w:hAnsi="宋体" w:eastAsia="宋体" w:cs="宋体"/>
                <w:b/>
                <w:bCs/>
                <w:color w:val="000000"/>
                <w:sz w:val="21"/>
                <w:szCs w:val="21"/>
                <w:lang w:val="en-US" w:eastAsia="zh-CN"/>
              </w:rPr>
            </w:pPr>
            <w:r>
              <w:rPr>
                <w:rFonts w:hint="eastAsia"/>
                <w:b/>
                <w:bCs/>
                <w:szCs w:val="21"/>
              </w:rPr>
              <w:t>品牌</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A6709">
            <w:pPr>
              <w:jc w:val="center"/>
              <w:rPr>
                <w:rFonts w:hint="eastAsia" w:ascii="宋体" w:hAnsi="宋体" w:eastAsia="宋体" w:cs="宋体"/>
                <w:b/>
                <w:bCs/>
                <w:color w:val="000000"/>
                <w:sz w:val="21"/>
                <w:szCs w:val="21"/>
                <w:lang w:val="en-US" w:eastAsia="zh-CN"/>
              </w:rPr>
            </w:pPr>
            <w:r>
              <w:rPr>
                <w:rFonts w:hint="eastAsia"/>
                <w:b/>
                <w:bCs/>
                <w:szCs w:val="21"/>
              </w:rPr>
              <w:t>规格/型号</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BC6B3">
            <w:pPr>
              <w:jc w:val="center"/>
              <w:rPr>
                <w:rFonts w:hint="eastAsia" w:ascii="宋体" w:hAnsi="宋体" w:eastAsia="宋体" w:cs="宋体"/>
                <w:b/>
                <w:bCs/>
                <w:color w:val="000000"/>
                <w:sz w:val="21"/>
                <w:szCs w:val="21"/>
                <w:lang w:val="en-US" w:eastAsia="zh-CN"/>
              </w:rPr>
            </w:pPr>
            <w:r>
              <w:rPr>
                <w:rFonts w:hint="eastAsia"/>
                <w:b/>
                <w:bCs/>
                <w:color w:val="auto"/>
                <w:szCs w:val="21"/>
              </w:rPr>
              <w:t>原产地</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1E713">
            <w:pPr>
              <w:jc w:val="center"/>
              <w:rPr>
                <w:rFonts w:hint="eastAsia" w:ascii="宋体" w:hAnsi="宋体" w:eastAsia="宋体" w:cs="宋体"/>
                <w:b/>
                <w:bCs/>
                <w:color w:val="000000"/>
                <w:sz w:val="21"/>
                <w:szCs w:val="21"/>
                <w:lang w:val="en-US" w:eastAsia="zh-CN"/>
              </w:rPr>
            </w:pPr>
            <w:r>
              <w:rPr>
                <w:rFonts w:hint="eastAsia"/>
                <w:b/>
                <w:bCs/>
                <w:szCs w:val="21"/>
              </w:rPr>
              <w:t>制造商名称</w:t>
            </w:r>
          </w:p>
        </w:tc>
        <w:tc>
          <w:tcPr>
            <w:tcW w:w="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438C">
            <w:pPr>
              <w:jc w:val="center"/>
              <w:rPr>
                <w:rFonts w:hint="eastAsia" w:ascii="宋体" w:hAnsi="宋体" w:eastAsia="宋体" w:cs="宋体"/>
                <w:b/>
                <w:bCs/>
                <w:color w:val="000000"/>
                <w:sz w:val="21"/>
                <w:szCs w:val="21"/>
                <w:lang w:val="en-US" w:eastAsia="zh-CN"/>
              </w:rPr>
            </w:pPr>
            <w:r>
              <w:rPr>
                <w:rFonts w:hint="eastAsia"/>
                <w:b/>
                <w:bCs/>
                <w:szCs w:val="21"/>
              </w:rPr>
              <w:t>单价(元)</w:t>
            </w:r>
          </w:p>
        </w:tc>
        <w:tc>
          <w:tcPr>
            <w:tcW w:w="9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6612D">
            <w:pPr>
              <w:jc w:val="center"/>
              <w:rPr>
                <w:rFonts w:hint="eastAsia" w:ascii="宋体" w:hAnsi="宋体" w:eastAsia="宋体" w:cs="宋体"/>
                <w:b/>
                <w:bCs/>
                <w:color w:val="000000"/>
                <w:sz w:val="21"/>
                <w:szCs w:val="21"/>
                <w:lang w:val="en-US" w:eastAsia="zh-CN"/>
              </w:rPr>
            </w:pPr>
            <w:r>
              <w:rPr>
                <w:rFonts w:hint="eastAsia"/>
                <w:b/>
                <w:bCs/>
                <w:szCs w:val="21"/>
              </w:rPr>
              <w:t>合价(元)</w:t>
            </w:r>
          </w:p>
        </w:tc>
      </w:tr>
      <w:tr w14:paraId="7E1D2898">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753D">
            <w:pPr>
              <w:widowControl/>
              <w:numPr>
                <w:ilvl w:val="0"/>
                <w:numId w:val="11"/>
              </w:numPr>
              <w:ind w:left="425" w:leftChars="0" w:hanging="425" w:firstLineChars="0"/>
              <w:jc w:val="center"/>
              <w:textAlignment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4DB4">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血常规五分类测定试剂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DF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21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100000</w:t>
            </w:r>
          </w:p>
          <w:p w14:paraId="761ADCE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B8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5.1657</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75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863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D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1E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1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9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876E4A">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6140">
            <w:pPr>
              <w:widowControl/>
              <w:numPr>
                <w:ilvl w:val="0"/>
                <w:numId w:val="11"/>
              </w:numPr>
              <w:ind w:left="425" w:leftChars="0" w:hanging="425" w:firstLineChars="0"/>
              <w:jc w:val="center"/>
              <w:textAlignment w:val="center"/>
              <w:rPr>
                <w:rFonts w:hint="eastAsia"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FECA">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网织红测定试剂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CA5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04B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800</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34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5.5738</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24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5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65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6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4F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2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9D7B47">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A28F">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01F8">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超敏C反应蛋白（hs-CRP）测定试剂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39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27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BA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10.1036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430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F3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70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66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49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9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098D3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CD44">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974C">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血清淀粉样蛋白A (SAA)测定试剂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97D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0E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C9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12.978</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2E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4F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9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F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31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9E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FDD2D0">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2560">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9928">
            <w:pPr>
              <w:keepNext w:val="0"/>
              <w:keepLines w:val="0"/>
              <w:widowControl/>
              <w:suppressLineNumbers w:val="0"/>
              <w:jc w:val="center"/>
              <w:textAlignment w:val="top"/>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配套检测设备（血球）</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8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5B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0"/>
                <w:sz w:val="21"/>
                <w:szCs w:val="21"/>
                <w:u w:val="none"/>
                <w:lang w:val="en-US" w:eastAsia="zh-CN" w:bidi="ar"/>
              </w:rPr>
              <w:t>套</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1B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E4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1B7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333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8B7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F55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334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5209A226">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E7F7">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DE3A">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血球配套校准品、质控品及其他耗材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38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3B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1D8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C9E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C84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FF5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937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C3D1">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6F9A1FE8">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6983">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91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钙（Ca）测定试剂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6A7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CA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7BF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0.1006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A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C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DA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1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C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F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DD02A8">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9F56">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17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无机磷（P）测定试剂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6F4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14C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85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0.0912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C8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2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76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D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1D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1A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F3368B">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E52E">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357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尿酸（UA）测定试剂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D1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99F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094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0.1910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DA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00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FD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99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6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C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856231">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F5B3">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E1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尿素（UREA）测定试剂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657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DF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65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0.2027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3A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74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B06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1F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DC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A0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243A6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6475">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BD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肌酐（CREA）测定试剂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01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0FB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B6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1.1668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6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C1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BA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C7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4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90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308343">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14A43">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04D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二氧化碳（CO2）测定试剂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13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5C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0E8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0.9676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5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0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B0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9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0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B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DEC290">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9BC4">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B85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镁（Mg）测定试剂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CCA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EB3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95</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4AA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0.1416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D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A5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FC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00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9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DF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7EE3C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3E10">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AC2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肌酸激酶（CK）测定试剂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7A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B2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7E2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0.9635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19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A1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D6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1B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9B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26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F3C00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79A7">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37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乳酸脱氢酶（LDH）测定试剂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3F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28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46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0.1528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47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7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7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7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B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FB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92C27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F962">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92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总蛋白（TP）测定试剂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FA4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D2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02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0.0449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4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3C6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5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BA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1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A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1ECC7">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7CDB">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CB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白蛋白（ALB）测定试剂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3D4C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89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25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0.0320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1E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D4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B2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5A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92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8C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721E16">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F529">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9F7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β2-微球蛋白（β2-MG）测定试剂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10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F0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B7E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5.3257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0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29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6A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F6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1E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BD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46B22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D2EA">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24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丙氨酸氨基转移酶（ALT）测定试剂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088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627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2D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0.0789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B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2F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6C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DA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5C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E6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03EE36">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8C93">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9F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天门冬氨酸氨基转移酶（AST）测定试剂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6A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2A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B7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0.0794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9E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DD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51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DB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2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5F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ABADC0">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7ECE">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A8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葡萄糖（Glu）测定试剂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AA6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8EE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E9E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0.2818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8F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8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CB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C2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22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B9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2C70C2">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722A">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1F7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α-淀粉酶（α-AMY）测定试剂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59A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0A0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D5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2.2429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50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64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AA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43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A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1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E0A0B2">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E2DD">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E2D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脂肪酶（LIP）测定试剂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64E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58D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4000</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D5E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5.8608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3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6F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A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64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28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AD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70D3C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C9C5">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6E5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肌酸激酶MB型同工酶（CK-MB）测定试剂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73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751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6000</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5F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2.9202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F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3C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B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A9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E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B6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4A717">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ACFF">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1A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β-羟丁酸（β-HB）测定试剂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54A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9DF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B9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4.0040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4C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8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1D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F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80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82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B5A1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ABC3">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AF9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尿/脑脊液总蛋白（TPUC）测定试剂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9F3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86E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w:t>
            </w:r>
            <w:r>
              <w:rPr>
                <w:rFonts w:hint="eastAsia" w:ascii="宋体" w:hAnsi="宋体" w:cs="宋体"/>
                <w:i w:val="0"/>
                <w:iCs w:val="0"/>
                <w:color w:val="000000"/>
                <w:kern w:val="2"/>
                <w:sz w:val="21"/>
                <w:szCs w:val="21"/>
                <w:u w:val="none"/>
                <w:lang w:val="en-US" w:eastAsia="zh-CN" w:bidi="ar-SA"/>
              </w:rPr>
              <w:t>0</w:t>
            </w:r>
            <w:r>
              <w:rPr>
                <w:rFonts w:hint="eastAsia" w:ascii="宋体" w:hAnsi="宋体" w:eastAsia="宋体" w:cs="宋体"/>
                <w:i w:val="0"/>
                <w:iCs w:val="0"/>
                <w:color w:val="000000"/>
                <w:kern w:val="2"/>
                <w:sz w:val="21"/>
                <w:szCs w:val="21"/>
                <w:u w:val="none"/>
                <w:lang w:val="en-US" w:eastAsia="zh-CN" w:bidi="ar-SA"/>
              </w:rPr>
              <w:t>0</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9D0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0.2831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E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8D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2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FF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07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A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681C7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44CE">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70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胆碱酯酶（CHE）测定试剂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C8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440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300</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EF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0.2866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8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F4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9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F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A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59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BFAF18">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FDE2">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012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总胆红素（T-Bil）测定试剂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8C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D8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0000</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7A2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0.1289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72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48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46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41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6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55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A006D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BB3A">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04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直接胆红素（D-Bil）测定试剂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E2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8A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0000</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F6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0.1480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C1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E3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97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F0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FA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20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A80611">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D695">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81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α-羟丁酸脱氢酶（α-HBDH）测定试剂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467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42C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00</w:t>
            </w:r>
            <w:r>
              <w:rPr>
                <w:rFonts w:hint="eastAsia" w:ascii="宋体" w:hAnsi="宋体" w:eastAsia="宋体" w:cs="宋体"/>
                <w:i w:val="0"/>
                <w:iCs w:val="0"/>
                <w:color w:val="000000"/>
                <w:kern w:val="0"/>
                <w:sz w:val="21"/>
                <w:szCs w:val="21"/>
                <w:u w:val="none"/>
                <w:lang w:val="en-US" w:eastAsia="zh-CN" w:bidi="ar"/>
              </w:rPr>
              <w:t>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9DD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0.1768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0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D2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80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ED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C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4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5D79F6">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2952">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432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配套检测设备（生化）</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281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C75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1套</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A12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FA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EC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B6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18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7B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C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9CED05">
        <w:tblPrEx>
          <w:tblCellMar>
            <w:top w:w="0" w:type="dxa"/>
            <w:left w:w="108" w:type="dxa"/>
            <w:bottom w:w="0" w:type="dxa"/>
            <w:right w:w="108" w:type="dxa"/>
          </w:tblCellMar>
        </w:tblPrEx>
        <w:trPr>
          <w:trHeight w:val="1864"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C17D">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B6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生化配套校准品、质控品及其他耗材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F12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07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791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76EB">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FBFB">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C3F6">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37D0">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A49F">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6CDC">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p>
        </w:tc>
      </w:tr>
      <w:tr w14:paraId="29BB14AA">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30CF">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FF9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A1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22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75FC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78.6240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6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63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140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9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22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B7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C88A91">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A019">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AB9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肌酸激酶同工酶MB（CK-MB）测定试剂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0F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31B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51C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14.6160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B0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9A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D0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9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8E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4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53B88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6FAE6">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D71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976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93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E5D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30.6075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0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CB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92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D2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B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A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B50E3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74F5">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41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肌红蛋白（MYO）测定试剂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E0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B1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AD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21.1680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0A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F3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61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CE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4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6E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A5A713">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466E">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6E4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降钙素原（PCT）测定试剂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94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4E12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AC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34.6500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F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7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5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C7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71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2A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36CFCD">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83B3">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2E5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白介素6（IL-6）测定试剂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98D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49A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48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17.7477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9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A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A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C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4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6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274F0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3832">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3FA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总 β 人绒毛膜促性腺激素（Total β HCG）测定试剂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C0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F7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3E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10.5000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4A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D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D2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B4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7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06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442733">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D7F2">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D6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孕酮（PROG）测定试剂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FB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70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C7E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12.6000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8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D4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4DC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D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0B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B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394EE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A9F8">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323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雌二醇（E2）测定试剂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B9F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3F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F8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12.6000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C3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1F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F4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A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FA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2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3F8FB2">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99AF">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3FC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乙型肝炎病毒表面抗原（HBsAg）测定试剂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9B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71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94B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7.0298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6C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54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55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6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07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2C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D8E16">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B365">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146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乙型肝炎病毒表面抗体（Anti-HBs）测定试剂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9B53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90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A7E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7.0298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8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7F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EA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DC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D8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90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79132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65C8">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F2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乙型肝炎病毒e抗原(HBeAg)测定试剂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863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60F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014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7.0875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E7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F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C4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04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9B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99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0750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3991">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E36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乙型肝炎病毒e抗体（Anti-HBe）测定试剂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FA8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176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93E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7.0298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76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95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79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77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1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D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07493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A3FB">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AF1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乙型肝炎病毒核心抗体（Anti-HBc）测定试剂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534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457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D4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7.0298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E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94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0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0B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D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4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BADF4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AA16">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C4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丙型肝炎病毒抗体（Anti-HCV）测定试剂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FE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96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E17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16.9050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54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79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4F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F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B4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2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FDB45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1790">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CFC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梅毒螺旋体抗体（Anti-TP）测定试剂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B76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4CDF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929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13.0410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9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B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38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03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73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C0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3EA396">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F808">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99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人类免疫缺陷病毒抗原抗体（HIV）测定试剂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B71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549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DC8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15.7500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08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E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0C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C3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FF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51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C7FC9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1500">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946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配套检测设备（发光）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BA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FA9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0"/>
                <w:sz w:val="21"/>
                <w:szCs w:val="21"/>
                <w:u w:val="none"/>
                <w:lang w:val="en-US" w:eastAsia="zh-CN" w:bidi="ar"/>
              </w:rPr>
              <w:t>套</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2D9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B8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2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A6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15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0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3E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C5CE1F">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5994">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8F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发光配套校准品、质控品及其他耗材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F5D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F54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38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094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DCA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4A9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A63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EE5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BBC9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1FF2717E">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53A9">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CB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凝血酶原时间（PT）测定试剂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1D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535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96B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1.5960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9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4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A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D2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50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4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12BB41">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0555">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95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活化部分凝血活酶时间（APTT）测定试剂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D8E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8D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966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1.4175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8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54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4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D3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64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F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E40F32">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16F5">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424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纤维蛋白原（FIB）测定试剂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644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5DF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F43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2.5856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B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B0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5B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63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D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E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4E7019">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216A">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EA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凝血酶时间（TT）测定试剂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05C6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7F7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FE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1.6433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A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E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8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2B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E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8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FDCD75">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E544">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529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D-二聚体（D-Dimer)测定试剂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423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69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5316</w:t>
            </w:r>
            <w:r>
              <w:rPr>
                <w:rFonts w:hint="eastAsia" w:ascii="宋体" w:hAnsi="宋体" w:eastAsia="宋体" w:cs="宋体"/>
                <w:i w:val="0"/>
                <w:iCs w:val="0"/>
                <w:color w:val="000000"/>
                <w:kern w:val="0"/>
                <w:sz w:val="21"/>
                <w:szCs w:val="21"/>
                <w:u w:val="none"/>
                <w:lang w:val="en-US" w:eastAsia="zh-CN" w:bidi="ar"/>
              </w:rPr>
              <w:t>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64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27.1600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1C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8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0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4A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92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0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1D6A74">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1ED2">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5C9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纤维蛋白（原）降解产物（FDP）测定试剂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2D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66B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6F2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16.1000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EB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33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60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A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83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8F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A614D">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9AA56">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5B8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抗凝血酶III（AT III）测定试剂</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2C6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人份</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2C0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2000人份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1A7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16.0650 </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18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36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BD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4C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1E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33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D5105D">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44E7">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561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配套检测设备（凝血）</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4A6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3D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0"/>
                <w:sz w:val="21"/>
                <w:szCs w:val="21"/>
                <w:u w:val="none"/>
                <w:lang w:val="en-US" w:eastAsia="zh-CN" w:bidi="ar"/>
              </w:rPr>
              <w:t>套</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DF7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1500</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18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70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0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99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FF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0D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FE7D0D">
        <w:tblPrEx>
          <w:tblCellMar>
            <w:top w:w="0" w:type="dxa"/>
            <w:left w:w="108" w:type="dxa"/>
            <w:bottom w:w="0" w:type="dxa"/>
            <w:right w:w="108" w:type="dxa"/>
          </w:tblCellMar>
        </w:tblPrEx>
        <w:trPr>
          <w:trHeight w:val="416"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7DEB">
            <w:pPr>
              <w:numPr>
                <w:ilvl w:val="0"/>
                <w:numId w:val="11"/>
              </w:numPr>
              <w:ind w:left="425" w:leftChars="0" w:hanging="425" w:firstLineChars="0"/>
              <w:jc w:val="center"/>
              <w:rPr>
                <w:rFonts w:hint="eastAsia" w:ascii="宋体" w:hAnsi="宋体" w:eastAsia="宋体" w:cs="宋体"/>
                <w:color w:val="000000"/>
                <w:sz w:val="21"/>
                <w:szCs w:val="21"/>
                <w:lang w:val="en-US" w:eastAsia="zh-CN"/>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CC4A">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凝血配套校准品、质控品及其他耗材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030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740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A4E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58B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A3C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D32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D91F">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764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7AB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r w14:paraId="2E57EEDA">
        <w:tblPrEx>
          <w:tblCellMar>
            <w:top w:w="0" w:type="dxa"/>
            <w:left w:w="108" w:type="dxa"/>
            <w:bottom w:w="0" w:type="dxa"/>
            <w:right w:w="108" w:type="dxa"/>
          </w:tblCellMar>
        </w:tblPrEx>
        <w:trPr>
          <w:trHeight w:val="416" w:hRule="atLeast"/>
        </w:trPr>
        <w:tc>
          <w:tcPr>
            <w:tcW w:w="821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F4B6">
            <w:pPr>
              <w:jc w:val="both"/>
              <w:rPr>
                <w:rFonts w:hint="eastAsia" w:ascii="宋体" w:hAnsi="宋体" w:cs="宋体" w:eastAsia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color w:val="FF0000"/>
                <w:sz w:val="21"/>
                <w:szCs w:val="21"/>
              </w:rPr>
              <w:t>预算限额（元）</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Cs/>
                <w:color w:val="FF0000"/>
                <w:sz w:val="21"/>
                <w:szCs w:val="21"/>
                <w:lang w:val="en-US" w:eastAsia="zh-CN"/>
              </w:rPr>
              <w:t>6,536,000元</w:t>
            </w:r>
          </w:p>
        </w:tc>
      </w:tr>
      <w:tr w14:paraId="1A583E6D">
        <w:tblPrEx>
          <w:tblCellMar>
            <w:top w:w="0" w:type="dxa"/>
            <w:left w:w="108" w:type="dxa"/>
            <w:bottom w:w="0" w:type="dxa"/>
            <w:right w:w="108" w:type="dxa"/>
          </w:tblCellMar>
        </w:tblPrEx>
        <w:trPr>
          <w:trHeight w:val="416" w:hRule="atLeast"/>
        </w:trPr>
        <w:tc>
          <w:tcPr>
            <w:tcW w:w="821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ECAC">
            <w:pPr>
              <w:jc w:val="both"/>
              <w:rPr>
                <w:rFonts w:hint="eastAsia"/>
                <w:bCs/>
                <w:sz w:val="18"/>
                <w:szCs w:val="18"/>
              </w:rPr>
            </w:pPr>
            <w:r>
              <w:rPr>
                <w:rFonts w:hint="eastAsia"/>
                <w:bCs/>
                <w:sz w:val="18"/>
                <w:szCs w:val="18"/>
              </w:rPr>
              <w:t>合计（即投标总价；币种：人民币；单位：元</w:t>
            </w:r>
            <w:r>
              <w:rPr>
                <w:rFonts w:hint="eastAsia"/>
                <w:bCs/>
                <w:sz w:val="18"/>
                <w:szCs w:val="18"/>
                <w:lang w:eastAsia="zh-CN"/>
              </w:rPr>
              <w:t>；</w:t>
            </w:r>
            <w:r>
              <w:rPr>
                <w:rFonts w:hint="eastAsia" w:ascii="Times New Roman" w:eastAsia="宋体"/>
                <w:highlight w:val="yellow"/>
                <w:lang w:val="en-US" w:eastAsia="zh-CN"/>
              </w:rPr>
              <w:t>只需填写</w:t>
            </w:r>
            <w:r>
              <w:rPr>
                <w:rFonts w:hint="eastAsia" w:eastAsia="宋体"/>
                <w:highlight w:val="yellow"/>
                <w:lang w:eastAsia="zh-CN"/>
              </w:rPr>
              <w:t>“二、货物清单明细”中的序号1至4、序号7至30、序号33至49、序号52至58的货物（共52项货物）</w:t>
            </w:r>
            <w:r>
              <w:rPr>
                <w:rFonts w:hint="eastAsia" w:ascii="Times New Roman" w:eastAsia="宋体"/>
                <w:highlight w:val="yellow"/>
                <w:lang w:val="en-US" w:eastAsia="zh-CN"/>
              </w:rPr>
              <w:t>的</w:t>
            </w:r>
            <w:r>
              <w:rPr>
                <w:rFonts w:hint="eastAsia" w:eastAsia="宋体"/>
                <w:highlight w:val="yellow"/>
                <w:lang w:eastAsia="zh-CN"/>
              </w:rPr>
              <w:t>投标总价</w:t>
            </w:r>
            <w:r>
              <w:rPr>
                <w:rFonts w:hint="eastAsia"/>
                <w:bCs/>
                <w:sz w:val="18"/>
                <w:szCs w:val="18"/>
              </w:rPr>
              <w:t>） 小写：            大写：</w:t>
            </w:r>
          </w:p>
          <w:p w14:paraId="384EAB9C">
            <w:pPr>
              <w:jc w:val="both"/>
              <w:rPr>
                <w:rFonts w:hint="eastAsia"/>
                <w:bCs/>
                <w:sz w:val="18"/>
                <w:szCs w:val="18"/>
                <w:lang w:val="en-US" w:eastAsia="zh-CN"/>
              </w:rPr>
            </w:pPr>
            <w:r>
              <w:rPr>
                <w:rFonts w:hint="eastAsia"/>
                <w:bCs/>
                <w:sz w:val="18"/>
                <w:szCs w:val="18"/>
                <w:highlight w:val="yellow"/>
                <w:lang w:val="en-US" w:eastAsia="zh-CN"/>
              </w:rPr>
              <w:t>投标人所报价格为含税、配送商费用等的全包价。投标人按“二、货物清单明细”中的序号1至4、序号7至30、序号33至49、序号52至58的货物（共52项货物）参与价格分评审，参与评分的货物以“预计采购数量”乘以“最小计量单位单价最高限价（元）”作为投标总价进行价格分评审。</w:t>
            </w:r>
          </w:p>
        </w:tc>
      </w:tr>
    </w:tbl>
    <w:p w14:paraId="2AC3173D">
      <w:pPr>
        <w:rPr>
          <w:rFonts w:hint="eastAsia" w:ascii="宋体" w:hAnsi="宋体"/>
          <w:b/>
          <w:sz w:val="24"/>
        </w:rPr>
      </w:pPr>
    </w:p>
    <w:p w14:paraId="13163A59">
      <w:pPr>
        <w:ind w:firstLine="482" w:firstLineChars="200"/>
        <w:rPr>
          <w:rFonts w:hint="eastAsia" w:ascii="宋体" w:hAnsi="宋体"/>
          <w:b/>
          <w:sz w:val="24"/>
        </w:rPr>
      </w:pPr>
      <w:r>
        <w:rPr>
          <w:rFonts w:hint="eastAsia" w:ascii="宋体" w:hAnsi="宋体"/>
          <w:b/>
          <w:sz w:val="24"/>
        </w:rPr>
        <w:t>注：1.本表可按同样格式扩展。</w:t>
      </w:r>
    </w:p>
    <w:p w14:paraId="612EC58A">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53DADC0C">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60"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60"/>
    </w:p>
    <w:p w14:paraId="5887DFA4">
      <w:pPr>
        <w:ind w:firstLine="472" w:firstLineChars="196"/>
        <w:rPr>
          <w:rFonts w:hint="eastAsia" w:ascii="宋体" w:hAnsi="宋体"/>
          <w:b/>
          <w:sz w:val="24"/>
        </w:rPr>
      </w:pPr>
      <w:r>
        <w:rPr>
          <w:rFonts w:ascii="宋体" w:hAnsi="宋体"/>
          <w:b/>
          <w:sz w:val="24"/>
        </w:rPr>
        <w:t>3</w:t>
      </w:r>
      <w:r>
        <w:rPr>
          <w:rFonts w:hint="eastAsia" w:ascii="宋体" w:hAnsi="宋体"/>
          <w:b/>
          <w:sz w:val="24"/>
        </w:rPr>
        <w:t>.“原产地”是指货物的实际生产加工地，非品牌所在地</w:t>
      </w:r>
    </w:p>
    <w:p w14:paraId="6E1D1425">
      <w:pPr>
        <w:ind w:firstLine="472" w:firstLineChars="196"/>
        <w:rPr>
          <w:rFonts w:hint="eastAsia" w:ascii="宋体" w:hAnsi="宋体"/>
          <w:b/>
          <w:sz w:val="24"/>
        </w:rPr>
      </w:pPr>
      <w:r>
        <w:rPr>
          <w:rFonts w:ascii="宋体" w:hAnsi="宋体"/>
          <w:b/>
          <w:sz w:val="24"/>
        </w:rPr>
        <w:t>4</w:t>
      </w:r>
      <w:r>
        <w:rPr>
          <w:rFonts w:hint="eastAsia" w:ascii="宋体" w:hAnsi="宋体"/>
          <w:b/>
          <w:sz w:val="24"/>
        </w:rPr>
        <w:t>.所投货物均应填写制造商名称，“制造商”是指产品品牌厂商，产品代工制造的，应填写接受委托生产制造的制造商。</w:t>
      </w:r>
    </w:p>
    <w:p w14:paraId="71588703">
      <w:pPr>
        <w:ind w:firstLine="482" w:firstLineChars="200"/>
        <w:rPr>
          <w:rFonts w:hint="eastAsia" w:ascii="宋体" w:hAnsi="宋体"/>
          <w:b/>
          <w:sz w:val="24"/>
        </w:rPr>
      </w:pPr>
      <w:r>
        <w:rPr>
          <w:rFonts w:ascii="宋体" w:hAnsi="宋体"/>
          <w:b/>
          <w:sz w:val="24"/>
        </w:rPr>
        <w:t>5</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7442582D">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.所有价格应按“招标文件”中规定的货币单位填写；投标总价和项目报价表中单个采购预算条目报价均不得超过对应的限额，否则将导致投标无效。</w:t>
      </w:r>
    </w:p>
    <w:p w14:paraId="0ED65789">
      <w:pPr>
        <w:ind w:firstLine="482" w:firstLineChars="200"/>
        <w:rPr>
          <w:rFonts w:hint="eastAsia" w:ascii="宋体" w:hAnsi="宋体"/>
          <w:b/>
          <w:color w:val="FF0000"/>
          <w:sz w:val="24"/>
        </w:rPr>
      </w:pPr>
    </w:p>
    <w:p w14:paraId="329F4449">
      <w:pPr>
        <w:ind w:firstLine="482" w:firstLineChars="200"/>
        <w:rPr>
          <w:rFonts w:hint="eastAsia" w:ascii="宋体" w:hAnsi="宋体"/>
          <w:b/>
          <w:color w:val="FF0000"/>
          <w:sz w:val="24"/>
        </w:rPr>
      </w:pPr>
    </w:p>
    <w:p w14:paraId="07E2A04E">
      <w:pPr>
        <w:tabs>
          <w:tab w:val="left" w:pos="720"/>
        </w:tabs>
        <w:jc w:val="center"/>
        <w:rPr>
          <w:b/>
          <w:sz w:val="24"/>
        </w:rPr>
      </w:pPr>
      <w:r>
        <w:rPr>
          <w:rFonts w:hint="eastAsia"/>
          <w:b/>
          <w:sz w:val="24"/>
        </w:rPr>
        <w:t>（二）核心产品品牌</w:t>
      </w:r>
    </w:p>
    <w:p w14:paraId="29B258E4">
      <w:pPr>
        <w:ind w:firstLine="482" w:firstLineChars="200"/>
        <w:rPr>
          <w:rFonts w:hint="eastAsia" w:ascii="宋体" w:hAnsi="宋体"/>
          <w:b/>
          <w:color w:val="FF0000"/>
          <w:sz w:val="24"/>
        </w:rPr>
      </w:pPr>
    </w:p>
    <w:p w14:paraId="557C4B37">
      <w:pPr>
        <w:ind w:firstLine="482" w:firstLineChars="200"/>
        <w:rPr>
          <w:rFonts w:hint="eastAsia" w:ascii="宋体" w:hAnsi="宋体"/>
          <w:b/>
          <w:sz w:val="24"/>
        </w:rPr>
      </w:pPr>
      <w:r>
        <w:rPr>
          <w:rFonts w:hint="eastAsia"/>
          <w:b/>
          <w:sz w:val="24"/>
        </w:rPr>
        <w:t>我单位所投核心产品</w:t>
      </w:r>
      <w:r>
        <w:rPr>
          <w:rFonts w:hint="eastAsia"/>
          <w:b/>
          <w:sz w:val="24"/>
          <w:u w:val="single"/>
        </w:rPr>
        <w:t xml:space="preserve">               </w:t>
      </w:r>
      <w:r>
        <w:rPr>
          <w:rFonts w:hint="eastAsia"/>
          <w:b/>
          <w:sz w:val="24"/>
        </w:rPr>
        <w:t>的品牌为：</w:t>
      </w:r>
      <w:r>
        <w:rPr>
          <w:rFonts w:hint="eastAsia"/>
          <w:b/>
          <w:sz w:val="24"/>
          <w:u w:val="single"/>
        </w:rPr>
        <w:t xml:space="preserve">               </w:t>
      </w:r>
      <w:r>
        <w:rPr>
          <w:rFonts w:hint="eastAsia"/>
          <w:b/>
          <w:sz w:val="24"/>
        </w:rPr>
        <w:t>。</w:t>
      </w:r>
    </w:p>
    <w:p w14:paraId="4D66B8E3">
      <w:pPr>
        <w:ind w:firstLine="482" w:firstLineChars="200"/>
        <w:rPr>
          <w:rFonts w:hint="eastAsia" w:ascii="宋体" w:hAnsi="宋体"/>
          <w:b/>
          <w:sz w:val="24"/>
        </w:rPr>
      </w:pPr>
      <w:r>
        <w:rPr>
          <w:rFonts w:hint="eastAsia"/>
          <w:b/>
          <w:sz w:val="24"/>
        </w:rPr>
        <w:t>我单位所投核心产品</w:t>
      </w:r>
      <w:r>
        <w:rPr>
          <w:rFonts w:hint="eastAsia"/>
          <w:b/>
          <w:sz w:val="24"/>
          <w:u w:val="single"/>
        </w:rPr>
        <w:t xml:space="preserve">               </w:t>
      </w:r>
      <w:r>
        <w:rPr>
          <w:rFonts w:hint="eastAsia"/>
          <w:b/>
          <w:sz w:val="24"/>
        </w:rPr>
        <w:t>的品牌为：</w:t>
      </w:r>
      <w:r>
        <w:rPr>
          <w:rFonts w:hint="eastAsia"/>
          <w:b/>
          <w:sz w:val="24"/>
          <w:u w:val="single"/>
        </w:rPr>
        <w:t xml:space="preserve">               </w:t>
      </w:r>
      <w:r>
        <w:rPr>
          <w:rFonts w:hint="eastAsia"/>
          <w:b/>
          <w:sz w:val="24"/>
        </w:rPr>
        <w:t>。</w:t>
      </w:r>
    </w:p>
    <w:p w14:paraId="2C219B5D">
      <w:pPr>
        <w:ind w:firstLine="482" w:firstLineChars="200"/>
        <w:rPr>
          <w:rFonts w:hint="eastAsia" w:ascii="宋体" w:hAnsi="宋体"/>
          <w:b/>
          <w:sz w:val="24"/>
        </w:rPr>
      </w:pPr>
      <w:r>
        <w:rPr>
          <w:rFonts w:hint="eastAsia"/>
          <w:b/>
          <w:sz w:val="24"/>
        </w:rPr>
        <w:t>我单位所投核心产品</w:t>
      </w:r>
      <w:r>
        <w:rPr>
          <w:rFonts w:hint="eastAsia"/>
          <w:b/>
          <w:sz w:val="24"/>
          <w:u w:val="single"/>
        </w:rPr>
        <w:t xml:space="preserve">               </w:t>
      </w:r>
      <w:r>
        <w:rPr>
          <w:rFonts w:hint="eastAsia"/>
          <w:b/>
          <w:sz w:val="24"/>
        </w:rPr>
        <w:t>的品牌为：</w:t>
      </w:r>
      <w:r>
        <w:rPr>
          <w:rFonts w:hint="eastAsia"/>
          <w:b/>
          <w:sz w:val="24"/>
          <w:u w:val="single"/>
        </w:rPr>
        <w:t xml:space="preserve">               </w:t>
      </w:r>
      <w:r>
        <w:rPr>
          <w:rFonts w:hint="eastAsia"/>
          <w:b/>
          <w:sz w:val="24"/>
        </w:rPr>
        <w:t>。</w:t>
      </w:r>
    </w:p>
    <w:p w14:paraId="65F1C643">
      <w:pPr>
        <w:ind w:firstLine="482" w:firstLineChars="200"/>
        <w:rPr>
          <w:rFonts w:hint="eastAsia" w:ascii="宋体" w:hAnsi="宋体" w:eastAsia="宋体"/>
          <w:b/>
          <w:color w:val="FF0000"/>
          <w:sz w:val="24"/>
          <w:lang w:val="en-US" w:eastAsia="zh-CN"/>
        </w:rPr>
      </w:pPr>
      <w:r>
        <w:rPr>
          <w:rFonts w:hint="eastAsia" w:ascii="宋体" w:hAnsi="宋体"/>
          <w:b/>
          <w:color w:val="FF0000"/>
          <w:sz w:val="24"/>
          <w:lang w:val="en-US" w:eastAsia="zh-CN"/>
        </w:rPr>
        <w:t>……</w:t>
      </w:r>
    </w:p>
    <w:p w14:paraId="3CC714A2">
      <w:pPr>
        <w:ind w:firstLine="480" w:firstLineChars="200"/>
        <w:rPr>
          <w:rFonts w:hint="eastAsia" w:ascii="宋体" w:hAnsi="宋体"/>
          <w:sz w:val="24"/>
        </w:rPr>
      </w:pPr>
      <w:r>
        <w:rPr>
          <w:rFonts w:hint="eastAsia" w:ascii="宋体" w:hAnsi="宋体"/>
          <w:sz w:val="24"/>
        </w:rPr>
        <w:t>备注：可按同样格式扩展</w:t>
      </w:r>
      <w:r>
        <w:rPr>
          <w:rFonts w:hint="eastAsia" w:ascii="宋体" w:hAnsi="宋体"/>
          <w:sz w:val="24"/>
          <w:lang w:val="en-US" w:eastAsia="zh-CN"/>
        </w:rPr>
        <w:t>表述</w:t>
      </w:r>
      <w:r>
        <w:rPr>
          <w:rFonts w:hint="eastAsia" w:ascii="宋体" w:hAnsi="宋体"/>
          <w:sz w:val="24"/>
        </w:rPr>
        <w:t>。单一产品采购项目，核心产品即为该单一产品。</w:t>
      </w:r>
    </w:p>
    <w:p w14:paraId="1D3FE3C4">
      <w:pPr>
        <w:ind w:firstLine="482" w:firstLineChars="200"/>
        <w:rPr>
          <w:rFonts w:hint="eastAsia" w:ascii="宋体" w:hAnsi="宋体"/>
          <w:b/>
          <w:color w:val="FF0000"/>
          <w:sz w:val="24"/>
        </w:rPr>
      </w:pPr>
    </w:p>
    <w:p w14:paraId="5CF43CFB">
      <w:pPr>
        <w:ind w:firstLine="482" w:firstLineChars="200"/>
        <w:rPr>
          <w:rFonts w:hint="eastAsia" w:ascii="宋体" w:hAnsi="宋体"/>
          <w:b/>
          <w:color w:val="FF0000"/>
          <w:sz w:val="24"/>
        </w:rPr>
      </w:pPr>
    </w:p>
    <w:p w14:paraId="62A84F37">
      <w:pPr>
        <w:rPr>
          <w:b/>
          <w:sz w:val="24"/>
        </w:rPr>
      </w:pPr>
    </w:p>
    <w:p w14:paraId="75595B0A">
      <w:pPr>
        <w:tabs>
          <w:tab w:val="left" w:pos="720"/>
        </w:tabs>
        <w:ind w:firstLine="1928" w:firstLineChars="800"/>
        <w:rPr>
          <w:b/>
          <w:sz w:val="24"/>
        </w:rPr>
      </w:pPr>
      <w:r>
        <w:rPr>
          <w:rFonts w:hint="eastAsia"/>
          <w:b/>
          <w:sz w:val="24"/>
        </w:rPr>
        <w:t>（三）可选配件报价清单（不包括在总报价内）</w:t>
      </w:r>
    </w:p>
    <w:p w14:paraId="6FFA06D1">
      <w:pPr>
        <w:ind w:firstLine="422" w:firstLineChars="200"/>
        <w:rPr>
          <w:rFonts w:hint="eastAsia" w:hAnsi="宋体"/>
          <w:b/>
          <w:bCs/>
          <w:szCs w:val="21"/>
        </w:rPr>
      </w:pPr>
      <w:r>
        <w:rPr>
          <w:rFonts w:hint="eastAsia" w:hAnsi="宋体"/>
          <w:b/>
          <w:bCs/>
          <w:szCs w:val="21"/>
        </w:rPr>
        <w:t>注：格式可以参照《（一）分项报价表》表格，并提供相应的品牌/规格/型号、原产地、制造商信息（没有品牌、型号的，用“定制”描述即可）、单价等详细信息</w:t>
      </w:r>
    </w:p>
    <w:p w14:paraId="5718B271">
      <w:pPr>
        <w:ind w:firstLine="482" w:firstLineChars="200"/>
        <w:rPr>
          <w:rFonts w:hint="eastAsia" w:hAnsi="宋体"/>
          <w:b/>
          <w:bCs/>
          <w:sz w:val="24"/>
        </w:rPr>
      </w:pPr>
    </w:p>
    <w:p w14:paraId="6FA7B602">
      <w:pPr>
        <w:ind w:firstLine="482" w:firstLineChars="200"/>
        <w:rPr>
          <w:rFonts w:hint="eastAsia" w:hAnsi="宋体"/>
          <w:b/>
          <w:bCs/>
          <w:sz w:val="24"/>
        </w:rPr>
      </w:pPr>
    </w:p>
    <w:p w14:paraId="1AC9BD0B">
      <w:pPr>
        <w:tabs>
          <w:tab w:val="left" w:pos="720"/>
        </w:tabs>
        <w:jc w:val="center"/>
        <w:rPr>
          <w:b/>
          <w:sz w:val="24"/>
        </w:rPr>
      </w:pPr>
      <w:r>
        <w:rPr>
          <w:rFonts w:hint="eastAsia"/>
          <w:b/>
          <w:sz w:val="24"/>
        </w:rPr>
        <w:t>（四）</w:t>
      </w:r>
      <w:bookmarkStart w:id="61" w:name="_Hlk72073235"/>
      <w:r>
        <w:rPr>
          <w:rFonts w:hint="eastAsia"/>
          <w:b/>
          <w:sz w:val="24"/>
        </w:rPr>
        <w:t>投标人认为需要涉及的其他内容报价清单</w:t>
      </w:r>
      <w:bookmarkEnd w:id="61"/>
    </w:p>
    <w:p w14:paraId="64D29C09">
      <w:pPr>
        <w:rPr>
          <w:b/>
          <w:bCs/>
        </w:rPr>
      </w:pPr>
    </w:p>
    <w:bookmarkEnd w:id="59"/>
    <w:p w14:paraId="7C1F26D2">
      <w:r>
        <w:br w:type="page"/>
      </w:r>
    </w:p>
    <w:p w14:paraId="38A2D639">
      <w:pPr>
        <w:snapToGrid w:val="0"/>
        <w:jc w:val="center"/>
        <w:outlineLvl w:val="2"/>
        <w:rPr>
          <w:rFonts w:hint="eastAsia" w:ascii="黑体" w:hAnsi="宋体" w:eastAsia="黑体"/>
          <w:bCs/>
          <w:sz w:val="24"/>
          <w:szCs w:val="32"/>
        </w:rPr>
      </w:pPr>
      <w:bookmarkStart w:id="62" w:name="_Hlk72260530"/>
      <w:r>
        <w:rPr>
          <w:rFonts w:hint="eastAsia" w:ascii="黑体" w:hAnsi="宋体" w:eastAsia="黑体"/>
          <w:bCs/>
          <w:sz w:val="24"/>
          <w:szCs w:val="32"/>
        </w:rPr>
        <w:t>五、供应商基本情况表</w:t>
      </w:r>
    </w:p>
    <w:tbl>
      <w:tblPr>
        <w:tblStyle w:val="4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693B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vAlign w:val="center"/>
          </w:tcPr>
          <w:p w14:paraId="08E9F665">
            <w:pPr>
              <w:rPr>
                <w:rFonts w:hint="eastAsia" w:ascii="宋体" w:hAnsi="宋体" w:cs="宋体"/>
                <w:szCs w:val="21"/>
              </w:rPr>
            </w:pPr>
            <w:r>
              <w:rPr>
                <w:rFonts w:hint="eastAsia" w:ascii="宋体" w:hAnsi="宋体" w:cs="宋体"/>
                <w:szCs w:val="21"/>
              </w:rPr>
              <w:t>投标（响应）供应商</w:t>
            </w:r>
          </w:p>
        </w:tc>
        <w:tc>
          <w:tcPr>
            <w:tcW w:w="1427" w:type="pct"/>
            <w:gridSpan w:val="2"/>
            <w:vAlign w:val="center"/>
          </w:tcPr>
          <w:p w14:paraId="1B4066A9">
            <w:pPr>
              <w:jc w:val="center"/>
              <w:rPr>
                <w:rFonts w:hint="eastAsia" w:ascii="宋体" w:hAnsi="宋体" w:cs="宋体"/>
                <w:szCs w:val="21"/>
              </w:rPr>
            </w:pPr>
          </w:p>
        </w:tc>
        <w:tc>
          <w:tcPr>
            <w:tcW w:w="1113" w:type="pct"/>
            <w:gridSpan w:val="2"/>
            <w:vAlign w:val="center"/>
          </w:tcPr>
          <w:p w14:paraId="1D3DCC33">
            <w:pPr>
              <w:jc w:val="center"/>
              <w:rPr>
                <w:rFonts w:hint="eastAsia" w:ascii="宋体" w:hAnsi="宋体" w:cs="宋体"/>
                <w:szCs w:val="21"/>
              </w:rPr>
            </w:pPr>
            <w:r>
              <w:rPr>
                <w:rFonts w:hint="eastAsia" w:ascii="宋体" w:hAnsi="宋体" w:cs="宋体"/>
                <w:szCs w:val="21"/>
              </w:rPr>
              <w:t>项目名称及编号</w:t>
            </w:r>
          </w:p>
        </w:tc>
        <w:tc>
          <w:tcPr>
            <w:tcW w:w="1669" w:type="pct"/>
            <w:gridSpan w:val="2"/>
            <w:vAlign w:val="center"/>
          </w:tcPr>
          <w:p w14:paraId="791AF257">
            <w:pPr>
              <w:jc w:val="center"/>
              <w:rPr>
                <w:rFonts w:hint="eastAsia" w:ascii="宋体" w:hAnsi="宋体" w:cs="宋体"/>
                <w:szCs w:val="21"/>
              </w:rPr>
            </w:pPr>
          </w:p>
        </w:tc>
      </w:tr>
      <w:tr w14:paraId="5A06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EF4F5D5">
            <w:pPr>
              <w:jc w:val="center"/>
              <w:rPr>
                <w:rFonts w:hint="eastAsia" w:ascii="宋体" w:hAnsi="宋体" w:cs="宋体"/>
                <w:szCs w:val="21"/>
              </w:rPr>
            </w:pPr>
            <w:r>
              <w:rPr>
                <w:rFonts w:hint="eastAsia" w:ascii="宋体" w:hAnsi="宋体" w:cs="宋体"/>
                <w:b/>
                <w:bCs/>
                <w:szCs w:val="21"/>
              </w:rPr>
              <w:t>投标（响应）供应商相关人员情况</w:t>
            </w:r>
          </w:p>
        </w:tc>
      </w:tr>
      <w:tr w14:paraId="2C55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AC99CE0">
            <w:pPr>
              <w:snapToGrid w:val="0"/>
              <w:jc w:val="center"/>
              <w:rPr>
                <w:rFonts w:hint="eastAsia" w:ascii="宋体" w:hAnsi="宋体" w:cs="宋体"/>
                <w:szCs w:val="21"/>
              </w:rPr>
            </w:pPr>
            <w:r>
              <w:rPr>
                <w:rFonts w:hint="eastAsia" w:ascii="宋体" w:hAnsi="宋体" w:cs="宋体"/>
                <w:szCs w:val="21"/>
              </w:rPr>
              <w:t>序号</w:t>
            </w:r>
          </w:p>
        </w:tc>
        <w:tc>
          <w:tcPr>
            <w:tcW w:w="1275" w:type="pct"/>
            <w:gridSpan w:val="2"/>
            <w:tcBorders>
              <w:bottom w:val="single" w:color="auto" w:sz="4" w:space="0"/>
            </w:tcBorders>
            <w:vAlign w:val="center"/>
          </w:tcPr>
          <w:p w14:paraId="04CB38AD">
            <w:pPr>
              <w:jc w:val="center"/>
              <w:rPr>
                <w:rFonts w:hint="eastAsia" w:ascii="宋体" w:hAnsi="宋体" w:cs="宋体"/>
                <w:szCs w:val="21"/>
              </w:rPr>
            </w:pPr>
            <w:r>
              <w:rPr>
                <w:rFonts w:hint="eastAsia" w:ascii="宋体" w:hAnsi="宋体" w:cs="宋体"/>
                <w:szCs w:val="21"/>
              </w:rPr>
              <w:t>职务</w:t>
            </w:r>
          </w:p>
        </w:tc>
        <w:tc>
          <w:tcPr>
            <w:tcW w:w="529" w:type="pct"/>
            <w:tcBorders>
              <w:bottom w:val="single" w:color="auto" w:sz="4" w:space="0"/>
            </w:tcBorders>
            <w:vAlign w:val="center"/>
          </w:tcPr>
          <w:p w14:paraId="2A017A8C">
            <w:pPr>
              <w:jc w:val="center"/>
              <w:rPr>
                <w:rFonts w:hint="eastAsia" w:ascii="宋体" w:hAnsi="宋体" w:cs="宋体"/>
                <w:szCs w:val="21"/>
              </w:rPr>
            </w:pPr>
            <w:r>
              <w:rPr>
                <w:rFonts w:hint="eastAsia" w:ascii="宋体" w:hAnsi="宋体" w:cs="宋体"/>
                <w:szCs w:val="21"/>
              </w:rPr>
              <w:t>姓名</w:t>
            </w:r>
          </w:p>
        </w:tc>
        <w:tc>
          <w:tcPr>
            <w:tcW w:w="1113" w:type="pct"/>
            <w:gridSpan w:val="2"/>
            <w:tcBorders>
              <w:bottom w:val="single" w:color="auto" w:sz="4" w:space="0"/>
            </w:tcBorders>
            <w:vAlign w:val="center"/>
          </w:tcPr>
          <w:p w14:paraId="40632052">
            <w:pPr>
              <w:jc w:val="center"/>
              <w:rPr>
                <w:rFonts w:hint="eastAsia" w:ascii="宋体" w:hAnsi="宋体" w:cs="宋体"/>
                <w:szCs w:val="21"/>
              </w:rPr>
            </w:pPr>
            <w:r>
              <w:rPr>
                <w:rFonts w:hint="eastAsia" w:ascii="宋体" w:hAnsi="宋体" w:cs="宋体"/>
                <w:szCs w:val="21"/>
              </w:rPr>
              <w:t>身份证号码</w:t>
            </w:r>
          </w:p>
        </w:tc>
        <w:tc>
          <w:tcPr>
            <w:tcW w:w="838" w:type="pct"/>
            <w:tcBorders>
              <w:bottom w:val="single" w:color="auto" w:sz="4" w:space="0"/>
            </w:tcBorders>
            <w:vAlign w:val="center"/>
          </w:tcPr>
          <w:p w14:paraId="01FFDA23">
            <w:pPr>
              <w:snapToGrid w:val="0"/>
              <w:jc w:val="center"/>
              <w:rPr>
                <w:rFonts w:hint="eastAsia" w:ascii="宋体" w:hAnsi="宋体" w:cs="宋体"/>
                <w:szCs w:val="21"/>
              </w:rPr>
            </w:pPr>
            <w:r>
              <w:rPr>
                <w:rFonts w:hint="eastAsia" w:ascii="宋体" w:hAnsi="宋体" w:cs="宋体"/>
                <w:szCs w:val="21"/>
              </w:rPr>
              <w:t>劳动合同</w:t>
            </w:r>
          </w:p>
          <w:p w14:paraId="716CB630">
            <w:pPr>
              <w:snapToGrid w:val="0"/>
              <w:jc w:val="center"/>
              <w:rPr>
                <w:rFonts w:hint="eastAsia" w:ascii="宋体" w:hAnsi="宋体" w:cs="宋体"/>
                <w:szCs w:val="21"/>
              </w:rPr>
            </w:pPr>
            <w:r>
              <w:rPr>
                <w:rFonts w:hint="eastAsia" w:ascii="宋体" w:hAnsi="宋体" w:cs="宋体"/>
                <w:szCs w:val="21"/>
              </w:rPr>
              <w:t>关系单位</w:t>
            </w:r>
          </w:p>
        </w:tc>
        <w:tc>
          <w:tcPr>
            <w:tcW w:w="830" w:type="pct"/>
            <w:tcBorders>
              <w:bottom w:val="single" w:color="auto" w:sz="4" w:space="0"/>
            </w:tcBorders>
            <w:vAlign w:val="center"/>
          </w:tcPr>
          <w:p w14:paraId="172DB4AC">
            <w:pPr>
              <w:snapToGrid w:val="0"/>
              <w:jc w:val="center"/>
              <w:rPr>
                <w:rFonts w:hint="eastAsia" w:ascii="宋体" w:hAnsi="宋体" w:cs="宋体"/>
                <w:szCs w:val="21"/>
              </w:rPr>
            </w:pPr>
            <w:r>
              <w:rPr>
                <w:rFonts w:hint="eastAsia" w:ascii="宋体" w:hAnsi="宋体" w:cs="宋体"/>
                <w:szCs w:val="21"/>
              </w:rPr>
              <w:t>缴纳社会</w:t>
            </w:r>
          </w:p>
          <w:p w14:paraId="09A63314">
            <w:pPr>
              <w:snapToGrid w:val="0"/>
              <w:jc w:val="center"/>
              <w:rPr>
                <w:rFonts w:hint="eastAsia" w:ascii="宋体" w:hAnsi="宋体" w:cs="宋体"/>
                <w:szCs w:val="21"/>
              </w:rPr>
            </w:pPr>
            <w:r>
              <w:rPr>
                <w:rFonts w:hint="eastAsia" w:ascii="宋体" w:hAnsi="宋体" w:cs="宋体"/>
                <w:szCs w:val="21"/>
              </w:rPr>
              <w:t>保险单位</w:t>
            </w:r>
          </w:p>
        </w:tc>
      </w:tr>
      <w:tr w14:paraId="4B24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0AB2880F">
            <w:pPr>
              <w:jc w:val="center"/>
              <w:rPr>
                <w:rFonts w:hint="eastAsia" w:ascii="宋体" w:hAnsi="宋体" w:cs="宋体"/>
                <w:szCs w:val="21"/>
              </w:rPr>
            </w:pPr>
            <w:r>
              <w:rPr>
                <w:rFonts w:hint="eastAsia" w:ascii="宋体" w:hAnsi="宋体" w:cs="宋体"/>
                <w:szCs w:val="21"/>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49A57F79">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529" w:type="pct"/>
            <w:tcBorders>
              <w:top w:val="single" w:color="auto" w:sz="4" w:space="0"/>
              <w:left w:val="single" w:color="auto" w:sz="4" w:space="0"/>
              <w:bottom w:val="single" w:color="auto" w:sz="4" w:space="0"/>
              <w:right w:val="single" w:color="auto" w:sz="4" w:space="0"/>
            </w:tcBorders>
            <w:vAlign w:val="center"/>
          </w:tcPr>
          <w:p w14:paraId="6D65CEC3">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E7DD166">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6F243602">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192424B8">
            <w:pPr>
              <w:jc w:val="center"/>
              <w:rPr>
                <w:rFonts w:hint="eastAsia" w:ascii="宋体" w:hAnsi="宋体" w:cs="宋体"/>
                <w:szCs w:val="21"/>
              </w:rPr>
            </w:pPr>
          </w:p>
        </w:tc>
      </w:tr>
      <w:tr w14:paraId="44F8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18907B68">
            <w:pPr>
              <w:jc w:val="center"/>
              <w:rPr>
                <w:rFonts w:hint="eastAsia" w:ascii="宋体" w:hAnsi="宋体" w:cs="宋体"/>
                <w:szCs w:val="21"/>
              </w:rPr>
            </w:pPr>
            <w:r>
              <w:rPr>
                <w:rFonts w:hint="eastAsia" w:ascii="宋体" w:hAnsi="宋体" w:cs="宋体"/>
                <w:szCs w:val="21"/>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3F2C4C24">
            <w:pPr>
              <w:jc w:val="center"/>
              <w:rPr>
                <w:rFonts w:hint="eastAsia" w:ascii="宋体" w:hAnsi="宋体" w:cs="宋体"/>
                <w:szCs w:val="21"/>
              </w:rPr>
            </w:pPr>
            <w:r>
              <w:rPr>
                <w:rFonts w:hint="eastAsia" w:ascii="宋体" w:hAnsi="宋体" w:cs="宋体"/>
                <w:szCs w:val="21"/>
              </w:rPr>
              <w:t>项目投标授权代表人</w:t>
            </w:r>
          </w:p>
        </w:tc>
        <w:tc>
          <w:tcPr>
            <w:tcW w:w="529" w:type="pct"/>
            <w:tcBorders>
              <w:top w:val="single" w:color="auto" w:sz="4" w:space="0"/>
              <w:left w:val="single" w:color="auto" w:sz="4" w:space="0"/>
              <w:bottom w:val="single" w:color="auto" w:sz="4" w:space="0"/>
              <w:right w:val="single" w:color="auto" w:sz="4" w:space="0"/>
            </w:tcBorders>
            <w:vAlign w:val="center"/>
          </w:tcPr>
          <w:p w14:paraId="526D4518">
            <w:pPr>
              <w:jc w:val="center"/>
              <w:rPr>
                <w:rFonts w:hint="eastAsia" w:ascii="宋体" w:hAnsi="宋体" w:cs="宋体"/>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AE69A84">
            <w:pPr>
              <w:jc w:val="center"/>
              <w:rPr>
                <w:rFonts w:hint="eastAsia" w:ascii="宋体" w:hAnsi="宋体" w:cs="宋体"/>
                <w:szCs w:val="21"/>
              </w:rPr>
            </w:pPr>
          </w:p>
        </w:tc>
        <w:tc>
          <w:tcPr>
            <w:tcW w:w="838" w:type="pct"/>
            <w:tcBorders>
              <w:top w:val="single" w:color="auto" w:sz="4" w:space="0"/>
              <w:left w:val="single" w:color="auto" w:sz="4" w:space="0"/>
              <w:bottom w:val="single" w:color="auto" w:sz="4" w:space="0"/>
              <w:right w:val="single" w:color="auto" w:sz="4" w:space="0"/>
            </w:tcBorders>
            <w:vAlign w:val="center"/>
          </w:tcPr>
          <w:p w14:paraId="095AF595">
            <w:pPr>
              <w:jc w:val="center"/>
              <w:rPr>
                <w:rFonts w:hint="eastAsia" w:ascii="宋体" w:hAnsi="宋体" w:cs="宋体"/>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62E75736">
            <w:pPr>
              <w:jc w:val="center"/>
              <w:rPr>
                <w:rFonts w:hint="eastAsia" w:ascii="宋体" w:hAnsi="宋体" w:cs="宋体"/>
                <w:szCs w:val="21"/>
              </w:rPr>
            </w:pPr>
          </w:p>
        </w:tc>
      </w:tr>
      <w:tr w14:paraId="4555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vAlign w:val="center"/>
          </w:tcPr>
          <w:p w14:paraId="08322C18">
            <w:pPr>
              <w:jc w:val="center"/>
              <w:rPr>
                <w:rFonts w:hint="eastAsia" w:ascii="宋体" w:hAnsi="宋体" w:cs="宋体"/>
                <w:szCs w:val="21"/>
              </w:rPr>
            </w:pPr>
            <w:r>
              <w:rPr>
                <w:rFonts w:hint="eastAsia" w:ascii="宋体" w:hAnsi="宋体" w:cs="宋体"/>
                <w:szCs w:val="21"/>
                <w:lang w:bidi="ar"/>
              </w:rPr>
              <w:t>3</w:t>
            </w:r>
          </w:p>
        </w:tc>
        <w:tc>
          <w:tcPr>
            <w:tcW w:w="1275" w:type="pct"/>
            <w:gridSpan w:val="2"/>
            <w:tcBorders>
              <w:top w:val="single" w:color="auto" w:sz="4" w:space="0"/>
            </w:tcBorders>
            <w:vAlign w:val="center"/>
          </w:tcPr>
          <w:p w14:paraId="74272B51">
            <w:pPr>
              <w:jc w:val="center"/>
              <w:rPr>
                <w:rFonts w:hint="eastAsia" w:ascii="宋体" w:hAnsi="宋体" w:cs="宋体"/>
                <w:szCs w:val="21"/>
              </w:rPr>
            </w:pPr>
            <w:r>
              <w:rPr>
                <w:rFonts w:hint="eastAsia" w:ascii="宋体" w:hAnsi="宋体" w:cs="宋体"/>
                <w:szCs w:val="21"/>
              </w:rPr>
              <w:t>项目负责人</w:t>
            </w:r>
          </w:p>
        </w:tc>
        <w:tc>
          <w:tcPr>
            <w:tcW w:w="529" w:type="pct"/>
            <w:tcBorders>
              <w:top w:val="single" w:color="auto" w:sz="4" w:space="0"/>
            </w:tcBorders>
            <w:vAlign w:val="center"/>
          </w:tcPr>
          <w:p w14:paraId="53BFC9E2">
            <w:pPr>
              <w:jc w:val="center"/>
              <w:rPr>
                <w:rFonts w:hint="eastAsia" w:ascii="宋体" w:hAnsi="宋体" w:cs="宋体"/>
                <w:szCs w:val="21"/>
              </w:rPr>
            </w:pPr>
          </w:p>
        </w:tc>
        <w:tc>
          <w:tcPr>
            <w:tcW w:w="1113" w:type="pct"/>
            <w:gridSpan w:val="2"/>
            <w:tcBorders>
              <w:top w:val="single" w:color="auto" w:sz="4" w:space="0"/>
            </w:tcBorders>
            <w:vAlign w:val="center"/>
          </w:tcPr>
          <w:p w14:paraId="0D1CB063">
            <w:pPr>
              <w:jc w:val="center"/>
              <w:rPr>
                <w:rFonts w:hint="eastAsia" w:ascii="宋体" w:hAnsi="宋体" w:cs="宋体"/>
                <w:szCs w:val="21"/>
              </w:rPr>
            </w:pPr>
          </w:p>
        </w:tc>
        <w:tc>
          <w:tcPr>
            <w:tcW w:w="838" w:type="pct"/>
            <w:tcBorders>
              <w:top w:val="single" w:color="auto" w:sz="4" w:space="0"/>
            </w:tcBorders>
            <w:vAlign w:val="center"/>
          </w:tcPr>
          <w:p w14:paraId="61D87B4E">
            <w:pPr>
              <w:jc w:val="center"/>
              <w:rPr>
                <w:rFonts w:hint="eastAsia" w:ascii="宋体" w:hAnsi="宋体" w:cs="宋体"/>
                <w:szCs w:val="21"/>
              </w:rPr>
            </w:pPr>
          </w:p>
        </w:tc>
        <w:tc>
          <w:tcPr>
            <w:tcW w:w="830" w:type="pct"/>
            <w:tcBorders>
              <w:top w:val="single" w:color="auto" w:sz="4" w:space="0"/>
            </w:tcBorders>
            <w:vAlign w:val="center"/>
          </w:tcPr>
          <w:p w14:paraId="431E8E80">
            <w:pPr>
              <w:jc w:val="center"/>
              <w:rPr>
                <w:rFonts w:hint="eastAsia" w:ascii="宋体" w:hAnsi="宋体" w:cs="宋体"/>
                <w:szCs w:val="21"/>
              </w:rPr>
            </w:pPr>
          </w:p>
        </w:tc>
      </w:tr>
      <w:tr w14:paraId="6F40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0089E59">
            <w:pPr>
              <w:jc w:val="center"/>
              <w:rPr>
                <w:rFonts w:hint="eastAsia" w:ascii="宋体" w:hAnsi="宋体" w:cs="宋体"/>
                <w:szCs w:val="21"/>
              </w:rPr>
            </w:pPr>
            <w:r>
              <w:rPr>
                <w:rFonts w:hint="eastAsia" w:ascii="宋体" w:hAnsi="宋体" w:cs="宋体"/>
                <w:szCs w:val="21"/>
                <w:lang w:bidi="ar"/>
              </w:rPr>
              <w:t>4</w:t>
            </w:r>
          </w:p>
        </w:tc>
        <w:tc>
          <w:tcPr>
            <w:tcW w:w="1275" w:type="pct"/>
            <w:gridSpan w:val="2"/>
            <w:vAlign w:val="center"/>
          </w:tcPr>
          <w:p w14:paraId="4ECDAD40">
            <w:pPr>
              <w:jc w:val="center"/>
              <w:rPr>
                <w:rFonts w:hint="eastAsia" w:ascii="宋体" w:hAnsi="宋体" w:cs="宋体"/>
                <w:szCs w:val="21"/>
              </w:rPr>
            </w:pPr>
            <w:r>
              <w:rPr>
                <w:rFonts w:hint="eastAsia" w:ascii="宋体" w:hAnsi="宋体" w:cs="宋体"/>
                <w:szCs w:val="21"/>
              </w:rPr>
              <w:t>主要技术人员</w:t>
            </w:r>
          </w:p>
        </w:tc>
        <w:tc>
          <w:tcPr>
            <w:tcW w:w="529" w:type="pct"/>
            <w:vAlign w:val="center"/>
          </w:tcPr>
          <w:p w14:paraId="01292E76">
            <w:pPr>
              <w:jc w:val="center"/>
              <w:rPr>
                <w:rFonts w:hint="eastAsia" w:ascii="宋体" w:hAnsi="宋体" w:cs="宋体"/>
                <w:szCs w:val="21"/>
              </w:rPr>
            </w:pPr>
          </w:p>
        </w:tc>
        <w:tc>
          <w:tcPr>
            <w:tcW w:w="1113" w:type="pct"/>
            <w:gridSpan w:val="2"/>
            <w:vAlign w:val="center"/>
          </w:tcPr>
          <w:p w14:paraId="679AAF70">
            <w:pPr>
              <w:jc w:val="center"/>
              <w:rPr>
                <w:rFonts w:hint="eastAsia" w:ascii="宋体" w:hAnsi="宋体" w:cs="宋体"/>
                <w:szCs w:val="21"/>
              </w:rPr>
            </w:pPr>
          </w:p>
        </w:tc>
        <w:tc>
          <w:tcPr>
            <w:tcW w:w="838" w:type="pct"/>
            <w:vAlign w:val="center"/>
          </w:tcPr>
          <w:p w14:paraId="481974CA">
            <w:pPr>
              <w:jc w:val="center"/>
              <w:rPr>
                <w:rFonts w:hint="eastAsia" w:ascii="宋体" w:hAnsi="宋体" w:cs="宋体"/>
                <w:szCs w:val="21"/>
              </w:rPr>
            </w:pPr>
          </w:p>
        </w:tc>
        <w:tc>
          <w:tcPr>
            <w:tcW w:w="830" w:type="pct"/>
            <w:vAlign w:val="center"/>
          </w:tcPr>
          <w:p w14:paraId="1DB87F8D">
            <w:pPr>
              <w:jc w:val="center"/>
              <w:rPr>
                <w:rFonts w:hint="eastAsia" w:ascii="宋体" w:hAnsi="宋体" w:cs="宋体"/>
                <w:szCs w:val="21"/>
              </w:rPr>
            </w:pPr>
          </w:p>
        </w:tc>
      </w:tr>
      <w:tr w14:paraId="3A94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vAlign w:val="center"/>
          </w:tcPr>
          <w:p w14:paraId="19F441D4">
            <w:pPr>
              <w:jc w:val="center"/>
              <w:rPr>
                <w:rFonts w:hint="eastAsia" w:ascii="宋体" w:hAnsi="宋体" w:cs="宋体"/>
                <w:szCs w:val="21"/>
              </w:rPr>
            </w:pPr>
            <w:r>
              <w:rPr>
                <w:rFonts w:hint="eastAsia" w:ascii="宋体" w:hAnsi="宋体" w:cs="宋体"/>
                <w:szCs w:val="21"/>
                <w:lang w:bidi="ar"/>
              </w:rPr>
              <w:t>5</w:t>
            </w:r>
          </w:p>
        </w:tc>
        <w:tc>
          <w:tcPr>
            <w:tcW w:w="1275" w:type="pct"/>
            <w:gridSpan w:val="2"/>
            <w:vAlign w:val="center"/>
          </w:tcPr>
          <w:p w14:paraId="1C116B6E">
            <w:pPr>
              <w:snapToGrid w:val="0"/>
              <w:jc w:val="center"/>
              <w:rPr>
                <w:rFonts w:hint="eastAsia" w:ascii="宋体" w:hAnsi="宋体" w:cs="宋体"/>
                <w:szCs w:val="21"/>
              </w:rPr>
            </w:pPr>
            <w:r>
              <w:rPr>
                <w:rFonts w:hint="eastAsia" w:ascii="宋体" w:hAnsi="宋体" w:cs="宋体"/>
                <w:szCs w:val="21"/>
              </w:rPr>
              <w:t>投标文件编制人员</w:t>
            </w:r>
          </w:p>
        </w:tc>
        <w:tc>
          <w:tcPr>
            <w:tcW w:w="529" w:type="pct"/>
            <w:vAlign w:val="center"/>
          </w:tcPr>
          <w:p w14:paraId="09559C1F">
            <w:pPr>
              <w:jc w:val="center"/>
              <w:rPr>
                <w:rFonts w:hint="eastAsia" w:ascii="宋体" w:hAnsi="宋体" w:cs="宋体"/>
                <w:szCs w:val="21"/>
              </w:rPr>
            </w:pPr>
          </w:p>
        </w:tc>
        <w:tc>
          <w:tcPr>
            <w:tcW w:w="1113" w:type="pct"/>
            <w:gridSpan w:val="2"/>
            <w:vAlign w:val="center"/>
          </w:tcPr>
          <w:p w14:paraId="0DB37802">
            <w:pPr>
              <w:jc w:val="center"/>
              <w:rPr>
                <w:rFonts w:hint="eastAsia" w:ascii="宋体" w:hAnsi="宋体" w:cs="宋体"/>
                <w:szCs w:val="21"/>
              </w:rPr>
            </w:pPr>
          </w:p>
        </w:tc>
        <w:tc>
          <w:tcPr>
            <w:tcW w:w="838" w:type="pct"/>
            <w:vAlign w:val="center"/>
          </w:tcPr>
          <w:p w14:paraId="2B5C5C21">
            <w:pPr>
              <w:jc w:val="center"/>
              <w:rPr>
                <w:rFonts w:hint="eastAsia" w:ascii="宋体" w:hAnsi="宋体" w:cs="宋体"/>
                <w:szCs w:val="21"/>
              </w:rPr>
            </w:pPr>
          </w:p>
        </w:tc>
        <w:tc>
          <w:tcPr>
            <w:tcW w:w="830" w:type="pct"/>
            <w:vAlign w:val="center"/>
          </w:tcPr>
          <w:p w14:paraId="642E584F">
            <w:pPr>
              <w:jc w:val="center"/>
              <w:rPr>
                <w:rFonts w:hint="eastAsia" w:ascii="宋体" w:hAnsi="宋体" w:cs="宋体"/>
                <w:szCs w:val="21"/>
              </w:rPr>
            </w:pPr>
          </w:p>
        </w:tc>
      </w:tr>
      <w:tr w14:paraId="4A1E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58EC5E8">
            <w:pPr>
              <w:rPr>
                <w:rFonts w:hint="eastAsia" w:ascii="宋体" w:hAnsi="宋体" w:cs="宋体"/>
                <w:szCs w:val="21"/>
              </w:rPr>
            </w:pPr>
            <w:r>
              <w:rPr>
                <w:rFonts w:hint="eastAsia" w:ascii="宋体" w:hAnsi="宋体" w:cs="宋体"/>
                <w:b/>
                <w:bCs/>
                <w:szCs w:val="21"/>
              </w:rPr>
              <w:t>说明：同一职务有多人担任（如主要技术人员），应分行填写。</w:t>
            </w:r>
          </w:p>
        </w:tc>
      </w:tr>
      <w:tr w14:paraId="5E74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5A981EDD">
            <w:pPr>
              <w:jc w:val="center"/>
              <w:rPr>
                <w:rFonts w:hint="eastAsia" w:ascii="宋体" w:hAnsi="宋体" w:cs="宋体"/>
                <w:b/>
                <w:bCs/>
                <w:szCs w:val="21"/>
              </w:rPr>
            </w:pPr>
            <w:r>
              <w:rPr>
                <w:rFonts w:hint="eastAsia" w:ascii="宋体" w:hAnsi="宋体" w:cs="宋体"/>
                <w:b/>
                <w:bCs/>
                <w:szCs w:val="21"/>
              </w:rPr>
              <w:t>投标（响应）供应商关联关系情况</w:t>
            </w:r>
          </w:p>
        </w:tc>
      </w:tr>
      <w:tr w14:paraId="5FFA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vAlign w:val="center"/>
          </w:tcPr>
          <w:p w14:paraId="310424FD">
            <w:pPr>
              <w:jc w:val="center"/>
              <w:rPr>
                <w:rFonts w:hint="eastAsia" w:ascii="宋体" w:hAnsi="宋体" w:cs="宋体"/>
                <w:szCs w:val="21"/>
                <w:lang w:bidi="ar"/>
              </w:rPr>
            </w:pPr>
            <w:r>
              <w:rPr>
                <w:rFonts w:hint="eastAsia" w:ascii="宋体" w:hAnsi="宋体" w:cs="宋体"/>
                <w:szCs w:val="21"/>
                <w:lang w:bidi="ar"/>
              </w:rPr>
              <w:t>序号</w:t>
            </w:r>
          </w:p>
        </w:tc>
        <w:tc>
          <w:tcPr>
            <w:tcW w:w="1275" w:type="pct"/>
            <w:gridSpan w:val="2"/>
            <w:tcBorders>
              <w:bottom w:val="single" w:color="auto" w:sz="4" w:space="0"/>
            </w:tcBorders>
            <w:vAlign w:val="center"/>
          </w:tcPr>
          <w:p w14:paraId="6AAF83C3">
            <w:pPr>
              <w:jc w:val="center"/>
              <w:rPr>
                <w:rFonts w:hint="eastAsia" w:ascii="宋体" w:hAnsi="宋体" w:cs="宋体"/>
                <w:szCs w:val="21"/>
              </w:rPr>
            </w:pPr>
            <w:r>
              <w:rPr>
                <w:rFonts w:hint="eastAsia" w:ascii="宋体" w:hAnsi="宋体" w:cs="宋体"/>
                <w:szCs w:val="21"/>
              </w:rPr>
              <w:t>关联关系类型</w:t>
            </w:r>
          </w:p>
        </w:tc>
        <w:tc>
          <w:tcPr>
            <w:tcW w:w="971" w:type="pct"/>
            <w:gridSpan w:val="2"/>
            <w:tcBorders>
              <w:bottom w:val="single" w:color="auto" w:sz="4" w:space="0"/>
            </w:tcBorders>
            <w:vAlign w:val="center"/>
          </w:tcPr>
          <w:p w14:paraId="58F36F83">
            <w:pPr>
              <w:jc w:val="center"/>
              <w:rPr>
                <w:rFonts w:hint="eastAsia" w:ascii="宋体" w:hAnsi="宋体" w:cs="宋体"/>
                <w:szCs w:val="21"/>
              </w:rPr>
            </w:pPr>
            <w:r>
              <w:rPr>
                <w:rFonts w:hint="eastAsia" w:ascii="宋体" w:hAnsi="宋体" w:cs="宋体"/>
                <w:szCs w:val="21"/>
              </w:rPr>
              <w:t>关联主体名称</w:t>
            </w:r>
          </w:p>
        </w:tc>
        <w:tc>
          <w:tcPr>
            <w:tcW w:w="2340" w:type="pct"/>
            <w:gridSpan w:val="3"/>
            <w:tcBorders>
              <w:bottom w:val="single" w:color="auto" w:sz="4" w:space="0"/>
            </w:tcBorders>
            <w:vAlign w:val="center"/>
          </w:tcPr>
          <w:p w14:paraId="1222E25C">
            <w:pPr>
              <w:jc w:val="center"/>
              <w:rPr>
                <w:rFonts w:hint="eastAsia" w:ascii="宋体" w:hAnsi="宋体" w:cs="宋体"/>
                <w:szCs w:val="21"/>
              </w:rPr>
            </w:pPr>
            <w:r>
              <w:rPr>
                <w:rFonts w:hint="eastAsia" w:ascii="宋体" w:hAnsi="宋体" w:cs="宋体"/>
                <w:szCs w:val="21"/>
              </w:rPr>
              <w:t>备注</w:t>
            </w:r>
          </w:p>
        </w:tc>
      </w:tr>
      <w:tr w14:paraId="75D1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vAlign w:val="center"/>
          </w:tcPr>
          <w:p w14:paraId="67F86E74">
            <w:pPr>
              <w:jc w:val="center"/>
              <w:rPr>
                <w:rFonts w:hint="eastAsia" w:ascii="宋体" w:hAnsi="宋体" w:cs="宋体"/>
                <w:szCs w:val="21"/>
                <w:lang w:bidi="ar"/>
              </w:rPr>
            </w:pPr>
            <w:r>
              <w:rPr>
                <w:rFonts w:hint="eastAsia" w:ascii="宋体" w:hAnsi="宋体" w:cs="宋体"/>
                <w:szCs w:val="21"/>
                <w:lang w:bidi="ar"/>
              </w:rPr>
              <w:t>1</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73B5C98C">
            <w:pPr>
              <w:jc w:val="center"/>
              <w:rPr>
                <w:rFonts w:hint="eastAsia" w:ascii="宋体" w:hAnsi="宋体" w:cs="宋体"/>
                <w:szCs w:val="21"/>
              </w:rPr>
            </w:pPr>
            <w:r>
              <w:rPr>
                <w:rFonts w:hint="eastAsia" w:ascii="宋体" w:hAnsi="宋体" w:cs="宋体"/>
                <w:szCs w:val="21"/>
              </w:rPr>
              <w:t>控股股东</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16286BA8">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48349EDF">
            <w:pPr>
              <w:snapToGrid w:val="0"/>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CA5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2FF49C5E">
            <w:pPr>
              <w:jc w:val="center"/>
              <w:rPr>
                <w:rFonts w:hint="eastAsia" w:ascii="宋体" w:hAnsi="宋体" w:cs="宋体"/>
                <w:szCs w:val="21"/>
                <w:lang w:bidi="ar"/>
              </w:rPr>
            </w:pPr>
            <w:r>
              <w:rPr>
                <w:rFonts w:hint="eastAsia" w:ascii="宋体" w:hAnsi="宋体" w:cs="宋体"/>
                <w:szCs w:val="21"/>
                <w:lang w:bidi="ar"/>
              </w:rPr>
              <w:t>2</w:t>
            </w:r>
          </w:p>
        </w:tc>
        <w:tc>
          <w:tcPr>
            <w:tcW w:w="1275" w:type="pct"/>
            <w:gridSpan w:val="2"/>
            <w:tcBorders>
              <w:top w:val="single" w:color="auto" w:sz="4" w:space="0"/>
              <w:left w:val="single" w:color="auto" w:sz="4" w:space="0"/>
              <w:bottom w:val="single" w:color="auto" w:sz="4" w:space="0"/>
              <w:right w:val="single" w:color="auto" w:sz="4" w:space="0"/>
            </w:tcBorders>
            <w:vAlign w:val="center"/>
          </w:tcPr>
          <w:p w14:paraId="0136625D">
            <w:pPr>
              <w:jc w:val="center"/>
              <w:rPr>
                <w:rFonts w:hint="eastAsia" w:ascii="宋体" w:hAnsi="宋体" w:cs="宋体"/>
                <w:szCs w:val="21"/>
              </w:rPr>
            </w:pPr>
            <w:r>
              <w:rPr>
                <w:rFonts w:hint="eastAsia" w:ascii="宋体" w:hAnsi="宋体" w:cs="宋体"/>
                <w:szCs w:val="21"/>
              </w:rPr>
              <w:t>管理关系</w:t>
            </w:r>
          </w:p>
        </w:tc>
        <w:tc>
          <w:tcPr>
            <w:tcW w:w="971" w:type="pct"/>
            <w:gridSpan w:val="2"/>
            <w:tcBorders>
              <w:top w:val="single" w:color="auto" w:sz="4" w:space="0"/>
              <w:left w:val="single" w:color="auto" w:sz="4" w:space="0"/>
              <w:bottom w:val="single" w:color="auto" w:sz="4" w:space="0"/>
              <w:right w:val="single" w:color="auto" w:sz="4" w:space="0"/>
            </w:tcBorders>
            <w:vAlign w:val="center"/>
          </w:tcPr>
          <w:p w14:paraId="43623263">
            <w:pPr>
              <w:jc w:val="center"/>
              <w:rPr>
                <w:rFonts w:hint="eastAsia" w:ascii="宋体" w:hAnsi="宋体" w:cs="宋体"/>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283B146B">
            <w:pPr>
              <w:snapToGrid w:val="0"/>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14:paraId="7D89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4D7EB69">
            <w:pPr>
              <w:snapToGrid w:val="0"/>
              <w:rPr>
                <w:rFonts w:hint="eastAsia" w:ascii="宋体" w:hAnsi="宋体" w:cs="宋体"/>
                <w:szCs w:val="21"/>
              </w:rPr>
            </w:pPr>
            <w:r>
              <w:rPr>
                <w:rFonts w:hint="eastAsia" w:ascii="宋体" w:hAnsi="宋体" w:cs="宋体"/>
                <w:b/>
                <w:bCs/>
                <w:szCs w:val="21"/>
              </w:rPr>
              <w:t>说明：同一关联关系类型有多个主体的，应分行填写。</w:t>
            </w:r>
          </w:p>
        </w:tc>
      </w:tr>
    </w:tbl>
    <w:p w14:paraId="44F584D5">
      <w:pPr>
        <w:pStyle w:val="54"/>
        <w:rPr>
          <w:rFonts w:hint="eastAsia" w:ascii="宋体" w:hAnsi="宋体"/>
          <w:b/>
          <w:color w:val="FF0000"/>
          <w:sz w:val="28"/>
          <w:szCs w:val="28"/>
        </w:rPr>
      </w:pPr>
    </w:p>
    <w:p w14:paraId="57470A5D">
      <w:pPr>
        <w:pStyle w:val="3"/>
        <w:jc w:val="center"/>
        <w:rPr>
          <w:rFonts w:hint="eastAsia" w:ascii="黑体" w:eastAsia="黑体"/>
          <w:b w:val="0"/>
          <w:sz w:val="24"/>
        </w:rPr>
      </w:pPr>
      <w:r>
        <w:rPr>
          <w:rFonts w:hint="eastAsia" w:ascii="黑体" w:eastAsia="黑体"/>
          <w:b w:val="0"/>
          <w:sz w:val="24"/>
        </w:rPr>
        <w:t>六、</w:t>
      </w:r>
      <w:bookmarkStart w:id="63" w:name="_Hlk72092499"/>
      <w:r>
        <w:rPr>
          <w:rFonts w:hint="eastAsia" w:ascii="黑体" w:eastAsia="黑体"/>
          <w:b w:val="0"/>
          <w:sz w:val="24"/>
        </w:rPr>
        <w:t>法定代表人（负责人）证明书</w:t>
      </w:r>
      <w:bookmarkEnd w:id="63"/>
    </w:p>
    <w:p w14:paraId="23577336">
      <w:pPr>
        <w:rPr>
          <w:sz w:val="24"/>
        </w:rPr>
      </w:pPr>
    </w:p>
    <w:p w14:paraId="09B5133D">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5D15E25">
      <w:pPr>
        <w:spacing w:line="360" w:lineRule="auto"/>
        <w:ind w:firstLine="420" w:firstLineChars="200"/>
        <w:rPr>
          <w:szCs w:val="21"/>
        </w:rPr>
      </w:pPr>
      <w:r>
        <w:rPr>
          <w:rFonts w:hint="eastAsia"/>
          <w:szCs w:val="21"/>
        </w:rPr>
        <w:t>特此证明。</w:t>
      </w:r>
    </w:p>
    <w:p w14:paraId="5AF065D8">
      <w:pPr>
        <w:spacing w:line="360" w:lineRule="auto"/>
        <w:ind w:firstLine="420" w:firstLineChars="200"/>
        <w:rPr>
          <w:szCs w:val="21"/>
        </w:rPr>
      </w:pPr>
      <w:r>
        <w:rPr>
          <w:rFonts w:hint="eastAsia"/>
          <w:szCs w:val="21"/>
        </w:rPr>
        <w:t>说明：1、法定代表人为投标人（企业事业单位、国家机关、社会团体）的主要行政负责人。</w:t>
      </w:r>
    </w:p>
    <w:p w14:paraId="7B4488B1">
      <w:pPr>
        <w:numPr>
          <w:ilvl w:val="0"/>
          <w:numId w:val="12"/>
        </w:numPr>
        <w:spacing w:line="360" w:lineRule="auto"/>
        <w:ind w:firstLine="420" w:firstLineChars="200"/>
        <w:rPr>
          <w:szCs w:val="21"/>
        </w:rPr>
      </w:pPr>
      <w:r>
        <w:rPr>
          <w:rFonts w:hint="eastAsia" w:eastAsia="宋体"/>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403F50E8">
      <w:pPr>
        <w:numPr>
          <w:ilvl w:val="0"/>
          <w:numId w:val="12"/>
        </w:numPr>
        <w:spacing w:line="360" w:lineRule="auto"/>
        <w:ind w:firstLine="420" w:firstLineChars="200"/>
        <w:rPr>
          <w:szCs w:val="21"/>
        </w:rPr>
      </w:pPr>
      <w:r>
        <w:rPr>
          <w:rFonts w:hint="eastAsia" w:eastAsia="宋体"/>
          <w:szCs w:val="21"/>
          <w:lang w:eastAsia="zh-Hans"/>
        </w:rPr>
        <w:t>本项目投标授权代表为法定代表人（负责人）的，无需提供</w:t>
      </w:r>
      <w:r>
        <w:rPr>
          <w:rFonts w:hint="eastAsia"/>
          <w:szCs w:val="21"/>
        </w:rPr>
        <w:t>《投标文件签署授权委托书》</w:t>
      </w:r>
      <w:r>
        <w:rPr>
          <w:rFonts w:hint="eastAsia" w:eastAsia="宋体"/>
          <w:szCs w:val="21"/>
          <w:lang w:eastAsia="zh-Hans"/>
        </w:rPr>
        <w:t>。</w:t>
      </w:r>
    </w:p>
    <w:p w14:paraId="0610469F">
      <w:pPr>
        <w:numPr>
          <w:ilvl w:val="0"/>
          <w:numId w:val="12"/>
        </w:numPr>
        <w:spacing w:line="360" w:lineRule="auto"/>
        <w:ind w:firstLine="420" w:firstLineChars="200"/>
        <w:rPr>
          <w:szCs w:val="21"/>
        </w:rPr>
      </w:pPr>
      <w:r>
        <w:rPr>
          <w:rFonts w:hint="eastAsia"/>
          <w:szCs w:val="21"/>
        </w:rPr>
        <w:t>内容必须填写真实、清楚，涂改无效，不得转让、买卖。</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D9F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7047E8B">
            <w:pPr>
              <w:jc w:val="center"/>
            </w:pPr>
            <w:r>
              <w:rPr>
                <w:rFonts w:hint="eastAsia"/>
              </w:rPr>
              <w:t>证件扫描件正面</w:t>
            </w:r>
          </w:p>
          <w:p w14:paraId="1400C73D">
            <w:pPr>
              <w:pStyle w:val="18"/>
              <w:jc w:val="center"/>
            </w:pPr>
          </w:p>
          <w:p w14:paraId="26E15429">
            <w:pPr>
              <w:pStyle w:val="37"/>
              <w:jc w:val="center"/>
            </w:pPr>
          </w:p>
          <w:p w14:paraId="04F75438">
            <w:pPr>
              <w:pStyle w:val="37"/>
              <w:jc w:val="center"/>
            </w:pPr>
          </w:p>
          <w:p w14:paraId="288022FE">
            <w:pPr>
              <w:pStyle w:val="37"/>
              <w:jc w:val="center"/>
            </w:pPr>
          </w:p>
          <w:p w14:paraId="7007017A">
            <w:pPr>
              <w:pStyle w:val="37"/>
              <w:jc w:val="center"/>
            </w:pPr>
          </w:p>
          <w:p w14:paraId="441E5270">
            <w:pPr>
              <w:pStyle w:val="37"/>
              <w:jc w:val="center"/>
            </w:pPr>
          </w:p>
          <w:p w14:paraId="65F5599D">
            <w:pPr>
              <w:pStyle w:val="37"/>
              <w:jc w:val="center"/>
            </w:pPr>
          </w:p>
        </w:tc>
        <w:tc>
          <w:tcPr>
            <w:tcW w:w="4265" w:type="dxa"/>
          </w:tcPr>
          <w:p w14:paraId="25E24AE9">
            <w:pPr>
              <w:jc w:val="center"/>
            </w:pPr>
            <w:r>
              <w:rPr>
                <w:rFonts w:hint="eastAsia"/>
              </w:rPr>
              <w:t>证件扫描件反面</w:t>
            </w:r>
          </w:p>
          <w:p w14:paraId="35618B1F">
            <w:pPr>
              <w:pStyle w:val="18"/>
              <w:jc w:val="center"/>
            </w:pPr>
          </w:p>
          <w:p w14:paraId="11C9C326">
            <w:pPr>
              <w:pStyle w:val="37"/>
              <w:jc w:val="center"/>
            </w:pPr>
          </w:p>
        </w:tc>
      </w:tr>
    </w:tbl>
    <w:p w14:paraId="72F8B895">
      <w:pPr>
        <w:rPr>
          <w:sz w:val="24"/>
        </w:rPr>
      </w:pPr>
    </w:p>
    <w:p w14:paraId="6DC03855">
      <w:pPr>
        <w:pStyle w:val="54"/>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49D27C0">
      <w:pPr>
        <w:pStyle w:val="54"/>
        <w:rPr>
          <w:sz w:val="24"/>
        </w:rPr>
      </w:pPr>
    </w:p>
    <w:p w14:paraId="296E6C0C">
      <w:pPr>
        <w:pStyle w:val="54"/>
        <w:rPr>
          <w:sz w:val="24"/>
        </w:rPr>
        <w:sectPr>
          <w:pgSz w:w="11907" w:h="16840"/>
          <w:pgMar w:top="1440" w:right="1797" w:bottom="1440" w:left="1797" w:header="851" w:footer="992" w:gutter="0"/>
          <w:cols w:space="425" w:num="1"/>
          <w:titlePg/>
          <w:docGrid w:linePitch="462" w:charSpace="0"/>
        </w:sectPr>
      </w:pPr>
    </w:p>
    <w:p w14:paraId="4EA97AB7">
      <w:pPr>
        <w:pStyle w:val="54"/>
        <w:rPr>
          <w:sz w:val="24"/>
        </w:rPr>
      </w:pPr>
    </w:p>
    <w:p w14:paraId="532233D6">
      <w:pPr>
        <w:pStyle w:val="3"/>
        <w:spacing w:before="120" w:after="120"/>
        <w:jc w:val="center"/>
        <w:rPr>
          <w:rFonts w:hint="eastAsia" w:ascii="黑体" w:eastAsia="黑体"/>
          <w:b w:val="0"/>
          <w:sz w:val="24"/>
        </w:rPr>
      </w:pPr>
      <w:r>
        <w:rPr>
          <w:rFonts w:hint="eastAsia" w:ascii="黑体" w:eastAsia="黑体"/>
          <w:b w:val="0"/>
          <w:sz w:val="24"/>
        </w:rPr>
        <w:t>七、投标文件签署授权委托书</w:t>
      </w:r>
    </w:p>
    <w:p w14:paraId="1C61730B">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389A455">
      <w:pPr>
        <w:spacing w:line="360" w:lineRule="auto"/>
        <w:ind w:firstLine="420" w:firstLineChars="200"/>
        <w:rPr>
          <w:szCs w:val="21"/>
        </w:rPr>
      </w:pPr>
      <w:r>
        <w:rPr>
          <w:rFonts w:hint="eastAsia"/>
          <w:szCs w:val="21"/>
        </w:rPr>
        <w:t>代理人无转委托权，特此委托。</w:t>
      </w:r>
    </w:p>
    <w:p w14:paraId="69147F03">
      <w:pPr>
        <w:spacing w:line="360" w:lineRule="auto"/>
        <w:ind w:firstLine="420" w:firstLineChars="200"/>
        <w:rPr>
          <w:szCs w:val="21"/>
        </w:rPr>
      </w:pPr>
    </w:p>
    <w:p w14:paraId="775F9F63">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7EAA4E1">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6E19EE5F">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8CC791D">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C47679D">
      <w:pPr>
        <w:spacing w:line="360" w:lineRule="auto"/>
        <w:ind w:firstLine="422" w:firstLineChars="20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附：请提供代理人身份证扫描件（正反两面）；港澳台居民可提供来往通行证扫描件；非中国国籍管辖范围人员，可提供公安部门认可的身份证明材料扫描件。</w:t>
      </w:r>
    </w:p>
    <w:tbl>
      <w:tblPr>
        <w:tblStyle w:val="45"/>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BB4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4F0045D">
            <w:pPr>
              <w:jc w:val="center"/>
            </w:pPr>
            <w:r>
              <w:rPr>
                <w:rFonts w:hint="eastAsia"/>
              </w:rPr>
              <w:t>证件扫描件正面</w:t>
            </w:r>
          </w:p>
          <w:p w14:paraId="36008381">
            <w:pPr>
              <w:pStyle w:val="18"/>
              <w:jc w:val="center"/>
            </w:pPr>
          </w:p>
          <w:p w14:paraId="2273FD3D">
            <w:pPr>
              <w:pStyle w:val="37"/>
              <w:jc w:val="center"/>
            </w:pPr>
          </w:p>
          <w:p w14:paraId="49F2EB03">
            <w:pPr>
              <w:pStyle w:val="37"/>
              <w:jc w:val="center"/>
            </w:pPr>
          </w:p>
          <w:p w14:paraId="5AB96E46">
            <w:pPr>
              <w:pStyle w:val="37"/>
              <w:jc w:val="center"/>
            </w:pPr>
          </w:p>
          <w:p w14:paraId="5DF8996D">
            <w:pPr>
              <w:pStyle w:val="37"/>
              <w:jc w:val="center"/>
            </w:pPr>
          </w:p>
          <w:p w14:paraId="30F6D27D">
            <w:pPr>
              <w:pStyle w:val="37"/>
              <w:jc w:val="center"/>
            </w:pPr>
          </w:p>
          <w:p w14:paraId="00D58F65">
            <w:pPr>
              <w:pStyle w:val="37"/>
              <w:jc w:val="center"/>
            </w:pPr>
          </w:p>
        </w:tc>
        <w:tc>
          <w:tcPr>
            <w:tcW w:w="4265" w:type="dxa"/>
          </w:tcPr>
          <w:p w14:paraId="49BC5378">
            <w:pPr>
              <w:jc w:val="center"/>
            </w:pPr>
            <w:r>
              <w:rPr>
                <w:rFonts w:hint="eastAsia"/>
              </w:rPr>
              <w:t>证件扫描件反面</w:t>
            </w:r>
          </w:p>
          <w:p w14:paraId="31EF15CF">
            <w:pPr>
              <w:pStyle w:val="18"/>
              <w:jc w:val="center"/>
            </w:pPr>
          </w:p>
          <w:p w14:paraId="5A6B4755">
            <w:pPr>
              <w:pStyle w:val="37"/>
              <w:jc w:val="center"/>
            </w:pPr>
          </w:p>
        </w:tc>
      </w:tr>
    </w:tbl>
    <w:p w14:paraId="60AD2A21">
      <w:pPr>
        <w:rPr>
          <w:rFonts w:hint="eastAsia" w:ascii="黑体" w:hAnsi="黑体" w:eastAsia="黑体" w:cs="黑体"/>
          <w:b/>
          <w:bCs/>
          <w:sz w:val="24"/>
        </w:rPr>
      </w:pPr>
    </w:p>
    <w:p w14:paraId="23694054">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7B159AC">
      <w:pPr>
        <w:rPr>
          <w:rFonts w:ascii="Calibri" w:hAnsi="Calibri"/>
          <w:szCs w:val="22"/>
        </w:rPr>
      </w:pPr>
    </w:p>
    <w:p w14:paraId="05878669">
      <w:pPr>
        <w:rPr>
          <w:rFonts w:ascii="Calibri" w:hAnsi="Calibri"/>
          <w:szCs w:val="22"/>
        </w:rPr>
      </w:pPr>
    </w:p>
    <w:p w14:paraId="33126B39">
      <w:pPr>
        <w:rPr>
          <w:rFonts w:ascii="Calibri" w:hAnsi="Calibri"/>
          <w:szCs w:val="22"/>
        </w:rPr>
      </w:pPr>
    </w:p>
    <w:p w14:paraId="3A94B073">
      <w:pPr>
        <w:rPr>
          <w:rFonts w:ascii="黑体" w:eastAsia="黑体"/>
          <w:kern w:val="0"/>
          <w:sz w:val="24"/>
        </w:rPr>
      </w:pPr>
    </w:p>
    <w:p w14:paraId="315C4F8C">
      <w:pPr>
        <w:pStyle w:val="54"/>
        <w:rPr>
          <w:rFonts w:ascii="黑体" w:eastAsia="黑体"/>
          <w:kern w:val="0"/>
          <w:sz w:val="24"/>
          <w:szCs w:val="24"/>
        </w:rPr>
        <w:sectPr>
          <w:pgSz w:w="11907" w:h="16840"/>
          <w:pgMar w:top="1440" w:right="1797" w:bottom="1440" w:left="1797" w:header="851" w:footer="992" w:gutter="0"/>
          <w:cols w:space="425" w:num="1"/>
          <w:titlePg/>
          <w:docGrid w:linePitch="462" w:charSpace="0"/>
        </w:sectPr>
      </w:pPr>
    </w:p>
    <w:p w14:paraId="22BC69B7">
      <w:pPr>
        <w:pStyle w:val="3"/>
        <w:jc w:val="center"/>
        <w:rPr>
          <w:rFonts w:hint="eastAsia" w:ascii="黑体" w:eastAsia="黑体"/>
          <w:b w:val="0"/>
          <w:kern w:val="0"/>
          <w:sz w:val="24"/>
          <w:szCs w:val="24"/>
        </w:rPr>
      </w:pPr>
      <w:r>
        <w:rPr>
          <w:rFonts w:hint="eastAsia" w:ascii="黑体" w:eastAsia="黑体"/>
          <w:b w:val="0"/>
          <w:kern w:val="0"/>
          <w:sz w:val="24"/>
          <w:szCs w:val="24"/>
        </w:rPr>
        <w:t>八、</w:t>
      </w:r>
      <w:bookmarkStart w:id="64" w:name="_Hlk72092634"/>
      <w:r>
        <w:rPr>
          <w:rFonts w:hint="eastAsia" w:ascii="黑体" w:eastAsia="黑体"/>
          <w:b w:val="0"/>
          <w:kern w:val="0"/>
          <w:sz w:val="24"/>
          <w:szCs w:val="24"/>
        </w:rPr>
        <w:t>实质性条款响应情况表</w:t>
      </w:r>
      <w:bookmarkEnd w:id="64"/>
    </w:p>
    <w:tbl>
      <w:tblPr>
        <w:tblStyle w:val="4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2108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4A36BF2">
            <w:pPr>
              <w:adjustRightInd w:val="0"/>
              <w:snapToGrid w:val="0"/>
              <w:spacing w:line="360" w:lineRule="auto"/>
              <w:jc w:val="center"/>
              <w:rPr>
                <w:rFonts w:hint="eastAsia" w:ascii="宋体" w:hAnsi="宋体"/>
                <w:kern w:val="0"/>
                <w:szCs w:val="21"/>
              </w:rPr>
            </w:pPr>
            <w:bookmarkStart w:id="65" w:name="_Hlk72092651"/>
            <w:r>
              <w:rPr>
                <w:rFonts w:hint="eastAsia" w:ascii="宋体" w:hAnsi="宋体"/>
                <w:kern w:val="0"/>
                <w:szCs w:val="21"/>
              </w:rPr>
              <w:t>序号</w:t>
            </w:r>
          </w:p>
        </w:tc>
        <w:tc>
          <w:tcPr>
            <w:tcW w:w="2664" w:type="dxa"/>
            <w:vAlign w:val="center"/>
          </w:tcPr>
          <w:p w14:paraId="5B3588F8">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88" w:type="dxa"/>
            <w:vAlign w:val="center"/>
          </w:tcPr>
          <w:p w14:paraId="13CDC44B">
            <w:pPr>
              <w:adjustRightInd w:val="0"/>
              <w:snapToGrid w:val="0"/>
              <w:spacing w:line="360" w:lineRule="auto"/>
              <w:jc w:val="center"/>
              <w:rPr>
                <w:rFonts w:hint="eastAsia" w:ascii="宋体" w:hAnsi="宋体"/>
                <w:kern w:val="0"/>
                <w:szCs w:val="21"/>
              </w:rPr>
            </w:pPr>
            <w:r>
              <w:rPr>
                <w:rFonts w:hint="eastAsia"/>
              </w:rPr>
              <w:t>投标响应</w:t>
            </w:r>
          </w:p>
        </w:tc>
        <w:tc>
          <w:tcPr>
            <w:tcW w:w="1842" w:type="dxa"/>
            <w:vAlign w:val="center"/>
          </w:tcPr>
          <w:p w14:paraId="7A654EF0">
            <w:pPr>
              <w:adjustRightInd w:val="0"/>
              <w:snapToGrid w:val="0"/>
              <w:spacing w:line="360" w:lineRule="auto"/>
              <w:jc w:val="center"/>
              <w:rPr>
                <w:rFonts w:hint="eastAsia" w:ascii="宋体" w:hAnsi="宋体"/>
                <w:kern w:val="0"/>
                <w:szCs w:val="21"/>
              </w:rPr>
            </w:pPr>
            <w:r>
              <w:rPr>
                <w:rFonts w:hint="eastAsia"/>
              </w:rPr>
              <w:t>偏离情况</w:t>
            </w:r>
          </w:p>
        </w:tc>
        <w:tc>
          <w:tcPr>
            <w:tcW w:w="1418" w:type="dxa"/>
            <w:vAlign w:val="center"/>
          </w:tcPr>
          <w:p w14:paraId="0E6764AC">
            <w:pPr>
              <w:adjustRightInd w:val="0"/>
              <w:snapToGrid w:val="0"/>
              <w:spacing w:line="360" w:lineRule="auto"/>
              <w:jc w:val="center"/>
              <w:rPr>
                <w:rFonts w:hint="eastAsia" w:ascii="宋体" w:hAnsi="宋体"/>
                <w:kern w:val="0"/>
                <w:szCs w:val="21"/>
              </w:rPr>
            </w:pPr>
            <w:r>
              <w:rPr>
                <w:rFonts w:hint="eastAsia"/>
              </w:rPr>
              <w:t>说明</w:t>
            </w:r>
          </w:p>
        </w:tc>
      </w:tr>
      <w:bookmarkEnd w:id="65"/>
      <w:tr w14:paraId="0877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56ED3A8D">
            <w:pPr>
              <w:adjustRightInd w:val="0"/>
              <w:snapToGrid w:val="0"/>
              <w:jc w:val="center"/>
              <w:rPr>
                <w:rFonts w:hint="eastAsia" w:ascii="宋体" w:hAnsi="宋体"/>
                <w:kern w:val="0"/>
                <w:szCs w:val="21"/>
              </w:rPr>
            </w:pPr>
            <w:r>
              <w:rPr>
                <w:rFonts w:hint="eastAsia" w:ascii="宋体" w:hAnsi="宋体"/>
                <w:kern w:val="0"/>
                <w:szCs w:val="21"/>
              </w:rPr>
              <w:t>1</w:t>
            </w:r>
          </w:p>
        </w:tc>
        <w:tc>
          <w:tcPr>
            <w:tcW w:w="2664" w:type="dxa"/>
            <w:vAlign w:val="center"/>
          </w:tcPr>
          <w:p w14:paraId="13268F81">
            <w:pPr>
              <w:adjustRightInd w:val="0"/>
              <w:snapToGrid w:val="0"/>
              <w:spacing w:line="240" w:lineRule="auto"/>
              <w:jc w:val="left"/>
              <w:rPr>
                <w:rFonts w:hint="eastAsia" w:hAnsi="宋体"/>
                <w:kern w:val="0"/>
                <w:szCs w:val="21"/>
              </w:rPr>
            </w:pPr>
            <w:r>
              <w:rPr>
                <w:rFonts w:hint="eastAsia" w:ascii="宋体" w:hAnsi="宋体"/>
                <w:color w:val="auto"/>
                <w:kern w:val="0"/>
                <w:szCs w:val="21"/>
              </w:rPr>
              <w:t>★所投产品</w:t>
            </w:r>
            <w:r>
              <w:rPr>
                <w:rFonts w:hint="eastAsia" w:ascii="宋体" w:hAnsi="宋体"/>
                <w:color w:val="auto"/>
                <w:kern w:val="0"/>
                <w:szCs w:val="21"/>
                <w:lang w:eastAsia="zh-CN"/>
              </w:rPr>
              <w:t>【“二、货物清单明细”中序号</w:t>
            </w:r>
            <w:r>
              <w:rPr>
                <w:rFonts w:hint="eastAsia" w:ascii="宋体" w:hAnsi="宋体"/>
                <w:color w:val="auto"/>
                <w:kern w:val="0"/>
                <w:szCs w:val="21"/>
                <w:lang w:val="en-US" w:eastAsia="zh-CN"/>
              </w:rPr>
              <w:t>6</w:t>
            </w:r>
            <w:r>
              <w:rPr>
                <w:rFonts w:hint="eastAsia" w:ascii="宋体" w:hAnsi="宋体"/>
                <w:color w:val="auto"/>
                <w:kern w:val="0"/>
                <w:szCs w:val="21"/>
                <w:lang w:eastAsia="zh-CN"/>
              </w:rPr>
              <w:t>、序号</w:t>
            </w:r>
            <w:r>
              <w:rPr>
                <w:rFonts w:hint="eastAsia" w:ascii="宋体" w:hAnsi="宋体"/>
                <w:color w:val="auto"/>
                <w:kern w:val="0"/>
                <w:szCs w:val="21"/>
                <w:lang w:val="en-US" w:eastAsia="zh-CN"/>
              </w:rPr>
              <w:t>32</w:t>
            </w:r>
            <w:r>
              <w:rPr>
                <w:rFonts w:hint="eastAsia" w:ascii="宋体" w:hAnsi="宋体"/>
                <w:color w:val="auto"/>
                <w:kern w:val="0"/>
                <w:szCs w:val="21"/>
                <w:lang w:eastAsia="zh-CN"/>
              </w:rPr>
              <w:t>、序号</w:t>
            </w:r>
            <w:r>
              <w:rPr>
                <w:rFonts w:hint="eastAsia" w:ascii="宋体" w:hAnsi="宋体"/>
                <w:color w:val="auto"/>
                <w:kern w:val="0"/>
                <w:szCs w:val="21"/>
                <w:lang w:val="en-US" w:eastAsia="zh-CN"/>
              </w:rPr>
              <w:t>51</w:t>
            </w:r>
            <w:r>
              <w:rPr>
                <w:rFonts w:hint="eastAsia" w:ascii="宋体" w:hAnsi="宋体"/>
                <w:color w:val="auto"/>
                <w:kern w:val="0"/>
                <w:szCs w:val="21"/>
                <w:lang w:eastAsia="zh-CN"/>
              </w:rPr>
              <w:t>、序号</w:t>
            </w:r>
            <w:r>
              <w:rPr>
                <w:rFonts w:hint="eastAsia" w:ascii="宋体" w:hAnsi="宋体"/>
                <w:color w:val="auto"/>
                <w:kern w:val="0"/>
                <w:szCs w:val="21"/>
                <w:lang w:val="en-US" w:eastAsia="zh-CN"/>
              </w:rPr>
              <w:t>60</w:t>
            </w:r>
            <w:r>
              <w:rPr>
                <w:rFonts w:hint="eastAsia" w:ascii="宋体" w:hAnsi="宋体"/>
                <w:color w:val="auto"/>
                <w:kern w:val="0"/>
                <w:szCs w:val="21"/>
                <w:lang w:eastAsia="zh-CN"/>
              </w:rPr>
              <w:t>的货物</w:t>
            </w:r>
            <w:r>
              <w:rPr>
                <w:rFonts w:hint="eastAsia" w:ascii="宋体" w:hAnsi="宋体"/>
                <w:color w:val="auto"/>
                <w:kern w:val="0"/>
                <w:szCs w:val="21"/>
                <w:lang w:val="en-US" w:eastAsia="zh-CN"/>
              </w:rPr>
              <w:t>除外</w:t>
            </w:r>
            <w:r>
              <w:rPr>
                <w:rFonts w:hint="eastAsia" w:ascii="宋体" w:hAnsi="宋体"/>
                <w:color w:val="auto"/>
                <w:kern w:val="0"/>
                <w:szCs w:val="21"/>
                <w:lang w:eastAsia="zh-CN"/>
              </w:rPr>
              <w:t>】</w:t>
            </w:r>
            <w:r>
              <w:rPr>
                <w:rFonts w:hint="eastAsia" w:ascii="宋体" w:hAnsi="宋体"/>
                <w:color w:val="auto"/>
                <w:kern w:val="0"/>
                <w:szCs w:val="21"/>
              </w:rPr>
              <w:t>必须具备有效期内的《医疗器械注册（备案）证》（投标人须提供上述证书的扫描件，原件备查。）</w:t>
            </w:r>
          </w:p>
        </w:tc>
        <w:tc>
          <w:tcPr>
            <w:tcW w:w="1588" w:type="dxa"/>
          </w:tcPr>
          <w:p w14:paraId="6CE8A9BE">
            <w:pPr>
              <w:adjustRightInd w:val="0"/>
              <w:snapToGrid w:val="0"/>
              <w:spacing w:line="360" w:lineRule="auto"/>
              <w:rPr>
                <w:rFonts w:hint="eastAsia" w:ascii="宋体" w:hAnsi="宋体"/>
                <w:kern w:val="0"/>
                <w:szCs w:val="21"/>
              </w:rPr>
            </w:pPr>
          </w:p>
        </w:tc>
        <w:tc>
          <w:tcPr>
            <w:tcW w:w="1842" w:type="dxa"/>
          </w:tcPr>
          <w:p w14:paraId="3DBE4205">
            <w:pPr>
              <w:adjustRightInd w:val="0"/>
              <w:snapToGrid w:val="0"/>
              <w:spacing w:line="360" w:lineRule="auto"/>
              <w:rPr>
                <w:rFonts w:hint="eastAsia" w:ascii="宋体" w:hAnsi="宋体"/>
                <w:kern w:val="0"/>
                <w:szCs w:val="21"/>
              </w:rPr>
            </w:pPr>
          </w:p>
        </w:tc>
        <w:tc>
          <w:tcPr>
            <w:tcW w:w="1418" w:type="dxa"/>
          </w:tcPr>
          <w:p w14:paraId="214DC09D">
            <w:pPr>
              <w:adjustRightInd w:val="0"/>
              <w:snapToGrid w:val="0"/>
              <w:spacing w:line="360" w:lineRule="auto"/>
              <w:rPr>
                <w:rFonts w:hint="eastAsia" w:ascii="宋体" w:hAnsi="宋体"/>
                <w:kern w:val="0"/>
                <w:szCs w:val="21"/>
              </w:rPr>
            </w:pPr>
          </w:p>
        </w:tc>
      </w:tr>
      <w:tr w14:paraId="4BFF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043891FE">
            <w:pPr>
              <w:adjustRightInd w:val="0"/>
              <w:snapToGrid w:val="0"/>
              <w:jc w:val="center"/>
              <w:rPr>
                <w:rFonts w:hint="eastAsia" w:ascii="宋体" w:hAnsi="宋体"/>
                <w:kern w:val="0"/>
                <w:szCs w:val="21"/>
              </w:rPr>
            </w:pPr>
            <w:r>
              <w:rPr>
                <w:rFonts w:hint="eastAsia" w:ascii="宋体" w:hAnsi="宋体"/>
                <w:kern w:val="0"/>
                <w:szCs w:val="21"/>
                <w:lang w:val="en-US" w:eastAsia="zh-CN"/>
              </w:rPr>
              <w:t>2</w:t>
            </w:r>
          </w:p>
        </w:tc>
        <w:tc>
          <w:tcPr>
            <w:tcW w:w="2664" w:type="dxa"/>
            <w:vAlign w:val="center"/>
          </w:tcPr>
          <w:p w14:paraId="0E2B0EF8">
            <w:pPr>
              <w:adjustRightInd w:val="0"/>
              <w:snapToGrid w:val="0"/>
              <w:spacing w:line="240" w:lineRule="auto"/>
              <w:jc w:val="left"/>
              <w:rPr>
                <w:rFonts w:hint="eastAsia" w:hAnsi="宋体"/>
                <w:kern w:val="0"/>
                <w:szCs w:val="21"/>
              </w:rPr>
            </w:pPr>
            <w:r>
              <w:rPr>
                <w:rFonts w:hint="default" w:ascii="宋体" w:hAnsi="宋体"/>
                <w:color w:val="auto"/>
                <w:kern w:val="0"/>
                <w:szCs w:val="21"/>
                <w:lang w:val="en-US" w:eastAsia="zh-CN"/>
              </w:rPr>
              <w:t>★投标供应商提供承诺函（格式自拟），承诺如投标产品是在深圳医用耗材阳光交易和监管平台挂网的产品，如中标，将按要求在深圳医用耗材阳光交易和监管平台签订购销合同。</w:t>
            </w:r>
          </w:p>
        </w:tc>
        <w:tc>
          <w:tcPr>
            <w:tcW w:w="1588" w:type="dxa"/>
          </w:tcPr>
          <w:p w14:paraId="00E6BA5F">
            <w:pPr>
              <w:adjustRightInd w:val="0"/>
              <w:snapToGrid w:val="0"/>
              <w:spacing w:line="360" w:lineRule="auto"/>
              <w:rPr>
                <w:rFonts w:hint="eastAsia" w:ascii="宋体" w:hAnsi="宋体"/>
                <w:kern w:val="0"/>
                <w:szCs w:val="21"/>
              </w:rPr>
            </w:pPr>
          </w:p>
        </w:tc>
        <w:tc>
          <w:tcPr>
            <w:tcW w:w="1842" w:type="dxa"/>
          </w:tcPr>
          <w:p w14:paraId="6A91DE47">
            <w:pPr>
              <w:adjustRightInd w:val="0"/>
              <w:snapToGrid w:val="0"/>
              <w:spacing w:line="360" w:lineRule="auto"/>
              <w:rPr>
                <w:rFonts w:hint="eastAsia" w:ascii="宋体" w:hAnsi="宋体"/>
                <w:kern w:val="0"/>
                <w:szCs w:val="21"/>
              </w:rPr>
            </w:pPr>
          </w:p>
        </w:tc>
        <w:tc>
          <w:tcPr>
            <w:tcW w:w="1418" w:type="dxa"/>
          </w:tcPr>
          <w:p w14:paraId="48016065">
            <w:pPr>
              <w:adjustRightInd w:val="0"/>
              <w:snapToGrid w:val="0"/>
              <w:spacing w:line="360" w:lineRule="auto"/>
              <w:rPr>
                <w:rFonts w:hint="eastAsia" w:ascii="宋体" w:hAnsi="宋体"/>
                <w:kern w:val="0"/>
                <w:szCs w:val="21"/>
              </w:rPr>
            </w:pPr>
          </w:p>
        </w:tc>
      </w:tr>
      <w:tr w14:paraId="58FB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B4340F0">
            <w:pPr>
              <w:adjustRightInd w:val="0"/>
              <w:snapToGrid w:val="0"/>
              <w:jc w:val="center"/>
              <w:rPr>
                <w:rFonts w:hint="eastAsia" w:ascii="宋体" w:hAnsi="宋体"/>
                <w:kern w:val="0"/>
                <w:szCs w:val="21"/>
              </w:rPr>
            </w:pPr>
            <w:r>
              <w:rPr>
                <w:rFonts w:hint="eastAsia" w:ascii="宋体" w:hAnsi="宋体"/>
                <w:kern w:val="0"/>
                <w:szCs w:val="21"/>
                <w:lang w:val="en-US" w:eastAsia="zh-CN"/>
              </w:rPr>
              <w:t>3</w:t>
            </w:r>
          </w:p>
        </w:tc>
        <w:tc>
          <w:tcPr>
            <w:tcW w:w="2664" w:type="dxa"/>
            <w:vAlign w:val="center"/>
          </w:tcPr>
          <w:p w14:paraId="58A89E1B">
            <w:pPr>
              <w:adjustRightInd w:val="0"/>
              <w:snapToGrid w:val="0"/>
              <w:spacing w:line="240" w:lineRule="auto"/>
              <w:jc w:val="left"/>
              <w:rPr>
                <w:rFonts w:hint="eastAsia" w:ascii="宋体" w:hAnsi="宋体"/>
                <w:kern w:val="0"/>
                <w:szCs w:val="21"/>
              </w:rPr>
            </w:pPr>
            <w:r>
              <w:rPr>
                <w:rFonts w:hint="eastAsia" w:ascii="宋体" w:hAnsi="宋体"/>
                <w:color w:val="auto"/>
                <w:kern w:val="0"/>
                <w:szCs w:val="21"/>
              </w:rPr>
              <w:t>★丙型肝炎病毒抗体检测试剂盒</w:t>
            </w:r>
            <w:r>
              <w:rPr>
                <w:rFonts w:hint="eastAsia" w:ascii="宋体" w:hAnsi="宋体"/>
                <w:color w:val="auto"/>
                <w:kern w:val="0"/>
                <w:szCs w:val="21"/>
                <w:lang w:val="en-US" w:eastAsia="zh-CN"/>
              </w:rPr>
              <w:t>获</w:t>
            </w:r>
            <w:r>
              <w:rPr>
                <w:rFonts w:hint="eastAsia" w:ascii="宋体" w:hAnsi="宋体"/>
                <w:color w:val="auto"/>
                <w:kern w:val="0"/>
                <w:szCs w:val="21"/>
              </w:rPr>
              <w:t>得欧盟IVDR法规下的最高风险等级Class D认证（提供证书</w:t>
            </w:r>
            <w:r>
              <w:rPr>
                <w:rFonts w:hint="eastAsia" w:ascii="宋体" w:hAnsi="宋体"/>
                <w:color w:val="auto"/>
                <w:kern w:val="0"/>
                <w:szCs w:val="21"/>
                <w:lang w:val="en-US" w:eastAsia="zh-CN"/>
              </w:rPr>
              <w:t>扫描件作为证明材料</w:t>
            </w:r>
            <w:r>
              <w:rPr>
                <w:rFonts w:hint="eastAsia" w:ascii="宋体" w:hAnsi="宋体"/>
                <w:color w:val="auto"/>
                <w:kern w:val="0"/>
                <w:szCs w:val="21"/>
              </w:rPr>
              <w:t>）</w:t>
            </w:r>
            <w:r>
              <w:rPr>
                <w:rFonts w:hint="eastAsia" w:ascii="宋体" w:hAnsi="宋体"/>
                <w:color w:val="auto"/>
                <w:kern w:val="0"/>
                <w:szCs w:val="21"/>
                <w:lang w:eastAsia="zh-CN"/>
              </w:rPr>
              <w:t>。</w:t>
            </w:r>
          </w:p>
        </w:tc>
        <w:tc>
          <w:tcPr>
            <w:tcW w:w="1588" w:type="dxa"/>
          </w:tcPr>
          <w:p w14:paraId="4EEC54FA">
            <w:pPr>
              <w:adjustRightInd w:val="0"/>
              <w:snapToGrid w:val="0"/>
              <w:spacing w:line="360" w:lineRule="auto"/>
              <w:rPr>
                <w:rFonts w:hint="eastAsia" w:ascii="宋体" w:hAnsi="宋体"/>
                <w:kern w:val="0"/>
                <w:szCs w:val="21"/>
              </w:rPr>
            </w:pPr>
          </w:p>
        </w:tc>
        <w:tc>
          <w:tcPr>
            <w:tcW w:w="1842" w:type="dxa"/>
          </w:tcPr>
          <w:p w14:paraId="62430495">
            <w:pPr>
              <w:adjustRightInd w:val="0"/>
              <w:snapToGrid w:val="0"/>
              <w:spacing w:line="360" w:lineRule="auto"/>
              <w:rPr>
                <w:rFonts w:hint="eastAsia" w:ascii="宋体" w:hAnsi="宋体"/>
                <w:kern w:val="0"/>
                <w:szCs w:val="21"/>
              </w:rPr>
            </w:pPr>
          </w:p>
        </w:tc>
        <w:tc>
          <w:tcPr>
            <w:tcW w:w="1418" w:type="dxa"/>
          </w:tcPr>
          <w:p w14:paraId="1C770F0F">
            <w:pPr>
              <w:adjustRightInd w:val="0"/>
              <w:snapToGrid w:val="0"/>
              <w:spacing w:line="360" w:lineRule="auto"/>
              <w:rPr>
                <w:rFonts w:hint="eastAsia" w:ascii="宋体" w:hAnsi="宋体"/>
                <w:kern w:val="0"/>
                <w:szCs w:val="21"/>
              </w:rPr>
            </w:pPr>
          </w:p>
        </w:tc>
      </w:tr>
      <w:tr w14:paraId="7642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3108594E">
            <w:pPr>
              <w:adjustRightInd w:val="0"/>
              <w:snapToGrid w:val="0"/>
              <w:jc w:val="center"/>
              <w:rPr>
                <w:rFonts w:hint="eastAsia" w:ascii="宋体" w:hAnsi="宋体"/>
                <w:kern w:val="0"/>
                <w:szCs w:val="21"/>
              </w:rPr>
            </w:pPr>
            <w:r>
              <w:rPr>
                <w:rFonts w:hint="eastAsia" w:ascii="宋体" w:hAnsi="宋体"/>
                <w:kern w:val="0"/>
                <w:szCs w:val="21"/>
                <w:lang w:val="en-US" w:eastAsia="zh-CN"/>
              </w:rPr>
              <w:t>4</w:t>
            </w:r>
          </w:p>
        </w:tc>
        <w:tc>
          <w:tcPr>
            <w:tcW w:w="2664" w:type="dxa"/>
            <w:vAlign w:val="center"/>
          </w:tcPr>
          <w:p w14:paraId="0EA28D49">
            <w:pPr>
              <w:adjustRightInd w:val="0"/>
              <w:snapToGrid w:val="0"/>
              <w:spacing w:line="240" w:lineRule="auto"/>
              <w:jc w:val="left"/>
              <w:rPr>
                <w:rFonts w:hint="eastAsia" w:ascii="宋体" w:hAnsi="宋体"/>
                <w:color w:val="auto"/>
                <w:kern w:val="0"/>
                <w:szCs w:val="21"/>
                <w:lang w:val="en-US" w:eastAsia="zh-CN"/>
              </w:rPr>
            </w:pPr>
            <w:r>
              <w:rPr>
                <w:rFonts w:hint="eastAsia" w:ascii="宋体" w:hAnsi="宋体"/>
                <w:color w:val="auto"/>
                <w:kern w:val="0"/>
                <w:szCs w:val="21"/>
                <w:lang w:val="en-US" w:eastAsia="zh-CN"/>
              </w:rPr>
              <w:t>“★五、商务要求”的全部内容。</w:t>
            </w:r>
          </w:p>
          <w:p w14:paraId="7AF4AB39">
            <w:pPr>
              <w:adjustRightInd w:val="0"/>
              <w:snapToGrid w:val="0"/>
              <w:spacing w:line="240" w:lineRule="auto"/>
              <w:jc w:val="left"/>
              <w:rPr>
                <w:rFonts w:hint="eastAsia" w:ascii="宋体" w:hAnsi="宋体"/>
                <w:kern w:val="0"/>
                <w:szCs w:val="21"/>
              </w:rPr>
            </w:pPr>
            <w:r>
              <w:rPr>
                <w:rFonts w:hint="eastAsia" w:ascii="宋体" w:hAnsi="宋体"/>
                <w:color w:val="auto"/>
                <w:kern w:val="0"/>
                <w:szCs w:val="21"/>
                <w:lang w:val="en-US" w:eastAsia="zh-CN"/>
              </w:rPr>
              <w:t>【要求提供证明材料的内容：投标人须承诺中标后在本地（深圳市）设有产品库，在合同有效期内，保证货源充足，如果设备出现故障，无法修复，需无偿提供配套器械，提供承诺函，格式自拟。】</w:t>
            </w:r>
          </w:p>
        </w:tc>
        <w:tc>
          <w:tcPr>
            <w:tcW w:w="1588" w:type="dxa"/>
          </w:tcPr>
          <w:p w14:paraId="2F847FB3">
            <w:pPr>
              <w:adjustRightInd w:val="0"/>
              <w:snapToGrid w:val="0"/>
              <w:spacing w:line="360" w:lineRule="auto"/>
              <w:rPr>
                <w:rFonts w:hint="eastAsia" w:ascii="宋体" w:hAnsi="宋体"/>
                <w:kern w:val="0"/>
                <w:szCs w:val="21"/>
              </w:rPr>
            </w:pPr>
          </w:p>
        </w:tc>
        <w:tc>
          <w:tcPr>
            <w:tcW w:w="1842" w:type="dxa"/>
          </w:tcPr>
          <w:p w14:paraId="05A958BE">
            <w:pPr>
              <w:adjustRightInd w:val="0"/>
              <w:snapToGrid w:val="0"/>
              <w:spacing w:line="360" w:lineRule="auto"/>
              <w:rPr>
                <w:rFonts w:hint="eastAsia" w:ascii="宋体" w:hAnsi="宋体"/>
                <w:kern w:val="0"/>
                <w:szCs w:val="21"/>
              </w:rPr>
            </w:pPr>
          </w:p>
        </w:tc>
        <w:tc>
          <w:tcPr>
            <w:tcW w:w="1418" w:type="dxa"/>
          </w:tcPr>
          <w:p w14:paraId="73A58103">
            <w:pPr>
              <w:adjustRightInd w:val="0"/>
              <w:snapToGrid w:val="0"/>
              <w:spacing w:line="360" w:lineRule="auto"/>
              <w:rPr>
                <w:rFonts w:hint="eastAsia" w:ascii="宋体" w:hAnsi="宋体"/>
                <w:kern w:val="0"/>
                <w:szCs w:val="21"/>
              </w:rPr>
            </w:pPr>
          </w:p>
        </w:tc>
      </w:tr>
      <w:tr w14:paraId="19AF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217" w:type="dxa"/>
            <w:gridSpan w:val="5"/>
            <w:vAlign w:val="top"/>
          </w:tcPr>
          <w:p w14:paraId="4B5FD6A9">
            <w:pPr>
              <w:adjustRightInd w:val="0"/>
              <w:snapToGrid w:val="0"/>
              <w:spacing w:line="360" w:lineRule="auto"/>
              <w:jc w:val="both"/>
              <w:rPr>
                <w:rFonts w:hint="default" w:ascii="宋体" w:hAnsi="宋体" w:eastAsia="宋体"/>
                <w:kern w:val="0"/>
                <w:szCs w:val="21"/>
                <w:lang w:val="en-US" w:eastAsia="zh-CN"/>
              </w:rPr>
            </w:pPr>
            <w:r>
              <w:rPr>
                <w:rFonts w:hint="eastAsia" w:ascii="宋体" w:hAnsi="宋体"/>
                <w:kern w:val="0"/>
                <w:szCs w:val="21"/>
                <w:highlight w:val="yellow"/>
                <w:lang w:val="en-US" w:eastAsia="zh-CN"/>
              </w:rPr>
              <w:t>证明材料：</w:t>
            </w:r>
          </w:p>
        </w:tc>
      </w:tr>
    </w:tbl>
    <w:p w14:paraId="38315FD9">
      <w:pPr>
        <w:ind w:firstLine="482" w:firstLineChars="200"/>
        <w:rPr>
          <w:b/>
          <w:sz w:val="24"/>
          <w:szCs w:val="22"/>
        </w:rPr>
      </w:pPr>
    </w:p>
    <w:p w14:paraId="1FBC8162">
      <w:pPr>
        <w:ind w:firstLine="482" w:firstLineChars="200"/>
        <w:rPr>
          <w:b/>
          <w:sz w:val="24"/>
          <w:szCs w:val="22"/>
        </w:rPr>
      </w:pPr>
      <w:r>
        <w:rPr>
          <w:rFonts w:hint="eastAsia"/>
          <w:b/>
          <w:sz w:val="24"/>
          <w:szCs w:val="22"/>
        </w:rPr>
        <w:t>注：1.上表所列各项均为不可负偏离条款。</w:t>
      </w:r>
    </w:p>
    <w:p w14:paraId="1087156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11BB5930">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2AAF302">
      <w:pPr>
        <w:ind w:firstLine="482" w:firstLineChars="200"/>
        <w:rPr>
          <w:b/>
          <w:sz w:val="24"/>
        </w:rPr>
      </w:pPr>
      <w:r>
        <w:rPr>
          <w:b/>
          <w:sz w:val="24"/>
        </w:rPr>
        <w:t>4.</w:t>
      </w:r>
      <w:r>
        <w:rPr>
          <w:rFonts w:hint="eastAsia"/>
          <w:b/>
          <w:sz w:val="24"/>
        </w:rPr>
        <w:t>评审委员会有权对投标响应情况作出判断（作出评审结论）。</w:t>
      </w:r>
    </w:p>
    <w:p w14:paraId="7A120AC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62"/>
    </w:p>
    <w:p w14:paraId="6CFF46BE">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06CC2E4F"/>
    <w:p w14:paraId="1200BBB6">
      <w:pPr>
        <w:pStyle w:val="54"/>
      </w:pPr>
    </w:p>
    <w:p w14:paraId="06309E16">
      <w:pPr>
        <w:pStyle w:val="3"/>
        <w:jc w:val="center"/>
        <w:rPr>
          <w:rFonts w:hint="eastAsia" w:ascii="黑体" w:eastAsia="黑体"/>
          <w:b w:val="0"/>
          <w:kern w:val="0"/>
          <w:sz w:val="24"/>
          <w:szCs w:val="24"/>
        </w:rPr>
      </w:pPr>
      <w:r>
        <w:rPr>
          <w:rFonts w:hint="eastAsia" w:ascii="黑体" w:eastAsia="黑体"/>
          <w:b w:val="0"/>
          <w:kern w:val="0"/>
          <w:sz w:val="24"/>
          <w:szCs w:val="24"/>
          <w:lang w:val="en-US" w:eastAsia="zh-CN"/>
        </w:rPr>
        <w:t>九</w:t>
      </w:r>
      <w:r>
        <w:rPr>
          <w:rFonts w:hint="eastAsia" w:ascii="黑体" w:eastAsia="黑体"/>
          <w:b w:val="0"/>
          <w:kern w:val="0"/>
          <w:sz w:val="24"/>
          <w:szCs w:val="24"/>
        </w:rPr>
        <w:t>、整体要求</w:t>
      </w:r>
    </w:p>
    <w:p w14:paraId="50A33536">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整体要求”这一评审因素要求，提供详细的证明资料。如需提供多份证明资料，投标人可自行制定证明资料目录或者表格，并在证明资料中对得分关键信息作显著标识（如红框标识等）。）</w:t>
      </w:r>
    </w:p>
    <w:p w14:paraId="4E3A5984">
      <w:pPr>
        <w:pStyle w:val="54"/>
      </w:pPr>
    </w:p>
    <w:p w14:paraId="2E63F77A">
      <w:pPr>
        <w:pStyle w:val="3"/>
        <w:jc w:val="center"/>
        <w:rPr>
          <w:sz w:val="24"/>
        </w:rPr>
      </w:pPr>
      <w:r>
        <w:rPr>
          <w:rFonts w:hint="eastAsia" w:ascii="黑体" w:eastAsia="黑体"/>
          <w:b w:val="0"/>
          <w:sz w:val="24"/>
          <w:szCs w:val="24"/>
          <w:lang w:val="en-US" w:eastAsia="zh-CN"/>
        </w:rPr>
        <w:t>十</w:t>
      </w:r>
      <w:r>
        <w:rPr>
          <w:rFonts w:hint="eastAsia" w:ascii="黑体" w:eastAsia="黑体"/>
          <w:b w:val="0"/>
          <w:sz w:val="24"/>
          <w:szCs w:val="24"/>
        </w:rPr>
        <w:t>、技术要求偏离表</w:t>
      </w:r>
    </w:p>
    <w:tbl>
      <w:tblPr>
        <w:tblStyle w:val="480"/>
        <w:tblW w:w="75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6"/>
        <w:gridCol w:w="1405"/>
        <w:gridCol w:w="2359"/>
        <w:gridCol w:w="1005"/>
        <w:gridCol w:w="1005"/>
        <w:gridCol w:w="1005"/>
      </w:tblGrid>
      <w:tr w14:paraId="7C819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806" w:type="dxa"/>
            <w:vAlign w:val="center"/>
          </w:tcPr>
          <w:p w14:paraId="718668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《二、货物清单明细》对应序号</w:t>
            </w:r>
          </w:p>
        </w:tc>
        <w:tc>
          <w:tcPr>
            <w:tcW w:w="1405" w:type="dxa"/>
            <w:vAlign w:val="center"/>
          </w:tcPr>
          <w:p w14:paraId="14E8A9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《二、货物清单明细》对应名称</w:t>
            </w:r>
          </w:p>
        </w:tc>
        <w:tc>
          <w:tcPr>
            <w:tcW w:w="2359" w:type="dxa"/>
            <w:vAlign w:val="center"/>
          </w:tcPr>
          <w:p w14:paraId="0BDA07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heme="minorEastAsia" w:hAnsiTheme="minorEastAsia" w:eastAsiaTheme="minorEastAsia" w:cstheme="minorEastAsia"/>
                <w:spacing w:val="4"/>
                <w:kern w:val="0"/>
                <w:sz w:val="21"/>
                <w:szCs w:val="21"/>
                <w:lang w:val="en-US" w:eastAsia="zh-CN"/>
              </w:rPr>
            </w:pPr>
            <w:r>
              <w:rPr>
                <w:rFonts w:hint="eastAsia" w:asciiTheme="minorEastAsia" w:hAnsiTheme="minorEastAsia" w:eastAsiaTheme="minorEastAsia" w:cstheme="minorEastAsia"/>
                <w:spacing w:val="4"/>
                <w:kern w:val="0"/>
                <w:sz w:val="21"/>
                <w:szCs w:val="21"/>
                <w:lang w:val="en-US" w:eastAsia="zh-CN"/>
              </w:rPr>
              <w:t>技术参数指标</w:t>
            </w:r>
          </w:p>
        </w:tc>
        <w:tc>
          <w:tcPr>
            <w:tcW w:w="1005" w:type="dxa"/>
            <w:vAlign w:val="center"/>
          </w:tcPr>
          <w:p w14:paraId="7459D8F1">
            <w:pPr>
              <w:jc w:val="center"/>
              <w:rPr>
                <w:rFonts w:hint="eastAsia" w:asciiTheme="minorEastAsia" w:hAnsiTheme="minorEastAsia" w:eastAsiaTheme="minorEastAsia" w:cstheme="minorEastAsia"/>
                <w:spacing w:val="4"/>
                <w:kern w:val="0"/>
                <w:sz w:val="21"/>
                <w:szCs w:val="21"/>
                <w:lang w:val="en-US" w:eastAsia="zh-CN"/>
              </w:rPr>
            </w:pPr>
            <w:r>
              <w:rPr>
                <w:rFonts w:hint="eastAsia" w:ascii="宋体" w:hAnsi="宋体" w:cs="宋体"/>
                <w:kern w:val="0"/>
                <w:sz w:val="21"/>
                <w:szCs w:val="21"/>
              </w:rPr>
              <w:t>投标技术响应</w:t>
            </w:r>
          </w:p>
        </w:tc>
        <w:tc>
          <w:tcPr>
            <w:tcW w:w="1005" w:type="dxa"/>
            <w:vAlign w:val="center"/>
          </w:tcPr>
          <w:p w14:paraId="6316FF8C">
            <w:pPr>
              <w:jc w:val="center"/>
              <w:rPr>
                <w:rFonts w:hint="eastAsia" w:asciiTheme="minorEastAsia" w:hAnsiTheme="minorEastAsia" w:eastAsiaTheme="minorEastAsia" w:cstheme="minorEastAsia"/>
                <w:spacing w:val="4"/>
                <w:kern w:val="0"/>
                <w:sz w:val="21"/>
                <w:szCs w:val="21"/>
                <w:lang w:val="en-US" w:eastAsia="zh-CN"/>
              </w:rPr>
            </w:pPr>
            <w:r>
              <w:rPr>
                <w:rFonts w:hint="eastAsia" w:ascii="宋体" w:hAnsi="宋体" w:cs="宋体"/>
                <w:kern w:val="0"/>
                <w:sz w:val="21"/>
                <w:szCs w:val="21"/>
              </w:rPr>
              <w:t>偏离情况</w:t>
            </w:r>
          </w:p>
        </w:tc>
        <w:tc>
          <w:tcPr>
            <w:tcW w:w="1005" w:type="dxa"/>
            <w:vAlign w:val="center"/>
          </w:tcPr>
          <w:p w14:paraId="7488F8E8">
            <w:pPr>
              <w:jc w:val="center"/>
              <w:rPr>
                <w:rFonts w:hint="eastAsia" w:asciiTheme="minorEastAsia" w:hAnsiTheme="minorEastAsia" w:eastAsiaTheme="minorEastAsia" w:cstheme="minorEastAsia"/>
                <w:spacing w:val="4"/>
                <w:kern w:val="0"/>
                <w:sz w:val="21"/>
                <w:szCs w:val="21"/>
                <w:lang w:val="en-US" w:eastAsia="zh-CN"/>
              </w:rPr>
            </w:pPr>
            <w:r>
              <w:rPr>
                <w:rFonts w:hint="eastAsia" w:ascii="宋体" w:hAnsi="宋体" w:cs="宋体"/>
                <w:kern w:val="0"/>
                <w:sz w:val="21"/>
                <w:szCs w:val="21"/>
              </w:rPr>
              <w:t>说明</w:t>
            </w:r>
          </w:p>
        </w:tc>
      </w:tr>
      <w:tr w14:paraId="0CD7B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06" w:type="dxa"/>
            <w:tcMar>
              <w:top w:w="0" w:type="dxa"/>
              <w:left w:w="113" w:type="dxa"/>
              <w:bottom w:w="0" w:type="dxa"/>
              <w:right w:w="0" w:type="dxa"/>
            </w:tcMar>
            <w:vAlign w:val="center"/>
          </w:tcPr>
          <w:p w14:paraId="6ED8B11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6</w:t>
            </w:r>
          </w:p>
        </w:tc>
        <w:tc>
          <w:tcPr>
            <w:tcW w:w="1405" w:type="dxa"/>
            <w:tcMar>
              <w:top w:w="0" w:type="dxa"/>
              <w:left w:w="113" w:type="dxa"/>
              <w:bottom w:w="0" w:type="dxa"/>
              <w:right w:w="0" w:type="dxa"/>
            </w:tcMar>
            <w:vAlign w:val="center"/>
          </w:tcPr>
          <w:p w14:paraId="2B1481E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血球配套校准品、质控品及其他耗材</w:t>
            </w:r>
          </w:p>
        </w:tc>
        <w:tc>
          <w:tcPr>
            <w:tcW w:w="2359" w:type="dxa"/>
            <w:tcMar>
              <w:top w:w="0" w:type="dxa"/>
              <w:left w:w="113" w:type="dxa"/>
              <w:bottom w:w="0" w:type="dxa"/>
              <w:right w:w="0" w:type="dxa"/>
            </w:tcMar>
            <w:vAlign w:val="center"/>
          </w:tcPr>
          <w:p w14:paraId="4609CEE5">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kern w:val="0"/>
                <w:sz w:val="21"/>
                <w:szCs w:val="21"/>
                <w:lang w:val="en-US" w:eastAsia="zh-CN"/>
              </w:rPr>
            </w:pPr>
            <w:r>
              <w:rPr>
                <w:rFonts w:hint="eastAsia" w:ascii="Times New Roman" w:hAnsi="Times New Roman" w:eastAsia="宋体" w:cs="Times New Roman"/>
                <w:lang w:val="en-US" w:eastAsia="zh-CN"/>
              </w:rPr>
              <w:t>1.血球质控品具备同品牌经过NMPA注册的复合质控品，一支质控品可以涵盖红细胞计数，白细胞分类、网织红细胞等检测项目(以靶值表为准)</w:t>
            </w:r>
            <w:r>
              <w:rPr>
                <w:rFonts w:hint="eastAsia" w:ascii="Times New Roman" w:hAnsi="Times New Roman" w:eastAsia="宋体" w:cs="Times New Roman"/>
                <w:lang w:eastAsia="zh-CN"/>
              </w:rPr>
              <w:t>。</w:t>
            </w:r>
          </w:p>
        </w:tc>
        <w:tc>
          <w:tcPr>
            <w:tcW w:w="1005" w:type="dxa"/>
            <w:tcMar>
              <w:top w:w="0" w:type="dxa"/>
              <w:left w:w="113" w:type="dxa"/>
              <w:bottom w:w="0" w:type="dxa"/>
              <w:right w:w="0" w:type="dxa"/>
            </w:tcMar>
            <w:vAlign w:val="center"/>
          </w:tcPr>
          <w:p w14:paraId="2A301A3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imes New Roman" w:hAnsi="Times New Roman" w:eastAsia="宋体" w:cs="Times New Roman"/>
                <w:lang w:val="en-US" w:eastAsia="zh-CN"/>
              </w:rPr>
            </w:pPr>
          </w:p>
        </w:tc>
        <w:tc>
          <w:tcPr>
            <w:tcW w:w="1005" w:type="dxa"/>
            <w:tcMar>
              <w:top w:w="0" w:type="dxa"/>
              <w:left w:w="113" w:type="dxa"/>
              <w:bottom w:w="0" w:type="dxa"/>
              <w:right w:w="0" w:type="dxa"/>
            </w:tcMar>
            <w:vAlign w:val="center"/>
          </w:tcPr>
          <w:p w14:paraId="09A84C8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imes New Roman" w:hAnsi="Times New Roman" w:eastAsia="宋体" w:cs="Times New Roman"/>
                <w:lang w:val="en-US" w:eastAsia="zh-CN"/>
              </w:rPr>
            </w:pPr>
          </w:p>
        </w:tc>
        <w:tc>
          <w:tcPr>
            <w:tcW w:w="1005" w:type="dxa"/>
            <w:tcMar>
              <w:top w:w="0" w:type="dxa"/>
              <w:left w:w="113" w:type="dxa"/>
              <w:bottom w:w="0" w:type="dxa"/>
              <w:right w:w="0" w:type="dxa"/>
            </w:tcMar>
            <w:vAlign w:val="center"/>
          </w:tcPr>
          <w:p w14:paraId="2B4D36AE">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imes New Roman" w:hAnsi="Times New Roman" w:eastAsia="宋体" w:cs="Times New Roman"/>
                <w:lang w:val="en-US" w:eastAsia="zh-CN"/>
              </w:rPr>
            </w:pPr>
          </w:p>
        </w:tc>
      </w:tr>
      <w:tr w14:paraId="193C2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70490DDF">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ascii="Times New Roman" w:hAnsi="Times New Roman" w:eastAsia="宋体" w:cs="Times New Roman"/>
                <w:lang w:val="en-US" w:eastAsia="zh-CN"/>
              </w:rPr>
            </w:pPr>
            <w:r>
              <w:rPr>
                <w:rFonts w:hint="eastAsia" w:ascii="Times New Roman" w:hAnsi="Times New Roman" w:cs="Times New Roman"/>
                <w:lang w:val="en-US" w:eastAsia="zh-CN"/>
              </w:rPr>
              <w:t>6</w:t>
            </w:r>
          </w:p>
        </w:tc>
        <w:tc>
          <w:tcPr>
            <w:tcW w:w="1405" w:type="dxa"/>
            <w:tcMar>
              <w:top w:w="0" w:type="dxa"/>
              <w:left w:w="113" w:type="dxa"/>
              <w:bottom w:w="0" w:type="dxa"/>
              <w:right w:w="0" w:type="dxa"/>
            </w:tcMar>
            <w:vAlign w:val="center"/>
          </w:tcPr>
          <w:p w14:paraId="78C243F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ascii="Times New Roman" w:hAnsi="Times New Roman" w:eastAsia="宋体" w:cs="Times New Roman"/>
                <w:lang w:val="en-US" w:eastAsia="zh-CN"/>
              </w:rPr>
            </w:pPr>
            <w:r>
              <w:rPr>
                <w:rFonts w:hint="eastAsia" w:ascii="宋体" w:hAnsi="宋体" w:eastAsia="宋体" w:cs="宋体"/>
                <w:i w:val="0"/>
                <w:iCs w:val="0"/>
                <w:color w:val="000000"/>
                <w:kern w:val="0"/>
                <w:sz w:val="21"/>
                <w:szCs w:val="21"/>
                <w:u w:val="none"/>
                <w:lang w:val="en-US" w:eastAsia="zh-CN" w:bidi="ar"/>
              </w:rPr>
              <w:t>血球配套校准品、质控品及其他耗材</w:t>
            </w:r>
          </w:p>
        </w:tc>
        <w:tc>
          <w:tcPr>
            <w:tcW w:w="2359" w:type="dxa"/>
            <w:tcMar>
              <w:top w:w="0" w:type="dxa"/>
              <w:left w:w="113" w:type="dxa"/>
              <w:bottom w:w="0" w:type="dxa"/>
              <w:right w:w="0" w:type="dxa"/>
            </w:tcMar>
            <w:vAlign w:val="center"/>
          </w:tcPr>
          <w:p w14:paraId="44F58758">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kern w:val="0"/>
                <w:sz w:val="21"/>
                <w:szCs w:val="21"/>
                <w:lang w:val="en-US" w:eastAsia="zh-CN"/>
              </w:rPr>
            </w:pPr>
            <w:r>
              <w:rPr>
                <w:rFonts w:hint="eastAsia" w:ascii="Times New Roman" w:hAnsi="Times New Roman" w:eastAsia="宋体" w:cs="Times New Roman"/>
                <w:b/>
                <w:bCs/>
                <w:color w:val="FF0000"/>
                <w:lang w:val="en-US" w:eastAsia="zh-CN"/>
              </w:rPr>
              <w:t>2.血球提供原厂校准品溯源报告，具备RET校准品，以注册证为准。</w:t>
            </w:r>
          </w:p>
        </w:tc>
        <w:tc>
          <w:tcPr>
            <w:tcW w:w="1005" w:type="dxa"/>
            <w:tcMar>
              <w:top w:w="0" w:type="dxa"/>
              <w:left w:w="113" w:type="dxa"/>
              <w:bottom w:w="0" w:type="dxa"/>
              <w:right w:w="0" w:type="dxa"/>
            </w:tcMar>
            <w:vAlign w:val="center"/>
          </w:tcPr>
          <w:p w14:paraId="01D8F3D5">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imes New Roman" w:hAnsi="Times New Roman" w:eastAsia="宋体" w:cs="Times New Roman"/>
                <w:b/>
                <w:bCs/>
                <w:color w:val="FF0000"/>
                <w:lang w:val="en-US" w:eastAsia="zh-CN"/>
              </w:rPr>
            </w:pPr>
          </w:p>
        </w:tc>
        <w:tc>
          <w:tcPr>
            <w:tcW w:w="1005" w:type="dxa"/>
            <w:tcMar>
              <w:top w:w="0" w:type="dxa"/>
              <w:left w:w="113" w:type="dxa"/>
              <w:bottom w:w="0" w:type="dxa"/>
              <w:right w:w="0" w:type="dxa"/>
            </w:tcMar>
            <w:vAlign w:val="center"/>
          </w:tcPr>
          <w:p w14:paraId="528B4BD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imes New Roman" w:hAnsi="Times New Roman" w:eastAsia="宋体" w:cs="Times New Roman"/>
                <w:b/>
                <w:bCs/>
                <w:color w:val="FF0000"/>
                <w:lang w:val="en-US" w:eastAsia="zh-CN"/>
              </w:rPr>
            </w:pPr>
          </w:p>
        </w:tc>
        <w:tc>
          <w:tcPr>
            <w:tcW w:w="1005" w:type="dxa"/>
            <w:tcMar>
              <w:top w:w="0" w:type="dxa"/>
              <w:left w:w="113" w:type="dxa"/>
              <w:bottom w:w="0" w:type="dxa"/>
              <w:right w:w="0" w:type="dxa"/>
            </w:tcMar>
            <w:vAlign w:val="center"/>
          </w:tcPr>
          <w:p w14:paraId="6136BEC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imes New Roman" w:hAnsi="Times New Roman" w:eastAsia="宋体" w:cs="Times New Roman"/>
                <w:b/>
                <w:bCs/>
                <w:color w:val="FF0000"/>
                <w:lang w:val="en-US" w:eastAsia="zh-CN"/>
              </w:rPr>
            </w:pPr>
          </w:p>
        </w:tc>
      </w:tr>
      <w:tr w14:paraId="70801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5B96CF2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42</w:t>
            </w:r>
          </w:p>
        </w:tc>
        <w:tc>
          <w:tcPr>
            <w:tcW w:w="1405" w:type="dxa"/>
            <w:tcMar>
              <w:top w:w="0" w:type="dxa"/>
              <w:left w:w="113" w:type="dxa"/>
              <w:bottom w:w="0" w:type="dxa"/>
              <w:right w:w="0" w:type="dxa"/>
            </w:tcMar>
            <w:vAlign w:val="center"/>
          </w:tcPr>
          <w:p w14:paraId="66D62C0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乙型肝炎病毒表面抗原（HBsAg）测定试剂</w:t>
            </w:r>
          </w:p>
        </w:tc>
        <w:tc>
          <w:tcPr>
            <w:tcW w:w="2359" w:type="dxa"/>
            <w:tcMar>
              <w:top w:w="0" w:type="dxa"/>
              <w:left w:w="113" w:type="dxa"/>
              <w:bottom w:w="0" w:type="dxa"/>
              <w:right w:w="0" w:type="dxa"/>
            </w:tcMar>
            <w:vAlign w:val="center"/>
          </w:tcPr>
          <w:p w14:paraId="02EADB6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color w:val="FF0000"/>
                <w:kern w:val="0"/>
                <w:sz w:val="21"/>
                <w:szCs w:val="21"/>
                <w:lang w:val="en-US" w:eastAsia="zh-CN"/>
              </w:rPr>
            </w:pPr>
            <w:r>
              <w:rPr>
                <w:rFonts w:hint="eastAsia"/>
                <w:b/>
                <w:bCs/>
                <w:color w:val="FF0000"/>
                <w:highlight w:val="none"/>
                <w:lang w:val="en-US" w:eastAsia="zh-CN"/>
              </w:rPr>
              <w:t>4</w:t>
            </w:r>
            <w:r>
              <w:rPr>
                <w:rFonts w:hint="eastAsia"/>
                <w:b/>
                <w:bCs/>
                <w:color w:val="FF0000"/>
                <w:highlight w:val="none"/>
              </w:rPr>
              <w:t>.HBSAg 定量满足临床治疗监测场景需要</w:t>
            </w:r>
            <w:r>
              <w:rPr>
                <w:rFonts w:hint="eastAsia"/>
                <w:b/>
                <w:bCs/>
                <w:color w:val="FF0000"/>
                <w:highlight w:val="none"/>
                <w:lang w:eastAsia="zh-CN"/>
              </w:rPr>
              <w:t>：</w:t>
            </w:r>
            <w:r>
              <w:rPr>
                <w:rFonts w:hint="eastAsia"/>
                <w:b/>
                <w:bCs/>
                <w:color w:val="FF0000"/>
                <w:highlight w:val="none"/>
              </w:rPr>
              <w:t>CV&lt;10%。(提供试剂说明书作</w:t>
            </w:r>
            <w:r>
              <w:rPr>
                <w:rFonts w:hint="eastAsia"/>
                <w:b/>
                <w:bCs/>
                <w:color w:val="FF0000"/>
                <w:highlight w:val="none"/>
                <w:lang w:val="en-US" w:eastAsia="zh-CN"/>
              </w:rPr>
              <w:t>扫描件作</w:t>
            </w:r>
            <w:r>
              <w:rPr>
                <w:rFonts w:hint="eastAsia"/>
                <w:b/>
                <w:bCs/>
                <w:color w:val="FF0000"/>
                <w:highlight w:val="none"/>
              </w:rPr>
              <w:t>为证明材料)</w:t>
            </w:r>
          </w:p>
        </w:tc>
        <w:tc>
          <w:tcPr>
            <w:tcW w:w="1005" w:type="dxa"/>
            <w:tcMar>
              <w:top w:w="0" w:type="dxa"/>
              <w:left w:w="113" w:type="dxa"/>
              <w:bottom w:w="0" w:type="dxa"/>
              <w:right w:w="0" w:type="dxa"/>
            </w:tcMar>
            <w:vAlign w:val="center"/>
          </w:tcPr>
          <w:p w14:paraId="73F7D98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7FF3667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79EEFB3F">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r>
      <w:tr w14:paraId="10B71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3CD3DD1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42</w:t>
            </w:r>
          </w:p>
        </w:tc>
        <w:tc>
          <w:tcPr>
            <w:tcW w:w="1405" w:type="dxa"/>
            <w:tcMar>
              <w:top w:w="0" w:type="dxa"/>
              <w:left w:w="113" w:type="dxa"/>
              <w:bottom w:w="0" w:type="dxa"/>
              <w:right w:w="0" w:type="dxa"/>
            </w:tcMar>
            <w:vAlign w:val="center"/>
          </w:tcPr>
          <w:p w14:paraId="1749588F">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乙型肝炎病毒表面抗原（HBsAg）测定试剂</w:t>
            </w:r>
          </w:p>
        </w:tc>
        <w:tc>
          <w:tcPr>
            <w:tcW w:w="2359" w:type="dxa"/>
            <w:tcMar>
              <w:top w:w="0" w:type="dxa"/>
              <w:left w:w="113" w:type="dxa"/>
              <w:bottom w:w="0" w:type="dxa"/>
              <w:right w:w="0" w:type="dxa"/>
            </w:tcMar>
            <w:vAlign w:val="center"/>
          </w:tcPr>
          <w:p w14:paraId="345623E1">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color w:val="FF0000"/>
                <w:kern w:val="0"/>
                <w:sz w:val="21"/>
                <w:szCs w:val="21"/>
                <w:lang w:val="en-US" w:eastAsia="zh-CN"/>
              </w:rPr>
            </w:pPr>
            <w:r>
              <w:rPr>
                <w:rFonts w:hint="eastAsia"/>
                <w:b/>
                <w:bCs/>
                <w:color w:val="FF0000"/>
                <w:highlight w:val="none"/>
                <w:lang w:val="en-US" w:eastAsia="zh-CN"/>
              </w:rPr>
              <w:t>5</w:t>
            </w:r>
            <w:r>
              <w:rPr>
                <w:rFonts w:hint="eastAsia"/>
                <w:b/>
                <w:bCs/>
                <w:color w:val="FF0000"/>
                <w:highlight w:val="none"/>
              </w:rPr>
              <w:t>.乙肝表面抗原分析灵敏度≤0.05。(提供试剂说明书</w:t>
            </w:r>
            <w:r>
              <w:rPr>
                <w:rFonts w:hint="eastAsia"/>
                <w:b/>
                <w:bCs/>
                <w:color w:val="FF0000"/>
                <w:highlight w:val="none"/>
                <w:lang w:val="en-US" w:eastAsia="zh-CN"/>
              </w:rPr>
              <w:t>扫描件</w:t>
            </w:r>
            <w:r>
              <w:rPr>
                <w:rFonts w:hint="eastAsia"/>
                <w:b/>
                <w:bCs/>
                <w:color w:val="FF0000"/>
                <w:highlight w:val="none"/>
              </w:rPr>
              <w:t>作为证明材料)</w:t>
            </w:r>
          </w:p>
        </w:tc>
        <w:tc>
          <w:tcPr>
            <w:tcW w:w="1005" w:type="dxa"/>
            <w:tcMar>
              <w:top w:w="0" w:type="dxa"/>
              <w:left w:w="113" w:type="dxa"/>
              <w:bottom w:w="0" w:type="dxa"/>
              <w:right w:w="0" w:type="dxa"/>
            </w:tcMar>
            <w:vAlign w:val="center"/>
          </w:tcPr>
          <w:p w14:paraId="5C4CE1C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0E38B844">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7B94DDB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r>
      <w:tr w14:paraId="34CAF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1ADD359F">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35</w:t>
            </w:r>
          </w:p>
        </w:tc>
        <w:tc>
          <w:tcPr>
            <w:tcW w:w="1405" w:type="dxa"/>
            <w:tcMar>
              <w:top w:w="0" w:type="dxa"/>
              <w:left w:w="113" w:type="dxa"/>
              <w:bottom w:w="0" w:type="dxa"/>
              <w:right w:w="0" w:type="dxa"/>
            </w:tcMar>
            <w:vAlign w:val="center"/>
          </w:tcPr>
          <w:p w14:paraId="3DDCBD08">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2359" w:type="dxa"/>
            <w:tcMar>
              <w:top w:w="0" w:type="dxa"/>
              <w:left w:w="113" w:type="dxa"/>
              <w:bottom w:w="0" w:type="dxa"/>
              <w:right w:w="0" w:type="dxa"/>
            </w:tcMar>
            <w:vAlign w:val="center"/>
          </w:tcPr>
          <w:p w14:paraId="005D303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lang w:val="en-US" w:eastAsia="zh-CN"/>
              </w:rPr>
              <w:t>6</w:t>
            </w:r>
            <w:r>
              <w:rPr>
                <w:rFonts w:hint="eastAsia"/>
                <w:b/>
                <w:bCs/>
                <w:color w:val="FF0000"/>
                <w:highlight w:val="none"/>
              </w:rPr>
              <w:t>.具备高敏肌钙蛋白、NT-proBNP、sST2等项目的检测能力。（提供试剂说明书</w:t>
            </w:r>
            <w:r>
              <w:rPr>
                <w:rFonts w:hint="eastAsia"/>
                <w:b/>
                <w:bCs/>
                <w:color w:val="FF0000"/>
                <w:highlight w:val="none"/>
                <w:lang w:val="en-US" w:eastAsia="zh-CN"/>
              </w:rPr>
              <w:t>扫描件</w:t>
            </w:r>
            <w:r>
              <w:rPr>
                <w:rFonts w:hint="eastAsia"/>
                <w:b/>
                <w:bCs/>
                <w:color w:val="FF0000"/>
                <w:highlight w:val="none"/>
              </w:rPr>
              <w:t>作为证明资料）</w:t>
            </w:r>
          </w:p>
        </w:tc>
        <w:tc>
          <w:tcPr>
            <w:tcW w:w="1005" w:type="dxa"/>
            <w:tcMar>
              <w:top w:w="0" w:type="dxa"/>
              <w:left w:w="113" w:type="dxa"/>
              <w:bottom w:w="0" w:type="dxa"/>
              <w:right w:w="0" w:type="dxa"/>
            </w:tcMar>
            <w:vAlign w:val="center"/>
          </w:tcPr>
          <w:p w14:paraId="62B2DDB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2D63DD2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0BBB9BF5">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r>
      <w:tr w14:paraId="4F378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6C5799F4">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33、35</w:t>
            </w:r>
          </w:p>
        </w:tc>
        <w:tc>
          <w:tcPr>
            <w:tcW w:w="1405" w:type="dxa"/>
            <w:tcMar>
              <w:top w:w="0" w:type="dxa"/>
              <w:left w:w="113" w:type="dxa"/>
              <w:bottom w:w="0" w:type="dxa"/>
              <w:right w:w="0" w:type="dxa"/>
            </w:tcMar>
            <w:vAlign w:val="center"/>
          </w:tcPr>
          <w:p w14:paraId="1DD8879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2359" w:type="dxa"/>
            <w:tcMar>
              <w:top w:w="0" w:type="dxa"/>
              <w:left w:w="113" w:type="dxa"/>
              <w:bottom w:w="0" w:type="dxa"/>
              <w:right w:w="0" w:type="dxa"/>
            </w:tcMar>
            <w:vAlign w:val="center"/>
          </w:tcPr>
          <w:p w14:paraId="7FEBF54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val="0"/>
                <w:bCs w:val="0"/>
                <w:color w:val="auto"/>
                <w:highlight w:val="none"/>
                <w:lang w:val="en-US" w:eastAsia="zh-CN"/>
              </w:rPr>
              <w:t>7</w:t>
            </w:r>
            <w:r>
              <w:rPr>
                <w:rFonts w:hint="eastAsia"/>
                <w:b w:val="0"/>
                <w:bCs w:val="0"/>
                <w:color w:val="auto"/>
                <w:highlight w:val="none"/>
              </w:rPr>
              <w:t>.高敏肌钙蛋白试剂可提供健康人群检出率数据，并能提供 IFCC 发布的相关材料支持。</w:t>
            </w:r>
          </w:p>
        </w:tc>
        <w:tc>
          <w:tcPr>
            <w:tcW w:w="1005" w:type="dxa"/>
            <w:tcMar>
              <w:top w:w="0" w:type="dxa"/>
              <w:left w:w="113" w:type="dxa"/>
              <w:bottom w:w="0" w:type="dxa"/>
              <w:right w:w="0" w:type="dxa"/>
            </w:tcMar>
            <w:vAlign w:val="center"/>
          </w:tcPr>
          <w:p w14:paraId="6F43E825">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val="0"/>
                <w:bCs w:val="0"/>
                <w:color w:val="auto"/>
                <w:highlight w:val="none"/>
                <w:lang w:val="en-US" w:eastAsia="zh-CN"/>
              </w:rPr>
            </w:pPr>
          </w:p>
        </w:tc>
        <w:tc>
          <w:tcPr>
            <w:tcW w:w="1005" w:type="dxa"/>
            <w:tcMar>
              <w:top w:w="0" w:type="dxa"/>
              <w:left w:w="113" w:type="dxa"/>
              <w:bottom w:w="0" w:type="dxa"/>
              <w:right w:w="0" w:type="dxa"/>
            </w:tcMar>
            <w:vAlign w:val="center"/>
          </w:tcPr>
          <w:p w14:paraId="5322B6EB">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val="0"/>
                <w:bCs w:val="0"/>
                <w:color w:val="auto"/>
                <w:highlight w:val="none"/>
                <w:lang w:val="en-US" w:eastAsia="zh-CN"/>
              </w:rPr>
            </w:pPr>
          </w:p>
        </w:tc>
        <w:tc>
          <w:tcPr>
            <w:tcW w:w="1005" w:type="dxa"/>
            <w:tcMar>
              <w:top w:w="0" w:type="dxa"/>
              <w:left w:w="113" w:type="dxa"/>
              <w:bottom w:w="0" w:type="dxa"/>
              <w:right w:w="0" w:type="dxa"/>
            </w:tcMar>
            <w:vAlign w:val="center"/>
          </w:tcPr>
          <w:p w14:paraId="6E317E7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val="0"/>
                <w:bCs w:val="0"/>
                <w:color w:val="auto"/>
                <w:highlight w:val="none"/>
                <w:lang w:val="en-US" w:eastAsia="zh-CN"/>
              </w:rPr>
            </w:pPr>
          </w:p>
        </w:tc>
      </w:tr>
      <w:tr w14:paraId="5F5E7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12E0798B">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33、35</w:t>
            </w:r>
          </w:p>
        </w:tc>
        <w:tc>
          <w:tcPr>
            <w:tcW w:w="1405" w:type="dxa"/>
            <w:tcMar>
              <w:top w:w="0" w:type="dxa"/>
              <w:left w:w="113" w:type="dxa"/>
              <w:bottom w:w="0" w:type="dxa"/>
              <w:right w:w="0" w:type="dxa"/>
            </w:tcMar>
            <w:vAlign w:val="center"/>
          </w:tcPr>
          <w:p w14:paraId="4F3B09A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2359" w:type="dxa"/>
            <w:tcMar>
              <w:top w:w="0" w:type="dxa"/>
              <w:left w:w="113" w:type="dxa"/>
              <w:bottom w:w="0" w:type="dxa"/>
              <w:right w:w="0" w:type="dxa"/>
            </w:tcMar>
            <w:vAlign w:val="center"/>
          </w:tcPr>
          <w:p w14:paraId="47D5958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lang w:val="en-US" w:eastAsia="zh-CN"/>
              </w:rPr>
              <w:t>8</w:t>
            </w:r>
            <w:r>
              <w:rPr>
                <w:rFonts w:hint="eastAsia"/>
                <w:b/>
                <w:bCs/>
                <w:color w:val="FF0000"/>
                <w:highlight w:val="none"/>
              </w:rPr>
              <w:t>.心脏标志物（高敏肌钙蛋白或肌钙蛋白、BNP或NT-proBNP)同一批号试剂两次校准间隔时长≥28天（提供试剂说明书</w:t>
            </w:r>
            <w:r>
              <w:rPr>
                <w:rFonts w:hint="eastAsia"/>
                <w:b/>
                <w:bCs/>
                <w:color w:val="FF0000"/>
                <w:highlight w:val="none"/>
                <w:lang w:val="en-US" w:eastAsia="zh-CN"/>
              </w:rPr>
              <w:t>扫描件</w:t>
            </w:r>
            <w:r>
              <w:rPr>
                <w:rFonts w:hint="eastAsia"/>
                <w:b/>
                <w:bCs/>
                <w:color w:val="FF0000"/>
                <w:highlight w:val="none"/>
              </w:rPr>
              <w:t>作为证明资料）</w:t>
            </w:r>
          </w:p>
        </w:tc>
        <w:tc>
          <w:tcPr>
            <w:tcW w:w="1005" w:type="dxa"/>
            <w:tcMar>
              <w:top w:w="0" w:type="dxa"/>
              <w:left w:w="113" w:type="dxa"/>
              <w:bottom w:w="0" w:type="dxa"/>
              <w:right w:w="0" w:type="dxa"/>
            </w:tcMar>
            <w:vAlign w:val="center"/>
          </w:tcPr>
          <w:p w14:paraId="0B86DC9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1508846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07201D0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r>
      <w:tr w14:paraId="2B41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73862CB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35</w:t>
            </w:r>
          </w:p>
        </w:tc>
        <w:tc>
          <w:tcPr>
            <w:tcW w:w="1405" w:type="dxa"/>
            <w:tcMar>
              <w:top w:w="0" w:type="dxa"/>
              <w:left w:w="113" w:type="dxa"/>
              <w:bottom w:w="0" w:type="dxa"/>
              <w:right w:w="0" w:type="dxa"/>
            </w:tcMar>
            <w:vAlign w:val="center"/>
          </w:tcPr>
          <w:p w14:paraId="3E3D802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2359" w:type="dxa"/>
            <w:tcMar>
              <w:top w:w="0" w:type="dxa"/>
              <w:left w:w="113" w:type="dxa"/>
              <w:bottom w:w="0" w:type="dxa"/>
              <w:right w:w="0" w:type="dxa"/>
            </w:tcMar>
            <w:vAlign w:val="center"/>
          </w:tcPr>
          <w:p w14:paraId="73FC10E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lang w:val="en-US" w:eastAsia="zh-CN"/>
              </w:rPr>
              <w:t>9</w:t>
            </w:r>
            <w:r>
              <w:rPr>
                <w:rFonts w:hint="eastAsia"/>
                <w:b/>
                <w:bCs/>
                <w:color w:val="FF0000"/>
                <w:highlight w:val="none"/>
              </w:rPr>
              <w:t>.高敏肌钙蛋白试剂能提供三个水平的质控。(提供试剂说明书</w:t>
            </w:r>
            <w:r>
              <w:rPr>
                <w:rFonts w:hint="eastAsia"/>
                <w:b/>
                <w:bCs/>
                <w:color w:val="FF0000"/>
                <w:highlight w:val="none"/>
                <w:lang w:val="en-US" w:eastAsia="zh-CN"/>
              </w:rPr>
              <w:t>扫描件</w:t>
            </w:r>
            <w:r>
              <w:rPr>
                <w:rFonts w:hint="eastAsia"/>
                <w:b/>
                <w:bCs/>
                <w:color w:val="FF0000"/>
                <w:highlight w:val="none"/>
              </w:rPr>
              <w:t>作为证明材料)</w:t>
            </w:r>
          </w:p>
        </w:tc>
        <w:tc>
          <w:tcPr>
            <w:tcW w:w="1005" w:type="dxa"/>
            <w:tcMar>
              <w:top w:w="0" w:type="dxa"/>
              <w:left w:w="113" w:type="dxa"/>
              <w:bottom w:w="0" w:type="dxa"/>
              <w:right w:w="0" w:type="dxa"/>
            </w:tcMar>
            <w:vAlign w:val="center"/>
          </w:tcPr>
          <w:p w14:paraId="64B42B63">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6B7D97B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c>
          <w:tcPr>
            <w:tcW w:w="1005" w:type="dxa"/>
            <w:tcMar>
              <w:top w:w="0" w:type="dxa"/>
              <w:left w:w="113" w:type="dxa"/>
              <w:bottom w:w="0" w:type="dxa"/>
              <w:right w:w="0" w:type="dxa"/>
            </w:tcMar>
            <w:vAlign w:val="center"/>
          </w:tcPr>
          <w:p w14:paraId="1800A18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lang w:val="en-US" w:eastAsia="zh-CN"/>
              </w:rPr>
            </w:pPr>
          </w:p>
        </w:tc>
      </w:tr>
      <w:tr w14:paraId="6F45A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22EC3B1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33</w:t>
            </w:r>
          </w:p>
        </w:tc>
        <w:tc>
          <w:tcPr>
            <w:tcW w:w="1405" w:type="dxa"/>
            <w:tcMar>
              <w:top w:w="0" w:type="dxa"/>
              <w:left w:w="113" w:type="dxa"/>
              <w:bottom w:w="0" w:type="dxa"/>
              <w:right w:w="0" w:type="dxa"/>
            </w:tcMar>
            <w:vAlign w:val="center"/>
          </w:tcPr>
          <w:p w14:paraId="5521741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p>
        </w:tc>
        <w:tc>
          <w:tcPr>
            <w:tcW w:w="2359" w:type="dxa"/>
            <w:tcMar>
              <w:top w:w="0" w:type="dxa"/>
              <w:left w:w="113" w:type="dxa"/>
              <w:bottom w:w="0" w:type="dxa"/>
              <w:right w:w="0" w:type="dxa"/>
            </w:tcMar>
            <w:vAlign w:val="center"/>
          </w:tcPr>
          <w:p w14:paraId="78AE956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rPr>
              <w:t>1</w:t>
            </w:r>
            <w:r>
              <w:rPr>
                <w:rFonts w:hint="eastAsia"/>
                <w:b/>
                <w:bCs/>
                <w:color w:val="FF0000"/>
                <w:highlight w:val="none"/>
                <w:lang w:val="en-US" w:eastAsia="zh-CN"/>
              </w:rPr>
              <w:t>0</w:t>
            </w:r>
            <w:r>
              <w:rPr>
                <w:rFonts w:hint="eastAsia"/>
                <w:b/>
                <w:bCs/>
                <w:color w:val="FF0000"/>
                <w:highlight w:val="none"/>
              </w:rPr>
              <w:t>.NT-proBNP</w:t>
            </w:r>
            <w:r>
              <w:rPr>
                <w:rFonts w:hint="eastAsia"/>
                <w:b/>
                <w:bCs/>
                <w:color w:val="FF0000"/>
                <w:highlight w:val="none"/>
                <w:lang w:eastAsia="zh-CN"/>
              </w:rPr>
              <w:t>，</w:t>
            </w:r>
            <w:r>
              <w:rPr>
                <w:rFonts w:hint="eastAsia"/>
                <w:b/>
                <w:bCs/>
                <w:color w:val="FF0000"/>
                <w:highlight w:val="none"/>
              </w:rPr>
              <w:t>提供以间隔10岁为年龄段男性和女性参考范围。(提供试剂说明书</w:t>
            </w:r>
            <w:r>
              <w:rPr>
                <w:rFonts w:hint="eastAsia"/>
                <w:b/>
                <w:bCs/>
                <w:color w:val="FF0000"/>
                <w:highlight w:val="none"/>
                <w:lang w:val="en-US" w:eastAsia="zh-CN"/>
              </w:rPr>
              <w:t>扫描件</w:t>
            </w:r>
            <w:r>
              <w:rPr>
                <w:rFonts w:hint="eastAsia"/>
                <w:b/>
                <w:bCs/>
                <w:color w:val="FF0000"/>
                <w:highlight w:val="none"/>
              </w:rPr>
              <w:t>作为证明材料)</w:t>
            </w:r>
          </w:p>
        </w:tc>
        <w:tc>
          <w:tcPr>
            <w:tcW w:w="1005" w:type="dxa"/>
            <w:tcMar>
              <w:top w:w="0" w:type="dxa"/>
              <w:left w:w="113" w:type="dxa"/>
              <w:bottom w:w="0" w:type="dxa"/>
              <w:right w:w="0" w:type="dxa"/>
            </w:tcMar>
            <w:vAlign w:val="center"/>
          </w:tcPr>
          <w:p w14:paraId="587B2BD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tcMar>
              <w:top w:w="0" w:type="dxa"/>
              <w:left w:w="113" w:type="dxa"/>
              <w:bottom w:w="0" w:type="dxa"/>
              <w:right w:w="0" w:type="dxa"/>
            </w:tcMar>
            <w:vAlign w:val="center"/>
          </w:tcPr>
          <w:p w14:paraId="388F5100">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tcMar>
              <w:top w:w="0" w:type="dxa"/>
              <w:left w:w="113" w:type="dxa"/>
              <w:bottom w:w="0" w:type="dxa"/>
              <w:right w:w="0" w:type="dxa"/>
            </w:tcMar>
            <w:vAlign w:val="center"/>
          </w:tcPr>
          <w:p w14:paraId="027C133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r>
      <w:tr w14:paraId="3960C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shd w:val="clear" w:color="auto" w:fill="auto"/>
            <w:tcMar>
              <w:top w:w="0" w:type="dxa"/>
              <w:left w:w="113" w:type="dxa"/>
              <w:bottom w:w="0" w:type="dxa"/>
              <w:right w:w="0" w:type="dxa"/>
            </w:tcMar>
            <w:vAlign w:val="center"/>
          </w:tcPr>
          <w:p w14:paraId="36CAB8A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35</w:t>
            </w:r>
          </w:p>
        </w:tc>
        <w:tc>
          <w:tcPr>
            <w:tcW w:w="1405" w:type="dxa"/>
            <w:shd w:val="clear" w:color="auto" w:fill="auto"/>
            <w:tcMar>
              <w:top w:w="0" w:type="dxa"/>
              <w:left w:w="113" w:type="dxa"/>
              <w:bottom w:w="0" w:type="dxa"/>
              <w:right w:w="0" w:type="dxa"/>
            </w:tcMar>
            <w:vAlign w:val="center"/>
          </w:tcPr>
          <w:p w14:paraId="0327A095">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高敏心肌肌钙蛋白I（hs-cTnI）测定试剂</w:t>
            </w:r>
          </w:p>
        </w:tc>
        <w:tc>
          <w:tcPr>
            <w:tcW w:w="2359" w:type="dxa"/>
            <w:shd w:val="clear" w:color="auto" w:fill="auto"/>
            <w:tcMar>
              <w:top w:w="0" w:type="dxa"/>
              <w:left w:w="113" w:type="dxa"/>
              <w:bottom w:w="0" w:type="dxa"/>
              <w:right w:w="0" w:type="dxa"/>
            </w:tcMar>
            <w:vAlign w:val="center"/>
          </w:tcPr>
          <w:p w14:paraId="46D8F511">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2"/>
                <w:sz w:val="21"/>
                <w:szCs w:val="21"/>
                <w:u w:val="none"/>
                <w:lang w:val="en-US" w:eastAsia="zh-CN" w:bidi="ar-SA"/>
              </w:rPr>
            </w:pPr>
            <w:r>
              <w:rPr>
                <w:rFonts w:hint="eastAsia"/>
                <w:b/>
                <w:bCs/>
                <w:color w:val="FF0000"/>
                <w:highlight w:val="none"/>
              </w:rPr>
              <w:t>1</w:t>
            </w:r>
            <w:r>
              <w:rPr>
                <w:rFonts w:hint="eastAsia"/>
                <w:b/>
                <w:bCs/>
                <w:color w:val="FF0000"/>
                <w:highlight w:val="none"/>
                <w:lang w:val="en-US" w:eastAsia="zh-CN"/>
              </w:rPr>
              <w:t>1</w:t>
            </w:r>
            <w:r>
              <w:rPr>
                <w:rFonts w:hint="eastAsia"/>
                <w:b/>
                <w:bCs/>
                <w:color w:val="FF0000"/>
                <w:highlight w:val="none"/>
              </w:rPr>
              <w:t>.高敏肌钙蛋白在2025年上半年国家卫生健康委临床检验中心室间质评中，具备独立分组且总实验室家数＞170家（提供国家卫生健康委临床检验中心相关内容截图证明文件）。</w:t>
            </w:r>
          </w:p>
        </w:tc>
        <w:tc>
          <w:tcPr>
            <w:tcW w:w="1005" w:type="dxa"/>
            <w:shd w:val="clear" w:color="auto" w:fill="auto"/>
            <w:tcMar>
              <w:top w:w="0" w:type="dxa"/>
              <w:left w:w="113" w:type="dxa"/>
              <w:bottom w:w="0" w:type="dxa"/>
              <w:right w:w="0" w:type="dxa"/>
            </w:tcMar>
            <w:vAlign w:val="center"/>
          </w:tcPr>
          <w:p w14:paraId="521844E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shd w:val="clear" w:color="auto" w:fill="auto"/>
            <w:tcMar>
              <w:top w:w="0" w:type="dxa"/>
              <w:left w:w="113" w:type="dxa"/>
              <w:bottom w:w="0" w:type="dxa"/>
              <w:right w:w="0" w:type="dxa"/>
            </w:tcMar>
            <w:vAlign w:val="center"/>
          </w:tcPr>
          <w:p w14:paraId="268F5D0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shd w:val="clear" w:color="auto" w:fill="auto"/>
            <w:tcMar>
              <w:top w:w="0" w:type="dxa"/>
              <w:left w:w="113" w:type="dxa"/>
              <w:bottom w:w="0" w:type="dxa"/>
              <w:right w:w="0" w:type="dxa"/>
            </w:tcMar>
            <w:vAlign w:val="center"/>
          </w:tcPr>
          <w:p w14:paraId="7D883354">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r>
      <w:tr w14:paraId="4630B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0192459E">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33</w:t>
            </w:r>
          </w:p>
        </w:tc>
        <w:tc>
          <w:tcPr>
            <w:tcW w:w="1405" w:type="dxa"/>
            <w:tcMar>
              <w:top w:w="0" w:type="dxa"/>
              <w:left w:w="113" w:type="dxa"/>
              <w:bottom w:w="0" w:type="dxa"/>
              <w:right w:w="0" w:type="dxa"/>
            </w:tcMar>
            <w:vAlign w:val="center"/>
          </w:tcPr>
          <w:p w14:paraId="62B9111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氨基末端脑利钠肽前体（NT—proBNP）测定试剂</w:t>
            </w:r>
          </w:p>
        </w:tc>
        <w:tc>
          <w:tcPr>
            <w:tcW w:w="2359" w:type="dxa"/>
            <w:tcMar>
              <w:top w:w="0" w:type="dxa"/>
              <w:left w:w="113" w:type="dxa"/>
              <w:bottom w:w="0" w:type="dxa"/>
              <w:right w:w="0" w:type="dxa"/>
            </w:tcMar>
            <w:vAlign w:val="center"/>
          </w:tcPr>
          <w:p w14:paraId="34D56D51">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rPr>
              <w:t>1</w:t>
            </w:r>
            <w:r>
              <w:rPr>
                <w:rFonts w:hint="eastAsia"/>
                <w:b/>
                <w:bCs/>
                <w:color w:val="FF0000"/>
                <w:highlight w:val="none"/>
                <w:lang w:val="en-US" w:eastAsia="zh-CN"/>
              </w:rPr>
              <w:t>2</w:t>
            </w:r>
            <w:r>
              <w:rPr>
                <w:rFonts w:hint="eastAsia"/>
                <w:b/>
                <w:bCs/>
                <w:color w:val="FF0000"/>
                <w:highlight w:val="none"/>
              </w:rPr>
              <w:t>.BNP或NT-proBNP在2025年上半年国家卫生健康委临床检验中心室间质评中，具备独立分组且总实验室家数＞150家（提供国家卫生健康委临床检验中心相关内容截图证明文件）。</w:t>
            </w:r>
          </w:p>
        </w:tc>
        <w:tc>
          <w:tcPr>
            <w:tcW w:w="1005" w:type="dxa"/>
            <w:tcMar>
              <w:top w:w="0" w:type="dxa"/>
              <w:left w:w="113" w:type="dxa"/>
              <w:bottom w:w="0" w:type="dxa"/>
              <w:right w:w="0" w:type="dxa"/>
            </w:tcMar>
            <w:vAlign w:val="center"/>
          </w:tcPr>
          <w:p w14:paraId="1810390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tcMar>
              <w:top w:w="0" w:type="dxa"/>
              <w:left w:w="113" w:type="dxa"/>
              <w:bottom w:w="0" w:type="dxa"/>
              <w:right w:w="0" w:type="dxa"/>
            </w:tcMar>
            <w:vAlign w:val="center"/>
          </w:tcPr>
          <w:p w14:paraId="0F2F725C">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tcMar>
              <w:top w:w="0" w:type="dxa"/>
              <w:left w:w="113" w:type="dxa"/>
              <w:bottom w:w="0" w:type="dxa"/>
              <w:right w:w="0" w:type="dxa"/>
            </w:tcMar>
            <w:vAlign w:val="center"/>
          </w:tcPr>
          <w:p w14:paraId="68019F5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r>
      <w:tr w14:paraId="74182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42E03424">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37</w:t>
            </w:r>
          </w:p>
        </w:tc>
        <w:tc>
          <w:tcPr>
            <w:tcW w:w="1405" w:type="dxa"/>
            <w:tcMar>
              <w:top w:w="0" w:type="dxa"/>
              <w:left w:w="113" w:type="dxa"/>
              <w:bottom w:w="0" w:type="dxa"/>
              <w:right w:w="0" w:type="dxa"/>
            </w:tcMar>
            <w:vAlign w:val="center"/>
          </w:tcPr>
          <w:p w14:paraId="1EDDE99A">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降钙素原（PCT）测定试剂</w:t>
            </w:r>
          </w:p>
        </w:tc>
        <w:tc>
          <w:tcPr>
            <w:tcW w:w="2359" w:type="dxa"/>
            <w:tcMar>
              <w:top w:w="0" w:type="dxa"/>
              <w:left w:w="113" w:type="dxa"/>
              <w:bottom w:w="0" w:type="dxa"/>
              <w:right w:w="0" w:type="dxa"/>
            </w:tcMar>
            <w:vAlign w:val="center"/>
          </w:tcPr>
          <w:p w14:paraId="5FF2D48E">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asciiTheme="minorEastAsia" w:hAnsiTheme="minorEastAsia" w:eastAsiaTheme="minorEastAsia" w:cstheme="minorEastAsia"/>
                <w:b/>
                <w:bCs/>
                <w:i w:val="0"/>
                <w:iCs w:val="0"/>
                <w:color w:val="FF0000"/>
                <w:kern w:val="0"/>
                <w:sz w:val="21"/>
                <w:szCs w:val="21"/>
                <w:u w:val="none"/>
                <w:lang w:val="en-US" w:eastAsia="zh-CN" w:bidi="ar"/>
              </w:rPr>
            </w:pPr>
            <w:r>
              <w:rPr>
                <w:rFonts w:hint="eastAsia"/>
                <w:b/>
                <w:bCs/>
                <w:color w:val="FF0000"/>
                <w:highlight w:val="none"/>
              </w:rPr>
              <w:t>1</w:t>
            </w:r>
            <w:r>
              <w:rPr>
                <w:rFonts w:hint="eastAsia"/>
                <w:b/>
                <w:bCs/>
                <w:color w:val="FF0000"/>
                <w:highlight w:val="none"/>
                <w:lang w:val="en-US" w:eastAsia="zh-CN"/>
              </w:rPr>
              <w:t>3.</w:t>
            </w:r>
            <w:r>
              <w:rPr>
                <w:rFonts w:hint="eastAsia"/>
                <w:b/>
                <w:bCs/>
                <w:color w:val="FF0000"/>
                <w:highlight w:val="none"/>
              </w:rPr>
              <w:t>PCT在2025年上半年国家卫生健康委临床检验中心室间质评中，具备独立分组且总实验室家数＞200家（提供国家卫生健康委临床检验中心相关内容截图证明文件）。</w:t>
            </w:r>
          </w:p>
        </w:tc>
        <w:tc>
          <w:tcPr>
            <w:tcW w:w="1005" w:type="dxa"/>
            <w:tcMar>
              <w:top w:w="0" w:type="dxa"/>
              <w:left w:w="113" w:type="dxa"/>
              <w:bottom w:w="0" w:type="dxa"/>
              <w:right w:w="0" w:type="dxa"/>
            </w:tcMar>
            <w:vAlign w:val="center"/>
          </w:tcPr>
          <w:p w14:paraId="79D0CC6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tcMar>
              <w:top w:w="0" w:type="dxa"/>
              <w:left w:w="113" w:type="dxa"/>
              <w:bottom w:w="0" w:type="dxa"/>
              <w:right w:w="0" w:type="dxa"/>
            </w:tcMar>
            <w:vAlign w:val="center"/>
          </w:tcPr>
          <w:p w14:paraId="7303F80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tcMar>
              <w:top w:w="0" w:type="dxa"/>
              <w:left w:w="113" w:type="dxa"/>
              <w:bottom w:w="0" w:type="dxa"/>
              <w:right w:w="0" w:type="dxa"/>
            </w:tcMar>
            <w:vAlign w:val="center"/>
          </w:tcPr>
          <w:p w14:paraId="5FD38E67">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r>
      <w:tr w14:paraId="72E9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jc w:val="center"/>
        </w:trPr>
        <w:tc>
          <w:tcPr>
            <w:tcW w:w="806" w:type="dxa"/>
            <w:tcMar>
              <w:top w:w="0" w:type="dxa"/>
              <w:left w:w="113" w:type="dxa"/>
              <w:bottom w:w="0" w:type="dxa"/>
              <w:right w:w="0" w:type="dxa"/>
            </w:tcMar>
            <w:vAlign w:val="center"/>
          </w:tcPr>
          <w:p w14:paraId="1CF82869">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default" w:eastAsia="宋体"/>
                <w:highlight w:val="none"/>
                <w:lang w:val="en-US" w:eastAsia="zh-CN"/>
              </w:rPr>
            </w:pPr>
            <w:r>
              <w:rPr>
                <w:rFonts w:hint="eastAsia"/>
                <w:highlight w:val="none"/>
                <w:lang w:val="en-US" w:eastAsia="zh-CN"/>
              </w:rPr>
              <w:t>39</w:t>
            </w:r>
          </w:p>
        </w:tc>
        <w:tc>
          <w:tcPr>
            <w:tcW w:w="1405" w:type="dxa"/>
            <w:tcMar>
              <w:top w:w="0" w:type="dxa"/>
              <w:left w:w="113" w:type="dxa"/>
              <w:bottom w:w="0" w:type="dxa"/>
              <w:right w:w="0" w:type="dxa"/>
            </w:tcMar>
            <w:vAlign w:val="center"/>
          </w:tcPr>
          <w:p w14:paraId="5F02744B">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center"/>
              <w:textAlignment w:val="center"/>
              <w:rPr>
                <w:rFonts w:hint="eastAsia"/>
                <w:highlight w:val="none"/>
              </w:rPr>
            </w:pPr>
            <w:r>
              <w:rPr>
                <w:rFonts w:hint="eastAsia" w:ascii="宋体" w:hAnsi="宋体" w:eastAsia="宋体" w:cs="宋体"/>
                <w:i w:val="0"/>
                <w:iCs w:val="0"/>
                <w:color w:val="000000"/>
                <w:kern w:val="0"/>
                <w:sz w:val="21"/>
                <w:szCs w:val="21"/>
                <w:u w:val="none"/>
                <w:lang w:val="en-US" w:eastAsia="zh-CN" w:bidi="ar"/>
              </w:rPr>
              <w:t>总 β 人绒毛膜促性腺激素（Total β HCG）测定试剂</w:t>
            </w:r>
          </w:p>
        </w:tc>
        <w:tc>
          <w:tcPr>
            <w:tcW w:w="2359" w:type="dxa"/>
            <w:tcMar>
              <w:top w:w="0" w:type="dxa"/>
              <w:left w:w="113" w:type="dxa"/>
              <w:bottom w:w="0" w:type="dxa"/>
              <w:right w:w="0" w:type="dxa"/>
            </w:tcMar>
            <w:vAlign w:val="center"/>
          </w:tcPr>
          <w:p w14:paraId="487D1B1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eastAsia="宋体"/>
                <w:b/>
                <w:bCs/>
                <w:color w:val="FF0000"/>
                <w:highlight w:val="none"/>
                <w:lang w:eastAsia="zh-CN"/>
              </w:rPr>
            </w:pPr>
            <w:r>
              <w:rPr>
                <w:rFonts w:hint="eastAsia"/>
                <w:b/>
                <w:bCs/>
                <w:color w:val="FF0000"/>
                <w:highlight w:val="none"/>
              </w:rPr>
              <w:t>1</w:t>
            </w:r>
            <w:r>
              <w:rPr>
                <w:rFonts w:hint="eastAsia"/>
                <w:b/>
                <w:bCs/>
                <w:color w:val="FF0000"/>
                <w:highlight w:val="none"/>
                <w:lang w:val="en-US" w:eastAsia="zh-CN"/>
              </w:rPr>
              <w:t>4</w:t>
            </w:r>
            <w:r>
              <w:rPr>
                <w:rFonts w:hint="eastAsia"/>
                <w:b/>
                <w:bCs/>
                <w:color w:val="FF0000"/>
                <w:highlight w:val="none"/>
              </w:rPr>
              <w:t>.HCG或β-HCG在2025年上半年国家卫生健康委临床检验中心室间质评中，具备独立分组且总实验室家数＞200家（提供国家卫生健康委临床检验中心相关内容截图证明文件）</w:t>
            </w:r>
            <w:r>
              <w:rPr>
                <w:rFonts w:hint="eastAsia"/>
                <w:b/>
                <w:bCs/>
                <w:color w:val="FF0000"/>
                <w:highlight w:val="none"/>
                <w:lang w:eastAsia="zh-CN"/>
              </w:rPr>
              <w:t>。</w:t>
            </w:r>
          </w:p>
        </w:tc>
        <w:tc>
          <w:tcPr>
            <w:tcW w:w="1005" w:type="dxa"/>
            <w:tcMar>
              <w:top w:w="0" w:type="dxa"/>
              <w:left w:w="113" w:type="dxa"/>
              <w:bottom w:w="0" w:type="dxa"/>
              <w:right w:w="0" w:type="dxa"/>
            </w:tcMar>
            <w:vAlign w:val="center"/>
          </w:tcPr>
          <w:p w14:paraId="2E2367B2">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tcMar>
              <w:top w:w="0" w:type="dxa"/>
              <w:left w:w="113" w:type="dxa"/>
              <w:bottom w:w="0" w:type="dxa"/>
              <w:right w:w="0" w:type="dxa"/>
            </w:tcMar>
            <w:vAlign w:val="center"/>
          </w:tcPr>
          <w:p w14:paraId="72DAD43D">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c>
          <w:tcPr>
            <w:tcW w:w="1005" w:type="dxa"/>
            <w:tcMar>
              <w:top w:w="0" w:type="dxa"/>
              <w:left w:w="113" w:type="dxa"/>
              <w:bottom w:w="0" w:type="dxa"/>
              <w:right w:w="0" w:type="dxa"/>
            </w:tcMar>
            <w:vAlign w:val="center"/>
          </w:tcPr>
          <w:p w14:paraId="7FB5AFD6">
            <w:pPr>
              <w:pStyle w:val="76"/>
              <w:keepNext w:val="0"/>
              <w:keepLines w:val="0"/>
              <w:pageBreakBefore w:val="0"/>
              <w:widowControl/>
              <w:numPr>
                <w:ilvl w:val="0"/>
                <w:numId w:val="0"/>
              </w:numPr>
              <w:suppressLineNumbers w:val="0"/>
              <w:kinsoku/>
              <w:wordWrap/>
              <w:overflowPunct/>
              <w:topLinePunct w:val="0"/>
              <w:autoSpaceDE/>
              <w:autoSpaceDN/>
              <w:bidi w:val="0"/>
              <w:spacing w:line="240" w:lineRule="auto"/>
              <w:ind w:leftChars="0"/>
              <w:jc w:val="left"/>
              <w:textAlignment w:val="center"/>
              <w:rPr>
                <w:rFonts w:hint="eastAsia"/>
                <w:b/>
                <w:bCs/>
                <w:color w:val="FF0000"/>
                <w:highlight w:val="none"/>
              </w:rPr>
            </w:pPr>
          </w:p>
        </w:tc>
      </w:tr>
    </w:tbl>
    <w:p w14:paraId="44F5EACB">
      <w:pPr>
        <w:pStyle w:val="54"/>
        <w:rPr>
          <w:sz w:val="24"/>
        </w:rPr>
      </w:pPr>
    </w:p>
    <w:p w14:paraId="700FE7E0">
      <w:pPr>
        <w:rPr>
          <w:szCs w:val="21"/>
          <w:highlight w:val="yellow"/>
        </w:rPr>
      </w:pPr>
      <w:bookmarkStart w:id="66" w:name="_Hlk72095977"/>
      <w:r>
        <w:rPr>
          <w:rFonts w:hint="eastAsia"/>
          <w:szCs w:val="21"/>
          <w:highlight w:val="yellow"/>
        </w:rPr>
        <w:t>证明资料【如有的话，提供的证明资料应统一编号（排序），格式自定</w:t>
      </w:r>
      <w:r>
        <w:rPr>
          <w:rFonts w:hint="eastAsia" w:eastAsia="宋体"/>
          <w:szCs w:val="21"/>
          <w:highlight w:val="yellow"/>
          <w:lang w:eastAsia="zh-CN"/>
        </w:rPr>
        <w:t>，</w:t>
      </w:r>
      <w:r>
        <w:rPr>
          <w:rFonts w:hint="eastAsia" w:ascii="Times New Roman" w:eastAsia="宋体"/>
          <w:szCs w:val="21"/>
          <w:highlight w:val="yellow"/>
          <w:lang w:val="en-US" w:eastAsia="zh-CN"/>
        </w:rPr>
        <w:t>并在证明资料中对得分关键信息作显著标识（如红框标识等）</w:t>
      </w:r>
      <w:r>
        <w:rPr>
          <w:rFonts w:hint="eastAsia"/>
          <w:szCs w:val="21"/>
          <w:highlight w:val="yellow"/>
        </w:rPr>
        <w:t>】</w:t>
      </w:r>
      <w:bookmarkEnd w:id="66"/>
      <w:r>
        <w:rPr>
          <w:rFonts w:hint="eastAsia"/>
          <w:szCs w:val="21"/>
          <w:highlight w:val="yellow"/>
        </w:rPr>
        <w:t>：</w:t>
      </w:r>
    </w:p>
    <w:p w14:paraId="3BEAABA5">
      <w:pPr>
        <w:ind w:firstLine="422" w:firstLineChars="200"/>
        <w:rPr>
          <w:b/>
          <w:szCs w:val="21"/>
        </w:rPr>
      </w:pPr>
    </w:p>
    <w:p w14:paraId="3DAE47C2">
      <w:pPr>
        <w:ind w:firstLine="422" w:firstLineChars="200"/>
        <w:rPr>
          <w:b/>
          <w:szCs w:val="21"/>
        </w:rPr>
      </w:pPr>
    </w:p>
    <w:p w14:paraId="1D5F4536">
      <w:pPr>
        <w:ind w:firstLine="420" w:firstLineChars="200"/>
        <w:rPr>
          <w:bCs/>
          <w:szCs w:val="21"/>
        </w:rPr>
      </w:pPr>
      <w:r>
        <w:rPr>
          <w:rFonts w:hint="eastAsia"/>
          <w:bCs/>
          <w:szCs w:val="21"/>
        </w:rPr>
        <w:t>《技术要求偏离表》编制指引：</w:t>
      </w:r>
    </w:p>
    <w:p w14:paraId="150784F2">
      <w:pPr>
        <w:ind w:firstLine="420" w:firstLineChars="200"/>
        <w:rPr>
          <w:bCs/>
          <w:szCs w:val="21"/>
        </w:rPr>
      </w:pPr>
      <w:r>
        <w:rPr>
          <w:rFonts w:hint="eastAsia"/>
          <w:bCs/>
          <w:szCs w:val="21"/>
        </w:rPr>
        <w:t>1、技术要求偏离表的序号、货物名称、招标技术要求等栏目</w:t>
      </w:r>
      <w:bookmarkStart w:id="67" w:name="_Hlk72094407"/>
      <w:r>
        <w:rPr>
          <w:rFonts w:hint="eastAsia"/>
          <w:bCs/>
          <w:szCs w:val="21"/>
        </w:rPr>
        <w:t>对应“用户需求书”中的“技术要求”章节</w:t>
      </w:r>
      <w:bookmarkEnd w:id="67"/>
      <w:r>
        <w:rPr>
          <w:rFonts w:hint="eastAsia"/>
          <w:bCs/>
          <w:szCs w:val="21"/>
        </w:rPr>
        <w:t>相关内容。</w:t>
      </w:r>
    </w:p>
    <w:p w14:paraId="1D7ED75D">
      <w:pPr>
        <w:pStyle w:val="39"/>
        <w:widowControl/>
        <w:spacing w:beforeAutospacing="0" w:afterAutospacing="0"/>
        <w:ind w:firstLine="420" w:firstLineChars="200"/>
        <w:jc w:val="both"/>
        <w:rPr>
          <w:bCs/>
          <w:kern w:val="2"/>
          <w:sz w:val="21"/>
          <w:szCs w:val="21"/>
          <w:highlight w:val="yellow"/>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bCs/>
          <w:kern w:val="2"/>
          <w:sz w:val="21"/>
          <w:szCs w:val="21"/>
          <w:highlight w:val="yellow"/>
        </w:rPr>
        <w:t>“投标技术响应”必须与所投产品客观实际保持一致，响应不实且情节严重的，经查实，将依法记入供应商诚信档案或受到行政处罚。</w:t>
      </w:r>
    </w:p>
    <w:p w14:paraId="08D01ED2">
      <w:pPr>
        <w:ind w:firstLine="420" w:firstLineChars="200"/>
        <w:rPr>
          <w:bCs/>
          <w:szCs w:val="21"/>
          <w:highlight w:val="yellow"/>
        </w:rPr>
      </w:pPr>
      <w:r>
        <w:rPr>
          <w:bCs/>
          <w:szCs w:val="21"/>
        </w:rPr>
        <w:t>3</w:t>
      </w:r>
      <w:r>
        <w:rPr>
          <w:rFonts w:hint="eastAsia"/>
          <w:bCs/>
          <w:szCs w:val="21"/>
        </w:rPr>
        <w:t>、</w:t>
      </w:r>
      <w:bookmarkStart w:id="68" w:name="_Hlk72158270"/>
      <w:r>
        <w:rPr>
          <w:rFonts w:hint="eastAsia"/>
          <w:bCs/>
          <w:szCs w:val="21"/>
        </w:rPr>
        <w:t>“偏离情况”</w:t>
      </w:r>
      <w:bookmarkEnd w:id="68"/>
      <w:r>
        <w:rPr>
          <w:rFonts w:hint="eastAsia"/>
          <w:bCs/>
          <w:szCs w:val="21"/>
        </w:rPr>
        <w:t>一栏填写如实填写“正偏离”、“负偏离”或“无偏离”，其中：</w:t>
      </w:r>
      <w:bookmarkStart w:id="69" w:name="_Hlk72093866"/>
      <w:r>
        <w:rPr>
          <w:rFonts w:hint="eastAsia"/>
          <w:bCs/>
          <w:szCs w:val="21"/>
        </w:rPr>
        <w:t>“正偏离”表示“投标响应优于招标技术要求”，“负偏离”表示“投标响应不满足招标技术要求”，“无偏离”表示“投标响应与招标技术要求一致”</w:t>
      </w:r>
      <w:bookmarkEnd w:id="69"/>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bCs/>
          <w:szCs w:val="21"/>
          <w:highlight w:val="yellow"/>
        </w:rPr>
        <w:t>“偏离情况”必须与所投产品客观实际保持一致，响应不实且情节严重的，经查实，将依法记入供应商诚信档案或受到行政处罚。</w:t>
      </w:r>
    </w:p>
    <w:p w14:paraId="6DD5B24D">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53B030A8">
      <w:pPr>
        <w:ind w:firstLine="420" w:firstLineChars="200"/>
        <w:rPr>
          <w:bCs/>
          <w:szCs w:val="21"/>
        </w:rPr>
      </w:pPr>
      <w:r>
        <w:rPr>
          <w:rFonts w:hint="eastAsia"/>
          <w:bCs/>
          <w:szCs w:val="21"/>
        </w:rPr>
        <w:t>5、</w:t>
      </w:r>
      <w:bookmarkStart w:id="70" w:name="_Hlk72096106"/>
      <w:r>
        <w:rPr>
          <w:rFonts w:hint="eastAsia"/>
          <w:bCs/>
          <w:szCs w:val="21"/>
        </w:rPr>
        <w:t>证明资料条款响应要求</w:t>
      </w:r>
      <w:bookmarkEnd w:id="70"/>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71"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72" w:name="_Hlk73558164"/>
      <w:r>
        <w:rPr>
          <w:rFonts w:hint="eastAsia"/>
          <w:bCs/>
          <w:szCs w:val="21"/>
        </w:rPr>
        <w:t>且投标人在“偏离情况”一栏响应为“正偏离”或“无偏离”的，经评审委员会认定，将判定为负偏离。</w:t>
      </w:r>
      <w:bookmarkEnd w:id="71"/>
      <w:bookmarkEnd w:id="72"/>
    </w:p>
    <w:p w14:paraId="2FD1A064">
      <w:pPr>
        <w:ind w:firstLine="420" w:firstLineChars="200"/>
        <w:rPr>
          <w:bCs/>
          <w:szCs w:val="21"/>
        </w:rPr>
      </w:pPr>
      <w:r>
        <w:rPr>
          <w:rFonts w:hint="eastAsia"/>
          <w:bCs/>
          <w:szCs w:val="21"/>
        </w:rPr>
        <w:t>6、</w:t>
      </w:r>
      <w:bookmarkStart w:id="73" w:name="_Hlk72096137"/>
      <w:r>
        <w:rPr>
          <w:rFonts w:hint="eastAsia"/>
          <w:bCs/>
          <w:szCs w:val="21"/>
        </w:rPr>
        <w:t>表后“证明资料”部分内容的编制</w:t>
      </w:r>
      <w:bookmarkEnd w:id="73"/>
      <w:r>
        <w:rPr>
          <w:rFonts w:hint="eastAsia"/>
          <w:bCs/>
          <w:szCs w:val="21"/>
        </w:rPr>
        <w:t>：提供的所有证明资料应当统一编号（排序），且证明资料的编号（顺序）、数量和名称（形式）均应与“说明”一栏所填内容保持一致（一一对应），以便评审委员会查看。</w:t>
      </w:r>
      <w:bookmarkStart w:id="74" w:name="_Hlk73558180"/>
      <w:r>
        <w:rPr>
          <w:rFonts w:hint="eastAsia"/>
          <w:bCs/>
          <w:szCs w:val="21"/>
        </w:rPr>
        <w:t>未按照招标文件要求在表后放置证明材料的供应商将承担不利后果，经评审委员会认定，相关技术要求将判定为负偏离。</w:t>
      </w:r>
      <w:bookmarkEnd w:id="74"/>
    </w:p>
    <w:p w14:paraId="35C1C6DB">
      <w:pPr>
        <w:ind w:firstLine="420" w:firstLineChars="200"/>
        <w:rPr>
          <w:bCs/>
          <w:szCs w:val="21"/>
        </w:rPr>
      </w:pPr>
      <w:r>
        <w:rPr>
          <w:rFonts w:hint="eastAsia"/>
          <w:bCs/>
          <w:szCs w:val="21"/>
        </w:rPr>
        <w:t>7、</w:t>
      </w:r>
      <w:bookmarkStart w:id="75" w:name="_Hlk72096176"/>
      <w:r>
        <w:rPr>
          <w:rFonts w:hint="eastAsia"/>
          <w:bCs/>
          <w:szCs w:val="21"/>
        </w:rPr>
        <w:t>证明资料的形式及其它具体要求</w:t>
      </w:r>
      <w:bookmarkEnd w:id="75"/>
      <w:r>
        <w:rPr>
          <w:rFonts w:hint="eastAsia"/>
          <w:bCs/>
          <w:szCs w:val="21"/>
        </w:rPr>
        <w:t>：</w:t>
      </w:r>
    </w:p>
    <w:p w14:paraId="6958C2D4">
      <w:pPr>
        <w:ind w:firstLine="420" w:firstLineChars="200"/>
        <w:rPr>
          <w:bCs/>
          <w:szCs w:val="21"/>
        </w:rPr>
      </w:pPr>
      <w:r>
        <w:rPr>
          <w:rFonts w:hint="eastAsia"/>
          <w:bCs/>
          <w:szCs w:val="21"/>
        </w:rPr>
        <w:t>（1）除照片、图片（截图）及不需加盖公章的文字说明（技术说明）外，其它证明资料均要求为原件扫描件；</w:t>
      </w:r>
    </w:p>
    <w:p w14:paraId="7BB1F156">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461FC760">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67D133A2">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548BDDCC">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D636783">
      <w:pPr>
        <w:ind w:firstLine="420" w:firstLineChars="200"/>
        <w:rPr>
          <w:bCs/>
          <w:szCs w:val="21"/>
        </w:rPr>
      </w:pPr>
      <w:r>
        <w:rPr>
          <w:rFonts w:hint="eastAsia"/>
          <w:bCs/>
          <w:szCs w:val="21"/>
        </w:rPr>
        <w:t>其它证明资料的形式要求参照以上要求执行；</w:t>
      </w:r>
    </w:p>
    <w:p w14:paraId="79090E34">
      <w:pPr>
        <w:ind w:firstLine="420" w:firstLineChars="200"/>
        <w:rPr>
          <w:bCs/>
          <w:szCs w:val="21"/>
        </w:rPr>
      </w:pPr>
      <w:r>
        <w:rPr>
          <w:rFonts w:hint="eastAsia"/>
          <w:bCs/>
          <w:szCs w:val="21"/>
        </w:rPr>
        <w:t>（4）证明资料均要求原件备查。</w:t>
      </w:r>
    </w:p>
    <w:p w14:paraId="5F7BA6BC">
      <w:pPr>
        <w:ind w:firstLine="420" w:firstLineChars="200"/>
        <w:rPr>
          <w:bCs/>
          <w:szCs w:val="21"/>
        </w:rPr>
      </w:pPr>
      <w:r>
        <w:rPr>
          <w:rFonts w:hint="eastAsia"/>
          <w:bCs/>
          <w:szCs w:val="21"/>
        </w:rPr>
        <w:t>8、其它注意事项：</w:t>
      </w:r>
    </w:p>
    <w:p w14:paraId="40C1D038">
      <w:pPr>
        <w:ind w:firstLine="420" w:firstLineChars="200"/>
        <w:rPr>
          <w:bCs/>
          <w:szCs w:val="21"/>
        </w:rPr>
      </w:pPr>
      <w:r>
        <w:rPr>
          <w:rFonts w:hint="eastAsia"/>
          <w:bCs/>
          <w:szCs w:val="21"/>
        </w:rPr>
        <w:t>（1）评审委员会有权对投标人的响应情况作出判断（评审结论）；</w:t>
      </w:r>
    </w:p>
    <w:p w14:paraId="38267358">
      <w:pPr>
        <w:ind w:firstLine="420" w:firstLineChars="200"/>
        <w:rPr>
          <w:bCs/>
          <w:szCs w:val="21"/>
        </w:rPr>
      </w:pPr>
      <w:r>
        <w:rPr>
          <w:rFonts w:hint="eastAsia"/>
          <w:bCs/>
          <w:szCs w:val="21"/>
        </w:rPr>
        <w:t>（2）</w:t>
      </w:r>
      <w:bookmarkStart w:id="76"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76"/>
    </w:p>
    <w:p w14:paraId="5D1E425F">
      <w:pPr>
        <w:rPr>
          <w:sz w:val="24"/>
        </w:rPr>
      </w:pPr>
    </w:p>
    <w:p w14:paraId="3C8B815F">
      <w:pPr>
        <w:jc w:val="center"/>
        <w:rPr>
          <w:rFonts w:hint="eastAsia" w:ascii="黑体" w:eastAsia="黑体"/>
          <w:b w:val="0"/>
          <w:bCs w:val="0"/>
          <w:sz w:val="24"/>
          <w:szCs w:val="20"/>
        </w:rPr>
      </w:pPr>
    </w:p>
    <w:p w14:paraId="1518F9B6">
      <w:pPr>
        <w:jc w:val="center"/>
        <w:rPr>
          <w:rFonts w:hint="eastAsia" w:ascii="黑体" w:eastAsia="黑体"/>
          <w:b w:val="0"/>
          <w:bCs w:val="0"/>
          <w:sz w:val="24"/>
          <w:szCs w:val="20"/>
        </w:rPr>
      </w:pPr>
      <w:r>
        <w:rPr>
          <w:rFonts w:hint="eastAsia" w:ascii="黑体" w:eastAsia="黑体"/>
          <w:b w:val="0"/>
          <w:bCs w:val="0"/>
          <w:sz w:val="24"/>
          <w:szCs w:val="20"/>
        </w:rPr>
        <w:t>十</w:t>
      </w:r>
      <w:r>
        <w:rPr>
          <w:rFonts w:hint="eastAsia" w:ascii="黑体" w:eastAsia="黑体"/>
          <w:b w:val="0"/>
          <w:bCs w:val="0"/>
          <w:sz w:val="24"/>
          <w:szCs w:val="20"/>
          <w:lang w:val="en-US" w:eastAsia="zh-CN"/>
        </w:rPr>
        <w:t>一</w:t>
      </w:r>
      <w:r>
        <w:rPr>
          <w:rFonts w:hint="eastAsia" w:ascii="黑体" w:eastAsia="黑体"/>
          <w:b w:val="0"/>
          <w:bCs w:val="0"/>
          <w:sz w:val="24"/>
          <w:szCs w:val="20"/>
        </w:rPr>
        <w:t>、产品响应方案</w:t>
      </w:r>
    </w:p>
    <w:p w14:paraId="5F582432">
      <w:pPr>
        <w:jc w:val="center"/>
        <w:rPr>
          <w:rFonts w:hint="eastAsia"/>
        </w:rPr>
      </w:pPr>
    </w:p>
    <w:p w14:paraId="1F06BA8B">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产品响应方案”这一评审因素要求，提供详细的证明资料。如需提供多份证明资料，投标人可自行制定证明资料目录或者表格，并在证明资料中对得分关键信息作显著标识（如红框标识等）。）</w:t>
      </w:r>
    </w:p>
    <w:p w14:paraId="7CA20F44">
      <w:pPr>
        <w:pStyle w:val="18"/>
        <w:rPr>
          <w:rFonts w:hint="eastAsia"/>
        </w:rPr>
      </w:pPr>
    </w:p>
    <w:p w14:paraId="0C26DC64">
      <w:pPr>
        <w:pStyle w:val="18"/>
        <w:jc w:val="center"/>
        <w:rPr>
          <w:rFonts w:hint="eastAsia" w:ascii="黑体" w:eastAsia="黑体"/>
          <w:b w:val="0"/>
          <w:bCs w:val="0"/>
          <w:sz w:val="24"/>
          <w:szCs w:val="20"/>
        </w:rPr>
      </w:pPr>
      <w:r>
        <w:rPr>
          <w:rFonts w:hint="eastAsia" w:ascii="黑体" w:eastAsia="黑体"/>
          <w:b w:val="0"/>
          <w:bCs w:val="0"/>
          <w:sz w:val="24"/>
          <w:szCs w:val="20"/>
        </w:rPr>
        <w:t>十</w:t>
      </w:r>
      <w:r>
        <w:rPr>
          <w:rFonts w:hint="eastAsia" w:ascii="黑体" w:eastAsia="黑体"/>
          <w:b w:val="0"/>
          <w:bCs w:val="0"/>
          <w:sz w:val="24"/>
          <w:szCs w:val="20"/>
          <w:lang w:val="en-US" w:eastAsia="zh-CN"/>
        </w:rPr>
        <w:t>二</w:t>
      </w:r>
      <w:r>
        <w:rPr>
          <w:rFonts w:hint="eastAsia" w:ascii="黑体" w:eastAsia="黑体"/>
          <w:b w:val="0"/>
          <w:bCs w:val="0"/>
          <w:sz w:val="24"/>
          <w:szCs w:val="20"/>
        </w:rPr>
        <w:t>、市场占有率</w:t>
      </w:r>
    </w:p>
    <w:p w14:paraId="71101841">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市场占有率”这一评审因素要求，提供详细的证明资料。如需提供多份证明资料，投标人可自行制定证明资料目录或者表格，并在证明资料中对得分关键信息作显著标识（如红框标识等）。）</w:t>
      </w:r>
    </w:p>
    <w:p w14:paraId="306A43CD">
      <w:pPr>
        <w:rPr>
          <w:rFonts w:hint="eastAsia"/>
        </w:rPr>
      </w:pPr>
    </w:p>
    <w:p w14:paraId="5D01461F">
      <w:pPr>
        <w:pStyle w:val="18"/>
        <w:rPr>
          <w:rFonts w:hint="eastAsia"/>
        </w:rPr>
      </w:pPr>
    </w:p>
    <w:p w14:paraId="554B955A">
      <w:pPr>
        <w:pStyle w:val="18"/>
        <w:jc w:val="center"/>
        <w:rPr>
          <w:rFonts w:hint="eastAsia" w:ascii="黑体" w:eastAsia="黑体"/>
          <w:b w:val="0"/>
          <w:bCs w:val="0"/>
          <w:sz w:val="24"/>
          <w:szCs w:val="20"/>
        </w:rPr>
      </w:pPr>
      <w:r>
        <w:rPr>
          <w:rFonts w:hint="eastAsia" w:ascii="黑体" w:eastAsia="黑体"/>
          <w:b w:val="0"/>
          <w:bCs w:val="0"/>
          <w:sz w:val="24"/>
          <w:szCs w:val="20"/>
        </w:rPr>
        <w:t>十</w:t>
      </w:r>
      <w:r>
        <w:rPr>
          <w:rFonts w:hint="eastAsia" w:ascii="黑体" w:eastAsia="黑体"/>
          <w:b w:val="0"/>
          <w:bCs w:val="0"/>
          <w:sz w:val="24"/>
          <w:szCs w:val="20"/>
          <w:lang w:val="en-US" w:eastAsia="zh-CN"/>
        </w:rPr>
        <w:t>三</w:t>
      </w:r>
      <w:r>
        <w:rPr>
          <w:rFonts w:hint="eastAsia" w:ascii="黑体" w:eastAsia="黑体"/>
          <w:b w:val="0"/>
          <w:bCs w:val="0"/>
          <w:sz w:val="24"/>
          <w:szCs w:val="20"/>
        </w:rPr>
        <w:t>、服务能力</w:t>
      </w:r>
    </w:p>
    <w:p w14:paraId="21CB9715">
      <w:pPr>
        <w:widowControl/>
        <w:jc w:val="left"/>
        <w:rPr>
          <w:rFonts w:hint="eastAsia" w:ascii="Times New Roman" w:hAnsi="Times New Roman" w:eastAsia="宋体" w:cs="Times New Roman"/>
          <w:b/>
          <w:bCs/>
          <w:color w:val="FF0000"/>
          <w:kern w:val="0"/>
          <w:szCs w:val="21"/>
          <w:lang w:val="en-US" w:eastAsia="zh-CN"/>
        </w:rPr>
      </w:pPr>
      <w:r>
        <w:rPr>
          <w:rFonts w:hint="eastAsia" w:ascii="Times New Roman" w:hAnsi="Times New Roman" w:eastAsia="宋体" w:cs="Times New Roman"/>
          <w:b/>
          <w:bCs/>
          <w:color w:val="FF0000"/>
          <w:kern w:val="0"/>
          <w:szCs w:val="21"/>
          <w:lang w:val="en-US" w:eastAsia="zh-CN"/>
        </w:rPr>
        <w:t>（特别提示：投标人须按本招标文件评标信息中“同类业绩”这一评审因素要求，提供详细的证明资料。如需提供多份证明资料，投标人可自行制定证明资料目录或者表格，并在证明资料中对得分关键信息作显著标识（如红框标识等）。）</w:t>
      </w:r>
    </w:p>
    <w:p w14:paraId="48DE3D40">
      <w:pPr>
        <w:rPr>
          <w:rFonts w:hint="eastAsia"/>
        </w:rPr>
      </w:pPr>
    </w:p>
    <w:p w14:paraId="5F4D9CC8">
      <w:pPr>
        <w:pStyle w:val="18"/>
        <w:rPr>
          <w:rFonts w:hint="eastAsia" w:ascii="黑体" w:eastAsia="黑体"/>
          <w:b w:val="0"/>
          <w:bCs w:val="0"/>
          <w:sz w:val="24"/>
          <w:szCs w:val="20"/>
        </w:rPr>
      </w:pPr>
    </w:p>
    <w:p w14:paraId="5E4AAD92">
      <w:pPr>
        <w:rPr>
          <w:rFonts w:hint="eastAsia"/>
        </w:rPr>
      </w:pPr>
    </w:p>
    <w:p w14:paraId="30EAA032">
      <w:pPr>
        <w:rPr>
          <w:rFonts w:hint="eastAsia" w:ascii="黑体" w:eastAsia="黑体"/>
          <w:b w:val="0"/>
          <w:bCs w:val="0"/>
          <w:sz w:val="24"/>
          <w:szCs w:val="20"/>
        </w:rPr>
      </w:pPr>
      <w:bookmarkStart w:id="77" w:name="_Hlk72260576"/>
      <w:r>
        <w:rPr>
          <w:rFonts w:hint="eastAsia" w:ascii="黑体" w:eastAsia="黑体"/>
          <w:b w:val="0"/>
          <w:bCs w:val="0"/>
          <w:sz w:val="24"/>
          <w:szCs w:val="20"/>
        </w:rPr>
        <w:br w:type="page"/>
      </w:r>
    </w:p>
    <w:p w14:paraId="3450E0C3">
      <w:pPr>
        <w:pStyle w:val="3"/>
        <w:jc w:val="center"/>
        <w:rPr>
          <w:rFonts w:hint="eastAsia" w:ascii="黑体" w:eastAsia="黑体"/>
          <w:b w:val="0"/>
          <w:bCs w:val="0"/>
          <w:sz w:val="24"/>
          <w:szCs w:val="20"/>
        </w:rPr>
      </w:pPr>
      <w:r>
        <w:rPr>
          <w:rFonts w:hint="eastAsia" w:ascii="黑体" w:eastAsia="黑体"/>
          <w:b w:val="0"/>
          <w:bCs w:val="0"/>
          <w:sz w:val="24"/>
          <w:szCs w:val="20"/>
        </w:rPr>
        <w:t>十</w:t>
      </w:r>
      <w:r>
        <w:rPr>
          <w:rFonts w:hint="eastAsia" w:ascii="黑体" w:eastAsia="黑体"/>
          <w:b w:val="0"/>
          <w:bCs w:val="0"/>
          <w:sz w:val="24"/>
          <w:szCs w:val="20"/>
          <w:lang w:val="en-US" w:eastAsia="zh-CN"/>
        </w:rPr>
        <w:t>四</w:t>
      </w:r>
      <w:r>
        <w:rPr>
          <w:rFonts w:hint="eastAsia" w:ascii="黑体" w:eastAsia="黑体"/>
          <w:b w:val="0"/>
          <w:bCs w:val="0"/>
          <w:sz w:val="24"/>
          <w:szCs w:val="20"/>
        </w:rPr>
        <w:t>、</w:t>
      </w:r>
      <w:bookmarkStart w:id="78" w:name="_Hlk72062872"/>
      <w:r>
        <w:rPr>
          <w:rFonts w:hint="eastAsia" w:ascii="黑体" w:eastAsia="黑体"/>
          <w:b w:val="0"/>
          <w:bCs w:val="0"/>
          <w:sz w:val="24"/>
          <w:szCs w:val="20"/>
        </w:rPr>
        <w:t>投标人认为需要加以说明的其他内容</w:t>
      </w:r>
      <w:bookmarkEnd w:id="78"/>
    </w:p>
    <w:bookmarkEnd w:id="77"/>
    <w:p w14:paraId="7631AF5F">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31F93ECD">
      <w:pPr>
        <w:widowControl/>
        <w:jc w:val="center"/>
        <w:rPr>
          <w:rFonts w:hint="eastAsia" w:ascii="黑体" w:hAnsi="宋体" w:eastAsia="黑体"/>
          <w:kern w:val="0"/>
          <w:sz w:val="24"/>
          <w:szCs w:val="20"/>
        </w:rPr>
      </w:pPr>
    </w:p>
    <w:p w14:paraId="73B14CD4">
      <w:pPr>
        <w:ind w:firstLine="420" w:firstLineChars="200"/>
      </w:pPr>
      <w:r>
        <w:rPr>
          <w:rFonts w:hint="eastAsia"/>
        </w:rPr>
        <w:t>本公司在投标前已充分知悉以下情形为参与采购活动时的重大风险事项，并承诺已对下述风险提示事项重点排查，做到严谨、诚信、依法依规参与自行采购活动。</w:t>
      </w:r>
    </w:p>
    <w:p w14:paraId="3403F324">
      <w:pPr>
        <w:ind w:firstLine="422" w:firstLineChars="200"/>
        <w:rPr>
          <w:b/>
        </w:rPr>
      </w:pPr>
      <w:r>
        <w:rPr>
          <w:rFonts w:hint="eastAsia"/>
          <w:b/>
        </w:rPr>
        <w:t>一、本公司已充分知悉“隐瞒真实情况，提供虚假资料”的法定情形，相关情形包括但不限于：</w:t>
      </w:r>
    </w:p>
    <w:p w14:paraId="03565A0A">
      <w:pPr>
        <w:ind w:firstLine="420" w:firstLineChars="200"/>
      </w:pPr>
      <w:r>
        <w:rPr>
          <w:rFonts w:hint="eastAsia"/>
        </w:rPr>
        <w:t>（一）通过转让或者租借等方式从其他单位获取资格或者资质证书投标的。</w:t>
      </w:r>
    </w:p>
    <w:p w14:paraId="2BCB73F9">
      <w:pPr>
        <w:ind w:firstLine="420" w:firstLineChars="200"/>
      </w:pPr>
      <w:r>
        <w:rPr>
          <w:rFonts w:hint="eastAsia"/>
        </w:rPr>
        <w:t>（二）由其他单位或者其他单位负责人在投标供应商编制的投标文件上加盖印章或者签字的。</w:t>
      </w:r>
    </w:p>
    <w:p w14:paraId="1B2B12E3">
      <w:pPr>
        <w:ind w:firstLine="420" w:firstLineChars="200"/>
      </w:pPr>
      <w:r>
        <w:rPr>
          <w:rFonts w:hint="eastAsia"/>
        </w:rPr>
        <w:t>（三）项目负责人或者主要技术人员不是本单位人员的。</w:t>
      </w:r>
    </w:p>
    <w:p w14:paraId="3FDA90F3">
      <w:pPr>
        <w:ind w:firstLine="420" w:firstLineChars="200"/>
      </w:pPr>
      <w:r>
        <w:rPr>
          <w:rFonts w:hint="eastAsia"/>
        </w:rPr>
        <w:t>（四）投标保证金不是从投标供应商基本账户转出的。</w:t>
      </w:r>
    </w:p>
    <w:p w14:paraId="415B9D44">
      <w:pPr>
        <w:ind w:firstLine="420" w:firstLineChars="200"/>
      </w:pPr>
      <w:r>
        <w:rPr>
          <w:rFonts w:hint="eastAsia"/>
        </w:rPr>
        <w:t>（五）其他隐瞒真实情况、提供虚假资料的行为。</w:t>
      </w:r>
    </w:p>
    <w:p w14:paraId="3F34B4A6">
      <w:pPr>
        <w:ind w:firstLine="422" w:firstLineChars="200"/>
        <w:rPr>
          <w:b/>
        </w:rPr>
      </w:pPr>
      <w:r>
        <w:rPr>
          <w:rFonts w:hint="eastAsia"/>
          <w:b/>
        </w:rPr>
        <w:t>二、本公司已充分知悉“与其他采购参加人串通投标”的法定情形，相关情形包括但不限于：</w:t>
      </w:r>
    </w:p>
    <w:p w14:paraId="566D292C">
      <w:pPr>
        <w:ind w:firstLine="420" w:firstLineChars="200"/>
      </w:pPr>
      <w:r>
        <w:rPr>
          <w:rFonts w:hint="eastAsia"/>
        </w:rPr>
        <w:t>（一）投标供应商之间相互约定给予未中标的供应商利益补偿。</w:t>
      </w:r>
    </w:p>
    <w:p w14:paraId="224444B7">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39543E74">
      <w:pPr>
        <w:ind w:firstLine="420" w:firstLineChars="200"/>
      </w:pPr>
      <w:r>
        <w:rPr>
          <w:rFonts w:hint="eastAsia"/>
        </w:rPr>
        <w:t>（三）不同投标供应商的投标文件由同一单位或者同一人编制，或者由同一人分阶段参与编制的。</w:t>
      </w:r>
    </w:p>
    <w:p w14:paraId="460F2BF8">
      <w:pPr>
        <w:ind w:firstLine="420" w:firstLineChars="200"/>
      </w:pPr>
      <w:r>
        <w:rPr>
          <w:rFonts w:hint="eastAsia"/>
        </w:rPr>
        <w:t>（四）不同投标供应商的投标文件或部分投标文件相互混装。</w:t>
      </w:r>
    </w:p>
    <w:p w14:paraId="7828252C">
      <w:pPr>
        <w:ind w:firstLine="420" w:firstLineChars="200"/>
      </w:pPr>
      <w:r>
        <w:rPr>
          <w:rFonts w:hint="eastAsia"/>
        </w:rPr>
        <w:t>（五）不同投标供应商的投标文件内容存在非正常一致。</w:t>
      </w:r>
    </w:p>
    <w:p w14:paraId="777380A0">
      <w:pPr>
        <w:ind w:firstLine="420" w:firstLineChars="200"/>
      </w:pPr>
      <w:r>
        <w:rPr>
          <w:rFonts w:hint="eastAsia"/>
        </w:rPr>
        <w:t>（六）由同一单位工作人员为两家以上（含两家）供应商进行同一项投标活动的。</w:t>
      </w:r>
    </w:p>
    <w:p w14:paraId="4131E2D3">
      <w:pPr>
        <w:ind w:firstLine="420" w:firstLineChars="200"/>
      </w:pPr>
      <w:r>
        <w:rPr>
          <w:rFonts w:hint="eastAsia"/>
        </w:rPr>
        <w:t>（七）不同投标人的投标报价呈规律性差异。</w:t>
      </w:r>
    </w:p>
    <w:p w14:paraId="481198E3">
      <w:pPr>
        <w:ind w:firstLine="420" w:firstLineChars="200"/>
      </w:pPr>
      <w:r>
        <w:rPr>
          <w:rFonts w:hint="eastAsia"/>
        </w:rPr>
        <w:t>（八）不同投标人的投标保证金从同一单位或者个人的账户转出。</w:t>
      </w:r>
    </w:p>
    <w:p w14:paraId="0F30C5E2">
      <w:pPr>
        <w:ind w:firstLine="420" w:firstLineChars="200"/>
      </w:pPr>
      <w:r>
        <w:rPr>
          <w:rFonts w:hint="eastAsia"/>
        </w:rPr>
        <w:t>（九）主管部门依照法律、法规认定的其他情形。</w:t>
      </w:r>
    </w:p>
    <w:p w14:paraId="6141F5E2">
      <w:pPr>
        <w:ind w:firstLine="422" w:firstLineChars="200"/>
        <w:rPr>
          <w:b/>
        </w:rPr>
      </w:pPr>
      <w:r>
        <w:rPr>
          <w:rFonts w:hint="eastAsia"/>
          <w:b/>
        </w:rPr>
        <w:t>三、本公司已充分知悉下列情形所对应的法律风险，并在投标前已对相关风险事项进行排查。</w:t>
      </w:r>
    </w:p>
    <w:p w14:paraId="2E6102C5">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1338CB71">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D0256C7">
      <w:pPr>
        <w:ind w:firstLine="420" w:firstLineChars="200"/>
      </w:pPr>
      <w:r>
        <w:rPr>
          <w:rFonts w:hint="eastAsia"/>
        </w:rPr>
        <w:t>（三）对于涉及安全生产、特种作业、抢险救灾、防疫等采购项目，供应商实施提供虚假资料、串通投标等违法行为的，主管部门将依法从严处理。</w:t>
      </w:r>
    </w:p>
    <w:p w14:paraId="3DA4D412">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7A9EBA3F">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777BAD3C">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344E5240">
      <w:pPr>
        <w:ind w:firstLine="422" w:firstLineChars="200"/>
        <w:rPr>
          <w:b/>
        </w:rPr>
      </w:pPr>
      <w:r>
        <w:rPr>
          <w:rFonts w:hint="eastAsia"/>
          <w:b/>
        </w:rPr>
        <w:t>四、本公司已充分知悉采购违法、违规行为的法律后果。</w:t>
      </w:r>
    </w:p>
    <w:p w14:paraId="5F680E0F">
      <w:pPr>
        <w:ind w:firstLine="420" w:firstLineChars="200"/>
      </w:pPr>
      <w:r>
        <w:rPr>
          <w:rFonts w:hint="eastAsia"/>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F5010F7">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478"/>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B46558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1EF509D">
            <w:pPr>
              <w:autoSpaceDE w:val="0"/>
              <w:autoSpaceDN w:val="0"/>
              <w:spacing w:line="400" w:lineRule="exact"/>
              <w:ind w:firstLine="1866"/>
              <w:rPr>
                <w:rFonts w:hint="eastAsia" w:ascii="宋体" w:hAnsi="宋体" w:eastAsiaTheme="minorEastAsia"/>
                <w:spacing w:val="-4"/>
                <w:kern w:val="0"/>
                <w:szCs w:val="21"/>
              </w:rPr>
            </w:pPr>
          </w:p>
        </w:tc>
      </w:tr>
      <w:tr w14:paraId="6ADAED5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3C1A518C">
            <w:pPr>
              <w:autoSpaceDE w:val="0"/>
              <w:autoSpaceDN w:val="0"/>
              <w:spacing w:line="400" w:lineRule="exact"/>
              <w:ind w:firstLine="1866"/>
              <w:rPr>
                <w:rFonts w:hint="eastAsia" w:ascii="宋体" w:hAnsi="宋体" w:eastAsiaTheme="minorEastAsia"/>
                <w:spacing w:val="-4"/>
                <w:kern w:val="0"/>
                <w:szCs w:val="21"/>
              </w:rPr>
            </w:pPr>
          </w:p>
        </w:tc>
      </w:tr>
      <w:tr w14:paraId="7CAE075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76A32862">
            <w:pPr>
              <w:autoSpaceDE w:val="0"/>
              <w:autoSpaceDN w:val="0"/>
              <w:spacing w:line="400" w:lineRule="exact"/>
              <w:ind w:firstLine="1866"/>
              <w:rPr>
                <w:rFonts w:hint="eastAsia" w:ascii="宋体" w:hAnsi="宋体" w:eastAsiaTheme="minorEastAsia"/>
                <w:spacing w:val="-4"/>
                <w:kern w:val="0"/>
                <w:szCs w:val="21"/>
              </w:rPr>
            </w:pPr>
          </w:p>
        </w:tc>
      </w:tr>
      <w:tr w14:paraId="5992941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0CC4279F">
            <w:pPr>
              <w:autoSpaceDE w:val="0"/>
              <w:autoSpaceDN w:val="0"/>
              <w:spacing w:line="400" w:lineRule="exact"/>
              <w:ind w:firstLine="1866"/>
              <w:rPr>
                <w:rFonts w:hint="eastAsia" w:ascii="宋体" w:hAnsi="宋体" w:eastAsiaTheme="minorEastAsia"/>
                <w:spacing w:val="-4"/>
                <w:kern w:val="0"/>
                <w:szCs w:val="21"/>
              </w:rPr>
            </w:pPr>
          </w:p>
        </w:tc>
      </w:tr>
    </w:tbl>
    <w:p w14:paraId="70C77DEF">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6732B4A8">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1C0CDAA7">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5D37D0DC">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65A64249">
      <w:pPr>
        <w:widowControl/>
        <w:autoSpaceDE w:val="0"/>
        <w:autoSpaceDN w:val="0"/>
        <w:spacing w:line="400" w:lineRule="exact"/>
        <w:ind w:firstLine="406" w:firstLineChars="200"/>
        <w:jc w:val="left"/>
        <w:rPr>
          <w:rFonts w:hint="eastAsia" w:ascii="宋体" w:hAnsi="宋体" w:eastAsiaTheme="minorEastAsia"/>
          <w:b/>
          <w:bCs/>
          <w:spacing w:val="-4"/>
          <w:kern w:val="0"/>
          <w:szCs w:val="21"/>
          <w:highlight w:val="yellow"/>
        </w:rPr>
      </w:pPr>
      <w:r>
        <w:rPr>
          <w:rFonts w:hint="eastAsia" w:ascii="宋体" w:hAnsi="宋体" w:eastAsiaTheme="minorEastAsia"/>
          <w:b/>
          <w:bCs/>
          <w:spacing w:val="-4"/>
          <w:kern w:val="0"/>
          <w:szCs w:val="21"/>
          <w:highlight w:val="yellow"/>
        </w:rPr>
        <w:t>1.</w:t>
      </w:r>
      <w:r>
        <w:rPr>
          <w:rFonts w:hint="eastAsia"/>
          <w:highlight w:val="yellow"/>
        </w:rPr>
        <w:t xml:space="preserve"> </w:t>
      </w:r>
      <w:r>
        <w:rPr>
          <w:rFonts w:hint="eastAsia" w:ascii="宋体" w:hAnsi="宋体" w:eastAsiaTheme="minorEastAsia"/>
          <w:b/>
          <w:bCs/>
          <w:spacing w:val="-4"/>
          <w:kern w:val="0"/>
          <w:szCs w:val="21"/>
          <w:highlight w:val="yellow"/>
        </w:rPr>
        <w:t>该风险知悉确认书用于对供应商违法行为的警示，不作为供应商资格性审查及符合性审查条件。</w:t>
      </w:r>
    </w:p>
    <w:p w14:paraId="04798717">
      <w:pPr>
        <w:widowControl/>
        <w:autoSpaceDE w:val="0"/>
        <w:autoSpaceDN w:val="0"/>
        <w:spacing w:line="400" w:lineRule="exact"/>
        <w:ind w:firstLine="406" w:firstLineChars="200"/>
        <w:jc w:val="left"/>
        <w:rPr>
          <w:rFonts w:hint="eastAsia" w:ascii="宋体" w:hAnsi="宋体" w:eastAsiaTheme="minorEastAsia"/>
          <w:spacing w:val="-4"/>
          <w:kern w:val="0"/>
          <w:szCs w:val="21"/>
          <w:highlight w:val="yellow"/>
        </w:rPr>
      </w:pPr>
      <w:r>
        <w:rPr>
          <w:rFonts w:hint="eastAsia" w:ascii="宋体" w:hAnsi="宋体" w:eastAsiaTheme="minorEastAsia"/>
          <w:b/>
          <w:bCs/>
          <w:spacing w:val="-4"/>
          <w:kern w:val="0"/>
          <w:szCs w:val="21"/>
          <w:highlight w:val="yellow"/>
        </w:rPr>
        <w:t>2.投标供应商负责人或投标授权代表签字并加盖单位公章后，扫描上传至投标文件一并提交。</w:t>
      </w:r>
    </w:p>
    <w:p w14:paraId="53271113">
      <w:pPr>
        <w:widowControl/>
        <w:jc w:val="center"/>
        <w:rPr>
          <w:rFonts w:hint="eastAsia" w:ascii="黑体" w:hAnsi="宋体" w:eastAsia="黑体"/>
          <w:bCs/>
          <w:kern w:val="0"/>
          <w:sz w:val="24"/>
        </w:rPr>
        <w:sectPr>
          <w:pgSz w:w="11907" w:h="16840"/>
          <w:pgMar w:top="1440" w:right="1797" w:bottom="1440" w:left="1797" w:header="851" w:footer="992" w:gutter="0"/>
          <w:cols w:space="425" w:num="1"/>
          <w:titlePg/>
          <w:docGrid w:linePitch="462" w:charSpace="0"/>
        </w:sectPr>
      </w:pPr>
      <w:r>
        <w:rPr>
          <w:rFonts w:hint="eastAsia" w:ascii="黑体" w:eastAsia="黑体"/>
          <w:sz w:val="24"/>
          <w:szCs w:val="20"/>
        </w:rPr>
        <w:t>（二）</w:t>
      </w:r>
      <w:r>
        <w:rPr>
          <w:rFonts w:hint="eastAsia" w:ascii="黑体" w:hAnsi="宋体" w:eastAsia="黑体"/>
          <w:kern w:val="0"/>
          <w:sz w:val="24"/>
          <w:szCs w:val="20"/>
        </w:rPr>
        <w:t>投标人认为需要加以说明的其他内容（格式自定）</w:t>
      </w:r>
    </w:p>
    <w:p w14:paraId="7D2AAEA8"/>
    <w:p w14:paraId="1C74049B">
      <w:pPr>
        <w:keepNext/>
        <w:keepLines/>
        <w:widowControl w:val="0"/>
        <w:adjustRightInd w:val="0"/>
        <w:spacing w:before="260" w:after="260" w:line="240" w:lineRule="auto"/>
        <w:jc w:val="center"/>
        <w:textAlignment w:val="baseline"/>
        <w:outlineLvl w:val="1"/>
        <w:rPr>
          <w:rFonts w:hint="eastAsia" w:ascii="宋体" w:hAnsi="宋体" w:eastAsia="宋体" w:cs="Times New Roman"/>
          <w:b/>
          <w:bCs/>
          <w:kern w:val="0"/>
          <w:sz w:val="24"/>
          <w:szCs w:val="20"/>
          <w:lang w:val="en-US" w:eastAsia="zh-CN" w:bidi="ar-SA"/>
        </w:rPr>
      </w:pPr>
      <w:r>
        <w:rPr>
          <w:rFonts w:hint="eastAsia" w:ascii="宋体" w:hAnsi="宋体" w:eastAsia="宋体" w:cs="Times New Roman"/>
          <w:b/>
          <w:bCs/>
          <w:kern w:val="0"/>
          <w:sz w:val="24"/>
          <w:szCs w:val="20"/>
          <w:lang w:val="en-US" w:eastAsia="zh-CN" w:bidi="ar-SA"/>
        </w:rPr>
        <w:t>第五章  合同条款及格式</w:t>
      </w:r>
    </w:p>
    <w:p w14:paraId="07A738F7"/>
    <w:p w14:paraId="6C12394C">
      <w:pPr>
        <w:jc w:val="center"/>
      </w:pPr>
      <w:bookmarkStart w:id="79" w:name="_Toc3995"/>
      <w:r>
        <w:rPr>
          <w:rFonts w:hint="eastAsia"/>
          <w:b/>
          <w:sz w:val="24"/>
        </w:rPr>
        <w:t>（仅供参考，具体以项目需求及采购结果为准）</w:t>
      </w:r>
    </w:p>
    <w:p w14:paraId="144E41EC">
      <w:pPr>
        <w:jc w:val="center"/>
        <w:rPr>
          <w:rFonts w:hint="eastAsia" w:ascii="宋体" w:hAnsi="宋体" w:cs="宋体"/>
          <w:b/>
          <w:bCs/>
          <w:spacing w:val="-20"/>
          <w:kern w:val="44"/>
          <w:sz w:val="48"/>
          <w:szCs w:val="48"/>
        </w:rPr>
      </w:pPr>
    </w:p>
    <w:p w14:paraId="1C431E45">
      <w:pPr>
        <w:rPr>
          <w:rFonts w:hint="eastAsia" w:ascii="宋体" w:hAnsi="宋体" w:cs="宋体"/>
          <w:b/>
          <w:bCs/>
          <w:spacing w:val="-20"/>
          <w:kern w:val="44"/>
          <w:sz w:val="48"/>
          <w:szCs w:val="48"/>
        </w:rPr>
      </w:pPr>
      <w:r>
        <w:rPr>
          <w:rFonts w:hint="eastAsia" w:ascii="宋体" w:hAnsi="宋体" w:cs="宋体"/>
          <w:b/>
          <w:bCs/>
          <w:spacing w:val="-20"/>
          <w:kern w:val="44"/>
          <w:sz w:val="48"/>
          <w:szCs w:val="48"/>
        </w:rPr>
        <w:br w:type="page"/>
      </w:r>
    </w:p>
    <w:p w14:paraId="2EB0C7C0">
      <w:pPr>
        <w:pStyle w:val="54"/>
        <w:rPr>
          <w:rFonts w:hint="eastAsia"/>
        </w:rPr>
      </w:pPr>
      <w:r>
        <w:rPr>
          <w:rFonts w:hint="eastAsia"/>
        </w:rPr>
        <w:t>合同编号：</w:t>
      </w:r>
    </w:p>
    <w:p w14:paraId="649C1853">
      <w:pPr>
        <w:pStyle w:val="54"/>
        <w:rPr>
          <w:rFonts w:hint="eastAsia"/>
        </w:rPr>
      </w:pPr>
    </w:p>
    <w:p w14:paraId="3BC77100">
      <w:pPr>
        <w:pStyle w:val="54"/>
        <w:rPr>
          <w:rFonts w:hint="eastAsia"/>
        </w:rPr>
      </w:pPr>
      <w:r>
        <w:rPr>
          <w:rFonts w:hint="eastAsia"/>
          <w:lang w:val="en-US" w:eastAsia="zh-CN"/>
        </w:rPr>
        <w:t>深圳市</w:t>
      </w:r>
      <w:r>
        <w:rPr>
          <w:rFonts w:hint="eastAsia"/>
        </w:rPr>
        <w:t>龙岗区</w:t>
      </w:r>
      <w:r>
        <w:rPr>
          <w:rFonts w:hint="eastAsia"/>
          <w:lang w:eastAsia="zh-CN"/>
        </w:rPr>
        <w:t>第二人民医院</w:t>
      </w:r>
      <w:r>
        <w:rPr>
          <w:rFonts w:hint="eastAsia"/>
          <w:lang w:val="en-US" w:eastAsia="zh-CN"/>
        </w:rPr>
        <w:t>XX</w:t>
      </w:r>
      <w:r>
        <w:rPr>
          <w:rFonts w:hint="eastAsia"/>
        </w:rPr>
        <w:t>采购合同</w:t>
      </w:r>
    </w:p>
    <w:p w14:paraId="0501F11B">
      <w:pPr>
        <w:pStyle w:val="54"/>
        <w:rPr>
          <w:rFonts w:hint="eastAsia"/>
        </w:rPr>
      </w:pPr>
    </w:p>
    <w:p w14:paraId="0D797D89">
      <w:pPr>
        <w:pStyle w:val="54"/>
        <w:rPr>
          <w:rFonts w:hint="eastAsia"/>
        </w:rPr>
      </w:pPr>
      <w:r>
        <w:rPr>
          <w:rFonts w:hint="eastAsia"/>
        </w:rPr>
        <w:t>项目名称：</w:t>
      </w:r>
    </w:p>
    <w:p w14:paraId="551C53A9">
      <w:pPr>
        <w:pStyle w:val="54"/>
        <w:rPr>
          <w:rFonts w:hint="eastAsia"/>
        </w:rPr>
      </w:pPr>
      <w:r>
        <w:rPr>
          <w:rFonts w:hint="eastAsia"/>
        </w:rPr>
        <w:t>项目编号：</w:t>
      </w:r>
    </w:p>
    <w:p w14:paraId="2F185B78">
      <w:pPr>
        <w:pStyle w:val="54"/>
        <w:rPr>
          <w:rFonts w:hint="eastAsia"/>
        </w:rPr>
      </w:pPr>
      <w:r>
        <w:rPr>
          <w:rFonts w:hint="eastAsia"/>
        </w:rPr>
        <w:t>项目类型：</w:t>
      </w:r>
      <w:r>
        <w:rPr>
          <w:rFonts w:hint="eastAsia"/>
          <w:lang w:val="en-US" w:eastAsia="zh-CN"/>
        </w:rPr>
        <w:t>货物</w:t>
      </w:r>
      <w:r>
        <w:rPr>
          <w:rFonts w:hint="eastAsia"/>
        </w:rPr>
        <w:t>类</w:t>
      </w:r>
    </w:p>
    <w:p w14:paraId="16786109">
      <w:pPr>
        <w:pStyle w:val="54"/>
        <w:rPr>
          <w:rFonts w:hint="eastAsia"/>
        </w:rPr>
      </w:pPr>
      <w:r>
        <w:rPr>
          <w:rFonts w:hint="eastAsia"/>
        </w:rPr>
        <w:t>采购单位（甲方）：深圳市龙岗区</w:t>
      </w:r>
      <w:r>
        <w:rPr>
          <w:rFonts w:hint="eastAsia"/>
          <w:lang w:eastAsia="zh-CN"/>
        </w:rPr>
        <w:t>第二人民医院</w:t>
      </w:r>
    </w:p>
    <w:p w14:paraId="64B885B8">
      <w:pPr>
        <w:pStyle w:val="54"/>
        <w:rPr>
          <w:rFonts w:hint="eastAsia"/>
        </w:rPr>
      </w:pPr>
      <w:r>
        <w:rPr>
          <w:rFonts w:hint="eastAsia"/>
        </w:rPr>
        <w:t>供 应 商（乙方）：</w:t>
      </w:r>
    </w:p>
    <w:p w14:paraId="74A309E7">
      <w:pPr>
        <w:pStyle w:val="54"/>
        <w:rPr>
          <w:rFonts w:hint="eastAsia"/>
        </w:rPr>
      </w:pPr>
    </w:p>
    <w:p w14:paraId="4AAA580A">
      <w:pPr>
        <w:pStyle w:val="54"/>
        <w:rPr>
          <w:rFonts w:hint="eastAsia"/>
        </w:rPr>
      </w:pPr>
      <w:r>
        <w:rPr>
          <w:rFonts w:hint="eastAsia"/>
        </w:rPr>
        <w:t>根据《中华人民共和国政府采购法》《中华人民共和国民法典》《深圳经济特区政府采购条例》《深圳经济特区政府采购条例实施细则》等法律法规的规定，甲乙双方按照</w:t>
      </w:r>
      <w:r>
        <w:rPr>
          <w:rFonts w:hint="eastAsia"/>
          <w:lang w:val="en-US" w:eastAsia="zh-CN"/>
        </w:rPr>
        <w:t>XX项目</w:t>
      </w:r>
      <w:r>
        <w:rPr>
          <w:rFonts w:hint="eastAsia"/>
        </w:rPr>
        <w:t>（项目编号：xx）的招标结果并经双方协商签订本合同。</w:t>
      </w:r>
    </w:p>
    <w:p w14:paraId="28EB6B84">
      <w:pPr>
        <w:pStyle w:val="54"/>
        <w:rPr>
          <w:rFonts w:hint="eastAsia"/>
        </w:rPr>
      </w:pPr>
      <w:r>
        <w:rPr>
          <w:rFonts w:hint="eastAsia"/>
        </w:rPr>
        <w:t>第一条  合同标的 </w:t>
      </w:r>
    </w:p>
    <w:p w14:paraId="1C6AC8FC">
      <w:pPr>
        <w:pStyle w:val="54"/>
        <w:rPr>
          <w:rFonts w:hint="eastAsia"/>
        </w:rPr>
      </w:pPr>
      <w:r>
        <w:rPr>
          <w:rFonts w:hint="eastAsia"/>
        </w:rPr>
        <w:t>乙方根据甲方需求提供下列医用耗材：</w:t>
      </w:r>
    </w:p>
    <w:p w14:paraId="6C2900AE">
      <w:pPr>
        <w:pStyle w:val="54"/>
        <w:rPr>
          <w:rFonts w:hint="eastAsia"/>
        </w:rPr>
      </w:pPr>
      <w:r>
        <w:rPr>
          <w:rFonts w:hint="eastAsia"/>
        </w:rPr>
        <w:t>货物名称、规格、单价</w:t>
      </w:r>
      <w:r>
        <w:rPr>
          <w:rFonts w:hint="eastAsia"/>
          <w:lang w:eastAsia="zh-CN"/>
        </w:rPr>
        <w:t>：</w:t>
      </w:r>
      <w:r>
        <w:rPr>
          <w:rFonts w:hint="eastAsia"/>
        </w:rPr>
        <w:t>见附件“供货一览表”。</w:t>
      </w:r>
    </w:p>
    <w:p w14:paraId="32AECB57">
      <w:pPr>
        <w:pStyle w:val="54"/>
        <w:rPr>
          <w:rFonts w:hint="eastAsia"/>
        </w:rPr>
      </w:pPr>
      <w:r>
        <w:rPr>
          <w:rFonts w:hint="eastAsia"/>
        </w:rPr>
        <w:t>第二条  合同期限（</w:t>
      </w:r>
      <w:r>
        <w:rPr>
          <w:rFonts w:hint="eastAsia"/>
          <w:lang w:val="en-US" w:eastAsia="zh-CN"/>
        </w:rPr>
        <w:t xml:space="preserve"> </w:t>
      </w:r>
      <w:r>
        <w:rPr>
          <w:rFonts w:hint="eastAsia"/>
        </w:rPr>
        <w:t>）个月，自</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日至</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日止。（合同期或累计采购总金额达到采购预算控制总额，合同期终止，以先达到的条件为准；合同期间如遇政府部门、上级主管部门或深圳市、区组织集中招标采购，该合同自动失效）。</w:t>
      </w:r>
    </w:p>
    <w:p w14:paraId="2228E28C">
      <w:pPr>
        <w:pStyle w:val="54"/>
        <w:rPr>
          <w:rFonts w:hint="eastAsia"/>
        </w:rPr>
      </w:pPr>
      <w:r>
        <w:rPr>
          <w:rFonts w:hint="eastAsia"/>
        </w:rPr>
        <w:t>第三条  合同预算控制金额</w:t>
      </w:r>
    </w:p>
    <w:p w14:paraId="42A9AEE8">
      <w:pPr>
        <w:pStyle w:val="54"/>
        <w:rPr>
          <w:rFonts w:hint="eastAsia"/>
        </w:rPr>
      </w:pPr>
      <w:r>
        <w:rPr>
          <w:rFonts w:hint="eastAsia"/>
        </w:rPr>
        <w:t xml:space="preserve">1.本合同预算控制总金额（以实际采购数量结算）：人民币（大写）    </w:t>
      </w:r>
      <w:r>
        <w:rPr>
          <w:rFonts w:hint="eastAsia"/>
          <w:lang w:val="en-US" w:eastAsia="zh-CN"/>
        </w:rPr>
        <w:t xml:space="preserve">  </w:t>
      </w:r>
      <w:r>
        <w:rPr>
          <w:rFonts w:hint="eastAsia"/>
        </w:rPr>
        <w:t xml:space="preserve"> 元整（￥    </w:t>
      </w:r>
      <w:r>
        <w:rPr>
          <w:rFonts w:hint="eastAsia"/>
          <w:lang w:val="en-US" w:eastAsia="zh-CN"/>
        </w:rPr>
        <w:t xml:space="preserve"> </w:t>
      </w:r>
      <w:r>
        <w:rPr>
          <w:rFonts w:hint="eastAsia"/>
        </w:rPr>
        <w:t xml:space="preserve"> ）。</w:t>
      </w:r>
    </w:p>
    <w:p w14:paraId="706141A1">
      <w:pPr>
        <w:pStyle w:val="54"/>
        <w:rPr>
          <w:rFonts w:hint="eastAsia"/>
        </w:rPr>
      </w:pPr>
      <w:r>
        <w:rPr>
          <w:rFonts w:hint="eastAsia"/>
        </w:rPr>
        <w:t>2.报价包含货物价格及总服务费、运输费、相关人员的工资、交通费、差旅费、工伤费、保险费、相关税费和利润等直至验收合格前的所有相关费用。还包含乙方应当提供的伴随服务/售后服务费用。</w:t>
      </w:r>
    </w:p>
    <w:p w14:paraId="6D9E1F2C">
      <w:pPr>
        <w:pStyle w:val="54"/>
        <w:rPr>
          <w:rFonts w:hint="eastAsia"/>
        </w:rPr>
      </w:pPr>
      <w:r>
        <w:rPr>
          <w:rFonts w:hint="eastAsia"/>
        </w:rPr>
        <w:t>第四条  组成本合同的有关文件</w:t>
      </w:r>
    </w:p>
    <w:p w14:paraId="67B1E644">
      <w:pPr>
        <w:pStyle w:val="54"/>
        <w:rPr>
          <w:rFonts w:hint="eastAsia"/>
        </w:rPr>
      </w:pPr>
      <w:r>
        <w:rPr>
          <w:rFonts w:hint="eastAsia"/>
        </w:rPr>
        <w:t>下列关于</w:t>
      </w:r>
      <w:r>
        <w:rPr>
          <w:rFonts w:hint="eastAsia"/>
          <w:lang w:val="en-US" w:eastAsia="zh-CN"/>
        </w:rPr>
        <w:t>本项目</w:t>
      </w:r>
      <w:r>
        <w:rPr>
          <w:rFonts w:hint="eastAsia"/>
        </w:rPr>
        <w:t>的招投标文件或与本次采购活动方式相适应的文件及有关附件是本合同不可分割的组成部分，与本合同具有同等法律效力，这些文件包括但不限于：</w:t>
      </w:r>
    </w:p>
    <w:p w14:paraId="0D200F7E">
      <w:pPr>
        <w:pStyle w:val="54"/>
        <w:rPr>
          <w:rFonts w:hint="eastAsia"/>
        </w:rPr>
      </w:pPr>
      <w:r>
        <w:rPr>
          <w:rFonts w:hint="eastAsia"/>
        </w:rPr>
        <w:t>（1）乙方提供的投标文件（含澄清文件）和投标报价表；</w:t>
      </w:r>
    </w:p>
    <w:p w14:paraId="6054CC74">
      <w:pPr>
        <w:pStyle w:val="54"/>
        <w:rPr>
          <w:rFonts w:hint="eastAsia"/>
        </w:rPr>
      </w:pPr>
      <w:r>
        <w:rPr>
          <w:rFonts w:hint="eastAsia"/>
        </w:rPr>
        <w:t>（2）供货一览表；　　    （3）交货地点一览表；</w:t>
      </w:r>
    </w:p>
    <w:p w14:paraId="125742EC">
      <w:pPr>
        <w:pStyle w:val="54"/>
        <w:rPr>
          <w:rFonts w:hint="eastAsia"/>
        </w:rPr>
      </w:pPr>
      <w:r>
        <w:rPr>
          <w:rFonts w:hint="eastAsia"/>
        </w:rPr>
        <w:t>（4）技术规格响应表；　　（5）投标承诺；</w:t>
      </w:r>
    </w:p>
    <w:p w14:paraId="537ADC8F">
      <w:pPr>
        <w:pStyle w:val="54"/>
        <w:rPr>
          <w:rFonts w:hint="eastAsia"/>
        </w:rPr>
      </w:pPr>
      <w:r>
        <w:rPr>
          <w:rFonts w:hint="eastAsia"/>
        </w:rPr>
        <w:t>（6）服务承诺；　　      （7）中标或成交通知书；</w:t>
      </w:r>
    </w:p>
    <w:p w14:paraId="4CDC8DC7">
      <w:pPr>
        <w:pStyle w:val="54"/>
        <w:rPr>
          <w:rFonts w:hint="eastAsia"/>
        </w:rPr>
      </w:pPr>
      <w:r>
        <w:rPr>
          <w:rFonts w:hint="eastAsia"/>
        </w:rPr>
        <w:t>（8）招标文件（含招标文件补充通知）；</w:t>
      </w:r>
    </w:p>
    <w:p w14:paraId="74664D90">
      <w:pPr>
        <w:pStyle w:val="54"/>
        <w:rPr>
          <w:rFonts w:hint="eastAsia"/>
        </w:rPr>
      </w:pPr>
      <w:r>
        <w:rPr>
          <w:rFonts w:hint="eastAsia"/>
        </w:rPr>
        <w:t>（9）甲乙双方</w:t>
      </w:r>
      <w:r>
        <w:rPr>
          <w:rFonts w:hint="eastAsia"/>
          <w:lang w:val="en-US" w:eastAsia="zh-CN"/>
        </w:rPr>
        <w:t>另行约定的</w:t>
      </w:r>
      <w:r>
        <w:rPr>
          <w:rFonts w:hint="eastAsia"/>
        </w:rPr>
        <w:t>补充条款或协议。</w:t>
      </w:r>
    </w:p>
    <w:p w14:paraId="495E48A6">
      <w:pPr>
        <w:pStyle w:val="54"/>
        <w:rPr>
          <w:rFonts w:hint="eastAsia"/>
        </w:rPr>
      </w:pPr>
      <w:r>
        <w:rPr>
          <w:rFonts w:hint="eastAsia"/>
        </w:rPr>
        <w:t xml:space="preserve">第五条  权利保证  </w:t>
      </w:r>
    </w:p>
    <w:p w14:paraId="241F6055">
      <w:pPr>
        <w:pStyle w:val="54"/>
        <w:rPr>
          <w:rFonts w:hint="eastAsia"/>
        </w:rPr>
      </w:pPr>
      <w:r>
        <w:rPr>
          <w:rFonts w:hint="eastAsia"/>
        </w:rPr>
        <w:t>1.乙方应保证甲方在使用、接受本合同货物和服务或其任何一部分时不受第三方提出侵犯其专利权、版权、商标权和工业设计权等知识产权以及所有权、使用权等物权方面的起诉。一旦出现侵权相关纠纷，由乙方负全部责任。</w:t>
      </w:r>
    </w:p>
    <w:p w14:paraId="4CDC14FB">
      <w:pPr>
        <w:pStyle w:val="54"/>
        <w:rPr>
          <w:rFonts w:hint="eastAsia"/>
        </w:rPr>
      </w:pPr>
      <w:r>
        <w:rPr>
          <w:rFonts w:hint="eastAsia"/>
        </w:rPr>
        <w:t>2.甲方</w:t>
      </w:r>
      <w:r>
        <w:rPr>
          <w:rFonts w:hint="eastAsia"/>
          <w:lang w:val="zh-CN"/>
        </w:rPr>
        <w:t>购买产品后，有权对该产品与其他设备进行配套、整合或适当改进，而免受侵犯专利权的起诉。</w:t>
      </w:r>
    </w:p>
    <w:p w14:paraId="5A248A33">
      <w:pPr>
        <w:pStyle w:val="54"/>
        <w:rPr>
          <w:rFonts w:hint="eastAsia"/>
        </w:rPr>
      </w:pPr>
      <w:r>
        <w:rPr>
          <w:rFonts w:hint="eastAsia"/>
        </w:rPr>
        <w:t>第六条  质量保证</w:t>
      </w:r>
    </w:p>
    <w:p w14:paraId="54E5E7D4">
      <w:pPr>
        <w:pStyle w:val="54"/>
        <w:rPr>
          <w:rFonts w:hint="eastAsia"/>
        </w:rPr>
      </w:pPr>
      <w:r>
        <w:rPr>
          <w:rFonts w:hint="eastAsia"/>
        </w:rPr>
        <w:t>1.乙方保证合同期内配送公司和供应产品资质的合法性，按照甲方要求提供完备的资质证件。合同期内证件到期前1个月提交至甲方备案。</w:t>
      </w:r>
    </w:p>
    <w:p w14:paraId="2BCEBA33">
      <w:pPr>
        <w:pStyle w:val="54"/>
        <w:rPr>
          <w:rFonts w:hint="eastAsia"/>
        </w:rPr>
      </w:pPr>
      <w:r>
        <w:rPr>
          <w:rFonts w:hint="eastAsia"/>
        </w:rPr>
        <w:t>2.乙方按合同交付的产品质量必须符合国家有关质量标准或具有有关质检部门出具的产品检验合格证明；必须满足招标文件及技术参数要求，以确保临床使用安全有效。</w:t>
      </w:r>
    </w:p>
    <w:p w14:paraId="73B30CF4">
      <w:pPr>
        <w:pStyle w:val="54"/>
        <w:rPr>
          <w:rFonts w:hint="eastAsia"/>
        </w:rPr>
      </w:pPr>
      <w:r>
        <w:rPr>
          <w:rFonts w:hint="eastAsia"/>
        </w:rPr>
        <w:t>3.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10B9F9BD">
      <w:pPr>
        <w:pStyle w:val="54"/>
        <w:rPr>
          <w:rFonts w:hint="eastAsia"/>
        </w:rPr>
      </w:pPr>
      <w:r>
        <w:rPr>
          <w:rFonts w:hint="eastAsia"/>
        </w:rPr>
        <w:t>4.甲方如怀疑产品存在质量问题，由质量认定部门进行鉴定，认定存在质量问题或成交产品与申报时所作的承诺不一致时，有权选择替代产品。</w:t>
      </w:r>
    </w:p>
    <w:p w14:paraId="50AE7002">
      <w:pPr>
        <w:pStyle w:val="54"/>
        <w:rPr>
          <w:rFonts w:hint="eastAsia"/>
        </w:rPr>
      </w:pPr>
      <w:r>
        <w:rPr>
          <w:rFonts w:hint="eastAsia"/>
        </w:rPr>
        <w:t>5.所提供耗材应有6个月以上的有效期。有效期内出现质量问题，乙方承担相应责任，且无条件退货。</w:t>
      </w:r>
    </w:p>
    <w:p w14:paraId="1BA7849A">
      <w:pPr>
        <w:pStyle w:val="54"/>
        <w:rPr>
          <w:rFonts w:hint="eastAsia"/>
        </w:rPr>
      </w:pPr>
      <w:r>
        <w:rPr>
          <w:rFonts w:hint="eastAsia"/>
        </w:rPr>
        <w:t>6.甲方可根据</w:t>
      </w:r>
      <w:r>
        <w:rPr>
          <w:rFonts w:hint="eastAsia"/>
          <w:lang w:val="en-US" w:eastAsia="zh-CN"/>
        </w:rPr>
        <w:t>相关文件</w:t>
      </w:r>
      <w:r>
        <w:rPr>
          <w:rFonts w:hint="eastAsia"/>
        </w:rPr>
        <w:t>要求乙方提供其与交易有关的证明文件，包括所提供的医用耗材的医疗器械注册证或第一类产品备案凭证、注册产品标准，以及检验报告、进口产品报关单等相关文件。</w:t>
      </w:r>
    </w:p>
    <w:p w14:paraId="3DE6D108">
      <w:pPr>
        <w:pStyle w:val="54"/>
        <w:rPr>
          <w:rFonts w:hint="eastAsia"/>
        </w:rPr>
      </w:pPr>
      <w:r>
        <w:rPr>
          <w:rFonts w:hint="eastAsia"/>
        </w:rPr>
        <w:t>7.乙方所提供的材料在临床使用过程中出现不良事件后应无条件补偿同数量产品，在同一阶段出现多例同类不良事件，相关部门要求抽检的，抽检样品由乙方免费提供。</w:t>
      </w:r>
    </w:p>
    <w:p w14:paraId="276F65E7">
      <w:pPr>
        <w:pStyle w:val="54"/>
        <w:rPr>
          <w:rFonts w:hint="eastAsia"/>
        </w:rPr>
      </w:pPr>
      <w:r>
        <w:rPr>
          <w:rFonts w:hint="eastAsia"/>
        </w:rPr>
        <w:t>8.乙方按国家相关标准进行耗材包装，耗材的包装均应有良好的防湿、防锈、防潮、防雨、防腐及防碰撞的措施，并适宜深圳的气候条件。凡由于包装不良造成的损失和由此产生的费用均由乙方承担。</w:t>
      </w:r>
    </w:p>
    <w:p w14:paraId="24944176">
      <w:pPr>
        <w:pStyle w:val="54"/>
        <w:rPr>
          <w:rFonts w:hint="eastAsia"/>
        </w:rPr>
      </w:pPr>
      <w:r>
        <w:rPr>
          <w:rFonts w:hint="eastAsia"/>
        </w:rPr>
        <w:t>9.乙方提供完整的技术资料，包括但不限于配置清单、产品说明书、操作手册、质量保证文件、服务指南等，所有外文资料须提供中文译本。文件应随货物一并交付至甲方地点。</w:t>
      </w:r>
    </w:p>
    <w:p w14:paraId="044936D6">
      <w:pPr>
        <w:pStyle w:val="54"/>
        <w:rPr>
          <w:rFonts w:hint="eastAsia"/>
        </w:rPr>
      </w:pPr>
      <w:r>
        <w:rPr>
          <w:rFonts w:hint="eastAsia"/>
        </w:rPr>
        <w:t>10.乙方所出售的货物还应符合国家有关安全、环保、卫生等强制性规定。</w:t>
      </w:r>
    </w:p>
    <w:p w14:paraId="4E0763B8">
      <w:pPr>
        <w:pStyle w:val="54"/>
        <w:rPr>
          <w:rFonts w:hint="eastAsia"/>
        </w:rPr>
      </w:pPr>
      <w:r>
        <w:rPr>
          <w:rFonts w:hint="eastAsia"/>
        </w:rPr>
        <w:t>11.乙方在约定的时间内未能弥补缺陷，甲方可采取必要的补救措施，但其风险和费用将由乙方承担，甲方根据合同规定对乙方行使的其他权利不受影响。</w:t>
      </w:r>
    </w:p>
    <w:p w14:paraId="0AD5759A">
      <w:pPr>
        <w:pStyle w:val="54"/>
        <w:rPr>
          <w:rFonts w:hint="eastAsia"/>
        </w:rPr>
      </w:pPr>
      <w:r>
        <w:rPr>
          <w:rFonts w:hint="eastAsia"/>
        </w:rPr>
        <w:t>12.甲方在正常使用货物过程中，因产品缺陷给他人造成的人身或财产损害的损害赔偿责任均由乙方承担，甲方基于维护自身声誉先行代垫的，可向乙方追偿。</w:t>
      </w:r>
    </w:p>
    <w:p w14:paraId="70C01EB9">
      <w:pPr>
        <w:pStyle w:val="54"/>
        <w:rPr>
          <w:rFonts w:hint="eastAsia"/>
        </w:rPr>
      </w:pPr>
      <w:r>
        <w:rPr>
          <w:rFonts w:hint="eastAsia"/>
        </w:rPr>
        <w:t>第七条  包装和运输 </w:t>
      </w:r>
    </w:p>
    <w:p w14:paraId="6A511851">
      <w:pPr>
        <w:pStyle w:val="54"/>
        <w:rPr>
          <w:rFonts w:hint="eastAsia"/>
        </w:rPr>
      </w:pPr>
      <w:r>
        <w:rPr>
          <w:rFonts w:hint="eastAsia"/>
        </w:rPr>
        <w:t>1.除非对包装另有规定，乙方提供的全部产品均应按标准保护措施进行包装，以防止产品在转运中损坏或变质，确保产品安全无损运抵指定地点。</w:t>
      </w:r>
    </w:p>
    <w:p w14:paraId="5425696C">
      <w:pPr>
        <w:pStyle w:val="54"/>
        <w:rPr>
          <w:rFonts w:hint="eastAsia"/>
        </w:rPr>
      </w:pPr>
      <w:r>
        <w:rPr>
          <w:rFonts w:hint="eastAsia"/>
        </w:rPr>
        <w:t>2.每一个包装箱内应附一份详细装箱单和质量检验报告书、产品合格证、包装、标记和包装箱内外的单据应符合合同的要求，包括甲方后来提出的特殊要求。</w:t>
      </w:r>
    </w:p>
    <w:p w14:paraId="4D5D1799">
      <w:pPr>
        <w:pStyle w:val="54"/>
        <w:rPr>
          <w:rFonts w:hint="eastAsia"/>
        </w:rPr>
      </w:pPr>
      <w:r>
        <w:rPr>
          <w:rFonts w:hint="eastAsia"/>
        </w:rPr>
        <w:t>3.产品包装上（包括大包装、小包装等），必须严格按照国家</w:t>
      </w:r>
      <w:r>
        <w:rPr>
          <w:rFonts w:hint="eastAsia"/>
          <w:lang w:val="en-US" w:eastAsia="zh-CN"/>
        </w:rPr>
        <w:t>关于</w:t>
      </w:r>
      <w:r>
        <w:rPr>
          <w:rFonts w:hint="eastAsia"/>
        </w:rPr>
        <w:t>《医疗器械说明书和标签管理规定》</w:t>
      </w:r>
      <w:r>
        <w:rPr>
          <w:rFonts w:hint="eastAsia"/>
          <w:lang w:val="en-US" w:eastAsia="zh-CN"/>
        </w:rPr>
        <w:t>等</w:t>
      </w:r>
      <w:r>
        <w:rPr>
          <w:rFonts w:hint="eastAsia"/>
        </w:rPr>
        <w:t>文件要求执行。验收过程发现存在问题的产品由乙方负责更换。</w:t>
      </w:r>
    </w:p>
    <w:p w14:paraId="15050EA9">
      <w:pPr>
        <w:pStyle w:val="54"/>
        <w:rPr>
          <w:rFonts w:hint="eastAsia"/>
        </w:rPr>
      </w:pPr>
      <w:r>
        <w:rPr>
          <w:rFonts w:hint="eastAsia"/>
        </w:rPr>
        <w:t>4.耗材运输温度须符合耗材使用说明书的要求，使用低温、冷藏设施设备运输和贮存，并提供运输冷链监控温度记录。</w:t>
      </w:r>
    </w:p>
    <w:p w14:paraId="0452643E">
      <w:pPr>
        <w:pStyle w:val="54"/>
        <w:rPr>
          <w:rFonts w:hint="eastAsia"/>
        </w:rPr>
      </w:pPr>
      <w:r>
        <w:rPr>
          <w:rFonts w:hint="eastAsia"/>
        </w:rPr>
        <w:t>5.乙方负责货物运输，并承担包装、运输、保险、装卸、关税、增值税和进口代理等费用。</w:t>
      </w:r>
    </w:p>
    <w:p w14:paraId="3ED699EF">
      <w:pPr>
        <w:pStyle w:val="54"/>
        <w:rPr>
          <w:rFonts w:hint="eastAsia"/>
        </w:rPr>
      </w:pPr>
      <w:r>
        <w:rPr>
          <w:rFonts w:hint="eastAsia"/>
        </w:rPr>
        <w:t xml:space="preserve">第八条 订货和验收 </w:t>
      </w:r>
    </w:p>
    <w:p w14:paraId="074475F7">
      <w:pPr>
        <w:pStyle w:val="54"/>
        <w:rPr>
          <w:rFonts w:hint="eastAsia"/>
        </w:rPr>
      </w:pPr>
      <w:r>
        <w:rPr>
          <w:rFonts w:hint="eastAsia"/>
        </w:rPr>
        <w:t>1.本合同签订后，甲方应在合同有效期内提供本合同约</w:t>
      </w:r>
      <w:r>
        <w:rPr>
          <w:rFonts w:hint="eastAsia"/>
          <w:lang w:eastAsia="zh-CN"/>
        </w:rPr>
        <w:t>定的</w:t>
      </w:r>
      <w:r>
        <w:rPr>
          <w:rFonts w:hint="eastAsia"/>
        </w:rPr>
        <w:t>采购需求，乙方应按本合同约定及具体订单中的要求及时、足量供应医用耗材。</w:t>
      </w:r>
    </w:p>
    <w:p w14:paraId="47E1B843">
      <w:pPr>
        <w:pStyle w:val="54"/>
        <w:rPr>
          <w:rFonts w:hint="eastAsia"/>
        </w:rPr>
      </w:pPr>
      <w:r>
        <w:rPr>
          <w:rFonts w:hint="eastAsia"/>
        </w:rPr>
        <w:t>2.乙方收到订单后应于</w:t>
      </w:r>
      <w:r>
        <w:rPr>
          <w:rFonts w:hint="eastAsia"/>
          <w:lang w:eastAsia="zh-CN"/>
        </w:rPr>
        <w:t>（）</w:t>
      </w:r>
      <w:r>
        <w:rPr>
          <w:rFonts w:hint="eastAsia"/>
        </w:rPr>
        <w:t>分钟内作出响应。根据一般医用耗材、急（抢）救医用耗材的轻重缓急程度，积极安排配送。急（抢）救医用耗材</w:t>
      </w:r>
      <w:r>
        <w:rPr>
          <w:rFonts w:hint="eastAsia"/>
          <w:lang w:eastAsia="zh-CN"/>
        </w:rPr>
        <w:t>（）</w:t>
      </w:r>
      <w:r>
        <w:rPr>
          <w:rFonts w:hint="eastAsia"/>
        </w:rPr>
        <w:t>小时内送达，节假日照常配送；一般医用耗材自订货之日起</w:t>
      </w:r>
      <w:r>
        <w:rPr>
          <w:rFonts w:hint="eastAsia"/>
          <w:lang w:eastAsia="zh-CN"/>
        </w:rPr>
        <w:t>（）</w:t>
      </w:r>
      <w:r>
        <w:rPr>
          <w:rFonts w:hint="eastAsia"/>
        </w:rPr>
        <w:t>小时内送到。</w:t>
      </w:r>
    </w:p>
    <w:p w14:paraId="228F6F4B">
      <w:pPr>
        <w:pStyle w:val="54"/>
        <w:rPr>
          <w:rFonts w:hint="eastAsia"/>
        </w:rPr>
      </w:pPr>
      <w:r>
        <w:rPr>
          <w:rFonts w:hint="eastAsia"/>
        </w:rPr>
        <w:t>3.乙方配送的医用耗材的品种、规格、型号、材质、数量等必须严格按照甲方发送的订单执行。</w:t>
      </w:r>
    </w:p>
    <w:p w14:paraId="2ED5C9AF">
      <w:pPr>
        <w:pStyle w:val="54"/>
        <w:rPr>
          <w:rFonts w:hint="eastAsia"/>
        </w:rPr>
      </w:pPr>
      <w:r>
        <w:rPr>
          <w:rFonts w:hint="eastAsia"/>
        </w:rPr>
        <w:t>4.若乙方未能及时、足量履行配送义务的，乙方向甲方每日偿付逾期交货部分货款</w:t>
      </w:r>
      <w:r>
        <w:rPr>
          <w:rFonts w:hint="eastAsia"/>
          <w:lang w:val="en-US" w:eastAsia="zh-CN"/>
        </w:rPr>
        <w:t>1‰</w:t>
      </w:r>
      <w:r>
        <w:rPr>
          <w:rFonts w:hint="eastAsia"/>
        </w:rPr>
        <w:t>的违约金，并承担甲方因此所受的损失费用。</w:t>
      </w:r>
    </w:p>
    <w:p w14:paraId="74BFDE91">
      <w:pPr>
        <w:pStyle w:val="54"/>
        <w:rPr>
          <w:rFonts w:hint="eastAsia"/>
        </w:rPr>
      </w:pPr>
      <w:r>
        <w:rPr>
          <w:rFonts w:hint="eastAsia"/>
        </w:rPr>
        <w:t>5.乙方提供的送货单内容必须含有附件中的内容，否则甲方有权拒绝验收。</w:t>
      </w:r>
    </w:p>
    <w:p w14:paraId="20BE3096">
      <w:pPr>
        <w:pStyle w:val="54"/>
        <w:rPr>
          <w:rFonts w:hint="eastAsia"/>
        </w:rPr>
      </w:pPr>
      <w:r>
        <w:rPr>
          <w:rFonts w:hint="eastAsia"/>
        </w:rPr>
        <w:t>6.甲方在接收医用耗材时，应对医用耗材进行验货确认，对不符合合同要求的，甲方有权拒绝接收。乙方应及时更换被拒绝的医用耗材，不得影响甲方的临床使用。</w:t>
      </w:r>
    </w:p>
    <w:p w14:paraId="12F7C25A">
      <w:pPr>
        <w:pStyle w:val="54"/>
        <w:rPr>
          <w:rFonts w:hint="eastAsia"/>
        </w:rPr>
      </w:pPr>
      <w:r>
        <w:rPr>
          <w:rFonts w:hint="eastAsia"/>
        </w:rPr>
        <w:t>7.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A634FA2">
      <w:pPr>
        <w:pStyle w:val="54"/>
        <w:rPr>
          <w:rFonts w:hint="eastAsia"/>
        </w:rPr>
      </w:pPr>
      <w:r>
        <w:rPr>
          <w:rFonts w:hint="eastAsia"/>
        </w:rPr>
        <w:t>8.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w:t>
      </w:r>
      <w:r>
        <w:rPr>
          <w:rFonts w:hint="eastAsia"/>
          <w:lang w:eastAsia="zh-CN"/>
        </w:rPr>
        <w:t>生的</w:t>
      </w:r>
      <w:r>
        <w:rPr>
          <w:rFonts w:hint="eastAsia"/>
        </w:rPr>
        <w:t>费用，退回未使用的医用耗材所产生的退货费、退回的医用耗材费用等）。各方对医用耗材质量问题的责任方存在争议时，应送甲方所在地</w:t>
      </w:r>
      <w:r>
        <w:rPr>
          <w:rFonts w:hint="eastAsia"/>
          <w:lang w:val="en-US" w:eastAsia="zh-CN"/>
        </w:rPr>
        <w:fldChar w:fldCharType="begin"/>
      </w:r>
      <w:r>
        <w:rPr>
          <w:rFonts w:hint="eastAsia"/>
          <w:lang w:val="en-US" w:eastAsia="zh-CN"/>
        </w:rPr>
        <w:instrText xml:space="preserve"> HYPERLINK "https://baike.baidu.com/item/%E5%9B%BD%E5%AE%B6%E5%B8%82%E5%9C%BA%E7%9B%91%E7%9D%A3%E7%AE%A1%E7%90%86%E6%80%BB%E5%B1%80/6360238?fromModule=lemma_inlink" </w:instrText>
      </w:r>
      <w:r>
        <w:rPr>
          <w:rFonts w:hint="eastAsia"/>
          <w:lang w:val="en-US" w:eastAsia="zh-CN"/>
        </w:rPr>
        <w:fldChar w:fldCharType="separate"/>
      </w:r>
      <w:r>
        <w:rPr>
          <w:rFonts w:hint="eastAsia"/>
        </w:rPr>
        <w:t>国家市场监督管理总局</w:t>
      </w:r>
      <w:r>
        <w:rPr>
          <w:rFonts w:hint="eastAsia"/>
          <w:lang w:val="en-US" w:eastAsia="zh-CN"/>
        </w:rPr>
        <w:fldChar w:fldCharType="end"/>
      </w:r>
      <w:r>
        <w:rPr>
          <w:rFonts w:hint="eastAsia"/>
        </w:rPr>
        <w:t>认定的医疗器械质量监督检验机构检验。如送检医用耗材存在质量问题，甲方有权单方面终止本合同项下该型号耗材的后续采购，检验费用及检验使用的耗材费用由乙方承担，并承担赔偿责任（包括但不限于因产品质量缺陷引发的不良后果及为消除不良后果所产</w:t>
      </w:r>
      <w:r>
        <w:rPr>
          <w:rFonts w:hint="eastAsia"/>
          <w:lang w:eastAsia="zh-CN"/>
        </w:rPr>
        <w:t>生的</w:t>
      </w:r>
      <w:r>
        <w:rPr>
          <w:rFonts w:hint="eastAsia"/>
        </w:rPr>
        <w:t>费用，退回未使用的医用耗材所产生的退货费、退回的医用耗材费用等）；如送检医用耗材无质量问题，本合同项下该型号耗材的交易继续履行，检验费用由甲方独自承担。</w:t>
      </w:r>
    </w:p>
    <w:p w14:paraId="189AFFE9">
      <w:pPr>
        <w:pStyle w:val="54"/>
        <w:rPr>
          <w:rFonts w:hint="eastAsia"/>
        </w:rPr>
      </w:pPr>
      <w:r>
        <w:rPr>
          <w:rFonts w:hint="eastAsia"/>
        </w:rPr>
        <w:t>9.其他约定：               。</w:t>
      </w:r>
    </w:p>
    <w:p w14:paraId="491E6692">
      <w:pPr>
        <w:pStyle w:val="54"/>
        <w:rPr>
          <w:rFonts w:hint="eastAsia"/>
        </w:rPr>
      </w:pPr>
      <w:r>
        <w:rPr>
          <w:rFonts w:hint="eastAsia"/>
        </w:rPr>
        <w:t>第九条  伴随服务/售后服务</w:t>
      </w:r>
    </w:p>
    <w:p w14:paraId="0F5FF6D0">
      <w:pPr>
        <w:pStyle w:val="54"/>
        <w:rPr>
          <w:rFonts w:hint="eastAsia"/>
        </w:rPr>
      </w:pPr>
      <w:r>
        <w:rPr>
          <w:rFonts w:hint="eastAsia"/>
        </w:rPr>
        <w:t>1.乙方可能被要求提供下列服务中的一项或全部服务。</w:t>
      </w:r>
    </w:p>
    <w:p w14:paraId="3762B093">
      <w:pPr>
        <w:pStyle w:val="54"/>
        <w:rPr>
          <w:rFonts w:hint="eastAsia"/>
        </w:rPr>
      </w:pPr>
      <w:r>
        <w:rPr>
          <w:rFonts w:hint="eastAsia"/>
        </w:rPr>
        <w:t>（1）产品的现场搬运或入库；</w:t>
      </w:r>
    </w:p>
    <w:p w14:paraId="6C9BC361">
      <w:pPr>
        <w:pStyle w:val="54"/>
        <w:rPr>
          <w:rFonts w:hint="eastAsia"/>
        </w:rPr>
      </w:pPr>
      <w:r>
        <w:rPr>
          <w:rFonts w:hint="eastAsia"/>
        </w:rPr>
        <w:t>（2）提供产品开箱或分装的用具；</w:t>
      </w:r>
    </w:p>
    <w:p w14:paraId="70C48087">
      <w:pPr>
        <w:pStyle w:val="54"/>
        <w:rPr>
          <w:rFonts w:hint="eastAsia"/>
        </w:rPr>
      </w:pPr>
      <w:r>
        <w:rPr>
          <w:rFonts w:hint="eastAsia"/>
        </w:rPr>
        <w:t>（3）对开箱时发现的破损、</w:t>
      </w:r>
      <w:r>
        <w:rPr>
          <w:rFonts w:hint="eastAsia"/>
          <w:lang w:eastAsia="zh-CN"/>
        </w:rPr>
        <w:t>近有</w:t>
      </w:r>
      <w:r>
        <w:rPr>
          <w:rFonts w:hint="eastAsia"/>
        </w:rPr>
        <w:t>效期产品或</w:t>
      </w:r>
      <w:r>
        <w:rPr>
          <w:rFonts w:hint="eastAsia"/>
          <w:lang w:eastAsia="zh-CN"/>
        </w:rPr>
        <w:t>其他不</w:t>
      </w:r>
      <w:r>
        <w:rPr>
          <w:rFonts w:hint="eastAsia"/>
        </w:rPr>
        <w:t>合格包装产品无条件及时更换；</w:t>
      </w:r>
    </w:p>
    <w:p w14:paraId="0F11F834">
      <w:pPr>
        <w:pStyle w:val="54"/>
        <w:rPr>
          <w:rFonts w:hint="eastAsia"/>
        </w:rPr>
      </w:pPr>
      <w:r>
        <w:rPr>
          <w:rFonts w:hint="eastAsia"/>
        </w:rPr>
        <w:t>（4）在甲方指定地点为所供产品的临床应用进行现场讲解或培训；</w:t>
      </w:r>
    </w:p>
    <w:p w14:paraId="3C943337">
      <w:pPr>
        <w:pStyle w:val="54"/>
        <w:rPr>
          <w:rFonts w:hint="eastAsia"/>
        </w:rPr>
      </w:pPr>
      <w:r>
        <w:rPr>
          <w:rFonts w:hint="eastAsia"/>
        </w:rPr>
        <w:t>（5）</w:t>
      </w:r>
      <w:r>
        <w:rPr>
          <w:rFonts w:hint="eastAsia"/>
          <w:lang w:eastAsia="zh-CN"/>
        </w:rPr>
        <w:t>其他</w:t>
      </w:r>
      <w:r>
        <w:rPr>
          <w:rFonts w:hint="eastAsia"/>
        </w:rPr>
        <w:t>乙方应提供的相关服务项目。</w:t>
      </w:r>
    </w:p>
    <w:p w14:paraId="50F7BEF3">
      <w:pPr>
        <w:pStyle w:val="54"/>
        <w:rPr>
          <w:rFonts w:hint="eastAsia"/>
        </w:rPr>
      </w:pPr>
      <w:r>
        <w:rPr>
          <w:rFonts w:hint="eastAsia"/>
        </w:rPr>
        <w:t>2.乙方应具备解决紧急问题的能力，如甲方在使用货物的过程中发现问题，乙方应及时到甲方现场解决。乙方下单后需及时送货，不得无故推迟。</w:t>
      </w:r>
    </w:p>
    <w:p w14:paraId="64FAE577">
      <w:pPr>
        <w:pStyle w:val="54"/>
        <w:rPr>
          <w:rFonts w:hint="eastAsia"/>
        </w:rPr>
      </w:pPr>
      <w:r>
        <w:rPr>
          <w:rFonts w:hint="eastAsia"/>
        </w:rPr>
        <w:t>3.其他约定：对于接近有效期的产品（</w:t>
      </w:r>
      <w:r>
        <w:rPr>
          <w:rFonts w:hint="eastAsia"/>
          <w:lang w:eastAsia="zh-CN"/>
        </w:rPr>
        <w:t>有</w:t>
      </w:r>
      <w:r>
        <w:rPr>
          <w:rFonts w:hint="eastAsia"/>
        </w:rPr>
        <w:t>效期3个月或以内的），保证无条件更换新批号且有效期在半年以上的产品。</w:t>
      </w:r>
    </w:p>
    <w:p w14:paraId="2BCB72E6">
      <w:pPr>
        <w:pStyle w:val="54"/>
        <w:rPr>
          <w:rFonts w:hint="eastAsia"/>
        </w:rPr>
      </w:pPr>
      <w:r>
        <w:rPr>
          <w:rFonts w:hint="eastAsia"/>
        </w:rPr>
        <w:t>4.乙方应按照承诺的时间和合同中规定的时间，配送产品并提供伴随服务。</w:t>
      </w:r>
    </w:p>
    <w:p w14:paraId="5E6D80BE">
      <w:pPr>
        <w:pStyle w:val="54"/>
        <w:rPr>
          <w:rFonts w:hint="eastAsia"/>
        </w:rPr>
      </w:pPr>
      <w:r>
        <w:rPr>
          <w:rFonts w:hint="eastAsia"/>
        </w:rPr>
        <w:t>第十条   付款方式</w:t>
      </w:r>
    </w:p>
    <w:p w14:paraId="6A28C5E6">
      <w:pPr>
        <w:pStyle w:val="54"/>
        <w:rPr>
          <w:rFonts w:hint="eastAsia"/>
        </w:rPr>
      </w:pPr>
      <w:r>
        <w:rPr>
          <w:rFonts w:hint="eastAsia"/>
          <w:lang w:val="en-US" w:eastAsia="zh-CN"/>
        </w:rPr>
        <w:t>1.</w:t>
      </w:r>
      <w:r>
        <w:rPr>
          <w:rFonts w:hint="eastAsia"/>
        </w:rPr>
        <w:t>以实际采购需求为准，先供货后付款，按月结算。</w:t>
      </w:r>
    </w:p>
    <w:p w14:paraId="23FA8E42">
      <w:pPr>
        <w:pStyle w:val="54"/>
        <w:rPr>
          <w:rFonts w:hint="eastAsia"/>
        </w:rPr>
      </w:pPr>
      <w:r>
        <w:rPr>
          <w:rFonts w:hint="eastAsia"/>
          <w:lang w:val="en-US" w:eastAsia="zh-CN"/>
        </w:rPr>
        <w:t>2.</w:t>
      </w:r>
      <w:r>
        <w:rPr>
          <w:rFonts w:hint="eastAsia"/>
        </w:rPr>
        <w:t>乙方</w:t>
      </w:r>
      <w:r>
        <w:rPr>
          <w:rFonts w:hint="eastAsia"/>
          <w:lang w:val="en-US" w:eastAsia="zh-CN"/>
        </w:rPr>
        <w:t>需</w:t>
      </w:r>
      <w:r>
        <w:rPr>
          <w:rFonts w:hint="eastAsia"/>
        </w:rPr>
        <w:t>及时定期向甲方提供上月供货量的对账单及验收资料，经甲方确认无误后，乙方根据对账结果出具合法有效的发票，甲方收到发票及经审核确认的结算资料后按照内部支付流程以转账方式付款。若因财政审核等原因导致的逾期支付不视为甲方违约。</w:t>
      </w:r>
    </w:p>
    <w:p w14:paraId="76A74C1F">
      <w:pPr>
        <w:pStyle w:val="54"/>
        <w:rPr>
          <w:rFonts w:hint="eastAsia"/>
          <w:lang w:val="en-US" w:eastAsia="zh-CN"/>
        </w:rPr>
      </w:pPr>
      <w:r>
        <w:rPr>
          <w:rFonts w:hint="eastAsia"/>
          <w:lang w:val="en-US" w:eastAsia="zh-CN"/>
        </w:rPr>
        <w:t>3.乙方银行账户信息如下：</w:t>
      </w:r>
    </w:p>
    <w:p w14:paraId="36DEA5EE">
      <w:pPr>
        <w:pStyle w:val="54"/>
        <w:rPr>
          <w:rFonts w:hint="eastAsia"/>
          <w:lang w:val="en-US" w:eastAsia="zh-CN"/>
        </w:rPr>
      </w:pPr>
      <w:r>
        <w:rPr>
          <w:rFonts w:hint="eastAsia"/>
          <w:lang w:val="en-US" w:eastAsia="zh-CN"/>
        </w:rPr>
        <w:t>账户名称：</w:t>
      </w:r>
    </w:p>
    <w:p w14:paraId="7AF39EF1">
      <w:pPr>
        <w:pStyle w:val="54"/>
        <w:rPr>
          <w:rFonts w:hint="eastAsia"/>
          <w:lang w:val="en-US" w:eastAsia="zh-CN"/>
        </w:rPr>
      </w:pPr>
      <w:r>
        <w:rPr>
          <w:rFonts w:hint="eastAsia"/>
          <w:lang w:val="en-US" w:eastAsia="zh-CN"/>
        </w:rPr>
        <w:t>开户行：</w:t>
      </w:r>
    </w:p>
    <w:p w14:paraId="6EAC752B">
      <w:pPr>
        <w:pStyle w:val="54"/>
        <w:rPr>
          <w:rFonts w:hint="eastAsia"/>
          <w:lang w:val="en-US" w:eastAsia="zh-CN"/>
        </w:rPr>
      </w:pPr>
      <w:r>
        <w:rPr>
          <w:rFonts w:hint="eastAsia"/>
          <w:lang w:val="en-US" w:eastAsia="zh-CN"/>
        </w:rPr>
        <w:t>账  号：</w:t>
      </w:r>
    </w:p>
    <w:p w14:paraId="2DDBA210">
      <w:pPr>
        <w:pStyle w:val="54"/>
        <w:rPr>
          <w:rFonts w:hint="eastAsia"/>
          <w:lang w:val="en-US" w:eastAsia="zh-CN"/>
        </w:rPr>
      </w:pPr>
      <w:r>
        <w:rPr>
          <w:rFonts w:hint="eastAsia"/>
          <w:lang w:val="en-US" w:eastAsia="zh-CN"/>
        </w:rPr>
        <w:t>纳税人识别号：</w:t>
      </w:r>
    </w:p>
    <w:p w14:paraId="7C413A39">
      <w:pPr>
        <w:pStyle w:val="54"/>
        <w:rPr>
          <w:rFonts w:hint="eastAsia"/>
        </w:rPr>
      </w:pPr>
      <w:r>
        <w:rPr>
          <w:rFonts w:hint="eastAsia"/>
        </w:rPr>
        <w:t>第十一条  合同的变更、终止与转让</w:t>
      </w:r>
    </w:p>
    <w:p w14:paraId="5C1EF77F">
      <w:pPr>
        <w:pStyle w:val="54"/>
        <w:rPr>
          <w:rFonts w:hint="eastAsia"/>
        </w:rPr>
      </w:pPr>
      <w:r>
        <w:rPr>
          <w:rFonts w:hint="eastAsia"/>
        </w:rPr>
        <w:t>1.如果乙方未能在规定期限内或甲方准许的任何延期内交付部分或全部成交产品，或者乙方未能履行合同中规定的</w:t>
      </w:r>
      <w:r>
        <w:rPr>
          <w:rFonts w:hint="eastAsia"/>
          <w:lang w:eastAsia="zh-CN"/>
        </w:rPr>
        <w:t>其他</w:t>
      </w:r>
      <w:r>
        <w:rPr>
          <w:rFonts w:hint="eastAsia"/>
        </w:rPr>
        <w:t>义务，甲方有权终止全部或部分合同，并有权采购替代产品。乙方应对购买替代产品所超出的部分费用负责，甲方有权要求乙方继续执行合同中未终止的部分。</w:t>
      </w:r>
    </w:p>
    <w:p w14:paraId="2A19663D">
      <w:pPr>
        <w:pStyle w:val="54"/>
        <w:rPr>
          <w:rFonts w:hint="eastAsia"/>
        </w:rPr>
      </w:pPr>
      <w:r>
        <w:rPr>
          <w:rFonts w:hint="eastAsia"/>
        </w:rPr>
        <w:t>2.合同执行过程中，供应产品出现质量问题，影响临床工作的正常进行，甲方有权终止合同。</w:t>
      </w:r>
    </w:p>
    <w:p w14:paraId="694562FD">
      <w:pPr>
        <w:pStyle w:val="54"/>
        <w:rPr>
          <w:rFonts w:hint="eastAsia"/>
        </w:rPr>
      </w:pPr>
      <w:r>
        <w:rPr>
          <w:rFonts w:hint="eastAsia"/>
        </w:rPr>
        <w:t>3.</w:t>
      </w:r>
      <w:r>
        <w:rPr>
          <w:rFonts w:hint="eastAsia"/>
          <w:lang w:val="zh-CN"/>
        </w:rPr>
        <w:t>合同期间供应的品种若因政府纳入集中采购或深圳市龙岗区医院集团集中采购该耗材合同自动失效，将按集中采购结果执行。</w:t>
      </w:r>
    </w:p>
    <w:p w14:paraId="1086B6C3">
      <w:pPr>
        <w:pStyle w:val="54"/>
        <w:rPr>
          <w:rFonts w:hint="eastAsia"/>
        </w:rPr>
      </w:pPr>
      <w:r>
        <w:rPr>
          <w:rFonts w:hint="eastAsia"/>
        </w:rPr>
        <w:t>4.乙方资质不完备，如经营范围变更、丧失产品代理权等情况，甲方有权终止合同。</w:t>
      </w:r>
    </w:p>
    <w:p w14:paraId="745335DB">
      <w:pPr>
        <w:pStyle w:val="54"/>
        <w:rPr>
          <w:rFonts w:hint="eastAsia"/>
        </w:rPr>
      </w:pPr>
      <w:r>
        <w:rPr>
          <w:rFonts w:hint="eastAsia"/>
        </w:rPr>
        <w:t>5.乙方服务不到位，经甲方再三警告而无改正迹象，甲方有权单方终止合同。</w:t>
      </w:r>
    </w:p>
    <w:p w14:paraId="73CD7CB1">
      <w:pPr>
        <w:pStyle w:val="54"/>
        <w:rPr>
          <w:rFonts w:hint="eastAsia"/>
        </w:rPr>
      </w:pPr>
      <w:r>
        <w:rPr>
          <w:rFonts w:hint="eastAsia"/>
        </w:rPr>
        <w:t>6.乙方不得擅自部分或全部转让其应履行的</w:t>
      </w:r>
      <w:r>
        <w:rPr>
          <w:rFonts w:hint="eastAsia"/>
        </w:rPr>
        <w:fldChar w:fldCharType="begin"/>
      </w:r>
      <w:r>
        <w:rPr>
          <w:rFonts w:hint="eastAsia"/>
        </w:rPr>
        <w:instrText xml:space="preserve"> HYPERLINK "http://www.lawtime.cn/info/zhuanti/2010071337707.html" \t "_blank" </w:instrText>
      </w:r>
      <w:r>
        <w:rPr>
          <w:rFonts w:hint="eastAsia"/>
        </w:rPr>
        <w:fldChar w:fldCharType="separate"/>
      </w:r>
      <w:r>
        <w:rPr>
          <w:rFonts w:hint="eastAsia"/>
        </w:rPr>
        <w:t>合同义务</w:t>
      </w:r>
      <w:r>
        <w:rPr>
          <w:rFonts w:hint="eastAsia"/>
        </w:rPr>
        <w:fldChar w:fldCharType="end"/>
      </w:r>
      <w:r>
        <w:rPr>
          <w:rFonts w:hint="eastAsia"/>
        </w:rPr>
        <w:t>，否则甲方有权解除合同，并有权要求乙方支付违约金，违约金按本合同总金额的（</w:t>
      </w:r>
      <w:r>
        <w:rPr>
          <w:rFonts w:hint="eastAsia"/>
          <w:lang w:val="en-US" w:eastAsia="zh-CN"/>
        </w:rPr>
        <w:t>10</w:t>
      </w:r>
      <w:r>
        <w:rPr>
          <w:rFonts w:hint="eastAsia"/>
        </w:rPr>
        <w:t>）%计算。</w:t>
      </w:r>
    </w:p>
    <w:p w14:paraId="5EBC4D96">
      <w:pPr>
        <w:pStyle w:val="54"/>
        <w:rPr>
          <w:rFonts w:hint="eastAsia"/>
        </w:rPr>
      </w:pPr>
      <w:r>
        <w:rPr>
          <w:rFonts w:hint="eastAsia"/>
        </w:rPr>
        <w:t>7.如果乙方破产或无清偿能力，甲方可在任何时候以书面形式通知乙方，提出终止合同而不给乙方补偿。该终止合同将不损害或影响甲方已经采取或将要采取的任何行动或补救措施的权利。</w:t>
      </w:r>
    </w:p>
    <w:p w14:paraId="3D17A95B">
      <w:pPr>
        <w:pStyle w:val="54"/>
        <w:rPr>
          <w:rFonts w:hint="eastAsia"/>
        </w:rPr>
      </w:pPr>
      <w:r>
        <w:rPr>
          <w:rFonts w:hint="eastAsia"/>
        </w:rPr>
        <w:t>第十二条  违约责任</w:t>
      </w:r>
    </w:p>
    <w:p w14:paraId="3CBD7181">
      <w:pPr>
        <w:pStyle w:val="54"/>
        <w:rPr>
          <w:rFonts w:hint="eastAsia"/>
          <w:lang w:val="zh-CN"/>
        </w:rPr>
      </w:pPr>
      <w:r>
        <w:rPr>
          <w:rFonts w:hint="eastAsia"/>
          <w:lang w:val="zh-CN"/>
        </w:rPr>
        <w:t>1.乙方未按照投标文件中承诺的时间交货或提供服务，乙方应承担延期交货和延期服务的违约责任，并赔偿甲方因此造成的实际经济损失。</w:t>
      </w:r>
    </w:p>
    <w:p w14:paraId="667D9683">
      <w:pPr>
        <w:pStyle w:val="54"/>
        <w:rPr>
          <w:rFonts w:hint="eastAsia"/>
          <w:lang w:val="zh-CN"/>
        </w:rPr>
      </w:pPr>
      <w:r>
        <w:rPr>
          <w:rFonts w:hint="eastAsia"/>
          <w:lang w:val="zh-CN"/>
        </w:rPr>
        <w:t>2.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5F7A6F80">
      <w:pPr>
        <w:pStyle w:val="54"/>
        <w:rPr>
          <w:rFonts w:hint="eastAsia"/>
          <w:lang w:val="zh-CN"/>
        </w:rPr>
      </w:pPr>
      <w:r>
        <w:rPr>
          <w:rFonts w:hint="eastAsia"/>
        </w:rPr>
        <w:t>3.</w:t>
      </w:r>
      <w:r>
        <w:rPr>
          <w:rFonts w:hint="eastAsia"/>
          <w:lang w:val="zh-CN"/>
        </w:rPr>
        <w:t>乙方所提供耗材或试剂的品种、型号、规格、质量、技术参数等方面不能实质性满足遴选文件要约的，甲方有权拒绝收货，乙方向甲方偿付项目采购金额（</w:t>
      </w:r>
      <w:r>
        <w:rPr>
          <w:rFonts w:hint="eastAsia"/>
          <w:lang w:val="en-US" w:eastAsia="zh-CN"/>
        </w:rPr>
        <w:t>10</w:t>
      </w:r>
      <w:r>
        <w:rPr>
          <w:rFonts w:hint="eastAsia"/>
          <w:lang w:val="zh-CN"/>
        </w:rPr>
        <w:t>）%的违约金；造成严重后果的，根据《深圳经济特区政府采购条例》第五十七条第（二）款规定，由主管部门对乙方进行处罚。</w:t>
      </w:r>
    </w:p>
    <w:p w14:paraId="3E2016AF">
      <w:pPr>
        <w:pStyle w:val="54"/>
        <w:rPr>
          <w:rFonts w:hint="eastAsia"/>
        </w:rPr>
      </w:pPr>
      <w:r>
        <w:rPr>
          <w:rFonts w:hint="eastAsia"/>
        </w:rPr>
        <w:t>4.如乙方无正当理由拖延交货，按逾期交货部分货款计算，应向甲方偿付每日（</w:t>
      </w:r>
      <w:r>
        <w:rPr>
          <w:rFonts w:hint="eastAsia"/>
          <w:lang w:val="en-US" w:eastAsia="zh-CN"/>
        </w:rPr>
        <w:t>0.5</w:t>
      </w:r>
      <w:r>
        <w:rPr>
          <w:rFonts w:hint="eastAsia"/>
        </w:rPr>
        <w:t>）</w:t>
      </w:r>
      <w:r>
        <w:rPr>
          <w:rFonts w:hint="eastAsia"/>
          <w:lang w:val="en-US" w:eastAsia="zh-CN"/>
        </w:rPr>
        <w:t>‰</w:t>
      </w:r>
      <w:r>
        <w:rPr>
          <w:rFonts w:hint="eastAsia"/>
        </w:rPr>
        <w:t xml:space="preserve">的违约金，乙方逾期交货超过 </w:t>
      </w:r>
      <w:r>
        <w:rPr>
          <w:rFonts w:hint="eastAsia"/>
          <w:lang w:val="en-US" w:eastAsia="zh-CN"/>
        </w:rPr>
        <w:t>30</w:t>
      </w:r>
      <w:r>
        <w:rPr>
          <w:rFonts w:hint="eastAsia"/>
        </w:rPr>
        <w:t xml:space="preserve"> 日，甲方有权解除合同，并由乙方承担甲方因此所受的损失费用。</w:t>
      </w:r>
    </w:p>
    <w:p w14:paraId="3BCF27BD">
      <w:pPr>
        <w:pStyle w:val="54"/>
        <w:rPr>
          <w:rFonts w:hint="eastAsia"/>
        </w:rPr>
      </w:pPr>
      <w:r>
        <w:rPr>
          <w:rFonts w:hint="eastAsia"/>
        </w:rPr>
        <w:t>5.材料有效期须符合订货周期需要，如提供有效期短，则甲方可根据情况提出退货或换货，乙方必须按甲方要求给</w:t>
      </w:r>
      <w:r>
        <w:rPr>
          <w:rFonts w:hint="eastAsia"/>
          <w:lang w:eastAsia="zh-CN"/>
        </w:rPr>
        <w:t>予</w:t>
      </w:r>
      <w:r>
        <w:rPr>
          <w:rFonts w:hint="eastAsia"/>
        </w:rPr>
        <w:t>退货或换货。</w:t>
      </w:r>
    </w:p>
    <w:p w14:paraId="648C7C0E">
      <w:pPr>
        <w:pStyle w:val="54"/>
        <w:rPr>
          <w:rFonts w:hint="eastAsia"/>
        </w:rPr>
      </w:pPr>
      <w:r>
        <w:rPr>
          <w:rFonts w:hint="eastAsia"/>
        </w:rPr>
        <w:t>6.乙方在供货期间，产品出现质量等问题，经上级相关部门认定结果造成医院及患者的损失，由乙方负全责，包括甲方因此产生纠纷的任何费用开支、患者的赔偿金，包括但不限于诉讼费、律师费、鉴定费等相关费用。</w:t>
      </w:r>
    </w:p>
    <w:p w14:paraId="380F0838">
      <w:pPr>
        <w:pStyle w:val="54"/>
        <w:rPr>
          <w:rFonts w:hint="eastAsia"/>
        </w:rPr>
      </w:pPr>
      <w:r>
        <w:rPr>
          <w:rFonts w:hint="eastAsia"/>
        </w:rPr>
        <w:t>7.乙方在合同期内超过3次未按时交货，或未按时到现场对接甲方工作人员的，给予</w:t>
      </w:r>
      <w:r>
        <w:rPr>
          <w:rFonts w:hint="eastAsia"/>
          <w:lang w:eastAsia="zh-CN"/>
        </w:rPr>
        <w:t>诫勉</w:t>
      </w:r>
      <w:r>
        <w:rPr>
          <w:rFonts w:hint="eastAsia"/>
        </w:rPr>
        <w:t>谈话，超过5次履约不合格的，甲方有权终止合同。</w:t>
      </w:r>
    </w:p>
    <w:p w14:paraId="141A163F">
      <w:pPr>
        <w:pStyle w:val="54"/>
        <w:rPr>
          <w:rFonts w:hint="eastAsia"/>
        </w:rPr>
      </w:pPr>
      <w:r>
        <w:rPr>
          <w:rFonts w:hint="eastAsia"/>
        </w:rPr>
        <w:t>8.在合同期内，如出现用户单位对协议供货、服务等投诉问题，经调查属实，将追究乙方的责任。</w:t>
      </w:r>
    </w:p>
    <w:p w14:paraId="6F5AEC2E">
      <w:pPr>
        <w:pStyle w:val="54"/>
        <w:rPr>
          <w:rFonts w:hint="eastAsia"/>
        </w:rPr>
      </w:pPr>
      <w:r>
        <w:rPr>
          <w:rFonts w:hint="eastAsia"/>
        </w:rPr>
        <w:t>9.在重大突发公共事件、应急抢险救灾事件或节假日期间，甲方急需采购应急物资，乙方需无条件响应，全力配合甲方做好采购工作，乙方在此情况下推脱2次以上未按时交货的，甲方有权终止合同，向第三方采购。</w:t>
      </w:r>
    </w:p>
    <w:p w14:paraId="76615B07">
      <w:pPr>
        <w:pStyle w:val="54"/>
        <w:rPr>
          <w:rFonts w:hint="eastAsia"/>
        </w:rPr>
      </w:pPr>
      <w:r>
        <w:rPr>
          <w:rFonts w:hint="eastAsia"/>
        </w:rPr>
        <w:t>10.未列入以上条款的其他违规事项，则按照《中华人民共和国招标投标法》法律责任条款处理。</w:t>
      </w:r>
    </w:p>
    <w:p w14:paraId="04D5C20E">
      <w:pPr>
        <w:pStyle w:val="54"/>
        <w:rPr>
          <w:rFonts w:hint="eastAsia"/>
        </w:rPr>
      </w:pPr>
      <w:r>
        <w:rPr>
          <w:rFonts w:hint="eastAsia"/>
        </w:rPr>
        <w:t>11.其他</w:t>
      </w:r>
      <w:r>
        <w:rPr>
          <w:rFonts w:hint="eastAsia"/>
          <w:lang w:val="en-US" w:eastAsia="zh-CN"/>
        </w:rPr>
        <w:t xml:space="preserve">     </w:t>
      </w:r>
      <w:r>
        <w:rPr>
          <w:rFonts w:hint="eastAsia"/>
        </w:rPr>
        <w:t>。</w:t>
      </w:r>
    </w:p>
    <w:p w14:paraId="01583A38">
      <w:pPr>
        <w:pStyle w:val="54"/>
        <w:rPr>
          <w:rFonts w:hint="eastAsia"/>
        </w:rPr>
      </w:pPr>
      <w:r>
        <w:rPr>
          <w:rFonts w:hint="eastAsia"/>
        </w:rPr>
        <w:t>第十三条  免责条款</w:t>
      </w:r>
    </w:p>
    <w:p w14:paraId="7DF4482E">
      <w:pPr>
        <w:pStyle w:val="54"/>
        <w:rPr>
          <w:rFonts w:hint="eastAsia"/>
        </w:rPr>
      </w:pPr>
      <w:r>
        <w:rPr>
          <w:rFonts w:hint="eastAsia"/>
        </w:rPr>
        <w:t>若甲、乙双方的任何一方由于不可抗力（包括天灾、意外事故、政府法令、政策变更等特殊客观事件）原因造成不能及时履行或不能履行合同时，应及时向对方通报不能履行或不能及时履行的理由，在取得有关证明后，允许延期履行、部分履行或不履行合同，并根据情况，免除相应责任。</w:t>
      </w:r>
    </w:p>
    <w:p w14:paraId="5CC531A7">
      <w:pPr>
        <w:pStyle w:val="54"/>
        <w:rPr>
          <w:rFonts w:hint="eastAsia"/>
        </w:rPr>
      </w:pPr>
      <w:r>
        <w:rPr>
          <w:rFonts w:hint="eastAsia"/>
        </w:rPr>
        <w:t>第十四条  合同争议解决</w:t>
      </w:r>
    </w:p>
    <w:p w14:paraId="7E679C4D">
      <w:pPr>
        <w:pStyle w:val="54"/>
        <w:rPr>
          <w:rFonts w:hint="eastAsia"/>
        </w:rPr>
      </w:pPr>
      <w:r>
        <w:rPr>
          <w:rFonts w:hint="eastAsia"/>
        </w:rPr>
        <w:t>1.因货物质量问题发生争议的，应邀请甲方所在地国家食品药品监督管理总局认定的医疗器械质量监督检验机构进行鉴定。货物符合标准的，鉴定费由甲方承担；货物不符合标准的，鉴定费由乙方承担。</w:t>
      </w:r>
    </w:p>
    <w:p w14:paraId="06CBCEF2">
      <w:pPr>
        <w:pStyle w:val="54"/>
        <w:rPr>
          <w:rFonts w:hint="eastAsia"/>
        </w:rPr>
      </w:pPr>
      <w:r>
        <w:rPr>
          <w:rFonts w:hint="eastAsia"/>
        </w:rPr>
        <w:t>2.因履行本合同引起的或与本合同有关的争议，甲乙双方应首先通过友好协商解决，如果协商不能解决，向甲方所在地人民法院提起诉讼。</w:t>
      </w:r>
    </w:p>
    <w:p w14:paraId="0543E0DB">
      <w:pPr>
        <w:pStyle w:val="54"/>
        <w:rPr>
          <w:rFonts w:hint="eastAsia"/>
          <w:lang w:val="en-US" w:eastAsia="zh-CN"/>
        </w:rPr>
      </w:pPr>
      <w:r>
        <w:rPr>
          <w:rFonts w:hint="eastAsia"/>
          <w:lang w:val="en-US" w:eastAsia="zh-CN"/>
        </w:rPr>
        <w:t>3.违约方应承担守约方为维护自身合法权益所支出的一切合理费用，包括但不限于诉讼费、律师费、调查费、鉴定费、公证费、担保费保全费、差旅费等。</w:t>
      </w:r>
    </w:p>
    <w:p w14:paraId="3241C58F">
      <w:pPr>
        <w:pStyle w:val="54"/>
        <w:rPr>
          <w:rFonts w:hint="eastAsia"/>
        </w:rPr>
      </w:pPr>
      <w:r>
        <w:rPr>
          <w:rFonts w:hint="eastAsia"/>
        </w:rPr>
        <w:t>第十五条  本合同附件</w:t>
      </w:r>
    </w:p>
    <w:p w14:paraId="6DF0F7F7">
      <w:pPr>
        <w:pStyle w:val="54"/>
        <w:rPr>
          <w:rFonts w:hint="eastAsia"/>
        </w:rPr>
      </w:pPr>
      <w:r>
        <w:rPr>
          <w:rFonts w:hint="eastAsia"/>
        </w:rPr>
        <w:t>以下附件及乙方投标时提供的投标文件和其他相关资料作为本合同的补充内容，具有同等法律效力。</w:t>
      </w:r>
    </w:p>
    <w:p w14:paraId="24080FC6">
      <w:pPr>
        <w:pStyle w:val="54"/>
        <w:rPr>
          <w:rFonts w:hint="eastAsia"/>
        </w:rPr>
      </w:pPr>
      <w:r>
        <w:rPr>
          <w:rFonts w:hint="eastAsia"/>
        </w:rPr>
        <w:t>附件1：售后服务承诺（加盖公章）；</w:t>
      </w:r>
    </w:p>
    <w:p w14:paraId="1FF72C1D">
      <w:pPr>
        <w:pStyle w:val="54"/>
        <w:rPr>
          <w:rFonts w:hint="eastAsia"/>
          <w:lang w:eastAsia="zh-CN"/>
        </w:rPr>
      </w:pPr>
      <w:r>
        <w:rPr>
          <w:rFonts w:hint="eastAsia"/>
        </w:rPr>
        <w:t>附件2：供货一览表（加盖公章）</w:t>
      </w:r>
      <w:r>
        <w:rPr>
          <w:rFonts w:hint="eastAsia"/>
          <w:lang w:eastAsia="zh-CN"/>
        </w:rPr>
        <w:t>。</w:t>
      </w:r>
    </w:p>
    <w:p w14:paraId="57CF6161">
      <w:pPr>
        <w:pStyle w:val="54"/>
        <w:rPr>
          <w:rFonts w:hint="eastAsia"/>
        </w:rPr>
      </w:pPr>
      <w:r>
        <w:rPr>
          <w:rFonts w:hint="eastAsia"/>
        </w:rPr>
        <w:t>第十六条  合同修改</w:t>
      </w:r>
    </w:p>
    <w:p w14:paraId="5E61B338">
      <w:pPr>
        <w:pStyle w:val="54"/>
        <w:rPr>
          <w:rFonts w:hint="eastAsia"/>
        </w:rPr>
      </w:pPr>
      <w:r>
        <w:rPr>
          <w:rFonts w:hint="eastAsia"/>
        </w:rPr>
        <w:t>欲对合同条款</w:t>
      </w:r>
      <w:r>
        <w:rPr>
          <w:rFonts w:hint="eastAsia"/>
          <w:lang w:eastAsia="zh-CN"/>
        </w:rPr>
        <w:t>作出</w:t>
      </w:r>
      <w:r>
        <w:rPr>
          <w:rFonts w:hint="eastAsia"/>
        </w:rPr>
        <w:t>修改，须经双方协商同意，并由甲乙双方签署书面的合同修改书。</w:t>
      </w:r>
    </w:p>
    <w:p w14:paraId="317C5129">
      <w:pPr>
        <w:pStyle w:val="54"/>
        <w:rPr>
          <w:rFonts w:hint="eastAsia"/>
        </w:rPr>
      </w:pPr>
      <w:r>
        <w:rPr>
          <w:rFonts w:hint="eastAsia"/>
        </w:rPr>
        <w:t>第十七条  合同生效</w:t>
      </w:r>
      <w:r>
        <w:rPr>
          <w:rFonts w:hint="eastAsia"/>
          <w:lang w:eastAsia="zh-CN"/>
        </w:rPr>
        <w:t>及其他</w:t>
      </w:r>
    </w:p>
    <w:p w14:paraId="0555854C">
      <w:pPr>
        <w:pStyle w:val="54"/>
        <w:rPr>
          <w:rFonts w:hint="eastAsia"/>
        </w:rPr>
      </w:pPr>
      <w:r>
        <w:rPr>
          <w:rFonts w:hint="eastAsia"/>
        </w:rPr>
        <w:t>1.合同经双方法定代表人或授权委托代表人签字并加盖单位公章或合同专用章后生效。</w:t>
      </w:r>
    </w:p>
    <w:p w14:paraId="2A59E0CE">
      <w:pPr>
        <w:pStyle w:val="54"/>
        <w:rPr>
          <w:rFonts w:hint="eastAsia"/>
        </w:rPr>
      </w:pPr>
      <w:r>
        <w:rPr>
          <w:rFonts w:hint="eastAsia"/>
        </w:rPr>
        <w:t>2.其他约定条款：                   。</w:t>
      </w:r>
    </w:p>
    <w:p w14:paraId="6FC2AE2C">
      <w:pPr>
        <w:pStyle w:val="54"/>
        <w:rPr>
          <w:rFonts w:hint="eastAsia"/>
        </w:rPr>
      </w:pPr>
      <w:r>
        <w:rPr>
          <w:rFonts w:hint="eastAsia"/>
          <w:lang w:val="en-US" w:eastAsia="zh-CN"/>
        </w:rPr>
        <w:t>3</w:t>
      </w:r>
      <w:r>
        <w:rPr>
          <w:rFonts w:hint="eastAsia"/>
        </w:rPr>
        <w:t>.本合同未尽事宜，遵照《</w:t>
      </w:r>
      <w:r>
        <w:rPr>
          <w:rFonts w:hint="eastAsia"/>
          <w:lang w:eastAsia="zh-CN"/>
        </w:rPr>
        <w:t>中华人民共和国民法典</w:t>
      </w:r>
      <w:r>
        <w:rPr>
          <w:rFonts w:hint="eastAsia"/>
        </w:rPr>
        <w:t>》有关条文执行。</w:t>
      </w:r>
    </w:p>
    <w:p w14:paraId="07F585CA">
      <w:pPr>
        <w:pStyle w:val="54"/>
        <w:rPr>
          <w:rFonts w:hint="eastAsia"/>
        </w:rPr>
      </w:pPr>
      <w:r>
        <w:rPr>
          <w:rFonts w:hint="eastAsia"/>
          <w:lang w:val="en-US" w:eastAsia="zh-CN"/>
        </w:rPr>
        <w:t>4</w:t>
      </w:r>
      <w:r>
        <w:rPr>
          <w:rFonts w:hint="eastAsia"/>
        </w:rPr>
        <w:t>.本合同</w:t>
      </w:r>
      <w:r>
        <w:rPr>
          <w:rFonts w:hint="eastAsia"/>
          <w:lang w:val="en-US" w:eastAsia="zh-CN"/>
        </w:rPr>
        <w:t>正本</w:t>
      </w:r>
      <w:r>
        <w:rPr>
          <w:rFonts w:hint="eastAsia"/>
        </w:rPr>
        <w:t>一式</w:t>
      </w:r>
      <w:r>
        <w:rPr>
          <w:rFonts w:hint="eastAsia"/>
          <w:lang w:val="en-US" w:eastAsia="zh-CN"/>
        </w:rPr>
        <w:t>四</w:t>
      </w:r>
      <w:r>
        <w:rPr>
          <w:rFonts w:hint="eastAsia"/>
        </w:rPr>
        <w:t>份，其中甲方执</w:t>
      </w:r>
      <w:r>
        <w:rPr>
          <w:rFonts w:hint="eastAsia"/>
          <w:lang w:val="en-US" w:eastAsia="zh-CN"/>
        </w:rPr>
        <w:t>三</w:t>
      </w:r>
      <w:r>
        <w:rPr>
          <w:rFonts w:hint="eastAsia"/>
        </w:rPr>
        <w:t>份，乙方执</w:t>
      </w:r>
      <w:r>
        <w:rPr>
          <w:rFonts w:hint="eastAsia"/>
          <w:lang w:val="en-US" w:eastAsia="zh-CN"/>
        </w:rPr>
        <w:t>一</w:t>
      </w:r>
      <w:r>
        <w:rPr>
          <w:rFonts w:hint="eastAsia"/>
        </w:rPr>
        <w:t>份，具有同等法律效力。（双面打印）</w:t>
      </w:r>
    </w:p>
    <w:p w14:paraId="40A15F49">
      <w:pPr>
        <w:pStyle w:val="54"/>
        <w:rPr>
          <w:rFonts w:hint="eastAsia"/>
        </w:rPr>
      </w:pPr>
    </w:p>
    <w:tbl>
      <w:tblPr>
        <w:tblStyle w:val="45"/>
        <w:tblW w:w="8107"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551"/>
        <w:gridCol w:w="4556"/>
      </w:tblGrid>
      <w:tr w14:paraId="79A968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2" w:hRule="atLeast"/>
        </w:trPr>
        <w:tc>
          <w:tcPr>
            <w:tcW w:w="3551" w:type="dxa"/>
            <w:noWrap/>
            <w:vAlign w:val="top"/>
          </w:tcPr>
          <w:p w14:paraId="14574A6A">
            <w:pPr>
              <w:pStyle w:val="54"/>
              <w:rPr>
                <w:rFonts w:hint="eastAsia"/>
              </w:rPr>
            </w:pPr>
            <w:r>
              <w:rPr>
                <w:rFonts w:hint="eastAsia"/>
              </w:rPr>
              <w:t>甲方</w:t>
            </w:r>
            <w:r>
              <w:rPr>
                <w:rFonts w:hint="eastAsia"/>
                <w:lang w:eastAsia="zh-CN"/>
              </w:rPr>
              <w:t>（</w:t>
            </w:r>
            <w:r>
              <w:rPr>
                <w:rFonts w:hint="eastAsia"/>
                <w:lang w:val="en-US" w:eastAsia="zh-CN"/>
              </w:rPr>
              <w:t>盖章</w:t>
            </w:r>
            <w:r>
              <w:rPr>
                <w:rFonts w:hint="eastAsia"/>
                <w:lang w:eastAsia="zh-CN"/>
              </w:rPr>
              <w:t>）</w:t>
            </w:r>
            <w:r>
              <w:rPr>
                <w:rFonts w:hint="eastAsia"/>
              </w:rPr>
              <w:t>：深圳市龙岗区第</w:t>
            </w:r>
            <w:r>
              <w:rPr>
                <w:rFonts w:hint="eastAsia"/>
                <w:lang w:eastAsia="zh-CN"/>
              </w:rPr>
              <w:t>二</w:t>
            </w:r>
            <w:r>
              <w:rPr>
                <w:rFonts w:hint="eastAsia"/>
              </w:rPr>
              <w:t>人民医院</w:t>
            </w:r>
          </w:p>
        </w:tc>
        <w:tc>
          <w:tcPr>
            <w:tcW w:w="4556" w:type="dxa"/>
            <w:noWrap/>
          </w:tcPr>
          <w:p w14:paraId="13227633">
            <w:pPr>
              <w:pStyle w:val="54"/>
              <w:rPr>
                <w:rFonts w:hint="eastAsia"/>
              </w:rPr>
            </w:pPr>
            <w:r>
              <w:rPr>
                <w:rFonts w:hint="eastAsia"/>
              </w:rPr>
              <w:t>乙方</w:t>
            </w:r>
            <w:r>
              <w:rPr>
                <w:rFonts w:hint="eastAsia"/>
                <w:lang w:eastAsia="zh-CN"/>
              </w:rPr>
              <w:t>（</w:t>
            </w:r>
            <w:r>
              <w:rPr>
                <w:rFonts w:hint="eastAsia"/>
                <w:lang w:val="en-US" w:eastAsia="zh-CN"/>
              </w:rPr>
              <w:t>盖章</w:t>
            </w:r>
            <w:r>
              <w:rPr>
                <w:rFonts w:hint="eastAsia"/>
                <w:lang w:eastAsia="zh-CN"/>
              </w:rPr>
              <w:t>）</w:t>
            </w:r>
            <w:r>
              <w:rPr>
                <w:rFonts w:hint="eastAsia"/>
              </w:rPr>
              <w:t>：</w:t>
            </w:r>
          </w:p>
        </w:tc>
      </w:tr>
      <w:tr w14:paraId="2760B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6" w:hRule="atLeast"/>
        </w:trPr>
        <w:tc>
          <w:tcPr>
            <w:tcW w:w="3551" w:type="dxa"/>
            <w:noWrap/>
            <w:vAlign w:val="top"/>
          </w:tcPr>
          <w:p w14:paraId="0C6F20D6">
            <w:pPr>
              <w:pStyle w:val="54"/>
              <w:rPr>
                <w:rFonts w:hint="eastAsia"/>
              </w:rPr>
            </w:pPr>
            <w:r>
              <w:rPr>
                <w:rFonts w:hint="eastAsia"/>
              </w:rPr>
              <w:t>地</w:t>
            </w:r>
            <w:r>
              <w:rPr>
                <w:rFonts w:hint="eastAsia"/>
                <w:lang w:val="en-US" w:eastAsia="zh-CN"/>
              </w:rPr>
              <w:t xml:space="preserve"> </w:t>
            </w:r>
            <w:r>
              <w:rPr>
                <w:rFonts w:hint="eastAsia"/>
              </w:rPr>
              <w:t>址：深圳市龙岗区</w:t>
            </w:r>
            <w:r>
              <w:rPr>
                <w:rFonts w:hint="eastAsia"/>
                <w:lang w:eastAsia="zh-CN"/>
              </w:rPr>
              <w:t>布吉</w:t>
            </w:r>
            <w:r>
              <w:rPr>
                <w:rFonts w:hint="eastAsia"/>
              </w:rPr>
              <w:t>街道</w:t>
            </w:r>
            <w:r>
              <w:rPr>
                <w:rFonts w:hint="eastAsia"/>
                <w:lang w:eastAsia="zh-CN"/>
              </w:rPr>
              <w:t>吉华</w:t>
            </w:r>
            <w:r>
              <w:rPr>
                <w:rFonts w:hint="eastAsia"/>
              </w:rPr>
              <w:t>路</w:t>
            </w:r>
            <w:r>
              <w:rPr>
                <w:rFonts w:hint="eastAsia"/>
                <w:lang w:val="en-US" w:eastAsia="zh-CN"/>
              </w:rPr>
              <w:t>175</w:t>
            </w:r>
            <w:r>
              <w:rPr>
                <w:rFonts w:hint="eastAsia"/>
              </w:rPr>
              <w:t>号</w:t>
            </w:r>
          </w:p>
        </w:tc>
        <w:tc>
          <w:tcPr>
            <w:tcW w:w="4556" w:type="dxa"/>
            <w:noWrap/>
          </w:tcPr>
          <w:p w14:paraId="7B5C89F2">
            <w:pPr>
              <w:pStyle w:val="54"/>
              <w:rPr>
                <w:rFonts w:hint="eastAsia"/>
              </w:rPr>
            </w:pPr>
            <w:r>
              <w:rPr>
                <w:rFonts w:hint="eastAsia"/>
              </w:rPr>
              <w:t>地</w:t>
            </w:r>
            <w:r>
              <w:rPr>
                <w:rFonts w:hint="eastAsia"/>
                <w:lang w:val="en-US" w:eastAsia="zh-CN"/>
              </w:rPr>
              <w:t xml:space="preserve"> </w:t>
            </w:r>
            <w:r>
              <w:rPr>
                <w:rFonts w:hint="eastAsia"/>
              </w:rPr>
              <w:t>址：</w:t>
            </w:r>
          </w:p>
        </w:tc>
      </w:tr>
      <w:tr w14:paraId="07ABCB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3551" w:type="dxa"/>
            <w:noWrap/>
            <w:vAlign w:val="top"/>
          </w:tcPr>
          <w:p w14:paraId="2DF0EC4D">
            <w:pPr>
              <w:pStyle w:val="54"/>
              <w:rPr>
                <w:rFonts w:hint="eastAsia"/>
              </w:rPr>
            </w:pPr>
            <w:r>
              <w:rPr>
                <w:rFonts w:hint="eastAsia"/>
              </w:rPr>
              <w:t>电</w:t>
            </w:r>
            <w:r>
              <w:rPr>
                <w:rFonts w:hint="eastAsia"/>
                <w:lang w:val="en-US" w:eastAsia="zh-CN"/>
              </w:rPr>
              <w:t xml:space="preserve"> </w:t>
            </w:r>
            <w:r>
              <w:rPr>
                <w:rFonts w:hint="eastAsia"/>
              </w:rPr>
              <w:t>话：</w:t>
            </w:r>
            <w:r>
              <w:rPr>
                <w:rFonts w:hint="eastAsia"/>
                <w:lang w:val="en-US" w:eastAsia="zh-CN"/>
              </w:rPr>
              <w:t>0755-28870993</w:t>
            </w:r>
          </w:p>
        </w:tc>
        <w:tc>
          <w:tcPr>
            <w:tcW w:w="4556" w:type="dxa"/>
            <w:noWrap/>
          </w:tcPr>
          <w:p w14:paraId="25FDEA88">
            <w:pPr>
              <w:pStyle w:val="54"/>
              <w:rPr>
                <w:rFonts w:hint="eastAsia"/>
              </w:rPr>
            </w:pPr>
            <w:r>
              <w:rPr>
                <w:rFonts w:hint="eastAsia"/>
              </w:rPr>
              <w:t>电</w:t>
            </w:r>
            <w:r>
              <w:rPr>
                <w:rFonts w:hint="eastAsia"/>
                <w:lang w:val="en-US" w:eastAsia="zh-CN"/>
              </w:rPr>
              <w:t xml:space="preserve"> </w:t>
            </w:r>
            <w:r>
              <w:rPr>
                <w:rFonts w:hint="eastAsia"/>
              </w:rPr>
              <w:t>话：</w:t>
            </w:r>
          </w:p>
        </w:tc>
      </w:tr>
      <w:tr w14:paraId="2C5A1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09" w:hRule="atLeast"/>
        </w:trPr>
        <w:tc>
          <w:tcPr>
            <w:tcW w:w="3551" w:type="dxa"/>
            <w:noWrap/>
          </w:tcPr>
          <w:p w14:paraId="19BAD9EA">
            <w:pPr>
              <w:pStyle w:val="54"/>
              <w:rPr>
                <w:rFonts w:hint="eastAsia"/>
              </w:rPr>
            </w:pPr>
            <w:r>
              <w:rPr>
                <w:rFonts w:hint="eastAsia"/>
              </w:rPr>
              <w:t>甲方法定代表人或授权人（签字）：</w:t>
            </w:r>
          </w:p>
          <w:p w14:paraId="77605A6F">
            <w:pPr>
              <w:pStyle w:val="54"/>
              <w:rPr>
                <w:rFonts w:hint="eastAsia"/>
              </w:rPr>
            </w:pPr>
          </w:p>
          <w:p w14:paraId="655C6700">
            <w:pPr>
              <w:pStyle w:val="54"/>
              <w:rPr>
                <w:rFonts w:hint="eastAsia"/>
              </w:rPr>
            </w:pPr>
          </w:p>
          <w:p w14:paraId="178B59CB">
            <w:pPr>
              <w:pStyle w:val="54"/>
              <w:rPr>
                <w:rFonts w:hint="eastAsia"/>
              </w:rPr>
            </w:pPr>
            <w:r>
              <w:rPr>
                <w:rFonts w:hint="eastAsia"/>
              </w:rPr>
              <w:t>分管领导、经办科室负责人（签字）：</w:t>
            </w:r>
          </w:p>
        </w:tc>
        <w:tc>
          <w:tcPr>
            <w:tcW w:w="4556" w:type="dxa"/>
            <w:noWrap/>
          </w:tcPr>
          <w:p w14:paraId="5B181D88">
            <w:pPr>
              <w:pStyle w:val="54"/>
              <w:rPr>
                <w:rFonts w:hint="eastAsia"/>
              </w:rPr>
            </w:pPr>
            <w:r>
              <w:rPr>
                <w:rFonts w:hint="eastAsia"/>
              </w:rPr>
              <w:t>乙方法定代表人或授权人（签字）：</w:t>
            </w:r>
          </w:p>
        </w:tc>
      </w:tr>
      <w:tr w14:paraId="255456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0" w:hRule="atLeast"/>
        </w:trPr>
        <w:tc>
          <w:tcPr>
            <w:tcW w:w="8107" w:type="dxa"/>
            <w:gridSpan w:val="2"/>
            <w:noWrap/>
            <w:vAlign w:val="center"/>
          </w:tcPr>
          <w:p w14:paraId="4BB079DA">
            <w:pPr>
              <w:pStyle w:val="54"/>
              <w:rPr>
                <w:rFonts w:hint="eastAsia"/>
              </w:rPr>
            </w:pPr>
            <w:r>
              <w:rPr>
                <w:rFonts w:hint="eastAsia"/>
              </w:rPr>
              <w:t>签约时间：    年  月  日</w:t>
            </w:r>
          </w:p>
          <w:p w14:paraId="4EB34798">
            <w:pPr>
              <w:pStyle w:val="54"/>
              <w:rPr>
                <w:rFonts w:hint="eastAsia"/>
              </w:rPr>
            </w:pPr>
            <w:r>
              <w:rPr>
                <w:rFonts w:hint="eastAsia"/>
              </w:rPr>
              <w:t>签约地址：深圳市</w:t>
            </w:r>
            <w:r>
              <w:rPr>
                <w:rFonts w:hint="eastAsia"/>
                <w:lang w:eastAsia="zh-CN"/>
              </w:rPr>
              <w:t>龙岗区第二人民</w:t>
            </w:r>
            <w:r>
              <w:rPr>
                <w:rFonts w:hint="eastAsia"/>
              </w:rPr>
              <w:t>医院</w:t>
            </w:r>
          </w:p>
        </w:tc>
      </w:tr>
    </w:tbl>
    <w:p w14:paraId="46600A6B">
      <w:pPr>
        <w:pStyle w:val="54"/>
        <w:rPr>
          <w:rFonts w:hint="eastAsia"/>
        </w:rPr>
      </w:pPr>
    </w:p>
    <w:bookmarkEnd w:id="79"/>
    <w:p w14:paraId="2AEAF966">
      <w:pPr>
        <w:rPr>
          <w:rFonts w:hint="eastAsia" w:ascii="黑体" w:hAnsi="黑体" w:eastAsia="黑体" w:cs="黑体"/>
          <w:b w:val="0"/>
          <w:bCs w:val="0"/>
          <w:sz w:val="28"/>
          <w:szCs w:val="28"/>
        </w:rPr>
      </w:pPr>
      <w:r>
        <w:rPr>
          <w:rFonts w:ascii="宋体" w:hAnsi="宋体"/>
          <w:szCs w:val="21"/>
        </w:rPr>
        <w:br w:type="page"/>
      </w:r>
      <w:r>
        <w:rPr>
          <w:rFonts w:hint="eastAsia" w:ascii="黑体" w:hAnsi="黑体" w:eastAsia="黑体" w:cs="黑体"/>
          <w:b w:val="0"/>
          <w:bCs w:val="0"/>
          <w:sz w:val="28"/>
          <w:szCs w:val="28"/>
        </w:rPr>
        <w:t>附件1</w:t>
      </w:r>
    </w:p>
    <w:p w14:paraId="2678978F">
      <w:pPr>
        <w:ind w:left="0" w:leftChars="0" w:firstLine="0" w:firstLineChars="0"/>
        <w:jc w:val="center"/>
        <w:rPr>
          <w:rFonts w:ascii="仿宋_GB2312" w:hAnsi="仿宋_GB2312" w:eastAsia="仿宋_GB2312" w:cs="仿宋_GB2312"/>
          <w:sz w:val="44"/>
          <w:szCs w:val="44"/>
        </w:rPr>
      </w:pPr>
      <w:r>
        <w:rPr>
          <w:rFonts w:hint="eastAsia" w:ascii="长城仿宋" w:hAnsi="Calibri" w:eastAsia="宋体" w:cs="Times New Roman"/>
          <w:b/>
          <w:kern w:val="0"/>
          <w:sz w:val="44"/>
          <w:szCs w:val="44"/>
        </w:rPr>
        <w:t>售后服务承诺</w:t>
      </w:r>
    </w:p>
    <w:p w14:paraId="4C6CF3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宋体" w:eastAsia="黑体" w:cs="Times New Roman"/>
          <w:b w:val="0"/>
          <w:bCs/>
          <w:sz w:val="32"/>
          <w:szCs w:val="32"/>
          <w:highlight w:val="yellow"/>
        </w:rPr>
      </w:pPr>
      <w:r>
        <w:rPr>
          <w:rFonts w:hint="eastAsia" w:ascii="黑体" w:hAnsi="宋体" w:eastAsia="黑体" w:cs="Times New Roman"/>
          <w:b w:val="0"/>
          <w:bCs/>
          <w:sz w:val="32"/>
          <w:szCs w:val="32"/>
          <w:highlight w:val="yellow"/>
          <w:lang w:eastAsia="zh-CN"/>
        </w:rPr>
        <w:t>（</w:t>
      </w:r>
      <w:r>
        <w:rPr>
          <w:rFonts w:hint="eastAsia" w:ascii="黑体" w:hAnsi="宋体" w:eastAsia="黑体" w:cs="Times New Roman"/>
          <w:b w:val="0"/>
          <w:bCs/>
          <w:sz w:val="32"/>
          <w:szCs w:val="32"/>
          <w:highlight w:val="yellow"/>
        </w:rPr>
        <w:t>必须按中标的投标文件承诺的售后服务内容协商签订）</w:t>
      </w:r>
    </w:p>
    <w:p w14:paraId="40F859CB">
      <w:pPr>
        <w:widowControl w:val="0"/>
        <w:ind w:firstLine="560" w:firstLineChars="200"/>
        <w:jc w:val="both"/>
        <w:rPr>
          <w:rFonts w:ascii="仿宋_GB2312" w:hAnsi="仿宋_GB2312" w:eastAsia="仿宋_GB2312" w:cs="仿宋_GB2312"/>
          <w:kern w:val="2"/>
          <w:sz w:val="28"/>
          <w:szCs w:val="28"/>
          <w:lang w:val="en-US" w:eastAsia="zh-CN" w:bidi="ar-SA"/>
        </w:rPr>
      </w:pPr>
    </w:p>
    <w:p w14:paraId="736FA8A0">
      <w:pPr>
        <w:widowControl w:val="0"/>
        <w:ind w:firstLine="560" w:firstLineChars="200"/>
        <w:jc w:val="both"/>
        <w:rPr>
          <w:rFonts w:ascii="仿宋_GB2312" w:hAnsi="仿宋_GB2312" w:eastAsia="仿宋_GB2312" w:cs="仿宋_GB2312"/>
          <w:kern w:val="2"/>
          <w:sz w:val="28"/>
          <w:szCs w:val="28"/>
          <w:lang w:val="en-US" w:eastAsia="zh-CN" w:bidi="ar-SA"/>
        </w:rPr>
      </w:pPr>
    </w:p>
    <w:p w14:paraId="419C137A">
      <w:pPr>
        <w:widowControl w:val="0"/>
        <w:ind w:firstLine="560" w:firstLineChars="200"/>
        <w:jc w:val="both"/>
        <w:rPr>
          <w:rFonts w:ascii="仿宋_GB2312" w:hAnsi="仿宋_GB2312" w:eastAsia="仿宋_GB2312" w:cs="仿宋_GB2312"/>
          <w:kern w:val="2"/>
          <w:sz w:val="28"/>
          <w:szCs w:val="28"/>
          <w:lang w:val="en-US" w:eastAsia="zh-CN" w:bidi="ar-SA"/>
        </w:rPr>
      </w:pPr>
    </w:p>
    <w:p w14:paraId="01AAE6EF">
      <w:pPr>
        <w:widowControl w:val="0"/>
        <w:ind w:firstLine="560" w:firstLineChars="200"/>
        <w:jc w:val="both"/>
        <w:rPr>
          <w:rFonts w:ascii="仿宋_GB2312" w:hAnsi="仿宋_GB2312" w:eastAsia="仿宋_GB2312" w:cs="仿宋_GB2312"/>
          <w:kern w:val="2"/>
          <w:sz w:val="28"/>
          <w:szCs w:val="28"/>
          <w:lang w:val="en-US" w:eastAsia="zh-CN" w:bidi="ar-SA"/>
        </w:rPr>
      </w:pPr>
    </w:p>
    <w:p w14:paraId="30E10329">
      <w:pPr>
        <w:widowControl w:val="0"/>
        <w:ind w:firstLine="560" w:firstLineChars="200"/>
        <w:jc w:val="both"/>
        <w:rPr>
          <w:rFonts w:ascii="仿宋_GB2312" w:hAnsi="仿宋_GB2312" w:eastAsia="仿宋_GB2312" w:cs="仿宋_GB2312"/>
          <w:kern w:val="2"/>
          <w:sz w:val="28"/>
          <w:szCs w:val="28"/>
          <w:lang w:val="en-US" w:eastAsia="zh-CN" w:bidi="ar-SA"/>
        </w:rPr>
      </w:pPr>
    </w:p>
    <w:p w14:paraId="4711BC4B">
      <w:pPr>
        <w:widowControl w:val="0"/>
        <w:ind w:firstLine="560" w:firstLineChars="200"/>
        <w:jc w:val="both"/>
        <w:rPr>
          <w:rFonts w:ascii="仿宋_GB2312" w:hAnsi="仿宋_GB2312" w:eastAsia="仿宋_GB2312" w:cs="仿宋_GB2312"/>
          <w:kern w:val="2"/>
          <w:sz w:val="28"/>
          <w:szCs w:val="28"/>
          <w:lang w:val="en-US" w:eastAsia="zh-CN" w:bidi="ar-SA"/>
        </w:rPr>
      </w:pPr>
    </w:p>
    <w:p w14:paraId="53C9EEC3">
      <w:pPr>
        <w:spacing w:line="360" w:lineRule="auto"/>
        <w:ind w:firstLine="4592" w:firstLineChars="1640"/>
        <w:rPr>
          <w:rFonts w:ascii="仿宋" w:hAnsi="仿宋" w:eastAsia="仿宋" w:cs="Times New Roman"/>
          <w:sz w:val="28"/>
          <w:szCs w:val="28"/>
        </w:rPr>
      </w:pPr>
      <w:r>
        <w:rPr>
          <w:rFonts w:hint="eastAsia" w:ascii="仿宋" w:hAnsi="仿宋" w:eastAsia="仿宋" w:cs="仿宋"/>
          <w:sz w:val="28"/>
          <w:szCs w:val="28"/>
          <w:u w:val="single"/>
        </w:rPr>
        <w:t xml:space="preserve">                   </w:t>
      </w:r>
      <w:r>
        <w:rPr>
          <w:rFonts w:hint="eastAsia" w:ascii="仿宋" w:hAnsi="仿宋" w:eastAsia="仿宋" w:cs="Times New Roman"/>
          <w:sz w:val="28"/>
          <w:szCs w:val="28"/>
        </w:rPr>
        <w:t>（公章）</w:t>
      </w:r>
    </w:p>
    <w:p w14:paraId="12DB8594">
      <w:pPr>
        <w:spacing w:line="360" w:lineRule="auto"/>
        <w:ind w:firstLine="5292" w:firstLineChars="1890"/>
        <w:rPr>
          <w:rFonts w:hint="eastAsia" w:ascii="仿宋" w:hAnsi="仿宋" w:eastAsia="仿宋" w:cs="Times New Roman"/>
          <w:sz w:val="28"/>
          <w:szCs w:val="28"/>
        </w:rPr>
      </w:pPr>
      <w:r>
        <w:rPr>
          <w:rFonts w:hint="eastAsia" w:ascii="仿宋" w:hAnsi="仿宋" w:eastAsia="仿宋" w:cs="Times New Roman"/>
          <w:sz w:val="28"/>
          <w:szCs w:val="28"/>
        </w:rPr>
        <w:t>日期：    年  月  日</w:t>
      </w:r>
    </w:p>
    <w:p w14:paraId="08B24FBE">
      <w:pPr>
        <w:rPr>
          <w:rFonts w:hint="eastAsia" w:ascii="仿宋" w:hAnsi="仿宋" w:eastAsia="仿宋" w:cs="Times New Roman"/>
          <w:sz w:val="28"/>
          <w:szCs w:val="28"/>
        </w:rPr>
      </w:pPr>
      <w:r>
        <w:rPr>
          <w:rFonts w:hint="eastAsia" w:ascii="仿宋" w:hAnsi="仿宋" w:eastAsia="仿宋" w:cs="Times New Roman"/>
          <w:sz w:val="28"/>
          <w:szCs w:val="28"/>
        </w:rPr>
        <w:br w:type="page"/>
      </w:r>
    </w:p>
    <w:p w14:paraId="78B5E654">
      <w:pPr>
        <w:rPr>
          <w:rFonts w:hint="eastAsia" w:ascii="黑体" w:hAnsi="黑体" w:eastAsia="黑体" w:cs="黑体"/>
          <w:b w:val="0"/>
          <w:bCs w:val="0"/>
          <w:sz w:val="44"/>
          <w:szCs w:val="44"/>
        </w:rPr>
      </w:pPr>
      <w:r>
        <w:rPr>
          <w:rFonts w:hint="eastAsia" w:ascii="黑体" w:hAnsi="黑体" w:eastAsia="黑体" w:cs="黑体"/>
          <w:b w:val="0"/>
          <w:bCs w:val="0"/>
          <w:sz w:val="28"/>
          <w:szCs w:val="28"/>
        </w:rPr>
        <w:t>附件2</w:t>
      </w:r>
    </w:p>
    <w:p w14:paraId="670481A2">
      <w:pPr>
        <w:jc w:val="center"/>
        <w:rPr>
          <w:rFonts w:hint="eastAsia" w:ascii="长城仿宋" w:hAnsi="Calibri" w:eastAsia="宋体" w:cs="Times New Roman"/>
          <w:b/>
          <w:kern w:val="0"/>
          <w:sz w:val="44"/>
          <w:szCs w:val="44"/>
        </w:rPr>
      </w:pPr>
      <w:r>
        <w:rPr>
          <w:rFonts w:hint="eastAsia" w:ascii="长城仿宋" w:hAnsi="Calibri" w:eastAsia="宋体" w:cs="Times New Roman"/>
          <w:b/>
          <w:kern w:val="0"/>
          <w:sz w:val="44"/>
          <w:szCs w:val="44"/>
        </w:rPr>
        <w:t>供货一览表</w:t>
      </w:r>
    </w:p>
    <w:p w14:paraId="3A81EB30">
      <w:pPr>
        <w:spacing w:line="360" w:lineRule="auto"/>
        <w:ind w:firstLine="5292" w:firstLineChars="1890"/>
        <w:rPr>
          <w:rFonts w:hint="eastAsia" w:ascii="仿宋" w:hAnsi="仿宋" w:eastAsia="仿宋" w:cs="Times New Roman"/>
          <w:sz w:val="28"/>
          <w:szCs w:val="28"/>
        </w:rPr>
      </w:pPr>
    </w:p>
    <w:p w14:paraId="257E7D6E">
      <w:pPr>
        <w:spacing w:line="360" w:lineRule="auto"/>
        <w:ind w:firstLine="5292" w:firstLineChars="1890"/>
        <w:rPr>
          <w:rFonts w:hint="eastAsia" w:ascii="仿宋" w:hAnsi="仿宋" w:eastAsia="仿宋" w:cs="Times New Roman"/>
          <w:sz w:val="28"/>
          <w:szCs w:val="28"/>
        </w:rPr>
      </w:pPr>
    </w:p>
    <w:p w14:paraId="43579280">
      <w:pPr>
        <w:spacing w:line="360" w:lineRule="auto"/>
        <w:ind w:firstLine="5292" w:firstLineChars="1890"/>
        <w:rPr>
          <w:rFonts w:hint="eastAsia" w:ascii="仿宋" w:hAnsi="仿宋" w:eastAsia="仿宋" w:cs="Times New Roman"/>
          <w:sz w:val="28"/>
          <w:szCs w:val="28"/>
        </w:rPr>
      </w:pPr>
    </w:p>
    <w:tbl>
      <w:tblPr>
        <w:tblStyle w:val="44"/>
        <w:tblW w:w="8840" w:type="dxa"/>
        <w:jc w:val="center"/>
        <w:tblLayout w:type="fixed"/>
        <w:tblCellMar>
          <w:top w:w="15" w:type="dxa"/>
          <w:left w:w="15" w:type="dxa"/>
          <w:bottom w:w="15" w:type="dxa"/>
          <w:right w:w="15" w:type="dxa"/>
        </w:tblCellMar>
      </w:tblPr>
      <w:tblGrid>
        <w:gridCol w:w="680"/>
        <w:gridCol w:w="680"/>
        <w:gridCol w:w="680"/>
        <w:gridCol w:w="680"/>
        <w:gridCol w:w="680"/>
        <w:gridCol w:w="680"/>
        <w:gridCol w:w="680"/>
        <w:gridCol w:w="680"/>
        <w:gridCol w:w="680"/>
        <w:gridCol w:w="680"/>
        <w:gridCol w:w="680"/>
        <w:gridCol w:w="680"/>
        <w:gridCol w:w="680"/>
      </w:tblGrid>
      <w:tr w14:paraId="28F2C5A3">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DFF9">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88CD">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深圳市平台代码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B5BE">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商品名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B27C">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注册证名称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DEF4">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注册证号</w:t>
            </w:r>
          </w:p>
        </w:tc>
        <w:tc>
          <w:tcPr>
            <w:tcW w:w="680" w:type="dxa"/>
            <w:tcBorders>
              <w:top w:val="single" w:color="000000" w:sz="4" w:space="0"/>
              <w:left w:val="single" w:color="000000" w:sz="4" w:space="0"/>
              <w:bottom w:val="single" w:color="000000" w:sz="4" w:space="0"/>
              <w:right w:val="single" w:color="000000" w:sz="4" w:space="0"/>
            </w:tcBorders>
            <w:vAlign w:val="center"/>
          </w:tcPr>
          <w:p w14:paraId="105F843C">
            <w:pPr>
              <w:jc w:val="center"/>
              <w:textAlignment w:val="center"/>
              <w:rPr>
                <w:rFonts w:hint="eastAsia" w:ascii="仿宋" w:hAnsi="仿宋" w:eastAsia="仿宋" w:cs="仿宋"/>
                <w:color w:val="000000"/>
                <w:sz w:val="20"/>
                <w:szCs w:val="20"/>
                <w:lang w:eastAsia="zh-CN"/>
              </w:rPr>
            </w:pPr>
            <w:r>
              <w:rPr>
                <w:rFonts w:hint="eastAsia" w:ascii="仿宋" w:hAnsi="仿宋" w:eastAsia="仿宋" w:cs="仿宋"/>
                <w:color w:val="000000"/>
                <w:sz w:val="20"/>
                <w:szCs w:val="20"/>
              </w:rPr>
              <w:t>医保目录编码</w:t>
            </w:r>
          </w:p>
          <w:p w14:paraId="4055404F">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（国家耗材代码）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FFD6">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品牌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C869">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注册证型号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2EDA">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注册证规格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2A1">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单位</w:t>
            </w:r>
          </w:p>
        </w:tc>
        <w:tc>
          <w:tcPr>
            <w:tcW w:w="680" w:type="dxa"/>
            <w:tcBorders>
              <w:top w:val="single" w:color="000000" w:sz="4" w:space="0"/>
              <w:left w:val="single" w:color="000000" w:sz="4" w:space="0"/>
              <w:bottom w:val="single" w:color="000000" w:sz="4" w:space="0"/>
              <w:right w:val="single" w:color="000000" w:sz="4" w:space="0"/>
            </w:tcBorders>
            <w:vAlign w:val="center"/>
          </w:tcPr>
          <w:p w14:paraId="36982711">
            <w:pPr>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预算单价</w:t>
            </w:r>
          </w:p>
          <w:p w14:paraId="613C91FE">
            <w:pPr>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7278">
            <w:pPr>
              <w:jc w:val="center"/>
              <w:textAlignment w:val="center"/>
              <w:rPr>
                <w:rFonts w:hint="eastAsia" w:ascii="仿宋" w:hAnsi="仿宋" w:eastAsia="仿宋" w:cs="仿宋"/>
                <w:color w:val="FF0000"/>
                <w:sz w:val="20"/>
                <w:szCs w:val="20"/>
              </w:rPr>
            </w:pPr>
            <w:r>
              <w:rPr>
                <w:rFonts w:hint="eastAsia" w:ascii="仿宋" w:hAnsi="仿宋" w:eastAsia="仿宋" w:cs="仿宋"/>
                <w:color w:val="FF0000"/>
                <w:sz w:val="20"/>
                <w:szCs w:val="20"/>
              </w:rPr>
              <w:t>成交单价（元）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D9AC">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生产厂家</w:t>
            </w:r>
          </w:p>
        </w:tc>
      </w:tr>
      <w:tr w14:paraId="072F88B6">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A0A7">
            <w:pPr>
              <w:jc w:val="center"/>
              <w:textAlignment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B7D8">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9367">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F82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CA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FF1FA6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A5A1">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A87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0D5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674">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30DB497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973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34E6">
            <w:pPr>
              <w:jc w:val="center"/>
              <w:textAlignment w:val="center"/>
              <w:rPr>
                <w:rFonts w:hint="eastAsia" w:ascii="仿宋" w:hAnsi="仿宋" w:eastAsia="仿宋" w:cs="仿宋"/>
                <w:color w:val="000000"/>
                <w:sz w:val="20"/>
                <w:szCs w:val="20"/>
              </w:rPr>
            </w:pPr>
          </w:p>
        </w:tc>
      </w:tr>
      <w:tr w14:paraId="395CDC0E">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B297">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F22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BA7A">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FF0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47EA">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2CF244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AEA1">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046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0306">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0F8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3E2E65F">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29A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EC51">
            <w:pPr>
              <w:jc w:val="center"/>
              <w:textAlignment w:val="center"/>
              <w:rPr>
                <w:rFonts w:hint="eastAsia" w:ascii="仿宋" w:hAnsi="仿宋" w:eastAsia="仿宋" w:cs="仿宋"/>
                <w:color w:val="000000"/>
                <w:sz w:val="20"/>
                <w:szCs w:val="20"/>
              </w:rPr>
            </w:pPr>
          </w:p>
        </w:tc>
      </w:tr>
      <w:tr w14:paraId="1173C0C9">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691C">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B10D">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FD5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B47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CCD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332064B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49F6">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F92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5BC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27E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03A9F1B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9C8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30D2">
            <w:pPr>
              <w:jc w:val="center"/>
              <w:textAlignment w:val="center"/>
              <w:rPr>
                <w:rFonts w:hint="eastAsia" w:ascii="仿宋" w:hAnsi="仿宋" w:eastAsia="仿宋" w:cs="仿宋"/>
                <w:color w:val="000000"/>
                <w:sz w:val="20"/>
                <w:szCs w:val="20"/>
              </w:rPr>
            </w:pPr>
          </w:p>
        </w:tc>
      </w:tr>
      <w:tr w14:paraId="020DD9A3">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B234">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4</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13EB8">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822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A0A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E77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B878BA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28B8">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12AB">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697F">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9BD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7B3C68C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DF4">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81E0">
            <w:pPr>
              <w:jc w:val="center"/>
              <w:textAlignment w:val="center"/>
              <w:rPr>
                <w:rFonts w:hint="eastAsia" w:ascii="仿宋" w:hAnsi="仿宋" w:eastAsia="仿宋" w:cs="仿宋"/>
                <w:color w:val="000000"/>
                <w:sz w:val="20"/>
                <w:szCs w:val="20"/>
              </w:rPr>
            </w:pPr>
          </w:p>
        </w:tc>
      </w:tr>
      <w:tr w14:paraId="304FD972">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7D0C">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FC4">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643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BB75">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4BA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46D93CB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5F7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3A9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EAF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5B7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5C70A0B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A351">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2C34">
            <w:pPr>
              <w:jc w:val="center"/>
              <w:textAlignment w:val="center"/>
              <w:rPr>
                <w:rFonts w:hint="eastAsia" w:ascii="仿宋" w:hAnsi="仿宋" w:eastAsia="仿宋" w:cs="仿宋"/>
                <w:color w:val="000000"/>
                <w:sz w:val="20"/>
                <w:szCs w:val="20"/>
              </w:rPr>
            </w:pPr>
          </w:p>
        </w:tc>
      </w:tr>
      <w:tr w14:paraId="0DD69496">
        <w:tblPrEx>
          <w:tblCellMar>
            <w:top w:w="15" w:type="dxa"/>
            <w:left w:w="15" w:type="dxa"/>
            <w:bottom w:w="15" w:type="dxa"/>
            <w:right w:w="15" w:type="dxa"/>
          </w:tblCellMar>
        </w:tblPrEx>
        <w:trPr>
          <w:trHeight w:val="72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3D8F">
            <w:pPr>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6</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AD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655D">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9380">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FBB2">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670A30B3">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F059">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813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CA06">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38FE">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vAlign w:val="center"/>
          </w:tcPr>
          <w:p w14:paraId="2A5BF25C">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B73D">
            <w:pPr>
              <w:jc w:val="center"/>
              <w:textAlignment w:val="center"/>
              <w:rPr>
                <w:rFonts w:hint="eastAsia" w:ascii="仿宋" w:hAnsi="仿宋" w:eastAsia="仿宋" w:cs="仿宋"/>
                <w:color w:val="000000"/>
                <w:sz w:val="20"/>
                <w:szCs w:val="2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8E8F">
            <w:pPr>
              <w:jc w:val="center"/>
              <w:textAlignment w:val="center"/>
              <w:rPr>
                <w:rFonts w:hint="eastAsia" w:ascii="仿宋" w:hAnsi="仿宋" w:eastAsia="仿宋" w:cs="仿宋"/>
                <w:color w:val="000000"/>
                <w:sz w:val="20"/>
                <w:szCs w:val="20"/>
              </w:rPr>
            </w:pPr>
          </w:p>
        </w:tc>
      </w:tr>
    </w:tbl>
    <w:p w14:paraId="4E8D046F">
      <w:pPr>
        <w:spacing w:line="360" w:lineRule="auto"/>
        <w:ind w:firstLine="5292" w:firstLineChars="1890"/>
        <w:rPr>
          <w:rFonts w:hint="eastAsia" w:ascii="仿宋" w:hAnsi="仿宋" w:eastAsia="仿宋" w:cs="Times New Roman"/>
          <w:sz w:val="28"/>
          <w:szCs w:val="28"/>
        </w:rPr>
      </w:pPr>
    </w:p>
    <w:p w14:paraId="3504F724">
      <w:pPr>
        <w:rPr>
          <w:rFonts w:ascii="宋体" w:hAnsi="宋体"/>
          <w:szCs w:val="21"/>
        </w:rPr>
      </w:pPr>
      <w:r>
        <w:rPr>
          <w:rFonts w:ascii="宋体" w:hAnsi="宋体"/>
          <w:szCs w:val="21"/>
        </w:rPr>
        <w:br w:type="page"/>
      </w:r>
    </w:p>
    <w:p w14:paraId="6F7DDC6D">
      <w:pPr>
        <w:keepNext/>
        <w:keepLines/>
        <w:adjustRightInd w:val="0"/>
        <w:spacing w:before="120" w:beforeLines="50" w:after="120" w:afterLines="50"/>
        <w:ind w:left="562"/>
        <w:jc w:val="center"/>
        <w:textAlignment w:val="baseline"/>
        <w:outlineLvl w:val="1"/>
        <w:rPr>
          <w:rFonts w:hint="eastAsia" w:ascii="宋体" w:hAnsi="宋体"/>
          <w:b/>
          <w:bCs/>
          <w:kern w:val="0"/>
          <w:sz w:val="28"/>
          <w:szCs w:val="28"/>
        </w:rPr>
      </w:pPr>
      <w:r>
        <w:rPr>
          <w:rFonts w:hint="eastAsia" w:ascii="宋体" w:hAnsi="宋体"/>
          <w:b/>
          <w:bCs/>
          <w:kern w:val="0"/>
          <w:sz w:val="28"/>
          <w:szCs w:val="28"/>
        </w:rPr>
        <w:t>第二册  通用条款（公开招标）</w:t>
      </w:r>
    </w:p>
    <w:p w14:paraId="6E4DBAE7">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80" w:name="_Hlk72399513"/>
      <w:r>
        <w:rPr>
          <w:rFonts w:hint="eastAsia" w:ascii="宋体" w:hAnsi="宋体"/>
          <w:b/>
          <w:bCs/>
          <w:kern w:val="0"/>
          <w:sz w:val="28"/>
          <w:szCs w:val="28"/>
        </w:rPr>
        <w:t>总则</w:t>
      </w:r>
    </w:p>
    <w:bookmarkEnd w:id="80"/>
    <w:p w14:paraId="76B86F9B">
      <w:pPr>
        <w:rPr>
          <w:rFonts w:hint="eastAsia" w:ascii="黑体" w:hAnsi="宋体" w:eastAsia="黑体"/>
          <w:sz w:val="24"/>
        </w:rPr>
      </w:pPr>
      <w:r>
        <w:rPr>
          <w:rFonts w:hint="eastAsia" w:ascii="黑体" w:hAnsi="宋体" w:eastAsia="黑体"/>
          <w:sz w:val="24"/>
        </w:rPr>
        <w:t>1. 通用条款说明</w:t>
      </w:r>
    </w:p>
    <w:p w14:paraId="786CEDC6">
      <w:pPr>
        <w:ind w:firstLine="420" w:firstLineChars="200"/>
        <w:rPr>
          <w:rFonts w:hint="eastAsia" w:ascii="宋体" w:hAnsi="宋体"/>
          <w:szCs w:val="21"/>
        </w:rPr>
      </w:pPr>
      <w:r>
        <w:rPr>
          <w:rFonts w:hint="eastAsia" w:ascii="宋体" w:hAnsi="宋体"/>
          <w:szCs w:val="21"/>
        </w:rPr>
        <w:t>1.1招标文件通用条款版本，列出招标采购所适用的通用条款内容。</w:t>
      </w:r>
      <w:bookmarkStart w:id="81" w:name="_Hlk72399729"/>
      <w:r>
        <w:rPr>
          <w:rFonts w:hint="eastAsia" w:ascii="宋体" w:hAnsi="宋体"/>
          <w:szCs w:val="21"/>
        </w:rPr>
        <w:t>如有需要，</w:t>
      </w:r>
      <w:r>
        <w:rPr>
          <w:rFonts w:hint="eastAsia" w:ascii="宋体" w:hAnsi="宋体"/>
          <w:szCs w:val="21"/>
          <w:lang w:val="en-US" w:eastAsia="zh-CN"/>
        </w:rPr>
        <w:t>将</w:t>
      </w:r>
      <w:r>
        <w:rPr>
          <w:rFonts w:hint="eastAsia" w:ascii="宋体" w:hAnsi="宋体"/>
          <w:szCs w:val="21"/>
        </w:rPr>
        <w:t>对通用条款的内容进行补充。</w:t>
      </w:r>
      <w:bookmarkEnd w:id="81"/>
    </w:p>
    <w:p w14:paraId="514293B7">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7EC68C16">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F1F8620">
      <w:pPr>
        <w:ind w:firstLine="411" w:firstLineChars="196"/>
        <w:rPr>
          <w:rFonts w:hint="eastAsia" w:ascii="宋体" w:hAnsi="宋体"/>
          <w:szCs w:val="21"/>
        </w:rPr>
      </w:pPr>
      <w:r>
        <w:rPr>
          <w:rFonts w:hint="eastAsia" w:ascii="宋体" w:hAnsi="宋体"/>
          <w:szCs w:val="21"/>
        </w:rPr>
        <w:t>1.4“通用条款”是适用于公开招标项目的基础性条款，具有普遍性和通用性。</w:t>
      </w:r>
    </w:p>
    <w:p w14:paraId="13FD8535">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05D253A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35E2788">
      <w:pPr>
        <w:ind w:firstLine="422" w:firstLineChars="200"/>
        <w:rPr>
          <w:rFonts w:hint="eastAsia" w:ascii="宋体" w:hAnsi="宋体"/>
          <w:b/>
          <w:bCs/>
          <w:szCs w:val="21"/>
          <w:highlight w:val="yellow"/>
        </w:rPr>
      </w:pPr>
      <w:r>
        <w:rPr>
          <w:rFonts w:hint="eastAsia" w:ascii="宋体" w:hAnsi="宋体"/>
          <w:b/>
          <w:bCs/>
          <w:szCs w:val="21"/>
          <w:highlight w:val="yellow"/>
        </w:rPr>
        <w:t>本项目参照《深圳经济特区政府采购条例》、《深圳经济特区政府采购条例实施细则》及政府采购其他法律法规，按照采购人内控制度，通过公开招标方式确定中标供应商。</w:t>
      </w:r>
    </w:p>
    <w:p w14:paraId="352C184B">
      <w:pPr>
        <w:ind w:firstLine="480" w:firstLineChars="200"/>
        <w:rPr>
          <w:rFonts w:hint="eastAsia" w:ascii="黑体" w:hAnsi="宋体" w:eastAsia="黑体"/>
          <w:sz w:val="24"/>
          <w:highlight w:val="none"/>
        </w:rPr>
      </w:pPr>
      <w:r>
        <w:rPr>
          <w:rFonts w:hint="eastAsia" w:ascii="黑体" w:hAnsi="宋体" w:eastAsia="黑体"/>
          <w:sz w:val="24"/>
          <w:highlight w:val="none"/>
        </w:rPr>
        <w:t>3．定义</w:t>
      </w:r>
    </w:p>
    <w:p w14:paraId="79F32F5D">
      <w:pPr>
        <w:ind w:firstLine="420" w:firstLineChars="200"/>
        <w:rPr>
          <w:rFonts w:hint="eastAsia" w:ascii="宋体" w:hAnsi="宋体"/>
          <w:szCs w:val="21"/>
          <w:highlight w:val="none"/>
        </w:rPr>
      </w:pPr>
      <w:r>
        <w:rPr>
          <w:rFonts w:ascii="宋体" w:hAnsi="宋体"/>
          <w:szCs w:val="21"/>
          <w:highlight w:val="none"/>
        </w:rPr>
        <w:t>招标文件中下列术语应解释为：</w:t>
      </w:r>
    </w:p>
    <w:p w14:paraId="74CABBB4">
      <w:pPr>
        <w:ind w:firstLine="411" w:firstLineChars="196"/>
        <w:rPr>
          <w:rFonts w:hint="eastAsia" w:ascii="宋体" w:hAnsi="宋体"/>
          <w:szCs w:val="21"/>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w:t>
      </w:r>
      <w:r>
        <w:rPr>
          <w:rFonts w:hint="eastAsia" w:ascii="宋体" w:hAnsi="宋体"/>
          <w:szCs w:val="21"/>
        </w:rPr>
        <w:t>指依法进行</w:t>
      </w:r>
      <w:r>
        <w:rPr>
          <w:rFonts w:hint="eastAsia" w:ascii="宋体" w:hAnsi="宋体"/>
          <w:b/>
          <w:bCs/>
          <w:color w:val="FF0000"/>
          <w:szCs w:val="21"/>
        </w:rPr>
        <w:t>采购</w:t>
      </w:r>
      <w:r>
        <w:rPr>
          <w:rFonts w:hint="eastAsia" w:ascii="宋体" w:hAnsi="宋体"/>
          <w:szCs w:val="21"/>
        </w:rPr>
        <w:t>的国家机关、事业单位、团体组织；</w:t>
      </w:r>
      <w:r>
        <w:rPr>
          <w:rFonts w:ascii="宋体" w:hAnsi="宋体"/>
          <w:szCs w:val="21"/>
        </w:rPr>
        <w:t xml:space="preserve"> </w:t>
      </w:r>
    </w:p>
    <w:p w14:paraId="28F90B64">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7FD06D6">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FB9239F">
      <w:pPr>
        <w:ind w:firstLine="411" w:firstLineChars="196"/>
        <w:rPr>
          <w:rFonts w:hint="eastAsia" w:ascii="宋体" w:hAnsi="宋体"/>
          <w:szCs w:val="21"/>
        </w:rPr>
      </w:pPr>
      <w:r>
        <w:rPr>
          <w:rFonts w:hint="eastAsia" w:ascii="宋体" w:hAnsi="宋体"/>
          <w:szCs w:val="21"/>
        </w:rPr>
        <w:t>3.4“评审委员会”是参照《深圳经济特区政府采购条例》、《深圳经济特区政府采购条例实施细则》等有关规定组建的专门负责本次招标其评审工作的临时性机构；</w:t>
      </w:r>
    </w:p>
    <w:p w14:paraId="7CE38D3B">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737D581">
      <w:pPr>
        <w:ind w:firstLine="411" w:firstLineChars="196"/>
        <w:rPr>
          <w:rFonts w:hint="eastAsia" w:ascii="宋体" w:hAnsi="宋体"/>
          <w:szCs w:val="21"/>
        </w:rPr>
      </w:pPr>
      <w:r>
        <w:rPr>
          <w:rFonts w:hint="eastAsia" w:ascii="宋体" w:hAnsi="宋体"/>
          <w:szCs w:val="21"/>
        </w:rPr>
        <w:t>3.6“合同”指由本次招标所产生的合同或合约文件；</w:t>
      </w:r>
    </w:p>
    <w:p w14:paraId="2D9057D7">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w:t>
      </w:r>
      <w:r>
        <w:rPr>
          <w:rFonts w:hint="eastAsia" w:ascii="宋体" w:hAnsi="宋体"/>
          <w:b/>
          <w:bCs/>
          <w:color w:val="FF0000"/>
          <w:szCs w:val="21"/>
          <w:lang w:eastAsia="zh-CN"/>
        </w:rPr>
        <w:t>龙岗</w:t>
      </w:r>
      <w:r>
        <w:rPr>
          <w:rFonts w:hint="eastAsia" w:ascii="宋体" w:hAnsi="宋体"/>
          <w:b/>
          <w:bCs/>
          <w:color w:val="FF0000"/>
          <w:szCs w:val="21"/>
        </w:rPr>
        <w:t>分公司）</w:t>
      </w:r>
      <w:r>
        <w:rPr>
          <w:rFonts w:hint="eastAsia" w:ascii="宋体" w:hAnsi="宋体"/>
          <w:szCs w:val="21"/>
        </w:rPr>
        <w:t>网站提供的深圳市自行采购系统投标文件编制工具（以下简称：投标文件制作软件）制作并加密的投标文件,适用于网上投标；（投标文件制作软件可从“下载地址：https://www.szggzy.com/jyfw/details.html?contentId=2053275”下载）</w:t>
      </w:r>
    </w:p>
    <w:p w14:paraId="0AF82F42">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4CBAE784">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3E1E5956">
      <w:pPr>
        <w:rPr>
          <w:rFonts w:hint="eastAsia" w:ascii="黑体" w:hAnsi="宋体" w:eastAsia="黑体"/>
          <w:sz w:val="24"/>
        </w:rPr>
      </w:pPr>
      <w:r>
        <w:rPr>
          <w:rFonts w:hint="eastAsia" w:ascii="黑体" w:hAnsi="宋体" w:eastAsia="黑体"/>
          <w:sz w:val="24"/>
        </w:rPr>
        <w:t xml:space="preserve">4. </w:t>
      </w:r>
      <w:bookmarkStart w:id="82" w:name="_Hlk72398643"/>
      <w:r>
        <w:rPr>
          <w:rFonts w:hint="eastAsia" w:ascii="黑体" w:hAnsi="宋体" w:eastAsia="黑体"/>
          <w:sz w:val="24"/>
        </w:rPr>
        <w:t>采购供应商责任</w:t>
      </w:r>
    </w:p>
    <w:p w14:paraId="443919DA">
      <w:pPr>
        <w:ind w:firstLine="411" w:firstLineChars="196"/>
        <w:rPr>
          <w:rFonts w:hint="eastAsia" w:ascii="宋体" w:hAnsi="宋体"/>
          <w:szCs w:val="21"/>
        </w:rPr>
      </w:pPr>
      <w:r>
        <w:rPr>
          <w:rFonts w:hint="eastAsia" w:ascii="宋体" w:hAnsi="宋体"/>
          <w:szCs w:val="21"/>
        </w:rPr>
        <w:t>4.1欢迎诚信、有实力和有社会责任心的供应商参与自行采购事业。</w:t>
      </w:r>
    </w:p>
    <w:p w14:paraId="6447348F">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5E9E7C89">
      <w:pPr>
        <w:rPr>
          <w:rFonts w:hint="eastAsia" w:ascii="黑体" w:hAnsi="宋体" w:eastAsia="黑体"/>
          <w:sz w:val="24"/>
        </w:rPr>
      </w:pPr>
      <w:r>
        <w:rPr>
          <w:rFonts w:hint="eastAsia" w:ascii="黑体" w:hAnsi="宋体" w:eastAsia="黑体"/>
          <w:sz w:val="24"/>
        </w:rPr>
        <w:t>5．投标人参加自行采购的条件</w:t>
      </w:r>
    </w:p>
    <w:p w14:paraId="521093D2">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BE6E51C">
      <w:pPr>
        <w:ind w:firstLine="411" w:firstLineChars="196"/>
        <w:jc w:val="left"/>
        <w:rPr>
          <w:rFonts w:hint="eastAsia" w:ascii="宋体" w:hAnsi="宋体"/>
          <w:szCs w:val="21"/>
        </w:rPr>
      </w:pPr>
      <w:r>
        <w:rPr>
          <w:rFonts w:hint="eastAsia" w:ascii="宋体" w:hAnsi="宋体"/>
          <w:szCs w:val="21"/>
        </w:rPr>
        <w:t>5.2投标人资格要求</w:t>
      </w:r>
    </w:p>
    <w:p w14:paraId="1F247E95">
      <w:pPr>
        <w:ind w:firstLine="411" w:firstLineChars="196"/>
        <w:rPr>
          <w:rFonts w:hint="eastAsia" w:ascii="宋体" w:hAnsi="宋体"/>
          <w:szCs w:val="21"/>
        </w:rPr>
      </w:pPr>
      <w:r>
        <w:rPr>
          <w:rFonts w:hint="eastAsia" w:ascii="宋体" w:hAnsi="宋体"/>
          <w:szCs w:val="21"/>
        </w:rPr>
        <w:t>参加本项目的投标人应具备的资格条件详见本项目招标公告中“投标人资格要求”（即申请人的资格要求）的内容。</w:t>
      </w:r>
    </w:p>
    <w:p w14:paraId="5D517818">
      <w:pPr>
        <w:ind w:firstLine="411" w:firstLineChars="196"/>
        <w:rPr>
          <w:rFonts w:hint="eastAsia" w:ascii="宋体" w:hAnsi="宋体"/>
          <w:szCs w:val="21"/>
        </w:rPr>
      </w:pPr>
      <w:r>
        <w:rPr>
          <w:rFonts w:hint="eastAsia" w:ascii="宋体" w:hAnsi="宋体"/>
          <w:szCs w:val="21"/>
        </w:rPr>
        <w:t>5.3联合体投标</w:t>
      </w:r>
    </w:p>
    <w:p w14:paraId="2326D7E0">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A32BC3B">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D3C3B24">
      <w:pPr>
        <w:ind w:firstLine="411" w:firstLineChars="196"/>
        <w:rPr>
          <w:rFonts w:hint="eastAsia" w:ascii="宋体" w:hAnsi="宋体"/>
        </w:rPr>
      </w:pPr>
      <w:r>
        <w:rPr>
          <w:rFonts w:hint="eastAsia" w:ascii="宋体" w:hAnsi="宋体"/>
        </w:rPr>
        <w:t>（1）投标联合体各方参加采购活动应当具备下列条件：</w:t>
      </w:r>
      <w:r>
        <w:rPr>
          <w:rFonts w:ascii="宋体" w:hAnsi="宋体"/>
        </w:rPr>
        <w:t xml:space="preserve"> </w:t>
      </w:r>
    </w:p>
    <w:p w14:paraId="022417AE">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2057D258">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5678C4FE">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20BA42D7">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6E067F6C">
      <w:pPr>
        <w:ind w:left="420" w:leftChars="200" w:firstLine="411" w:firstLineChars="196"/>
        <w:rPr>
          <w:rFonts w:hint="eastAsia" w:ascii="宋体" w:hAnsi="宋体"/>
        </w:rPr>
      </w:pPr>
      <w:r>
        <w:rPr>
          <w:rFonts w:hint="eastAsia" w:ascii="宋体" w:hAnsi="宋体"/>
        </w:rPr>
        <w:t>5、参加采购活动前三年内，在经营活动中没有重大违法记录；</w:t>
      </w:r>
      <w:r>
        <w:rPr>
          <w:rFonts w:ascii="宋体" w:hAnsi="宋体"/>
        </w:rPr>
        <w:t xml:space="preserve"> </w:t>
      </w:r>
    </w:p>
    <w:p w14:paraId="185B1B93">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78DABB34">
      <w:pPr>
        <w:ind w:firstLine="411" w:firstLineChars="196"/>
        <w:rPr>
          <w:rFonts w:hint="eastAsia" w:ascii="宋体" w:hAnsi="宋体"/>
        </w:rPr>
      </w:pPr>
      <w:r>
        <w:rPr>
          <w:rFonts w:hint="eastAsia" w:ascii="宋体" w:hAnsi="宋体"/>
        </w:rPr>
        <w:t>（2）在投标截止前，</w:t>
      </w:r>
      <w:r>
        <w:rPr>
          <w:rFonts w:hint="eastAsia" w:ascii="宋体" w:hAnsi="宋体"/>
          <w:szCs w:val="21"/>
        </w:rPr>
        <w:t>投标联合体各方均应注册成</w:t>
      </w:r>
      <w:r>
        <w:rPr>
          <w:rFonts w:hint="eastAsia" w:ascii="宋体" w:hAnsi="宋体"/>
          <w:b/>
          <w:bCs/>
          <w:color w:val="FF0000"/>
          <w:szCs w:val="21"/>
        </w:rPr>
        <w:t>深圳政府采购自行采购系统</w:t>
      </w:r>
      <w:r>
        <w:rPr>
          <w:rFonts w:hint="eastAsia" w:ascii="宋体" w:hAnsi="宋体"/>
          <w:szCs w:val="21"/>
        </w:rPr>
        <w:t>供应商</w:t>
      </w:r>
      <w:r>
        <w:rPr>
          <w:rFonts w:hint="eastAsia" w:ascii="宋体" w:hAnsi="宋体"/>
        </w:rPr>
        <w:t>；</w:t>
      </w:r>
    </w:p>
    <w:p w14:paraId="433EAE53">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77A6090F">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366E1854">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B03CF3F">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6BBB968">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00D83F01">
      <w:pPr>
        <w:ind w:firstLine="411" w:firstLineChars="196"/>
        <w:rPr>
          <w:rFonts w:hint="eastAsia" w:ascii="宋体" w:hAnsi="宋体"/>
        </w:rPr>
      </w:pPr>
      <w:r>
        <w:rPr>
          <w:rFonts w:hint="eastAsia" w:ascii="宋体" w:hAnsi="宋体"/>
        </w:rPr>
        <w:t>（8）以联合体形式参加采购活动的，联合体各方不得再单独参加或者与其他供应商另外组成联合体参加同一合同项下的采购活动，出现上述情况者，其投标和与此有关联合体、总包单位的投标将被拒绝；</w:t>
      </w:r>
    </w:p>
    <w:p w14:paraId="7A8C05DE">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308B32BD">
      <w:pPr>
        <w:rPr>
          <w:rFonts w:hint="eastAsia" w:ascii="黑体" w:hAnsi="宋体" w:eastAsia="黑体"/>
          <w:sz w:val="24"/>
        </w:rPr>
      </w:pPr>
      <w:r>
        <w:rPr>
          <w:rFonts w:hint="eastAsia" w:ascii="黑体" w:hAnsi="宋体" w:eastAsia="黑体"/>
          <w:sz w:val="24"/>
        </w:rPr>
        <w:t>6．政策导向</w:t>
      </w:r>
    </w:p>
    <w:p w14:paraId="47C19CC7">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采购支持本国产品、支持中小企业、监狱企业和残疾人福利性单位发展，支持乡村产业振兴，支持创新、节能减排、绿色环保等。</w:t>
      </w:r>
    </w:p>
    <w:p w14:paraId="6B541CB3">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1D0C18D8">
      <w:pPr>
        <w:ind w:firstLine="405"/>
      </w:pPr>
      <w:r>
        <w:rPr>
          <w:rFonts w:hint="eastAsia" w:ascii="宋体" w:hAnsi="宋体"/>
        </w:rPr>
        <w:t>6.3  本项目支持投标人性别平等的相关政策。</w:t>
      </w:r>
    </w:p>
    <w:p w14:paraId="68850998">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2AD87438">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DECA2FA">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79854CF1">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DB3B1F8">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83"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83"/>
    </w:p>
    <w:p w14:paraId="71EF650A">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B035FCE">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42A6EE09">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53471D76">
      <w:pPr>
        <w:rPr>
          <w:rFonts w:hint="eastAsia" w:ascii="黑体" w:hAnsi="宋体" w:eastAsia="黑体"/>
          <w:sz w:val="24"/>
        </w:rPr>
      </w:pPr>
      <w:r>
        <w:rPr>
          <w:rFonts w:hint="eastAsia" w:ascii="黑体" w:hAnsi="宋体" w:eastAsia="黑体"/>
          <w:sz w:val="24"/>
        </w:rPr>
        <w:t>8．投标费用</w:t>
      </w:r>
    </w:p>
    <w:p w14:paraId="37B28C02">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5E171D18">
      <w:pPr>
        <w:rPr>
          <w:rFonts w:hint="eastAsia" w:ascii="黑体" w:hAnsi="宋体" w:eastAsia="黑体"/>
          <w:sz w:val="24"/>
        </w:rPr>
      </w:pPr>
      <w:r>
        <w:rPr>
          <w:rFonts w:hint="eastAsia" w:ascii="黑体" w:hAnsi="宋体" w:eastAsia="黑体"/>
          <w:sz w:val="24"/>
        </w:rPr>
        <w:t>9．踏勘现场</w:t>
      </w:r>
    </w:p>
    <w:p w14:paraId="39CB32B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2F25054">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D39340B">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29E68E5D">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F4F8A61">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5B2A46B">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3C9D448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如采购人或政府集中采购机构认为有必要组织标前会议，投标人应按照招标文件规定的时间或政府集中采购机构另行书面通知（包括网站发布方式，如更正公告等）的时间和地点，参与标前会议。</w:t>
      </w:r>
    </w:p>
    <w:p w14:paraId="336A6665">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05349C21">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82"/>
    <w:p w14:paraId="6DC240B0">
      <w:pPr>
        <w:ind w:firstLine="411" w:firstLineChars="196"/>
        <w:rPr>
          <w:rFonts w:hint="eastAsia" w:ascii="宋体" w:hAnsi="宋体"/>
        </w:rPr>
      </w:pPr>
    </w:p>
    <w:p w14:paraId="2A21EBC5">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招标文件</w:t>
      </w:r>
    </w:p>
    <w:p w14:paraId="7D5717A5">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84" w:name="_Hlk72399819"/>
      <w:r>
        <w:rPr>
          <w:rFonts w:hint="eastAsia" w:ascii="黑体" w:hAnsi="宋体" w:eastAsia="黑体"/>
          <w:sz w:val="24"/>
        </w:rPr>
        <w:t>招标文件的编制与组成</w:t>
      </w:r>
    </w:p>
    <w:p w14:paraId="1E2157DC">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3B1419B9">
      <w:pPr>
        <w:ind w:firstLine="411" w:firstLineChars="196"/>
        <w:rPr>
          <w:rFonts w:hint="eastAsia" w:ascii="宋体" w:hAnsi="宋体"/>
          <w:szCs w:val="21"/>
        </w:rPr>
      </w:pPr>
      <w:r>
        <w:rPr>
          <w:rFonts w:hint="eastAsia" w:ascii="宋体" w:hAnsi="宋体"/>
          <w:szCs w:val="21"/>
        </w:rPr>
        <w:t>招标文件包括下列内容：</w:t>
      </w:r>
    </w:p>
    <w:p w14:paraId="24A85F05">
      <w:pPr>
        <w:ind w:left="420" w:leftChars="200" w:firstLine="413" w:firstLineChars="196"/>
        <w:rPr>
          <w:rFonts w:hint="eastAsia" w:ascii="宋体" w:hAnsi="宋体"/>
          <w:b/>
          <w:szCs w:val="21"/>
        </w:rPr>
      </w:pPr>
      <w:r>
        <w:rPr>
          <w:rFonts w:hint="eastAsia" w:ascii="宋体" w:hAnsi="宋体"/>
          <w:b/>
          <w:szCs w:val="21"/>
        </w:rPr>
        <w:t>第一册  专用条款</w:t>
      </w:r>
    </w:p>
    <w:p w14:paraId="20C26BFF">
      <w:pPr>
        <w:ind w:left="1079" w:leftChars="514"/>
        <w:rPr>
          <w:rFonts w:hint="eastAsia" w:ascii="宋体" w:hAnsi="宋体"/>
          <w:b/>
          <w:szCs w:val="21"/>
        </w:rPr>
      </w:pPr>
      <w:r>
        <w:rPr>
          <w:rFonts w:hint="eastAsia" w:ascii="宋体" w:hAnsi="宋体"/>
          <w:b/>
          <w:szCs w:val="21"/>
        </w:rPr>
        <w:t>关键信息</w:t>
      </w:r>
    </w:p>
    <w:p w14:paraId="2EEF796A">
      <w:pPr>
        <w:ind w:left="630" w:leftChars="300" w:firstLine="411" w:firstLineChars="196"/>
        <w:rPr>
          <w:rFonts w:hint="eastAsia" w:ascii="宋体" w:hAnsi="宋体"/>
          <w:szCs w:val="21"/>
        </w:rPr>
      </w:pPr>
      <w:r>
        <w:rPr>
          <w:rFonts w:hint="eastAsia" w:ascii="宋体" w:hAnsi="宋体"/>
          <w:szCs w:val="21"/>
        </w:rPr>
        <w:t>第一章  招标公告</w:t>
      </w:r>
    </w:p>
    <w:p w14:paraId="424BF8C6">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2649D153">
      <w:pPr>
        <w:ind w:left="630" w:leftChars="300" w:firstLine="411" w:firstLineChars="196"/>
        <w:rPr>
          <w:rFonts w:hint="eastAsia" w:ascii="宋体" w:hAnsi="宋体"/>
          <w:szCs w:val="21"/>
        </w:rPr>
      </w:pPr>
      <w:r>
        <w:rPr>
          <w:rFonts w:hint="eastAsia" w:ascii="宋体" w:hAnsi="宋体"/>
          <w:szCs w:val="21"/>
        </w:rPr>
        <w:t>第三章  用户需求书</w:t>
      </w:r>
    </w:p>
    <w:p w14:paraId="291BBF92">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BAC70B9">
      <w:pPr>
        <w:ind w:left="630" w:leftChars="300" w:firstLine="411" w:firstLineChars="196"/>
        <w:rPr>
          <w:rFonts w:hint="eastAsia" w:ascii="宋体" w:hAnsi="宋体"/>
          <w:szCs w:val="21"/>
        </w:rPr>
      </w:pPr>
      <w:r>
        <w:rPr>
          <w:rFonts w:hint="eastAsia" w:ascii="宋体" w:hAnsi="宋体"/>
          <w:szCs w:val="21"/>
        </w:rPr>
        <w:t>第五章  合同条款及格式</w:t>
      </w:r>
    </w:p>
    <w:p w14:paraId="1D26B2FA">
      <w:pPr>
        <w:ind w:left="420" w:leftChars="200" w:firstLine="413" w:firstLineChars="196"/>
        <w:rPr>
          <w:rFonts w:hint="eastAsia" w:ascii="宋体" w:hAnsi="宋体"/>
          <w:b/>
          <w:szCs w:val="21"/>
        </w:rPr>
      </w:pPr>
      <w:r>
        <w:rPr>
          <w:rFonts w:hint="eastAsia" w:ascii="宋体" w:hAnsi="宋体"/>
          <w:b/>
          <w:szCs w:val="21"/>
        </w:rPr>
        <w:t>第二册  通用条款</w:t>
      </w:r>
    </w:p>
    <w:p w14:paraId="5672E1C6">
      <w:pPr>
        <w:ind w:left="630" w:leftChars="300" w:firstLine="411" w:firstLineChars="196"/>
        <w:rPr>
          <w:rFonts w:hint="eastAsia" w:ascii="宋体" w:hAnsi="宋体"/>
          <w:szCs w:val="21"/>
        </w:rPr>
      </w:pPr>
      <w:r>
        <w:rPr>
          <w:rFonts w:hint="eastAsia" w:ascii="宋体" w:hAnsi="宋体"/>
          <w:szCs w:val="21"/>
        </w:rPr>
        <w:t>第一章  总则</w:t>
      </w:r>
    </w:p>
    <w:p w14:paraId="0EFD7C22">
      <w:pPr>
        <w:ind w:left="630" w:leftChars="300" w:firstLine="411" w:firstLineChars="196"/>
        <w:rPr>
          <w:rFonts w:hint="eastAsia" w:ascii="宋体" w:hAnsi="宋体"/>
          <w:szCs w:val="21"/>
        </w:rPr>
      </w:pPr>
      <w:r>
        <w:rPr>
          <w:rFonts w:hint="eastAsia" w:ascii="宋体" w:hAnsi="宋体"/>
          <w:szCs w:val="21"/>
        </w:rPr>
        <w:t>第二章  招标文件</w:t>
      </w:r>
    </w:p>
    <w:p w14:paraId="5BCF4FF2">
      <w:pPr>
        <w:ind w:left="630" w:leftChars="300" w:firstLine="411" w:firstLineChars="196"/>
        <w:rPr>
          <w:rFonts w:hint="eastAsia" w:ascii="宋体" w:hAnsi="宋体"/>
          <w:szCs w:val="21"/>
        </w:rPr>
      </w:pPr>
      <w:r>
        <w:rPr>
          <w:rFonts w:hint="eastAsia" w:ascii="宋体" w:hAnsi="宋体"/>
          <w:szCs w:val="21"/>
        </w:rPr>
        <w:t>第三章  投标文件的编制</w:t>
      </w:r>
    </w:p>
    <w:p w14:paraId="57E936EA">
      <w:pPr>
        <w:ind w:left="630" w:leftChars="300" w:firstLine="411" w:firstLineChars="196"/>
        <w:rPr>
          <w:rFonts w:hint="eastAsia" w:ascii="宋体" w:hAnsi="宋体"/>
          <w:szCs w:val="21"/>
        </w:rPr>
      </w:pPr>
      <w:r>
        <w:rPr>
          <w:rFonts w:hint="eastAsia" w:ascii="宋体" w:hAnsi="宋体"/>
          <w:szCs w:val="21"/>
        </w:rPr>
        <w:t>第四章  投标文件的递交</w:t>
      </w:r>
    </w:p>
    <w:p w14:paraId="6E704C97">
      <w:pPr>
        <w:ind w:left="630" w:leftChars="300" w:firstLine="411" w:firstLineChars="196"/>
        <w:rPr>
          <w:rFonts w:hint="eastAsia" w:ascii="宋体" w:hAnsi="宋体"/>
          <w:szCs w:val="21"/>
        </w:rPr>
      </w:pPr>
      <w:r>
        <w:rPr>
          <w:rFonts w:hint="eastAsia" w:ascii="宋体" w:hAnsi="宋体"/>
          <w:szCs w:val="21"/>
        </w:rPr>
        <w:t>第五章  开标</w:t>
      </w:r>
    </w:p>
    <w:p w14:paraId="3EF0BAFA">
      <w:pPr>
        <w:ind w:left="630" w:leftChars="300" w:firstLine="411" w:firstLineChars="196"/>
        <w:rPr>
          <w:rFonts w:hint="eastAsia" w:ascii="宋体" w:hAnsi="宋体"/>
          <w:szCs w:val="21"/>
        </w:rPr>
      </w:pPr>
      <w:r>
        <w:rPr>
          <w:rFonts w:hint="eastAsia" w:ascii="宋体" w:hAnsi="宋体"/>
          <w:szCs w:val="21"/>
        </w:rPr>
        <w:t>第六章  评审要求</w:t>
      </w:r>
    </w:p>
    <w:p w14:paraId="43626163">
      <w:pPr>
        <w:ind w:left="630" w:leftChars="300" w:firstLine="411" w:firstLineChars="196"/>
        <w:rPr>
          <w:rFonts w:hint="eastAsia" w:ascii="宋体" w:hAnsi="宋体"/>
          <w:szCs w:val="21"/>
        </w:rPr>
      </w:pPr>
      <w:r>
        <w:rPr>
          <w:rFonts w:hint="eastAsia" w:ascii="宋体" w:hAnsi="宋体"/>
          <w:szCs w:val="21"/>
        </w:rPr>
        <w:t>第七章  评审程序及评审方法</w:t>
      </w:r>
    </w:p>
    <w:p w14:paraId="361EE88F">
      <w:pPr>
        <w:ind w:left="630" w:leftChars="300" w:firstLine="411" w:firstLineChars="196"/>
        <w:rPr>
          <w:rFonts w:hint="eastAsia" w:ascii="宋体" w:hAnsi="宋体"/>
          <w:szCs w:val="21"/>
        </w:rPr>
      </w:pPr>
      <w:r>
        <w:rPr>
          <w:rFonts w:hint="eastAsia" w:ascii="宋体" w:hAnsi="宋体"/>
          <w:szCs w:val="21"/>
        </w:rPr>
        <w:t>第八章  定标及公示</w:t>
      </w:r>
    </w:p>
    <w:p w14:paraId="0D32FBD4">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0C3140F">
      <w:pPr>
        <w:ind w:left="630" w:leftChars="300" w:firstLine="411" w:firstLineChars="196"/>
        <w:rPr>
          <w:rFonts w:hint="eastAsia" w:ascii="宋体" w:hAnsi="宋体"/>
          <w:szCs w:val="21"/>
        </w:rPr>
      </w:pPr>
      <w:r>
        <w:rPr>
          <w:rFonts w:hint="eastAsia" w:ascii="宋体" w:hAnsi="宋体"/>
          <w:szCs w:val="21"/>
        </w:rPr>
        <w:t>第十章  合同的授予与备案</w:t>
      </w:r>
    </w:p>
    <w:p w14:paraId="172B3480">
      <w:pPr>
        <w:ind w:left="630" w:leftChars="300" w:firstLine="411" w:firstLineChars="196"/>
        <w:rPr>
          <w:rFonts w:hint="eastAsia" w:ascii="宋体" w:hAnsi="宋体"/>
          <w:szCs w:val="21"/>
        </w:rPr>
      </w:pPr>
      <w:r>
        <w:rPr>
          <w:rFonts w:hint="eastAsia" w:ascii="宋体" w:hAnsi="宋体"/>
          <w:szCs w:val="21"/>
        </w:rPr>
        <w:t>第十一章  质疑处理</w:t>
      </w:r>
    </w:p>
    <w:p w14:paraId="791A0322">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2D25D2C">
      <w:pPr>
        <w:ind w:firstLine="411" w:firstLineChars="196"/>
        <w:rPr>
          <w:rFonts w:hint="eastAsia"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2072611">
      <w:pPr>
        <w:ind w:firstLine="411" w:firstLineChars="196"/>
        <w:rPr>
          <w:rFonts w:hint="eastAsia" w:ascii="宋体" w:hAnsi="宋体"/>
        </w:rPr>
      </w:pPr>
      <w:r>
        <w:rPr>
          <w:rFonts w:hint="eastAsia" w:ascii="宋体" w:hAnsi="宋体"/>
        </w:rPr>
        <w:t>11.4招标文件所称“原件备查”，是指在项目产生质疑、投诉等阶段，主管部门、采购人、代理机构、评审委员会等可以要求供应商提供原件进行核查。</w:t>
      </w:r>
    </w:p>
    <w:p w14:paraId="6CABEAC7">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0E62B6A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1B1930F">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.2投标人如对招标文件内容有疑问，应当在招标公告规定的澄清（提问）截止时间前以网上提问的形式通过网上自行采购系统提交政府集中采购机构。</w:t>
      </w:r>
    </w:p>
    <w:p w14:paraId="3458E78B">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DB98B1B">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2F86055C">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4E325A4D">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3.2招标文件的修改以书面形式（包括网站发布方式，如更正公告等）发送给所有投标人，招标文件的修改内容作为招标文件的组成部分，并具有约束力。</w:t>
      </w:r>
    </w:p>
    <w:p w14:paraId="364D1582">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网站公开发布方式，如更正公告等）明确的内容为准。当招标文件、修改补充通知、招标文件澄清答复内容相互矛盾时，以最后发出的内容为准。</w:t>
      </w:r>
    </w:p>
    <w:p w14:paraId="375AD8A0">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网站发布方式，如更正公告等）发送给所有投标人。为使投标人在编制投标文件时有充分时间对招标文件的修改部分进行研究，政府集中采购机构可以酌情延长递交投标文件的截止日期。</w:t>
      </w:r>
      <w:bookmarkEnd w:id="84"/>
    </w:p>
    <w:p w14:paraId="55548D46">
      <w:pPr>
        <w:rPr>
          <w:rFonts w:hint="eastAsia" w:ascii="宋体" w:hAnsi="宋体"/>
          <w:szCs w:val="21"/>
        </w:rPr>
      </w:pPr>
    </w:p>
    <w:p w14:paraId="57D26876">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投标文件的编制</w:t>
      </w:r>
    </w:p>
    <w:p w14:paraId="2F87CD0B">
      <w:pPr>
        <w:rPr>
          <w:rFonts w:hint="eastAsia" w:ascii="黑体" w:hAnsi="宋体" w:eastAsia="黑体"/>
          <w:sz w:val="24"/>
        </w:rPr>
      </w:pPr>
      <w:r>
        <w:rPr>
          <w:rFonts w:hint="eastAsia" w:ascii="黑体" w:hAnsi="宋体" w:eastAsia="黑体"/>
          <w:sz w:val="24"/>
        </w:rPr>
        <w:t>14．</w:t>
      </w:r>
      <w:bookmarkStart w:id="85" w:name="_Hlk72400236"/>
      <w:r>
        <w:rPr>
          <w:rFonts w:hint="eastAsia" w:ascii="黑体" w:hAnsi="宋体" w:eastAsia="黑体"/>
          <w:sz w:val="24"/>
        </w:rPr>
        <w:t>投标文件的语言及度量单位</w:t>
      </w:r>
    </w:p>
    <w:p w14:paraId="16B67BDB">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E3979B5">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85"/>
    <w:p w14:paraId="5B9DC156">
      <w:pPr>
        <w:rPr>
          <w:rFonts w:hint="eastAsia" w:ascii="黑体" w:hAnsi="宋体" w:eastAsia="黑体"/>
          <w:sz w:val="24"/>
        </w:rPr>
      </w:pPr>
      <w:r>
        <w:rPr>
          <w:rFonts w:hint="eastAsia" w:ascii="黑体" w:hAnsi="宋体" w:eastAsia="黑体"/>
          <w:sz w:val="24"/>
        </w:rPr>
        <w:t>15．</w:t>
      </w:r>
      <w:bookmarkStart w:id="86" w:name="_Hlk72401567"/>
      <w:r>
        <w:rPr>
          <w:rFonts w:hint="eastAsia" w:ascii="黑体" w:hAnsi="宋体" w:eastAsia="黑体"/>
          <w:sz w:val="24"/>
        </w:rPr>
        <w:t>投标文件的组成</w:t>
      </w:r>
    </w:p>
    <w:p w14:paraId="7A252D03">
      <w:pPr>
        <w:ind w:firstLine="411" w:firstLineChars="196"/>
        <w:rPr>
          <w:rFonts w:hint="eastAsia" w:ascii="宋体" w:hAnsi="宋体"/>
          <w:szCs w:val="21"/>
        </w:rPr>
      </w:pPr>
      <w:r>
        <w:rPr>
          <w:rFonts w:hint="eastAsia" w:ascii="宋体" w:hAnsi="宋体"/>
          <w:szCs w:val="21"/>
        </w:rPr>
        <w:t>具体内容在招标文件专用条款中进行规定。</w:t>
      </w:r>
    </w:p>
    <w:p w14:paraId="1D5768D6">
      <w:pPr>
        <w:rPr>
          <w:rFonts w:hint="eastAsia" w:ascii="黑体" w:hAnsi="宋体" w:eastAsia="黑体"/>
          <w:sz w:val="24"/>
        </w:rPr>
      </w:pPr>
      <w:r>
        <w:rPr>
          <w:rFonts w:ascii="黑体" w:hAnsi="宋体" w:eastAsia="黑体"/>
          <w:sz w:val="24"/>
        </w:rPr>
        <w:t>16．投标文件格式</w:t>
      </w:r>
    </w:p>
    <w:p w14:paraId="42ADB7A7">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91196C0">
      <w:pPr>
        <w:rPr>
          <w:rFonts w:hint="eastAsia" w:ascii="黑体" w:hAnsi="宋体" w:eastAsia="黑体"/>
          <w:sz w:val="24"/>
        </w:rPr>
      </w:pPr>
      <w:r>
        <w:rPr>
          <w:rFonts w:hint="eastAsia" w:ascii="黑体" w:hAnsi="宋体" w:eastAsia="黑体"/>
          <w:sz w:val="24"/>
        </w:rPr>
        <w:t>17．投标货币</w:t>
      </w:r>
    </w:p>
    <w:p w14:paraId="3F89E7DE">
      <w:pPr>
        <w:ind w:firstLine="411" w:firstLineChars="196"/>
        <w:rPr>
          <w:rFonts w:hint="eastAsia" w:ascii="宋体" w:hAnsi="宋体"/>
          <w:szCs w:val="21"/>
        </w:rPr>
      </w:pPr>
      <w:r>
        <w:rPr>
          <w:rFonts w:hint="eastAsia" w:ascii="宋体" w:hAnsi="宋体"/>
          <w:szCs w:val="21"/>
        </w:rPr>
        <w:t>本项目的投标报价应以人民币计。</w:t>
      </w:r>
    </w:p>
    <w:bookmarkEnd w:id="86"/>
    <w:p w14:paraId="3CBE3595">
      <w:pPr>
        <w:rPr>
          <w:rFonts w:hint="eastAsia" w:ascii="黑体" w:hAnsi="宋体" w:eastAsia="黑体"/>
          <w:sz w:val="24"/>
        </w:rPr>
      </w:pPr>
      <w:r>
        <w:rPr>
          <w:rFonts w:hint="eastAsia" w:ascii="黑体" w:hAnsi="宋体" w:eastAsia="黑体"/>
          <w:sz w:val="24"/>
        </w:rPr>
        <w:t>18．</w:t>
      </w:r>
      <w:bookmarkStart w:id="87" w:name="_Hlk72401735"/>
      <w:r>
        <w:rPr>
          <w:rFonts w:hint="eastAsia" w:ascii="黑体" w:hAnsi="宋体" w:eastAsia="黑体"/>
          <w:sz w:val="24"/>
        </w:rPr>
        <w:t>证明投标文件投标技术方案的合格性和符合招标文件规定的文件要求</w:t>
      </w:r>
    </w:p>
    <w:p w14:paraId="330DB332">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633DA0EE">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65431AB">
      <w:pPr>
        <w:ind w:firstLine="411" w:firstLineChars="196"/>
        <w:rPr>
          <w:rFonts w:hint="eastAsia" w:ascii="宋体" w:hAnsi="宋体"/>
          <w:szCs w:val="21"/>
        </w:rPr>
      </w:pPr>
      <w:r>
        <w:rPr>
          <w:rFonts w:hint="eastAsia" w:ascii="宋体" w:hAnsi="宋体"/>
          <w:szCs w:val="21"/>
        </w:rPr>
        <w:t>18.2.1主要技术指标和性能的详细说明。</w:t>
      </w:r>
    </w:p>
    <w:p w14:paraId="623C24D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B65C76C">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92A57F5">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141A4DC0">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2BF984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78F40AA1">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1E3E46AC">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87"/>
    <w:p w14:paraId="65D86A2F">
      <w:pPr>
        <w:rPr>
          <w:rFonts w:hint="eastAsia" w:ascii="黑体" w:hAnsi="宋体" w:eastAsia="黑体"/>
          <w:sz w:val="24"/>
        </w:rPr>
      </w:pPr>
      <w:r>
        <w:rPr>
          <w:rFonts w:hint="eastAsia" w:ascii="黑体" w:hAnsi="宋体" w:eastAsia="黑体"/>
          <w:sz w:val="24"/>
        </w:rPr>
        <w:t>19．</w:t>
      </w:r>
      <w:bookmarkStart w:id="88" w:name="_Hlk72402034"/>
      <w:r>
        <w:rPr>
          <w:rFonts w:hint="eastAsia" w:ascii="黑体" w:hAnsi="宋体" w:eastAsia="黑体"/>
          <w:sz w:val="24"/>
        </w:rPr>
        <w:t>投标文件其他证明文件的要求</w:t>
      </w:r>
    </w:p>
    <w:p w14:paraId="01607A1F">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89" w:name="_Hlk71407299"/>
      <w:r>
        <w:rPr>
          <w:rFonts w:hint="eastAsia" w:ascii="宋体" w:hAnsi="宋体"/>
          <w:szCs w:val="21"/>
        </w:rPr>
        <w:t>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89"/>
    <w:p w14:paraId="731DEDBB">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B884BB1">
      <w:pPr>
        <w:rPr>
          <w:rFonts w:hint="eastAsia" w:ascii="黑体" w:hAnsi="宋体" w:eastAsia="黑体"/>
          <w:sz w:val="24"/>
        </w:rPr>
      </w:pPr>
      <w:r>
        <w:rPr>
          <w:rFonts w:hint="eastAsia" w:ascii="黑体" w:hAnsi="宋体" w:eastAsia="黑体"/>
          <w:sz w:val="24"/>
        </w:rPr>
        <w:t>20．投标有效期</w:t>
      </w:r>
    </w:p>
    <w:bookmarkEnd w:id="88"/>
    <w:p w14:paraId="30216AA2">
      <w:pPr>
        <w:ind w:firstLine="411" w:firstLineChars="196"/>
        <w:rPr>
          <w:rFonts w:hint="eastAsia" w:ascii="宋体" w:hAnsi="宋体"/>
          <w:szCs w:val="21"/>
        </w:rPr>
      </w:pPr>
      <w:bookmarkStart w:id="9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204F54D">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C751F3A">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90"/>
    <w:p w14:paraId="2B7FF46D">
      <w:pPr>
        <w:rPr>
          <w:rFonts w:hint="eastAsia" w:ascii="黑体" w:hAnsi="宋体" w:eastAsia="黑体"/>
          <w:sz w:val="24"/>
        </w:rPr>
      </w:pPr>
      <w:r>
        <w:rPr>
          <w:rFonts w:hint="eastAsia" w:ascii="黑体" w:hAnsi="宋体" w:eastAsia="黑体"/>
          <w:sz w:val="24"/>
        </w:rPr>
        <w:t>21．</w:t>
      </w:r>
      <w:bookmarkStart w:id="91" w:name="_Hlk72402325"/>
      <w:r>
        <w:rPr>
          <w:rFonts w:hint="eastAsia" w:ascii="黑体" w:hAnsi="宋体" w:eastAsia="黑体"/>
          <w:sz w:val="24"/>
        </w:rPr>
        <w:t xml:space="preserve">关于投标保证金 </w:t>
      </w:r>
    </w:p>
    <w:p w14:paraId="6F17AD17">
      <w:pPr>
        <w:rPr>
          <w:rFonts w:hint="eastAsia" w:ascii="宋体" w:hAnsi="宋体"/>
          <w:szCs w:val="21"/>
        </w:rPr>
      </w:pPr>
      <w:r>
        <w:rPr>
          <w:rFonts w:hint="eastAsia" w:ascii="宋体" w:hAnsi="宋体"/>
          <w:szCs w:val="21"/>
        </w:rPr>
        <w:t xml:space="preserve">    21.1</w:t>
      </w:r>
      <w:r>
        <w:rPr>
          <w:rFonts w:hint="eastAsia"/>
        </w:rPr>
        <w:t>参照《深圳市财政局关于调整政府采购投标（响应）保证金管理政策的通知》（深财购〔2021〕51号）文的规定，本项目不收取投标保证金。</w:t>
      </w:r>
    </w:p>
    <w:p w14:paraId="4A1F8584">
      <w:pPr>
        <w:rPr>
          <w:rFonts w:hint="eastAsia" w:ascii="黑体" w:hAnsi="宋体" w:eastAsia="黑体"/>
          <w:sz w:val="24"/>
        </w:rPr>
      </w:pPr>
      <w:r>
        <w:rPr>
          <w:rFonts w:hint="eastAsia" w:ascii="黑体" w:hAnsi="宋体" w:eastAsia="黑体"/>
          <w:sz w:val="24"/>
        </w:rPr>
        <w:t>22．投标人的替代方案</w:t>
      </w:r>
    </w:p>
    <w:p w14:paraId="09C1B88C">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580346F">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91"/>
    <w:p w14:paraId="6D1C0426">
      <w:pPr>
        <w:rPr>
          <w:rFonts w:hint="eastAsia" w:ascii="黑体" w:hAnsi="宋体" w:eastAsia="黑体"/>
          <w:sz w:val="24"/>
        </w:rPr>
      </w:pPr>
      <w:r>
        <w:rPr>
          <w:rFonts w:hint="eastAsia" w:ascii="黑体" w:hAnsi="宋体" w:eastAsia="黑体"/>
          <w:sz w:val="24"/>
        </w:rPr>
        <w:t>23．</w:t>
      </w:r>
      <w:bookmarkStart w:id="92"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5C2BCB6E">
      <w:pPr>
        <w:ind w:firstLine="411" w:firstLineChars="196"/>
        <w:rPr>
          <w:rFonts w:hint="eastAsia" w:ascii="宋体" w:hAnsi="宋体"/>
        </w:rPr>
      </w:pPr>
      <w:r>
        <w:rPr>
          <w:rFonts w:hint="eastAsia" w:ascii="宋体" w:hAnsi="宋体"/>
        </w:rPr>
        <w:t>23.1投标人应准备所投项目的电子投标文件一份。此电子投标文件须由投标人根据政府集中采购机构提供的后缀名为.TYZB的电子招标文件，下载并使用相应的</w:t>
      </w:r>
      <w:r>
        <w:rPr>
          <w:rFonts w:hint="eastAsia" w:ascii="宋体" w:hAnsi="宋体"/>
          <w:szCs w:val="21"/>
        </w:rPr>
        <w:t>深圳市自行采购系统</w:t>
      </w:r>
      <w:r>
        <w:rPr>
          <w:rFonts w:hint="eastAsia" w:ascii="宋体" w:hAnsi="宋体"/>
        </w:rPr>
        <w:t>投标文件制作专用软件打开招标文件（.TYZB格式）【下载地址：https://www.szggzy.com/jyfw/list.html?id=jyfwzfcg】。</w:t>
      </w:r>
    </w:p>
    <w:p w14:paraId="70C343B7">
      <w:pPr>
        <w:ind w:firstLine="411" w:firstLineChars="196"/>
        <w:rPr>
          <w:rFonts w:hint="eastAsia" w:ascii="宋体" w:hAnsi="宋体"/>
        </w:rPr>
      </w:pPr>
      <w:r>
        <w:rPr>
          <w:rFonts w:hint="eastAsia" w:ascii="宋体" w:hAnsi="宋体"/>
        </w:rPr>
        <w:t>23.2投标人在使用《投标书编制软件》编制投标书时须注意：</w:t>
      </w:r>
    </w:p>
    <w:p w14:paraId="18BB69B7">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3CB44948">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55C5EF1">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6657C102">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0D0E16DC">
      <w:pPr>
        <w:ind w:firstLine="411" w:firstLineChars="196"/>
        <w:rPr>
          <w:rFonts w:hint="eastAsia" w:ascii="宋体" w:hAnsi="宋体"/>
          <w:b/>
        </w:rPr>
      </w:pPr>
      <w:r>
        <w:rPr>
          <w:rFonts w:hint="eastAsia" w:ascii="宋体" w:hAnsi="宋体"/>
        </w:rPr>
        <w:t>23.2.5</w:t>
      </w:r>
      <w:r>
        <w:rPr>
          <w:rFonts w:hint="eastAsia" w:ascii="宋体" w:hAnsi="宋体"/>
          <w:b/>
        </w:rPr>
        <w:t>“投标信息”中的“投标报价”将作为价格分计算依据；其它信息仅是对投标文件相关内容的概括性表述，不作为评审依据。</w:t>
      </w:r>
    </w:p>
    <w:p w14:paraId="27F1AABA">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28E9FFBF">
      <w:pPr>
        <w:ind w:firstLine="411" w:firstLineChars="196"/>
        <w:rPr>
          <w:rFonts w:hint="eastAsia" w:ascii="宋体" w:hAnsi="宋体"/>
        </w:rPr>
      </w:pPr>
      <w:r>
        <w:rPr>
          <w:rFonts w:hint="eastAsia" w:ascii="宋体" w:hAnsi="宋体"/>
        </w:rPr>
        <w:t>23.2.7投标文件编写完成后，</w:t>
      </w:r>
      <w:r>
        <w:rPr>
          <w:rFonts w:hint="eastAsia" w:ascii="宋体" w:hAnsi="宋体"/>
          <w:b/>
        </w:rPr>
        <w:t>可选择用属于投标人的电子密钥或电子营业执照进行加密。</w:t>
      </w:r>
    </w:p>
    <w:p w14:paraId="4742C65B">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357319DC">
      <w:pPr>
        <w:ind w:firstLine="411" w:firstLineChars="196"/>
        <w:rPr>
          <w:rFonts w:hint="eastAsia" w:ascii="宋体" w:hAnsi="宋体"/>
        </w:rPr>
      </w:pPr>
      <w:r>
        <w:rPr>
          <w:rFonts w:hint="eastAsia" w:ascii="宋体" w:hAnsi="宋体"/>
        </w:rPr>
        <w:t>23.2.9如果开标时出现网络故障、技术故障，影响了采购活动，政府集中采购机构有权采取措施如延期、接受无法从网上上传的投标书等，以保障采购活动的公开、公平和公正。</w:t>
      </w:r>
    </w:p>
    <w:p w14:paraId="74D171B6">
      <w:pPr>
        <w:ind w:firstLine="411" w:firstLineChars="196"/>
        <w:rPr>
          <w:rFonts w:hint="eastAsia" w:ascii="宋体" w:hAnsi="宋体"/>
        </w:rPr>
      </w:pPr>
      <w:r>
        <w:rPr>
          <w:rFonts w:hint="eastAsia" w:ascii="宋体" w:hAnsi="宋体"/>
        </w:rPr>
        <w:t>23.3电报、电话、传真形式的投标概不接受。</w:t>
      </w:r>
    </w:p>
    <w:p w14:paraId="77D421FD">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2A295684">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92"/>
    </w:p>
    <w:p w14:paraId="3C922922">
      <w:pPr>
        <w:ind w:firstLine="411" w:firstLineChars="196"/>
        <w:rPr>
          <w:rFonts w:hint="eastAsia" w:ascii="宋体" w:hAnsi="宋体"/>
          <w:szCs w:val="21"/>
        </w:rPr>
      </w:pPr>
    </w:p>
    <w:p w14:paraId="14EDE670">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投标文件的递交</w:t>
      </w:r>
    </w:p>
    <w:p w14:paraId="6449480F">
      <w:pPr>
        <w:rPr>
          <w:rFonts w:hint="eastAsia" w:ascii="黑体" w:hAnsi="宋体" w:eastAsia="黑体"/>
          <w:sz w:val="24"/>
        </w:rPr>
      </w:pPr>
      <w:bookmarkStart w:id="93" w:name="_Hlk72405459"/>
      <w:r>
        <w:rPr>
          <w:rFonts w:hint="eastAsia" w:ascii="黑体" w:hAnsi="宋体" w:eastAsia="黑体"/>
          <w:sz w:val="24"/>
        </w:rPr>
        <w:t>24．投标文件的保密</w:t>
      </w:r>
    </w:p>
    <w:p w14:paraId="60633DF7">
      <w:pPr>
        <w:widowControl/>
        <w:ind w:firstLine="411" w:firstLineChars="196"/>
        <w:jc w:val="left"/>
        <w:rPr>
          <w:color w:val="FF0000"/>
        </w:rPr>
      </w:pPr>
      <w:r>
        <w:rPr>
          <w:rFonts w:hint="eastAsia" w:ascii="宋体" w:hAnsi="宋体"/>
        </w:rPr>
        <w:t>24.1</w:t>
      </w:r>
      <w:r>
        <w:rPr>
          <w:rFonts w:hint="eastAsia"/>
          <w:color w:val="FF0000"/>
        </w:rPr>
        <w:t>投标文件生成后会选择是否加密投标文件，如不加密则直接点击生成文件即可，如需加密请插入CA锁，点击加密后生成文件，需输入CA锁密码即可加密成功。</w:t>
      </w:r>
    </w:p>
    <w:p w14:paraId="04A6B22C">
      <w:pPr>
        <w:spacing w:line="360" w:lineRule="auto"/>
      </w:pPr>
      <w:r>
        <w:rPr>
          <w:rFonts w:hint="eastAsia"/>
        </w:rPr>
        <w:drawing>
          <wp:inline distT="0" distB="0" distL="114300" distR="114300">
            <wp:extent cx="5266690" cy="2126615"/>
            <wp:effectExtent l="0" t="0" r="6350" b="6985"/>
            <wp:docPr id="14" name="图片 14" descr="企业微信截图_1699261725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企业微信截图_16992617251837"/>
                    <pic:cNvPicPr>
                      <a:picLocks noChangeAspect="1"/>
                    </pic:cNvPicPr>
                  </pic:nvPicPr>
                  <pic:blipFill>
                    <a:blip r:embed="rId8"/>
                    <a:stretch>
                      <a:fillRect/>
                    </a:stretch>
                  </pic:blipFill>
                  <pic:spPr>
                    <a:xfrm>
                      <a:off x="0" y="0"/>
                      <a:ext cx="5266690" cy="2126615"/>
                    </a:xfrm>
                    <a:prstGeom prst="rect">
                      <a:avLst/>
                    </a:prstGeom>
                  </pic:spPr>
                </pic:pic>
              </a:graphicData>
            </a:graphic>
          </wp:inline>
        </w:drawing>
      </w:r>
    </w:p>
    <w:p w14:paraId="07512923">
      <w:pPr>
        <w:jc w:val="left"/>
      </w:pPr>
      <w:r>
        <w:rPr>
          <w:rFonts w:hint="eastAsia"/>
        </w:rPr>
        <w:t>加密后会提示文件生成成功！</w:t>
      </w:r>
    </w:p>
    <w:p w14:paraId="418B4AAD">
      <w:pPr>
        <w:jc w:val="left"/>
        <w:rPr>
          <w:sz w:val="24"/>
        </w:rPr>
      </w:pPr>
      <w:r>
        <w:rPr>
          <w:rFonts w:hint="eastAsia"/>
          <w:color w:val="FF0000"/>
        </w:rPr>
        <w:t>(注意：</w:t>
      </w:r>
      <w:r>
        <w:rPr>
          <w:rFonts w:hint="eastAsia"/>
        </w:rPr>
        <w:t>加密的投标文件</w:t>
      </w:r>
      <w:r>
        <w:rPr>
          <w:rFonts w:hint="eastAsia"/>
          <w:color w:val="FF0000"/>
        </w:rPr>
        <w:t>开标时须使用加密文件时使用的锁在项目规定时间内解密！)</w:t>
      </w:r>
    </w:p>
    <w:p w14:paraId="36E97A7A">
      <w:pPr>
        <w:rPr>
          <w:rFonts w:hint="eastAsia" w:ascii="宋体" w:hAnsi="宋体"/>
        </w:rPr>
      </w:pPr>
      <w:r>
        <w:drawing>
          <wp:inline distT="0" distB="0" distL="114300" distR="114300">
            <wp:extent cx="5266690" cy="2185035"/>
            <wp:effectExtent l="0" t="0" r="6350" b="952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266690" cy="2185035"/>
                    </a:xfrm>
                    <a:prstGeom prst="rect">
                      <a:avLst/>
                    </a:prstGeom>
                    <a:noFill/>
                    <a:ln>
                      <a:noFill/>
                    </a:ln>
                  </pic:spPr>
                </pic:pic>
              </a:graphicData>
            </a:graphic>
          </wp:inline>
        </w:drawing>
      </w:r>
    </w:p>
    <w:p w14:paraId="0CB0C50C">
      <w:pPr>
        <w:rPr>
          <w:rFonts w:hint="eastAsia" w:ascii="黑体" w:hAnsi="宋体" w:eastAsia="黑体"/>
          <w:sz w:val="24"/>
        </w:rPr>
      </w:pPr>
      <w:r>
        <w:rPr>
          <w:rFonts w:hint="eastAsia" w:ascii="黑体" w:hAnsi="宋体" w:eastAsia="黑体"/>
          <w:sz w:val="24"/>
        </w:rPr>
        <w:t>24.2若采购项目出现延期情况</w:t>
      </w:r>
    </w:p>
    <w:p w14:paraId="629A1A7E">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如果供下载的招标文件没有更新，投标人必须重新加密投标文件、重新上传投标文件（是否重新制作投标文件根据项目实际情况定）。否则，投标人自行承担投标文件无法解密导致投标无效的后果。</w:t>
      </w:r>
    </w:p>
    <w:p w14:paraId="404526C0">
      <w:pPr>
        <w:rPr>
          <w:rFonts w:hint="eastAsia" w:ascii="黑体" w:hAnsi="宋体" w:eastAsia="黑体"/>
          <w:sz w:val="24"/>
        </w:rPr>
      </w:pPr>
      <w:r>
        <w:rPr>
          <w:rFonts w:hint="eastAsia" w:ascii="黑体" w:hAnsi="宋体" w:eastAsia="黑体"/>
          <w:sz w:val="24"/>
        </w:rPr>
        <w:t>25．上传投标文件及投标截止日期</w:t>
      </w:r>
    </w:p>
    <w:p w14:paraId="5EB5C9A6">
      <w:pPr>
        <w:wordWrap w:val="0"/>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hint="eastAsia"/>
        </w:rPr>
        <w:t>生成投标文件后供应商需要在投标文件递交截止时间之前递交投标文件，超过规定时间则无法递交</w:t>
      </w:r>
      <w:r>
        <w:rPr>
          <w:rFonts w:hint="eastAsia" w:ascii="宋体" w:hAnsi="宋体"/>
        </w:rPr>
        <w:t>。</w:t>
      </w:r>
    </w:p>
    <w:p w14:paraId="43060FA4">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4EE0B51">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1EB268F9">
      <w:pPr>
        <w:ind w:firstLine="411" w:firstLineChars="196"/>
        <w:rPr>
          <w:rFonts w:hint="eastAsia" w:ascii="宋体" w:hAnsi="宋体"/>
        </w:rPr>
      </w:pPr>
    </w:p>
    <w:bookmarkEnd w:id="93"/>
    <w:p w14:paraId="5621FADE">
      <w:pPr>
        <w:rPr>
          <w:rFonts w:hint="eastAsia" w:ascii="黑体" w:hAnsi="宋体" w:eastAsia="黑体"/>
          <w:sz w:val="24"/>
        </w:rPr>
      </w:pPr>
      <w:r>
        <w:rPr>
          <w:rFonts w:hint="eastAsia" w:ascii="黑体" w:hAnsi="宋体" w:eastAsia="黑体"/>
          <w:sz w:val="24"/>
        </w:rPr>
        <w:t>26. 样品、现场演示、方案讲解</w:t>
      </w:r>
    </w:p>
    <w:p w14:paraId="5CCD72B6">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018AAD5A">
      <w:pPr>
        <w:rPr>
          <w:rFonts w:hint="eastAsia" w:ascii="黑体" w:hAnsi="宋体" w:eastAsia="黑体"/>
          <w:sz w:val="24"/>
        </w:rPr>
      </w:pPr>
      <w:bookmarkStart w:id="94"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6096707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642CFD6">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6115DD0">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09A726F3">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94"/>
    <w:p w14:paraId="65CE0A02">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开标</w:t>
      </w:r>
    </w:p>
    <w:p w14:paraId="59CD8917">
      <w:pPr>
        <w:rPr>
          <w:rFonts w:hint="eastAsia" w:ascii="黑体" w:hAnsi="宋体" w:eastAsia="黑体"/>
          <w:sz w:val="24"/>
        </w:rPr>
      </w:pPr>
      <w:r>
        <w:rPr>
          <w:rFonts w:hint="eastAsia" w:ascii="黑体" w:hAnsi="宋体" w:eastAsia="黑体"/>
          <w:sz w:val="24"/>
        </w:rPr>
        <w:t>28．开标</w:t>
      </w:r>
    </w:p>
    <w:p w14:paraId="2ED9344A">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rPr>
        <w:t>如投标文件为加密，则需插入CA锁点击解密，</w:t>
      </w:r>
      <w:r>
        <w:rPr>
          <w:rFonts w:hint="eastAsia" w:ascii="宋体" w:hAnsi="宋体"/>
          <w:szCs w:val="21"/>
        </w:rPr>
        <w:t>逾期未解密的作无效处理，</w:t>
      </w:r>
      <w:r>
        <w:rPr>
          <w:rFonts w:hint="eastAsia"/>
        </w:rPr>
        <w:t>否则无需解密。</w:t>
      </w:r>
    </w:p>
    <w:p w14:paraId="0AC6D4AD">
      <w:pPr>
        <w:rPr>
          <w:rFonts w:hint="eastAsia" w:ascii="宋体" w:hAnsi="宋体"/>
          <w:szCs w:val="21"/>
        </w:rPr>
      </w:pPr>
      <w:r>
        <w:drawing>
          <wp:inline distT="0" distB="0" distL="114300" distR="114300">
            <wp:extent cx="5269230" cy="2591435"/>
            <wp:effectExtent l="0" t="0" r="3810" b="14605"/>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0"/>
                    <a:stretch>
                      <a:fillRect/>
                    </a:stretch>
                  </pic:blipFill>
                  <pic:spPr>
                    <a:xfrm>
                      <a:off x="0" y="0"/>
                      <a:ext cx="5269230" cy="2591435"/>
                    </a:xfrm>
                    <a:prstGeom prst="rect">
                      <a:avLst/>
                    </a:prstGeom>
                    <a:noFill/>
                    <a:ln>
                      <a:noFill/>
                    </a:ln>
                  </pic:spPr>
                </pic:pic>
              </a:graphicData>
            </a:graphic>
          </wp:inline>
        </w:drawing>
      </w:r>
    </w:p>
    <w:p w14:paraId="3365DB96">
      <w:pPr>
        <w:ind w:firstLine="315" w:firstLineChars="150"/>
        <w:rPr>
          <w:rFonts w:hint="eastAsia" w:ascii="宋体" w:hAnsi="宋体"/>
          <w:szCs w:val="21"/>
        </w:rPr>
      </w:pPr>
      <w:r>
        <w:rPr>
          <w:rFonts w:hint="eastAsia" w:ascii="宋体" w:hAnsi="宋体"/>
          <w:szCs w:val="21"/>
        </w:rPr>
        <w:t>28.2政府集中采购机构将在满足开标条件后，对投标文件进行开标。</w:t>
      </w:r>
    </w:p>
    <w:p w14:paraId="5AB692AC">
      <w:pPr>
        <w:ind w:firstLine="315" w:firstLineChars="150"/>
        <w:rPr>
          <w:rFonts w:hint="eastAsia" w:ascii="宋体" w:hAnsi="宋体"/>
          <w:szCs w:val="21"/>
        </w:rPr>
      </w:pPr>
    </w:p>
    <w:p w14:paraId="0749DD65">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评审要求</w:t>
      </w:r>
    </w:p>
    <w:p w14:paraId="3E465901">
      <w:pPr>
        <w:rPr>
          <w:rFonts w:hint="eastAsia" w:ascii="黑体" w:hAnsi="宋体" w:eastAsia="黑体"/>
          <w:sz w:val="24"/>
        </w:rPr>
      </w:pPr>
      <w:r>
        <w:rPr>
          <w:rFonts w:hint="eastAsia" w:ascii="黑体" w:hAnsi="宋体" w:eastAsia="黑体"/>
          <w:sz w:val="24"/>
        </w:rPr>
        <w:t>29．评审委员会组成</w:t>
      </w:r>
    </w:p>
    <w:p w14:paraId="0CE8CFC4">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645F52E2">
      <w:pPr>
        <w:ind w:firstLine="411" w:firstLineChars="196"/>
        <w:rPr>
          <w:rFonts w:hint="eastAsia" w:ascii="宋体" w:hAnsi="宋体"/>
        </w:rPr>
      </w:pPr>
      <w:bookmarkStart w:id="95" w:name="_Hlk72436580"/>
      <w:r>
        <w:rPr>
          <w:rFonts w:hint="eastAsia" w:ascii="宋体" w:hAnsi="宋体"/>
        </w:rPr>
        <w:t>评审委员会由采购人代表和评审专家组成。</w:t>
      </w:r>
      <w:bookmarkEnd w:id="95"/>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09715D6C">
      <w:pPr>
        <w:ind w:firstLine="411" w:firstLineChars="196"/>
        <w:rPr>
          <w:rFonts w:hint="eastAsia" w:ascii="宋体" w:hAnsi="宋体"/>
        </w:rPr>
      </w:pPr>
      <w:r>
        <w:rPr>
          <w:rFonts w:hint="eastAsia" w:ascii="宋体" w:hAnsi="宋体"/>
        </w:rPr>
        <w:t>29.2评审定标应当遵循公平、公正、科学、择优的原则。</w:t>
      </w:r>
    </w:p>
    <w:p w14:paraId="7464FD46">
      <w:pPr>
        <w:ind w:firstLine="411" w:firstLineChars="196"/>
        <w:rPr>
          <w:rFonts w:hint="eastAsia" w:ascii="宋体" w:hAnsi="宋体"/>
        </w:rPr>
      </w:pPr>
      <w:r>
        <w:rPr>
          <w:rFonts w:hint="eastAsia" w:ascii="宋体" w:hAnsi="宋体"/>
        </w:rPr>
        <w:t>29.3评审活动依法进行，任何单位和个人不得非法干预评标过程和结果。</w:t>
      </w:r>
    </w:p>
    <w:p w14:paraId="544E28CC">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5D8C5826">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59050105">
      <w:pPr>
        <w:rPr>
          <w:rFonts w:hint="eastAsia" w:ascii="黑体" w:hAnsi="宋体" w:eastAsia="黑体"/>
          <w:sz w:val="24"/>
        </w:rPr>
      </w:pPr>
      <w:r>
        <w:rPr>
          <w:rFonts w:hint="eastAsia" w:ascii="黑体" w:hAnsi="宋体" w:eastAsia="黑体"/>
          <w:sz w:val="24"/>
        </w:rPr>
        <w:t>30．向评审委员会提供的资料</w:t>
      </w:r>
    </w:p>
    <w:p w14:paraId="5E893277">
      <w:pPr>
        <w:ind w:firstLine="411" w:firstLineChars="196"/>
        <w:rPr>
          <w:rFonts w:hint="eastAsia" w:ascii="宋体" w:hAnsi="宋体"/>
        </w:rPr>
      </w:pPr>
      <w:r>
        <w:rPr>
          <w:rFonts w:hint="eastAsia" w:ascii="宋体" w:hAnsi="宋体"/>
        </w:rPr>
        <w:t>30.1公开发布的招标文件，包括图纸、服务清单、答疑文件等；</w:t>
      </w:r>
    </w:p>
    <w:p w14:paraId="0EC79059">
      <w:pPr>
        <w:ind w:firstLine="411" w:firstLineChars="196"/>
        <w:rPr>
          <w:rFonts w:hint="eastAsia" w:ascii="宋体" w:hAnsi="宋体"/>
        </w:rPr>
      </w:pPr>
      <w:r>
        <w:rPr>
          <w:rFonts w:hint="eastAsia" w:ascii="宋体" w:hAnsi="宋体"/>
        </w:rPr>
        <w:t>30.2其他评标必须的资料。</w:t>
      </w:r>
    </w:p>
    <w:p w14:paraId="3DFBC7CD">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618FE6AA">
      <w:pPr>
        <w:ind w:firstLine="411" w:firstLineChars="196"/>
        <w:rPr>
          <w:rFonts w:hint="eastAsia" w:ascii="宋体" w:hAnsi="宋体"/>
        </w:rPr>
      </w:pPr>
      <w:r>
        <w:rPr>
          <w:rFonts w:hint="eastAsia" w:ascii="宋体" w:hAnsi="宋体"/>
        </w:rPr>
        <w:t>（1）招标的目的；</w:t>
      </w:r>
    </w:p>
    <w:p w14:paraId="705066DE">
      <w:pPr>
        <w:ind w:firstLine="411" w:firstLineChars="196"/>
        <w:rPr>
          <w:rFonts w:hint="eastAsia" w:ascii="宋体" w:hAnsi="宋体"/>
        </w:rPr>
      </w:pPr>
      <w:r>
        <w:rPr>
          <w:rFonts w:hint="eastAsia" w:ascii="宋体" w:hAnsi="宋体"/>
        </w:rPr>
        <w:t>（2）招标项目需求的范围和性质；</w:t>
      </w:r>
    </w:p>
    <w:p w14:paraId="7FAAAD1E">
      <w:pPr>
        <w:ind w:firstLine="411" w:firstLineChars="196"/>
        <w:rPr>
          <w:rFonts w:hint="eastAsia" w:ascii="宋体" w:hAnsi="宋体"/>
        </w:rPr>
      </w:pPr>
      <w:r>
        <w:rPr>
          <w:rFonts w:hint="eastAsia" w:ascii="宋体" w:hAnsi="宋体"/>
        </w:rPr>
        <w:t>（3）招标文件规定的投标人的资格、财政预算限额、商务条款；</w:t>
      </w:r>
    </w:p>
    <w:p w14:paraId="3A6F2AD7">
      <w:pPr>
        <w:ind w:firstLine="411" w:firstLineChars="196"/>
        <w:rPr>
          <w:rFonts w:hint="eastAsia" w:ascii="宋体" w:hAnsi="宋体"/>
        </w:rPr>
      </w:pPr>
      <w:r>
        <w:rPr>
          <w:rFonts w:hint="eastAsia" w:ascii="宋体" w:hAnsi="宋体"/>
        </w:rPr>
        <w:t>（4）招标文件规定的评标程序、评标方法和评标因素；</w:t>
      </w:r>
    </w:p>
    <w:p w14:paraId="0C0A6C1A">
      <w:pPr>
        <w:ind w:firstLine="411" w:firstLineChars="196"/>
        <w:rPr>
          <w:rFonts w:hint="eastAsia" w:ascii="宋体" w:hAnsi="宋体"/>
        </w:rPr>
      </w:pPr>
      <w:r>
        <w:rPr>
          <w:rFonts w:hint="eastAsia" w:ascii="宋体" w:hAnsi="宋体"/>
        </w:rPr>
        <w:t>（5）招标文件所列示的资格性审查表及符合性审查表。</w:t>
      </w:r>
    </w:p>
    <w:p w14:paraId="614036A6">
      <w:pPr>
        <w:rPr>
          <w:rFonts w:hint="eastAsia" w:ascii="黑体" w:hAnsi="宋体" w:eastAsia="黑体"/>
          <w:sz w:val="24"/>
        </w:rPr>
      </w:pPr>
      <w:r>
        <w:rPr>
          <w:rFonts w:hint="eastAsia" w:ascii="黑体" w:hAnsi="宋体" w:eastAsia="黑体"/>
          <w:sz w:val="24"/>
        </w:rPr>
        <w:t>31．独立评审</w:t>
      </w:r>
    </w:p>
    <w:p w14:paraId="31B5A6A0">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127759C">
      <w:pPr>
        <w:ind w:firstLine="411" w:firstLineChars="196"/>
        <w:rPr>
          <w:rFonts w:hint="eastAsia" w:ascii="宋体" w:hAnsi="宋体"/>
          <w:bCs/>
          <w:szCs w:val="21"/>
        </w:rPr>
      </w:pPr>
    </w:p>
    <w:p w14:paraId="0C9DAC4C">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评审程序及评审方法</w:t>
      </w:r>
    </w:p>
    <w:p w14:paraId="2811FF74">
      <w:pPr>
        <w:rPr>
          <w:rFonts w:hint="eastAsia" w:ascii="黑体" w:hAnsi="宋体" w:eastAsia="黑体"/>
          <w:sz w:val="24"/>
        </w:rPr>
      </w:pPr>
      <w:r>
        <w:rPr>
          <w:rFonts w:hint="eastAsia" w:ascii="黑体" w:hAnsi="宋体" w:eastAsia="黑体"/>
          <w:sz w:val="24"/>
        </w:rPr>
        <w:t>32．投标文件初审</w:t>
      </w:r>
    </w:p>
    <w:p w14:paraId="52112CDE">
      <w:pPr>
        <w:ind w:firstLine="411" w:firstLineChars="196"/>
        <w:rPr>
          <w:rFonts w:hint="eastAsia" w:ascii="宋体" w:hAnsi="宋体"/>
        </w:rPr>
      </w:pPr>
      <w:r>
        <w:rPr>
          <w:rFonts w:hint="eastAsia" w:ascii="宋体" w:hAnsi="宋体"/>
        </w:rPr>
        <w:t>32.1投标文件初审包括资格性审查和符合性审查。</w:t>
      </w:r>
    </w:p>
    <w:p w14:paraId="17E4186B">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2D30A9EA">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343B36A5">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52B29EC9">
      <w:pPr>
        <w:ind w:firstLine="411" w:firstLineChars="196"/>
        <w:rPr>
          <w:rFonts w:hint="eastAsia" w:ascii="宋体" w:hAnsi="宋体"/>
          <w:bCs/>
        </w:rPr>
      </w:pPr>
      <w:r>
        <w:rPr>
          <w:rFonts w:hint="eastAsia" w:ascii="宋体" w:hAnsi="宋体"/>
          <w:bCs/>
        </w:rPr>
        <w:t>32.3 投标文件初审中关于供应商家数的计算:</w:t>
      </w:r>
    </w:p>
    <w:p w14:paraId="1F209DA1">
      <w:pPr>
        <w:ind w:firstLine="411" w:firstLineChars="196"/>
        <w:rPr>
          <w:rFonts w:hint="eastAsia"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DDA7EA0">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77FF5B1C">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2F4DB80C">
      <w:pPr>
        <w:ind w:firstLine="411" w:firstLineChars="196"/>
        <w:rPr>
          <w:rFonts w:hint="eastAsia" w:ascii="宋体" w:hAnsi="宋体"/>
        </w:rPr>
      </w:pPr>
      <w:r>
        <w:rPr>
          <w:rFonts w:hint="eastAsia" w:ascii="宋体" w:hAnsi="宋体"/>
        </w:rPr>
        <w:t>32.4投标人投标文件作无效处理的情形，具体包括但不限于以下：</w:t>
      </w:r>
    </w:p>
    <w:p w14:paraId="66F3000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75C34C0E">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56890057">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240AC438">
      <w:pPr>
        <w:ind w:firstLine="411" w:firstLineChars="196"/>
        <w:rPr>
          <w:rFonts w:hint="eastAsia" w:ascii="宋体" w:hAnsi="宋体"/>
        </w:rPr>
      </w:pPr>
      <w:r>
        <w:rPr>
          <w:rFonts w:hint="eastAsia" w:ascii="宋体" w:hAnsi="宋体"/>
        </w:rPr>
        <w:t>32.4.4不同投标人的投标文件异常一致或者投标报价呈规律性差异；</w:t>
      </w:r>
    </w:p>
    <w:p w14:paraId="5DCD9B30">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6512A9AD">
      <w:pPr>
        <w:ind w:firstLine="411" w:firstLineChars="196"/>
        <w:rPr>
          <w:rFonts w:hint="eastAsia" w:ascii="宋体" w:hAnsi="宋体"/>
        </w:rPr>
      </w:pPr>
      <w:r>
        <w:rPr>
          <w:rFonts w:hint="eastAsia" w:ascii="宋体" w:hAnsi="宋体"/>
        </w:rPr>
        <w:t>32.4.6投标供应商之间相互约定给予未中标的供应商利益补偿；</w:t>
      </w:r>
    </w:p>
    <w:p w14:paraId="40719576">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30ECDABF">
      <w:pPr>
        <w:ind w:firstLine="411" w:firstLineChars="196"/>
        <w:rPr>
          <w:rFonts w:hint="eastAsia" w:ascii="宋体" w:hAnsi="宋体"/>
        </w:rPr>
      </w:pPr>
      <w:r>
        <w:rPr>
          <w:rFonts w:hint="eastAsia" w:ascii="宋体" w:hAnsi="宋体"/>
        </w:rPr>
        <w:t>32.4.8不同投标供应商的投标文件内容存在非正常一致；</w:t>
      </w:r>
    </w:p>
    <w:p w14:paraId="1B88FD62">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301006E0">
      <w:pPr>
        <w:ind w:firstLine="411" w:firstLineChars="196"/>
        <w:rPr>
          <w:rFonts w:hint="eastAsia" w:ascii="宋体" w:hAnsi="宋体"/>
        </w:rPr>
      </w:pPr>
      <w:r>
        <w:rPr>
          <w:rFonts w:hint="eastAsia" w:ascii="宋体" w:hAnsi="宋体"/>
        </w:rPr>
        <w:t>32.4.10主管部门依照法律、法规认定的其他情形。</w:t>
      </w:r>
    </w:p>
    <w:p w14:paraId="7EBF40AF">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2F45FE1C">
      <w:pPr>
        <w:rPr>
          <w:rFonts w:hint="eastAsia" w:ascii="黑体" w:hAnsi="宋体" w:eastAsia="黑体"/>
          <w:sz w:val="24"/>
        </w:rPr>
      </w:pPr>
      <w:r>
        <w:rPr>
          <w:rFonts w:hint="eastAsia" w:ascii="黑体" w:hAnsi="宋体" w:eastAsia="黑体"/>
          <w:sz w:val="24"/>
        </w:rPr>
        <w:t>33．澄清有关问题</w:t>
      </w:r>
    </w:p>
    <w:p w14:paraId="06A3EE0F">
      <w:pPr>
        <w:ind w:firstLine="411" w:firstLineChars="196"/>
        <w:rPr>
          <w:rFonts w:hint="eastAsia" w:ascii="宋体" w:hAnsi="宋体"/>
        </w:rPr>
      </w:pPr>
      <w:bookmarkStart w:id="96"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96"/>
    </w:p>
    <w:p w14:paraId="7DCA1913">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578648A3">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5E576F0D">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5D24C7E">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0E490766">
      <w:pPr>
        <w:rPr>
          <w:rFonts w:hint="eastAsia" w:ascii="黑体" w:hAnsi="宋体" w:eastAsia="黑体"/>
          <w:sz w:val="24"/>
        </w:rPr>
      </w:pPr>
      <w:bookmarkStart w:id="97" w:name="_Toc73521669"/>
      <w:bookmarkStart w:id="98" w:name="_Toc73517673"/>
      <w:bookmarkStart w:id="99" w:name="_Toc100052400"/>
      <w:bookmarkStart w:id="100" w:name="_Toc73518151"/>
      <w:bookmarkStart w:id="101" w:name="_Toc73521581"/>
      <w:r>
        <w:rPr>
          <w:rFonts w:hint="eastAsia" w:ascii="黑体" w:hAnsi="宋体" w:eastAsia="黑体"/>
          <w:sz w:val="24"/>
        </w:rPr>
        <w:t>34．错误的修正</w:t>
      </w:r>
      <w:bookmarkEnd w:id="97"/>
      <w:bookmarkEnd w:id="98"/>
      <w:bookmarkEnd w:id="99"/>
      <w:bookmarkEnd w:id="100"/>
      <w:bookmarkEnd w:id="101"/>
    </w:p>
    <w:p w14:paraId="43280103">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5560F882">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4F706547">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1A571A5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79C88C2">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24D44C32">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F490DE9">
      <w:pPr>
        <w:rPr>
          <w:rFonts w:hint="eastAsia" w:ascii="黑体" w:hAnsi="宋体" w:eastAsia="黑体"/>
          <w:sz w:val="24"/>
        </w:rPr>
      </w:pPr>
      <w:r>
        <w:rPr>
          <w:rFonts w:hint="eastAsia" w:ascii="黑体" w:hAnsi="宋体" w:eastAsia="黑体"/>
          <w:sz w:val="24"/>
        </w:rPr>
        <w:t>35．投标文件的比较与评价</w:t>
      </w:r>
    </w:p>
    <w:p w14:paraId="1C787A25">
      <w:pPr>
        <w:ind w:firstLine="411" w:firstLineChars="196"/>
        <w:rPr>
          <w:rFonts w:hint="eastAsia" w:ascii="宋体" w:hAnsi="宋体"/>
          <w:szCs w:val="21"/>
        </w:rPr>
      </w:pPr>
      <w:r>
        <w:rPr>
          <w:rFonts w:hint="eastAsia" w:ascii="宋体" w:hAnsi="宋体"/>
          <w:szCs w:val="21"/>
        </w:rPr>
        <w:t>评审委员会将参照《深圳经济特区政府采购条例》、《深圳经济特区政府采购条例实施细则》、《深圳市政府采购评标定标分离管理办法》及政府采购其他法律法规，仅对通过资格性审查和符合性审查的投标文件进行综合比较与评价。</w:t>
      </w:r>
    </w:p>
    <w:p w14:paraId="68F7276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79223C78">
      <w:pPr>
        <w:rPr>
          <w:rFonts w:hint="eastAsia" w:ascii="黑体" w:hAnsi="宋体" w:eastAsia="黑体"/>
          <w:sz w:val="24"/>
        </w:rPr>
      </w:pPr>
      <w:r>
        <w:rPr>
          <w:rFonts w:hint="eastAsia" w:ascii="黑体" w:hAnsi="宋体" w:eastAsia="黑体"/>
          <w:sz w:val="24"/>
        </w:rPr>
        <w:t>36. 实地考察或资料查验</w:t>
      </w:r>
    </w:p>
    <w:p w14:paraId="571B6DCF">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07D0EF4">
      <w:pPr>
        <w:rPr>
          <w:rFonts w:hint="eastAsia" w:ascii="黑体" w:hAnsi="宋体" w:eastAsia="黑体"/>
          <w:sz w:val="24"/>
        </w:rPr>
      </w:pPr>
      <w:r>
        <w:rPr>
          <w:rFonts w:hint="eastAsia" w:ascii="黑体" w:hAnsi="宋体" w:eastAsia="黑体"/>
          <w:sz w:val="24"/>
        </w:rPr>
        <w:t>37．评审方法</w:t>
      </w:r>
    </w:p>
    <w:p w14:paraId="79817C07">
      <w:pPr>
        <w:ind w:firstLine="413" w:firstLineChars="196"/>
        <w:rPr>
          <w:rFonts w:hint="eastAsia" w:ascii="宋体" w:hAnsi="宋体"/>
          <w:b/>
          <w:bCs/>
          <w:szCs w:val="21"/>
        </w:rPr>
      </w:pPr>
      <w:r>
        <w:rPr>
          <w:rFonts w:hint="eastAsia" w:ascii="宋体" w:hAnsi="宋体"/>
          <w:b/>
          <w:bCs/>
          <w:szCs w:val="21"/>
        </w:rPr>
        <w:t>37.1.1最低价法</w:t>
      </w:r>
    </w:p>
    <w:p w14:paraId="1AD3AE24">
      <w:pPr>
        <w:ind w:firstLine="411" w:firstLineChars="196"/>
        <w:rPr>
          <w:rFonts w:hint="eastAsia" w:ascii="ˎ̥" w:hAnsi="ˎ̥"/>
        </w:rPr>
      </w:pPr>
      <w:bookmarkStart w:id="102" w:name="_Hlk72438142"/>
      <w:r>
        <w:rPr>
          <w:rFonts w:ascii="ˎ̥" w:hAnsi="ˎ̥"/>
        </w:rPr>
        <w:t>最低价法，</w:t>
      </w:r>
      <w:r>
        <w:rPr>
          <w:rFonts w:hint="eastAsia" w:ascii="ˎ̥" w:hAnsi="ˎ̥"/>
        </w:rPr>
        <w:t>是指投标文件满足招标文件全部实质性要求，且投标报价最低的投标人为中标候选人的评标方法。</w:t>
      </w:r>
    </w:p>
    <w:p w14:paraId="1678BF1F">
      <w:pPr>
        <w:ind w:firstLine="411" w:firstLineChars="196"/>
        <w:rPr>
          <w:rFonts w:hint="eastAsia"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166762A0">
      <w:pPr>
        <w:ind w:firstLine="413" w:firstLineChars="196"/>
        <w:rPr>
          <w:rFonts w:hint="eastAsia" w:ascii="宋体" w:hAnsi="宋体"/>
          <w:b/>
          <w:bCs/>
          <w:szCs w:val="21"/>
        </w:rPr>
      </w:pPr>
      <w:r>
        <w:rPr>
          <w:rFonts w:hint="eastAsia" w:ascii="宋体" w:hAnsi="宋体"/>
          <w:b/>
          <w:bCs/>
          <w:szCs w:val="21"/>
        </w:rPr>
        <w:t>37.1.2综合评分法</w:t>
      </w:r>
    </w:p>
    <w:p w14:paraId="0E7D1773">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102"/>
      <w:r>
        <w:rPr>
          <w:rFonts w:hint="eastAsia" w:ascii="ˎ̥" w:hAnsi="ˎ̥"/>
        </w:rPr>
        <w:t>。</w:t>
      </w:r>
    </w:p>
    <w:p w14:paraId="3045A056">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5B84B2EF">
      <w:pPr>
        <w:ind w:firstLine="413" w:firstLineChars="196"/>
        <w:rPr>
          <w:rFonts w:hint="eastAsia" w:ascii="宋体" w:hAnsi="宋体"/>
          <w:b/>
          <w:bCs/>
          <w:szCs w:val="21"/>
        </w:rPr>
      </w:pPr>
      <w:r>
        <w:rPr>
          <w:rFonts w:hint="eastAsia" w:ascii="宋体" w:hAnsi="宋体"/>
          <w:b/>
          <w:bCs/>
          <w:szCs w:val="21"/>
        </w:rPr>
        <w:t>37.2本项目采用的评审方法见本项目招标文件第一册“专用条款”的相关内容。</w:t>
      </w:r>
    </w:p>
    <w:p w14:paraId="45F2F674">
      <w:pPr>
        <w:ind w:firstLine="413" w:firstLineChars="196"/>
        <w:rPr>
          <w:rFonts w:hint="eastAsia" w:ascii="宋体" w:hAnsi="宋体"/>
          <w:b/>
          <w:bCs/>
          <w:szCs w:val="21"/>
        </w:rPr>
      </w:pPr>
      <w:r>
        <w:rPr>
          <w:rFonts w:hint="eastAsia" w:ascii="宋体" w:hAnsi="宋体"/>
          <w:b/>
          <w:bCs/>
          <w:szCs w:val="21"/>
        </w:rPr>
        <w:t>37.3重新评审的情形</w:t>
      </w:r>
    </w:p>
    <w:p w14:paraId="24513888">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1BB8867C">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12DADC30">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3CB3754E">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66368754">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30A2F52">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w:t>
      </w:r>
    </w:p>
    <w:p w14:paraId="73C7922D">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w:t>
      </w:r>
    </w:p>
    <w:p w14:paraId="72904EEE">
      <w:pPr>
        <w:ind w:firstLine="413" w:firstLineChars="196"/>
        <w:rPr>
          <w:rFonts w:hint="eastAsia" w:ascii="宋体" w:hAnsi="宋体"/>
          <w:b/>
          <w:bCs/>
          <w:szCs w:val="21"/>
        </w:rPr>
      </w:pPr>
      <w:r>
        <w:rPr>
          <w:rFonts w:hint="eastAsia" w:ascii="宋体" w:hAnsi="宋体"/>
          <w:b/>
          <w:bCs/>
          <w:szCs w:val="21"/>
        </w:rPr>
        <w:t>37.4重新组建评审委员会的情形</w:t>
      </w:r>
    </w:p>
    <w:p w14:paraId="1042697A">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w:t>
      </w:r>
    </w:p>
    <w:p w14:paraId="0F9ED3ED">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70CD159">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CA30B50">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2A3DF812">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0A22C621">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4EEB6A1B">
      <w:pPr>
        <w:ind w:firstLine="411" w:firstLineChars="196"/>
        <w:rPr>
          <w:rFonts w:hint="eastAsia" w:ascii="宋体" w:hAnsi="宋体"/>
          <w:szCs w:val="21"/>
        </w:rPr>
      </w:pPr>
    </w:p>
    <w:p w14:paraId="22F11882">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定标及公示</w:t>
      </w:r>
    </w:p>
    <w:p w14:paraId="34E9B732">
      <w:pPr>
        <w:rPr>
          <w:rFonts w:hint="eastAsia" w:ascii="黑体" w:hAnsi="宋体" w:eastAsia="黑体"/>
          <w:sz w:val="24"/>
        </w:rPr>
      </w:pPr>
      <w:r>
        <w:rPr>
          <w:rFonts w:hint="eastAsia" w:ascii="黑体" w:hAnsi="宋体" w:eastAsia="黑体"/>
          <w:sz w:val="24"/>
        </w:rPr>
        <w:t>38．定标方法</w:t>
      </w:r>
    </w:p>
    <w:p w14:paraId="4C1647D0">
      <w:pPr>
        <w:ind w:firstLine="411" w:firstLineChars="196"/>
        <w:rPr>
          <w:rFonts w:hint="eastAsia" w:ascii="宋体" w:hAnsi="宋体"/>
          <w:szCs w:val="21"/>
        </w:rPr>
      </w:pPr>
      <w:bookmarkStart w:id="103" w:name="_Hlk73782795"/>
      <w:r>
        <w:rPr>
          <w:rFonts w:hint="eastAsia" w:ascii="宋体" w:hAnsi="宋体"/>
          <w:szCs w:val="21"/>
        </w:rPr>
        <w:t>38.1非评定分离项目定标方法</w:t>
      </w:r>
    </w:p>
    <w:p w14:paraId="2F4E3B30">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2D8478BB">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w:t>
      </w:r>
      <w:bookmarkStart w:id="104" w:name="_Hlk73821177"/>
      <w:r>
        <w:rPr>
          <w:rFonts w:hint="eastAsia" w:ascii="ˎ̥" w:hAnsi="ˎ̥"/>
        </w:rPr>
        <w:t>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bookmarkEnd w:id="104"/>
      <w:r>
        <w:rPr>
          <w:rFonts w:ascii="ˎ̥" w:hAnsi="ˎ̥"/>
        </w:rPr>
        <w:t>）。</w:t>
      </w:r>
    </w:p>
    <w:p w14:paraId="29D797EF">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p>
    <w:p w14:paraId="698AF024">
      <w:pPr>
        <w:ind w:firstLine="411" w:firstLineChars="196"/>
        <w:rPr>
          <w:rFonts w:hint="eastAsia" w:ascii="宋体" w:hAnsi="宋体"/>
          <w:szCs w:val="21"/>
        </w:rPr>
      </w:pPr>
      <w:r>
        <w:rPr>
          <w:rFonts w:hint="eastAsia" w:ascii="宋体" w:hAnsi="宋体"/>
          <w:szCs w:val="21"/>
        </w:rPr>
        <w:t>38.2评定分离项目定标方法</w:t>
      </w:r>
    </w:p>
    <w:p w14:paraId="69EA1793">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061E16B">
      <w:pPr>
        <w:ind w:firstLine="411" w:firstLineChars="196"/>
      </w:pPr>
      <w:r>
        <w:rPr>
          <w:rFonts w:ascii="宋体" w:hAnsi="宋体"/>
          <w:szCs w:val="21"/>
        </w:rPr>
        <w:t xml:space="preserve">38.2.2 </w:t>
      </w:r>
      <w:bookmarkStart w:id="105" w:name="_Hlk71469733"/>
      <w:r>
        <w:t>适用评定分离的采购项目，采用综合评分法评</w:t>
      </w:r>
      <w:r>
        <w:rPr>
          <w:rFonts w:hint="eastAsia"/>
        </w:rPr>
        <w:t>审。</w:t>
      </w:r>
      <w:r>
        <w:rPr>
          <w:rFonts w:hint="eastAsia" w:ascii="宋体" w:hAnsi="宋体"/>
          <w:szCs w:val="21"/>
        </w:rPr>
        <w:t>评审委员会按照评审结果，推荐</w:t>
      </w:r>
      <w:r>
        <w:t>三个合格的候选中标供应商。</w:t>
      </w:r>
    </w:p>
    <w:p w14:paraId="6DFA1F59">
      <w:pPr>
        <w:ind w:firstLine="411" w:firstLineChars="196"/>
        <w:rPr>
          <w:rFonts w:hint="eastAsia" w:ascii="宋体" w:hAnsi="宋体"/>
          <w:szCs w:val="21"/>
        </w:rPr>
      </w:pPr>
      <w:r>
        <w:rPr>
          <w:rFonts w:hint="eastAsia" w:ascii="宋体" w:hAnsi="宋体"/>
          <w:szCs w:val="21"/>
        </w:rPr>
        <w:t>38.2.3</w:t>
      </w:r>
      <w:bookmarkStart w:id="106" w:name="_Hlk71469688"/>
      <w: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105"/>
      <w:bookmarkEnd w:id="106"/>
    </w:p>
    <w:p w14:paraId="431A5AA4">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政府集中采购机构。具体定标程序及相关要求以参照《深圳市财政局关于&lt;深圳市政府采购评标定标分离管理办法&gt;续期的通知》（深财规〔2023〕1号）执行。</w:t>
      </w:r>
    </w:p>
    <w:p w14:paraId="36BAF594">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074DBFB4">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103"/>
    </w:p>
    <w:p w14:paraId="697695B4">
      <w:pPr>
        <w:rPr>
          <w:rFonts w:hint="eastAsia" w:ascii="黑体" w:hAnsi="宋体" w:eastAsia="黑体"/>
          <w:sz w:val="24"/>
        </w:rPr>
      </w:pPr>
      <w:r>
        <w:rPr>
          <w:rFonts w:hint="eastAsia" w:ascii="黑体" w:hAnsi="宋体" w:eastAsia="黑体"/>
          <w:sz w:val="24"/>
        </w:rPr>
        <w:t>39．编写评审报告</w:t>
      </w:r>
    </w:p>
    <w:p w14:paraId="2541ACCC">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EE59EEF">
      <w:pPr>
        <w:rPr>
          <w:rFonts w:hint="eastAsia" w:ascii="黑体" w:hAnsi="宋体" w:eastAsia="黑体"/>
          <w:sz w:val="24"/>
        </w:rPr>
      </w:pPr>
      <w:r>
        <w:rPr>
          <w:rFonts w:hint="eastAsia" w:ascii="黑体" w:hAnsi="宋体" w:eastAsia="黑体"/>
          <w:sz w:val="24"/>
        </w:rPr>
        <w:t>40．中标公告</w:t>
      </w:r>
    </w:p>
    <w:p w14:paraId="39BD8A5F">
      <w:pPr>
        <w:ind w:firstLine="411" w:firstLineChars="196"/>
        <w:rPr>
          <w:rFonts w:hint="eastAsia" w:ascii="宋体" w:hAnsi="宋体"/>
          <w:szCs w:val="21"/>
        </w:rPr>
      </w:pPr>
      <w:r>
        <w:rPr>
          <w:rFonts w:hint="eastAsia" w:ascii="宋体" w:hAnsi="宋体"/>
          <w:szCs w:val="21"/>
        </w:rPr>
        <w:t>40.1</w:t>
      </w:r>
      <w:bookmarkStart w:id="107"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深圳交易集团官网</w:t>
      </w:r>
      <w:r>
        <w:rPr>
          <w:rFonts w:hint="eastAsia" w:ascii="宋体" w:hAnsi="宋体"/>
          <w:szCs w:val="21"/>
        </w:rPr>
        <w:t>（https://www.szexgrp.com/home/index.html）上发布中标（成交）结果公告。</w:t>
      </w:r>
      <w:bookmarkEnd w:id="107"/>
      <w:bookmarkStart w:id="108"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108"/>
    <w:p w14:paraId="4540B10E">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7F3114C3">
      <w:pPr>
        <w:rPr>
          <w:rFonts w:hint="eastAsia" w:ascii="黑体" w:hAnsi="宋体" w:eastAsia="黑体"/>
          <w:sz w:val="24"/>
        </w:rPr>
      </w:pPr>
      <w:r>
        <w:rPr>
          <w:rFonts w:hint="eastAsia" w:ascii="黑体" w:hAnsi="宋体" w:eastAsia="黑体"/>
          <w:sz w:val="24"/>
        </w:rPr>
        <w:t>41．中标通知书</w:t>
      </w:r>
    </w:p>
    <w:p w14:paraId="6226B8FD">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09" w:name="_Hlk72438863"/>
      <w:r>
        <w:rPr>
          <w:rFonts w:hint="eastAsia" w:ascii="宋体" w:hAnsi="宋体"/>
          <w:szCs w:val="21"/>
        </w:rPr>
        <w:t>中标公告公布以后无异常的情况下,中标供应商和采购人可自行在</w:t>
      </w:r>
      <w:r>
        <w:rPr>
          <w:rFonts w:hint="eastAsia" w:ascii="宋体" w:hAnsi="宋体"/>
          <w:b/>
          <w:bCs/>
          <w:szCs w:val="21"/>
        </w:rPr>
        <w:t>“深圳市自行采购系统”</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109"/>
    </w:p>
    <w:p w14:paraId="752CB4BB">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1A04D22C">
      <w:pPr>
        <w:ind w:firstLine="411" w:firstLineChars="196"/>
        <w:rPr>
          <w:rFonts w:hint="eastAsia" w:ascii="宋体" w:hAnsi="宋体"/>
          <w:szCs w:val="21"/>
        </w:rPr>
      </w:pPr>
      <w:bookmarkStart w:id="110" w:name="_Hlk71407340"/>
      <w:r>
        <w:rPr>
          <w:rFonts w:hint="eastAsia" w:ascii="宋体" w:hAnsi="宋体"/>
          <w:szCs w:val="21"/>
        </w:rPr>
        <w:t>41.3因质疑投诉或其它原因导致项目结果变更或采购终止的，政府集中采购机构有权吊销中标通知书。</w:t>
      </w:r>
    </w:p>
    <w:bookmarkEnd w:id="110"/>
    <w:p w14:paraId="49DC3A82">
      <w:pPr>
        <w:ind w:firstLine="411" w:firstLineChars="196"/>
        <w:rPr>
          <w:rFonts w:hint="eastAsia" w:ascii="宋体" w:hAnsi="宋体"/>
          <w:szCs w:val="21"/>
        </w:rPr>
      </w:pPr>
    </w:p>
    <w:p w14:paraId="34DD12A4">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公开招标失败的后续处理</w:t>
      </w:r>
    </w:p>
    <w:p w14:paraId="229F4274">
      <w:pPr>
        <w:rPr>
          <w:rFonts w:hint="eastAsia" w:ascii="黑体" w:hAnsi="宋体" w:eastAsia="黑体"/>
          <w:sz w:val="24"/>
        </w:rPr>
      </w:pPr>
      <w:r>
        <w:rPr>
          <w:rFonts w:hint="eastAsia" w:ascii="黑体" w:hAnsi="宋体" w:eastAsia="黑体"/>
          <w:sz w:val="24"/>
        </w:rPr>
        <w:t>42．公开招标失败的处理</w:t>
      </w:r>
    </w:p>
    <w:p w14:paraId="267BD76F">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14128B9E">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3111D914">
      <w:pPr>
        <w:ind w:firstLine="411" w:firstLineChars="196"/>
        <w:rPr>
          <w:rFonts w:hint="eastAsia" w:ascii="宋体" w:hAnsi="宋体"/>
          <w:szCs w:val="21"/>
        </w:rPr>
      </w:pPr>
      <w:r>
        <w:rPr>
          <w:rFonts w:hint="eastAsia" w:ascii="宋体" w:hAnsi="宋体"/>
          <w:szCs w:val="21"/>
        </w:rPr>
        <w:t>42.3重新组织采购有以下两种组织形式：</w:t>
      </w:r>
    </w:p>
    <w:p w14:paraId="51AEA4F0">
      <w:pPr>
        <w:ind w:firstLine="411" w:firstLineChars="196"/>
        <w:rPr>
          <w:rFonts w:hint="eastAsia" w:ascii="宋体" w:hAnsi="宋体"/>
        </w:rPr>
      </w:pPr>
      <w:r>
        <w:rPr>
          <w:rFonts w:hint="eastAsia" w:ascii="宋体" w:hAnsi="宋体"/>
        </w:rPr>
        <w:t>（1）由政府集中采购机构重新组织公开招标；</w:t>
      </w:r>
    </w:p>
    <w:p w14:paraId="04204F39">
      <w:pPr>
        <w:ind w:firstLine="411" w:firstLineChars="196"/>
        <w:rPr>
          <w:rFonts w:hint="eastAsia" w:ascii="宋体" w:hAnsi="宋体"/>
        </w:rPr>
      </w:pPr>
      <w:r>
        <w:rPr>
          <w:rFonts w:hint="eastAsia" w:ascii="宋体" w:hAnsi="宋体"/>
        </w:rPr>
        <w:t>（2）根据实际情况需要，按</w:t>
      </w:r>
      <w:r>
        <w:rPr>
          <w:rFonts w:hint="eastAsia" w:ascii="宋体" w:hAnsi="宋体"/>
          <w:szCs w:val="21"/>
        </w:rPr>
        <w:t>采购单位内控规定，</w:t>
      </w:r>
      <w:r>
        <w:rPr>
          <w:rFonts w:hint="eastAsia" w:ascii="宋体" w:hAnsi="宋体"/>
        </w:rPr>
        <w:t>提出非公开招标方式申请，公开招标失败采购项目可转为竞争性谈判或单一来源谈判方式采购。</w:t>
      </w:r>
    </w:p>
    <w:p w14:paraId="1785379A">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64DDDDE">
      <w:pPr>
        <w:rPr>
          <w:rFonts w:hint="eastAsia" w:ascii="黑体" w:hAnsi="宋体" w:eastAsia="黑体"/>
          <w:sz w:val="24"/>
        </w:rPr>
      </w:pPr>
    </w:p>
    <w:p w14:paraId="0A071BD1">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bookmarkStart w:id="111" w:name="_Hlk72439043"/>
      <w:r>
        <w:rPr>
          <w:rFonts w:hint="eastAsia" w:ascii="宋体" w:hAnsi="宋体"/>
          <w:b/>
          <w:bCs/>
          <w:kern w:val="0"/>
          <w:sz w:val="28"/>
          <w:szCs w:val="28"/>
        </w:rPr>
        <w:t>合同的授予与备案</w:t>
      </w:r>
      <w:bookmarkEnd w:id="111"/>
    </w:p>
    <w:p w14:paraId="4BCF52DE">
      <w:pPr>
        <w:rPr>
          <w:rFonts w:hint="eastAsia" w:ascii="黑体" w:hAnsi="宋体" w:eastAsia="黑体"/>
          <w:sz w:val="24"/>
        </w:rPr>
      </w:pPr>
      <w:bookmarkStart w:id="112" w:name="_Toc73521586"/>
      <w:bookmarkStart w:id="113" w:name="_Toc73521674"/>
      <w:bookmarkStart w:id="114" w:name="_Toc73517679"/>
      <w:bookmarkStart w:id="115" w:name="_Toc100052408"/>
      <w:bookmarkStart w:id="116" w:name="_Toc73518157"/>
      <w:bookmarkStart w:id="117" w:name="_Hlk72439088"/>
      <w:r>
        <w:rPr>
          <w:rFonts w:hint="eastAsia" w:ascii="黑体" w:hAnsi="宋体" w:eastAsia="黑体"/>
          <w:sz w:val="24"/>
        </w:rPr>
        <w:t>43．合同授予标准</w:t>
      </w:r>
      <w:bookmarkEnd w:id="112"/>
      <w:bookmarkEnd w:id="113"/>
      <w:bookmarkEnd w:id="114"/>
      <w:bookmarkEnd w:id="115"/>
      <w:bookmarkEnd w:id="116"/>
    </w:p>
    <w:p w14:paraId="20596F93">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2B107E9C">
      <w:pPr>
        <w:rPr>
          <w:rFonts w:hint="eastAsia" w:ascii="黑体" w:hAnsi="宋体" w:eastAsia="黑体"/>
          <w:sz w:val="24"/>
        </w:rPr>
      </w:pPr>
      <w:bookmarkStart w:id="118" w:name="_Toc100052409"/>
      <w:bookmarkStart w:id="119" w:name="_Toc73518158"/>
      <w:bookmarkStart w:id="120" w:name="_Toc73521587"/>
      <w:bookmarkStart w:id="121" w:name="_Toc73517680"/>
      <w:bookmarkStart w:id="122" w:name="_Toc73521675"/>
      <w:r>
        <w:rPr>
          <w:rFonts w:hint="eastAsia" w:ascii="黑体" w:hAnsi="宋体" w:eastAsia="黑体"/>
          <w:sz w:val="24"/>
        </w:rPr>
        <w:t>44．</w:t>
      </w:r>
      <w:bookmarkEnd w:id="118"/>
      <w:bookmarkEnd w:id="119"/>
      <w:bookmarkEnd w:id="120"/>
      <w:bookmarkEnd w:id="121"/>
      <w:bookmarkEnd w:id="122"/>
      <w:r>
        <w:rPr>
          <w:rFonts w:hint="eastAsia" w:ascii="黑体" w:hAnsi="宋体" w:eastAsia="黑体"/>
          <w:sz w:val="24"/>
        </w:rPr>
        <w:t>接受和拒绝任何或所有投标的权力</w:t>
      </w:r>
    </w:p>
    <w:p w14:paraId="18242732">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1F05DAB">
      <w:pPr>
        <w:rPr>
          <w:rFonts w:hint="eastAsia" w:ascii="黑体" w:hAnsi="宋体" w:eastAsia="黑体"/>
          <w:sz w:val="24"/>
        </w:rPr>
      </w:pPr>
      <w:bookmarkStart w:id="123" w:name="_Toc73521677"/>
      <w:bookmarkStart w:id="124" w:name="_Toc100052410"/>
      <w:bookmarkStart w:id="125" w:name="_Toc73517682"/>
      <w:bookmarkStart w:id="126" w:name="_Toc73518160"/>
      <w:bookmarkStart w:id="127" w:name="_Toc73521589"/>
      <w:r>
        <w:rPr>
          <w:rFonts w:hint="eastAsia" w:ascii="黑体" w:hAnsi="宋体" w:eastAsia="黑体"/>
          <w:sz w:val="24"/>
        </w:rPr>
        <w:t>45．合同的签订</w:t>
      </w:r>
      <w:bookmarkEnd w:id="123"/>
      <w:bookmarkEnd w:id="124"/>
      <w:bookmarkEnd w:id="125"/>
      <w:bookmarkEnd w:id="126"/>
      <w:bookmarkEnd w:id="127"/>
    </w:p>
    <w:p w14:paraId="52EBFAFC">
      <w:pPr>
        <w:ind w:firstLine="411" w:firstLineChars="196"/>
        <w:rPr>
          <w:rFonts w:hint="eastAsia" w:ascii="宋体" w:hAnsi="宋体"/>
          <w:szCs w:val="21"/>
        </w:rPr>
      </w:pPr>
      <w:r>
        <w:rPr>
          <w:rFonts w:hint="eastAsia" w:ascii="宋体" w:hAnsi="宋体"/>
          <w:szCs w:val="21"/>
        </w:rPr>
        <w:t>45.1中标人将于中标通知书发出之日起按照采购人内控制度要求，按照采购文件（招标文件和投标文件等）内容与采购人签订采购合同；合同的实质性内容应当符合招标文件的规定；</w:t>
      </w:r>
    </w:p>
    <w:p w14:paraId="5F314FD0">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198474D2">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146B75F2">
      <w:pPr>
        <w:rPr>
          <w:rFonts w:hint="eastAsia" w:ascii="黑体" w:hAnsi="宋体" w:eastAsia="黑体"/>
          <w:sz w:val="24"/>
        </w:rPr>
      </w:pPr>
      <w:bookmarkStart w:id="128" w:name="_Toc73521678"/>
      <w:bookmarkStart w:id="129" w:name="_Toc73517683"/>
      <w:bookmarkStart w:id="130" w:name="_Toc73521590"/>
      <w:bookmarkStart w:id="131" w:name="_Toc73518161"/>
      <w:bookmarkStart w:id="132" w:name="_Toc100052411"/>
      <w:r>
        <w:rPr>
          <w:rFonts w:hint="eastAsia" w:ascii="黑体" w:hAnsi="宋体" w:eastAsia="黑体"/>
          <w:sz w:val="24"/>
        </w:rPr>
        <w:t>46．履约担保</w:t>
      </w:r>
      <w:bookmarkEnd w:id="128"/>
      <w:bookmarkEnd w:id="129"/>
      <w:bookmarkEnd w:id="130"/>
      <w:bookmarkEnd w:id="131"/>
      <w:bookmarkEnd w:id="132"/>
    </w:p>
    <w:p w14:paraId="2EAA6C21">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3C39483">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35E9E6C1">
      <w:pPr>
        <w:rPr>
          <w:rFonts w:hint="eastAsia" w:ascii="黑体" w:hAnsi="宋体" w:eastAsia="黑体"/>
          <w:sz w:val="24"/>
        </w:rPr>
      </w:pPr>
      <w:r>
        <w:rPr>
          <w:rFonts w:hint="eastAsia" w:ascii="黑体" w:hAnsi="宋体" w:eastAsia="黑体"/>
          <w:sz w:val="24"/>
        </w:rPr>
        <w:t>47. 合同备案</w:t>
      </w:r>
    </w:p>
    <w:p w14:paraId="080EB6E2">
      <w:pPr>
        <w:ind w:firstLine="420" w:firstLineChars="200"/>
        <w:rPr>
          <w:rFonts w:hint="eastAsia" w:ascii="宋体" w:hAnsi="宋体"/>
          <w:szCs w:val="21"/>
        </w:rPr>
      </w:pPr>
      <w:r>
        <w:rPr>
          <w:rFonts w:hint="eastAsia" w:ascii="宋体" w:hAnsi="宋体"/>
          <w:szCs w:val="21"/>
        </w:rPr>
        <w:t>按采购单位内控规定备案。</w:t>
      </w:r>
    </w:p>
    <w:p w14:paraId="43D0E860">
      <w:pPr>
        <w:rPr>
          <w:rFonts w:hint="eastAsia" w:ascii="黑体" w:hAnsi="宋体" w:eastAsia="黑体"/>
          <w:sz w:val="24"/>
        </w:rPr>
      </w:pPr>
      <w:r>
        <w:rPr>
          <w:rFonts w:hint="eastAsia" w:ascii="黑体" w:hAnsi="宋体" w:eastAsia="黑体"/>
          <w:sz w:val="24"/>
        </w:rPr>
        <w:t>48. 合同变更</w:t>
      </w:r>
    </w:p>
    <w:p w14:paraId="05BBA186">
      <w:pPr>
        <w:ind w:firstLine="420" w:firstLineChars="200"/>
        <w:rPr>
          <w:rFonts w:hint="eastAsia" w:ascii="黑体" w:hAnsi="宋体" w:eastAsia="黑体"/>
          <w:sz w:val="24"/>
        </w:rPr>
      </w:pPr>
      <w:r>
        <w:rPr>
          <w:rFonts w:hint="eastAsia" w:ascii="宋体" w:hAnsi="宋体"/>
          <w:szCs w:val="21"/>
        </w:rPr>
        <w:t>合同变更事宜按采购单位内控规定执行。</w:t>
      </w:r>
    </w:p>
    <w:p w14:paraId="4E877933">
      <w:pPr>
        <w:rPr>
          <w:rFonts w:hint="eastAsia" w:ascii="黑体" w:hAnsi="宋体" w:eastAsia="黑体"/>
          <w:sz w:val="24"/>
        </w:rPr>
      </w:pPr>
      <w:r>
        <w:rPr>
          <w:rFonts w:hint="eastAsia" w:ascii="黑体" w:hAnsi="宋体" w:eastAsia="黑体"/>
          <w:sz w:val="24"/>
        </w:rPr>
        <w:t>49. 项目验收</w:t>
      </w:r>
    </w:p>
    <w:p w14:paraId="25E3ADAC">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6DEC353C">
      <w:pPr>
        <w:rPr>
          <w:rFonts w:hint="eastAsia" w:ascii="黑体" w:hAnsi="宋体" w:eastAsia="黑体"/>
          <w:sz w:val="24"/>
        </w:rPr>
      </w:pPr>
      <w:r>
        <w:rPr>
          <w:rFonts w:hint="eastAsia" w:ascii="黑体" w:hAnsi="宋体" w:eastAsia="黑体"/>
          <w:sz w:val="24"/>
        </w:rPr>
        <w:t>50. 宣传</w:t>
      </w:r>
    </w:p>
    <w:p w14:paraId="2E0FBA8C">
      <w:pPr>
        <w:ind w:left="210" w:leftChars="100" w:firstLine="411" w:firstLineChars="196"/>
        <w:rPr>
          <w:rFonts w:hint="eastAsia" w:ascii="宋体" w:hAnsi="宋体"/>
        </w:rPr>
      </w:pPr>
      <w:r>
        <w:rPr>
          <w:rFonts w:hint="eastAsia" w:ascii="宋体" w:hAnsi="宋体"/>
        </w:rPr>
        <w:t>凡与采购活动有关的宣传或广告，若当中提及采购，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D34C291">
      <w:pPr>
        <w:ind w:left="210" w:leftChars="100" w:firstLine="411" w:firstLineChars="196"/>
        <w:rPr>
          <w:rFonts w:hint="eastAsia" w:ascii="宋体" w:hAnsi="宋体"/>
        </w:rPr>
      </w:pPr>
      <w:r>
        <w:rPr>
          <w:rFonts w:ascii="宋体" w:hAnsi="宋体"/>
        </w:rPr>
        <w:t>a.名片、宣传册、广告标语等；</w:t>
      </w:r>
    </w:p>
    <w:p w14:paraId="09B88954">
      <w:pPr>
        <w:ind w:left="210" w:leftChars="100" w:firstLine="411" w:firstLineChars="196"/>
        <w:rPr>
          <w:rFonts w:hint="eastAsia" w:ascii="宋体" w:hAnsi="宋体"/>
        </w:rPr>
      </w:pPr>
      <w:r>
        <w:rPr>
          <w:rFonts w:ascii="宋体" w:hAnsi="宋体"/>
        </w:rPr>
        <w:t>b.案例介绍、推广等；</w:t>
      </w:r>
    </w:p>
    <w:p w14:paraId="46F404D3">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2CF8F46B">
      <w:pPr>
        <w:rPr>
          <w:rFonts w:hint="eastAsia" w:ascii="黑体" w:hAnsi="宋体" w:eastAsia="黑体"/>
          <w:sz w:val="24"/>
        </w:rPr>
      </w:pPr>
      <w:r>
        <w:rPr>
          <w:rFonts w:hint="eastAsia" w:ascii="黑体" w:hAnsi="宋体" w:eastAsia="黑体"/>
          <w:sz w:val="24"/>
        </w:rPr>
        <w:t>51. 供应商违法责任</w:t>
      </w:r>
    </w:p>
    <w:p w14:paraId="3F7ECF85">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D406665">
      <w:pPr>
        <w:ind w:firstLine="411" w:firstLineChars="196"/>
        <w:rPr>
          <w:rFonts w:hint="eastAsia" w:ascii="宋体" w:hAnsi="宋体"/>
          <w:szCs w:val="21"/>
        </w:rPr>
      </w:pPr>
      <w:r>
        <w:rPr>
          <w:rFonts w:hint="eastAsia" w:ascii="宋体" w:hAnsi="宋体"/>
          <w:szCs w:val="21"/>
        </w:rPr>
        <w:t>（1）在采购活动中应当回避而未回避的；</w:t>
      </w:r>
    </w:p>
    <w:p w14:paraId="48FEEE78">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95828F7">
      <w:pPr>
        <w:ind w:firstLine="411" w:firstLineChars="196"/>
        <w:rPr>
          <w:rFonts w:hint="eastAsia" w:ascii="宋体" w:hAnsi="宋体"/>
          <w:szCs w:val="21"/>
        </w:rPr>
      </w:pPr>
      <w:r>
        <w:rPr>
          <w:rFonts w:hint="eastAsia" w:ascii="宋体" w:hAnsi="宋体"/>
          <w:szCs w:val="21"/>
        </w:rPr>
        <w:t>（3）隐瞒真实情况，提供虚假资料的；</w:t>
      </w:r>
    </w:p>
    <w:p w14:paraId="02664BA5">
      <w:pPr>
        <w:ind w:firstLine="411" w:firstLineChars="196"/>
        <w:rPr>
          <w:rFonts w:hint="eastAsia" w:ascii="宋体" w:hAnsi="宋体"/>
          <w:szCs w:val="21"/>
        </w:rPr>
      </w:pPr>
      <w:r>
        <w:rPr>
          <w:rFonts w:hint="eastAsia" w:ascii="宋体" w:hAnsi="宋体"/>
          <w:szCs w:val="21"/>
        </w:rPr>
        <w:t>（4）以非法手段排斥其他供应商参与竞争的；</w:t>
      </w:r>
    </w:p>
    <w:p w14:paraId="1E662ADD">
      <w:pPr>
        <w:ind w:firstLine="411" w:firstLineChars="196"/>
        <w:rPr>
          <w:rFonts w:hint="eastAsia" w:ascii="宋体" w:hAnsi="宋体"/>
          <w:szCs w:val="21"/>
        </w:rPr>
      </w:pPr>
      <w:r>
        <w:rPr>
          <w:rFonts w:hint="eastAsia" w:ascii="宋体" w:hAnsi="宋体"/>
          <w:szCs w:val="21"/>
        </w:rPr>
        <w:t>（5）与其他采购参加人串通投标的；</w:t>
      </w:r>
    </w:p>
    <w:p w14:paraId="370FEAA8">
      <w:pPr>
        <w:ind w:firstLine="411" w:firstLineChars="196"/>
        <w:rPr>
          <w:rFonts w:hint="eastAsia" w:ascii="宋体" w:hAnsi="宋体"/>
          <w:szCs w:val="21"/>
        </w:rPr>
      </w:pPr>
      <w:r>
        <w:rPr>
          <w:rFonts w:hint="eastAsia" w:ascii="宋体" w:hAnsi="宋体"/>
          <w:szCs w:val="21"/>
        </w:rPr>
        <w:t>（6）恶意投诉的；</w:t>
      </w:r>
    </w:p>
    <w:p w14:paraId="5B8AFC7A">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A4AD905">
      <w:pPr>
        <w:ind w:firstLine="411" w:firstLineChars="196"/>
        <w:rPr>
          <w:rFonts w:hint="eastAsia" w:ascii="宋体" w:hAnsi="宋体"/>
          <w:szCs w:val="21"/>
        </w:rPr>
      </w:pPr>
      <w:r>
        <w:rPr>
          <w:rFonts w:hint="eastAsia" w:ascii="宋体" w:hAnsi="宋体"/>
          <w:szCs w:val="21"/>
        </w:rPr>
        <w:t>（8）阻碍、抗拒主管部门监督检查的；</w:t>
      </w:r>
    </w:p>
    <w:p w14:paraId="1AF0756E">
      <w:pPr>
        <w:ind w:firstLine="411" w:firstLineChars="196"/>
        <w:rPr>
          <w:rFonts w:hint="eastAsia" w:ascii="宋体" w:hAnsi="宋体"/>
          <w:szCs w:val="21"/>
        </w:rPr>
      </w:pPr>
      <w:r>
        <w:rPr>
          <w:rFonts w:hint="eastAsia" w:ascii="宋体" w:hAnsi="宋体"/>
          <w:szCs w:val="21"/>
        </w:rPr>
        <w:t>（9）其他违反本条例规定的行为。</w:t>
      </w:r>
    </w:p>
    <w:p w14:paraId="6C04DC16">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参照《深圳市财政局关于调整政府采购投标（响应）保证金管理政策的通知 》（深财购〔2021〕51 号）的要求，供应商在采购活动中出现《深圳经济特区政府采购条例实施细则》第八十条所列情形的，</w:t>
      </w:r>
      <w:bookmarkStart w:id="133" w:name="_Hlk72440769"/>
      <w:r>
        <w:rPr>
          <w:rFonts w:hint="eastAsia" w:ascii="宋体" w:hAnsi="宋体"/>
          <w:szCs w:val="21"/>
        </w:rPr>
        <w:t>政府集中采购机构或采购人不予退还其交纳的谈判保证金，情节严重的，并由主管部门</w:t>
      </w:r>
      <w:bookmarkEnd w:id="133"/>
      <w:r>
        <w:rPr>
          <w:rFonts w:hint="eastAsia" w:ascii="宋体" w:hAnsi="宋体"/>
          <w:szCs w:val="21"/>
        </w:rPr>
        <w:t>记入供应商诚信档案，予以通报：</w:t>
      </w:r>
    </w:p>
    <w:p w14:paraId="1BF6D484">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428FC5A1">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AA57C8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5D1BE5A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17"/>
    <w:p w14:paraId="0BC02140">
      <w:pPr>
        <w:keepNext/>
        <w:keepLines/>
        <w:numPr>
          <w:ilvl w:val="0"/>
          <w:numId w:val="13"/>
        </w:numPr>
        <w:adjustRightInd w:val="0"/>
        <w:spacing w:before="120" w:beforeLines="50" w:after="120" w:afterLines="50"/>
        <w:ind w:left="562" w:hanging="562"/>
        <w:jc w:val="center"/>
        <w:textAlignment w:val="baseline"/>
        <w:outlineLvl w:val="1"/>
        <w:rPr>
          <w:rFonts w:hint="eastAsia" w:ascii="宋体" w:hAnsi="宋体"/>
          <w:b/>
          <w:bCs/>
          <w:kern w:val="0"/>
          <w:sz w:val="28"/>
          <w:szCs w:val="28"/>
        </w:rPr>
      </w:pPr>
      <w:r>
        <w:rPr>
          <w:rFonts w:hint="eastAsia" w:ascii="宋体" w:hAnsi="宋体"/>
          <w:b/>
          <w:bCs/>
          <w:kern w:val="0"/>
          <w:sz w:val="28"/>
          <w:szCs w:val="28"/>
        </w:rPr>
        <w:t>质疑处理</w:t>
      </w:r>
    </w:p>
    <w:p w14:paraId="79B509CA">
      <w:pPr>
        <w:rPr>
          <w:rFonts w:hint="eastAsia" w:ascii="黑体" w:hAnsi="宋体" w:eastAsia="黑体"/>
          <w:sz w:val="24"/>
        </w:rPr>
      </w:pPr>
      <w:r>
        <w:rPr>
          <w:rFonts w:hint="eastAsia" w:ascii="黑体" w:hAnsi="宋体" w:eastAsia="黑体"/>
          <w:sz w:val="24"/>
        </w:rPr>
        <w:t>52.质疑提出与答复</w:t>
      </w:r>
    </w:p>
    <w:p w14:paraId="5A9C5CCA">
      <w:pPr>
        <w:rPr>
          <w:rFonts w:hint="eastAsia" w:ascii="宋体" w:hAnsi="宋体"/>
          <w:szCs w:val="21"/>
        </w:rPr>
      </w:pPr>
      <w:r>
        <w:rPr>
          <w:rFonts w:hint="eastAsia" w:ascii="宋体" w:hAnsi="宋体"/>
          <w:szCs w:val="21"/>
        </w:rPr>
        <w:t xml:space="preserve">    52.1提出质疑</w:t>
      </w:r>
    </w:p>
    <w:p w14:paraId="366735E7">
      <w:pPr>
        <w:rPr>
          <w:rFonts w:hint="eastAsia" w:ascii="宋体" w:hAnsi="宋体"/>
          <w:szCs w:val="21"/>
        </w:rPr>
      </w:pPr>
      <w:r>
        <w:rPr>
          <w:rFonts w:hint="eastAsia" w:ascii="宋体" w:hAnsi="宋体"/>
          <w:szCs w:val="21"/>
        </w:rPr>
        <w:t xml:space="preserve">    参与采购活动的供应商认为自己的权益在采购活动中受到损害的，应当自知道或者应当知道其权益受到损害之日起七个工作日内向采购人、政府集中采购机构以书面形式提出质疑。</w:t>
      </w:r>
    </w:p>
    <w:p w14:paraId="51B4BFBF">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6119A42E">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A517D3D">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43E3A61D">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34" w:name="_Hlk75374941"/>
      <w:r>
        <w:rPr>
          <w:rFonts w:hint="eastAsia" w:ascii="宋体" w:hAnsi="宋体"/>
          <w:szCs w:val="21"/>
        </w:rPr>
        <w:t>以联合体形式参与的，质疑应当由组成联合体的所有成员共同提出</w:t>
      </w:r>
      <w:bookmarkEnd w:id="134"/>
      <w:r>
        <w:rPr>
          <w:rFonts w:hint="eastAsia" w:ascii="宋体" w:hAnsi="宋体"/>
          <w:szCs w:val="21"/>
        </w:rPr>
        <w:t>；</w:t>
      </w:r>
    </w:p>
    <w:p w14:paraId="5550A30C">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成交）结果以及评审委员会组成人员的质疑，为中标（成交）结果公示之日；</w:t>
      </w:r>
    </w:p>
    <w:p w14:paraId="2DB9C85D">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A3BE7E8">
      <w:pPr>
        <w:ind w:firstLine="420"/>
        <w:rPr>
          <w:rFonts w:hint="eastAsia" w:ascii="宋体" w:hAnsi="宋体"/>
          <w:szCs w:val="21"/>
        </w:rPr>
      </w:pPr>
      <w:r>
        <w:rPr>
          <w:rFonts w:hint="eastAsia" w:ascii="宋体" w:hAnsi="宋体"/>
          <w:szCs w:val="21"/>
        </w:rPr>
        <w:t>（1）供应商的名称（或者姓名）、地址、邮编、邮箱、联系人及联系电话；</w:t>
      </w:r>
    </w:p>
    <w:p w14:paraId="6422BC29">
      <w:pPr>
        <w:ind w:firstLine="420" w:firstLineChars="200"/>
        <w:rPr>
          <w:rFonts w:hint="eastAsia" w:ascii="宋体" w:hAnsi="宋体"/>
          <w:szCs w:val="21"/>
        </w:rPr>
      </w:pPr>
      <w:r>
        <w:rPr>
          <w:rFonts w:hint="eastAsia" w:ascii="宋体" w:hAnsi="宋体"/>
          <w:szCs w:val="21"/>
        </w:rPr>
        <w:t>（2）质疑项目的名称、编号；</w:t>
      </w:r>
    </w:p>
    <w:p w14:paraId="24C93A9F">
      <w:pPr>
        <w:ind w:firstLine="420" w:firstLineChars="200"/>
        <w:rPr>
          <w:rFonts w:hint="eastAsia" w:ascii="宋体" w:hAnsi="宋体"/>
          <w:szCs w:val="21"/>
        </w:rPr>
      </w:pPr>
      <w:r>
        <w:rPr>
          <w:rFonts w:hint="eastAsia" w:ascii="宋体" w:hAnsi="宋体"/>
          <w:szCs w:val="21"/>
        </w:rPr>
        <w:t>（3）具体、明确的质疑对象、质疑事项和质疑请求；</w:t>
      </w:r>
    </w:p>
    <w:p w14:paraId="4728BE99">
      <w:pPr>
        <w:ind w:firstLine="420" w:firstLineChars="200"/>
        <w:rPr>
          <w:rFonts w:hint="eastAsia" w:ascii="宋体" w:hAnsi="宋体"/>
          <w:szCs w:val="21"/>
        </w:rPr>
      </w:pPr>
      <w:r>
        <w:rPr>
          <w:rFonts w:hint="eastAsia" w:ascii="宋体" w:hAnsi="宋体"/>
          <w:szCs w:val="21"/>
        </w:rPr>
        <w:t>（4）因质疑事项而受损害的权益；</w:t>
      </w:r>
    </w:p>
    <w:p w14:paraId="1C29B91B">
      <w:pPr>
        <w:ind w:firstLine="420" w:firstLineChars="200"/>
        <w:rPr>
          <w:rFonts w:hint="eastAsia" w:ascii="宋体" w:hAnsi="宋体"/>
          <w:szCs w:val="21"/>
        </w:rPr>
      </w:pPr>
      <w:r>
        <w:rPr>
          <w:rFonts w:hint="eastAsia" w:ascii="宋体" w:hAnsi="宋体"/>
          <w:szCs w:val="21"/>
        </w:rPr>
        <w:t>（5）事实依据；</w:t>
      </w:r>
    </w:p>
    <w:p w14:paraId="72164609">
      <w:pPr>
        <w:ind w:firstLine="420" w:firstLineChars="200"/>
        <w:rPr>
          <w:rFonts w:hint="eastAsia" w:ascii="宋体" w:hAnsi="宋体"/>
          <w:szCs w:val="21"/>
        </w:rPr>
      </w:pPr>
      <w:r>
        <w:rPr>
          <w:rFonts w:hint="eastAsia" w:ascii="宋体" w:hAnsi="宋体"/>
          <w:szCs w:val="21"/>
        </w:rPr>
        <w:t>（6）必要的法律依据；</w:t>
      </w:r>
    </w:p>
    <w:p w14:paraId="52380C0B">
      <w:pPr>
        <w:ind w:firstLine="420" w:firstLineChars="200"/>
        <w:rPr>
          <w:rFonts w:hint="eastAsia" w:ascii="宋体" w:hAnsi="宋体"/>
          <w:szCs w:val="21"/>
        </w:rPr>
      </w:pPr>
      <w:r>
        <w:rPr>
          <w:rFonts w:hint="eastAsia" w:ascii="宋体" w:hAnsi="宋体"/>
          <w:szCs w:val="21"/>
        </w:rPr>
        <w:t>（7）提出质疑的日期。</w:t>
      </w:r>
    </w:p>
    <w:p w14:paraId="613FA957">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531C99F4">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2AFE52CA">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20580CDD">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D2A0346">
      <w:pPr>
        <w:ind w:firstLine="420" w:firstLineChars="200"/>
        <w:rPr>
          <w:rFonts w:hint="eastAsia" w:ascii="宋体" w:hAnsi="宋体"/>
          <w:szCs w:val="21"/>
        </w:rPr>
      </w:pPr>
      <w:r>
        <w:rPr>
          <w:rFonts w:hint="eastAsia" w:ascii="宋体" w:hAnsi="宋体"/>
          <w:szCs w:val="21"/>
        </w:rPr>
        <w:t>52.5收文地点</w:t>
      </w:r>
    </w:p>
    <w:p w14:paraId="203C5C22">
      <w:pPr>
        <w:ind w:firstLine="422" w:firstLineChars="200"/>
        <w:rPr>
          <w:rFonts w:hint="eastAsia" w:ascii="宋体" w:hAnsi="宋体"/>
          <w:b/>
          <w:bCs/>
          <w:szCs w:val="21"/>
        </w:rPr>
      </w:pPr>
      <w:r>
        <w:rPr>
          <w:rFonts w:hint="eastAsia" w:ascii="宋体" w:hAnsi="宋体"/>
          <w:b/>
          <w:bCs/>
          <w:szCs w:val="21"/>
        </w:rPr>
        <w:t>地址：深圳公共资源交易中心（深圳交易集团有限公司</w:t>
      </w:r>
      <w:r>
        <w:rPr>
          <w:rFonts w:hint="eastAsia" w:ascii="宋体" w:hAnsi="宋体"/>
          <w:b/>
          <w:bCs/>
          <w:szCs w:val="21"/>
          <w:lang w:eastAsia="zh-CN"/>
        </w:rPr>
        <w:t>龙岗</w:t>
      </w:r>
      <w:r>
        <w:rPr>
          <w:rFonts w:hint="eastAsia" w:ascii="宋体" w:hAnsi="宋体"/>
          <w:b/>
          <w:bCs/>
          <w:szCs w:val="21"/>
        </w:rPr>
        <w:t>分公司）。</w:t>
      </w:r>
    </w:p>
    <w:p w14:paraId="35CB9E48">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0C6CCEE7">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F010D58">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1C3EF5E7">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746B693B">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14939DC7">
      <w:pPr>
        <w:ind w:firstLine="420" w:firstLineChars="200"/>
        <w:rPr>
          <w:rFonts w:hint="eastAsia" w:ascii="宋体" w:hAnsi="宋体"/>
          <w:szCs w:val="21"/>
        </w:rPr>
      </w:pPr>
      <w:r>
        <w:rPr>
          <w:rFonts w:hint="eastAsia" w:ascii="宋体" w:hAnsi="宋体"/>
          <w:szCs w:val="21"/>
        </w:rPr>
        <w:t>（1）质疑主体不满足要求的；</w:t>
      </w:r>
    </w:p>
    <w:p w14:paraId="0839CFB8">
      <w:pPr>
        <w:ind w:firstLine="420" w:firstLineChars="200"/>
        <w:rPr>
          <w:rFonts w:hint="eastAsia" w:ascii="宋体" w:hAnsi="宋体"/>
          <w:szCs w:val="21"/>
        </w:rPr>
      </w:pPr>
      <w:r>
        <w:rPr>
          <w:rFonts w:hint="eastAsia" w:ascii="宋体" w:hAnsi="宋体"/>
          <w:szCs w:val="21"/>
        </w:rPr>
        <w:t>（2）供应商自身权益未受到损害的；</w:t>
      </w:r>
    </w:p>
    <w:p w14:paraId="35A2DA5C">
      <w:pPr>
        <w:ind w:firstLine="420" w:firstLineChars="200"/>
        <w:rPr>
          <w:rFonts w:hint="eastAsia" w:ascii="宋体" w:hAnsi="宋体"/>
          <w:szCs w:val="21"/>
        </w:rPr>
      </w:pPr>
      <w:r>
        <w:rPr>
          <w:rFonts w:hint="eastAsia" w:ascii="宋体" w:hAnsi="宋体"/>
          <w:szCs w:val="21"/>
        </w:rPr>
        <w:t>（3）供应商未在法定质疑期限内提出质疑的；</w:t>
      </w:r>
    </w:p>
    <w:p w14:paraId="6AEE5042">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4DB7F21">
      <w:pPr>
        <w:ind w:firstLine="420" w:firstLineChars="200"/>
        <w:rPr>
          <w:rFonts w:hint="eastAsia" w:ascii="宋体" w:hAnsi="宋体"/>
          <w:szCs w:val="21"/>
        </w:rPr>
      </w:pPr>
      <w:r>
        <w:rPr>
          <w:rFonts w:hint="eastAsia" w:ascii="宋体" w:hAnsi="宋体"/>
          <w:szCs w:val="21"/>
        </w:rPr>
        <w:t>（5）其他不符合受理条件情形的。</w:t>
      </w:r>
    </w:p>
    <w:p w14:paraId="286E5B93">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6B3C4D74">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99DE043">
      <w:pPr>
        <w:rPr>
          <w:rFonts w:hint="eastAsia" w:ascii="宋体" w:hAnsi="宋体"/>
          <w:szCs w:val="21"/>
        </w:rPr>
      </w:pPr>
      <w:r>
        <w:rPr>
          <w:rFonts w:hint="eastAsia" w:ascii="宋体" w:hAnsi="宋体"/>
          <w:szCs w:val="21"/>
        </w:rPr>
        <w:t xml:space="preserve">    自收文之日起七个工作日内。</w:t>
      </w:r>
    </w:p>
    <w:p w14:paraId="2966DE40">
      <w:pPr>
        <w:rPr>
          <w:rFonts w:hint="eastAsia" w:ascii="宋体" w:hAnsi="宋体"/>
          <w:szCs w:val="21"/>
        </w:rPr>
      </w:pPr>
      <w:r>
        <w:rPr>
          <w:rFonts w:hint="eastAsia" w:ascii="宋体" w:hAnsi="宋体"/>
          <w:szCs w:val="21"/>
        </w:rPr>
        <w:t xml:space="preserve">    52.8投诉</w:t>
      </w:r>
    </w:p>
    <w:p w14:paraId="3E5685C6">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szCs w:val="21"/>
          <w:highlight w:val="yellow"/>
        </w:rPr>
        <w:t>采购人</w:t>
      </w:r>
      <w:r>
        <w:rPr>
          <w:rFonts w:hint="eastAsia" w:ascii="宋体" w:hAnsi="宋体"/>
          <w:szCs w:val="21"/>
        </w:rPr>
        <w:t>投诉。</w:t>
      </w:r>
    </w:p>
    <w:p w14:paraId="7CE9E4E6">
      <w:pPr>
        <w:rPr>
          <w:rFonts w:hint="eastAsia" w:ascii="黑体" w:hAnsi="宋体" w:eastAsia="黑体"/>
          <w:sz w:val="24"/>
        </w:rPr>
      </w:pPr>
      <w:r>
        <w:rPr>
          <w:rFonts w:hint="eastAsia" w:ascii="黑体" w:hAnsi="宋体" w:eastAsia="黑体"/>
          <w:sz w:val="24"/>
        </w:rPr>
        <w:t>53. 质疑后续处理</w:t>
      </w:r>
    </w:p>
    <w:p w14:paraId="740048F3">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7C2ED8F4">
      <w:pPr>
        <w:ind w:firstLine="420"/>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1AE0E65">
      <w:pPr>
        <w:jc w:val="center"/>
      </w:pPr>
      <w:r>
        <w:t>---- END ----</w:t>
      </w:r>
    </w:p>
    <w:p w14:paraId="6DBF76CA">
      <w:pPr>
        <w:pStyle w:val="54"/>
        <w:rPr>
          <w:rFonts w:hint="eastAsia"/>
        </w:rPr>
      </w:pPr>
    </w:p>
    <w:p w14:paraId="52E46DAB">
      <w:pPr>
        <w:pStyle w:val="5"/>
        <w:rPr>
          <w:rFonts w:hint="eastAsia"/>
          <w:sz w:val="28"/>
          <w:szCs w:val="28"/>
        </w:rPr>
      </w:pPr>
    </w:p>
    <w:sectPr>
      <w:headerReference r:id="rId5" w:type="default"/>
      <w:footerReference r:id="rId6" w:type="default"/>
      <w:pgSz w:w="11907" w:h="16840"/>
      <w:pgMar w:top="1440" w:right="1797" w:bottom="1440" w:left="1797" w:header="851" w:footer="992" w:gutter="0"/>
      <w:pgBorders>
        <w:top w:val="none" w:sz="0" w:space="0"/>
        <w:left w:val="none" w:sz="0" w:space="0"/>
        <w:bottom w:val="none" w:sz="0" w:space="0"/>
        <w:right w:val="none" w:sz="0" w:space="0"/>
      </w:pgBorders>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8653">
    <w:pPr>
      <w:pStyle w:val="28"/>
      <w:framePr w:wrap="around" w:vAnchor="text" w:hAnchor="margin" w:xAlign="center" w:y="1"/>
      <w:rPr>
        <w:rStyle w:val="49"/>
      </w:rPr>
    </w:pPr>
    <w:r>
      <w:t xml:space="preserve">- </w:t>
    </w:r>
    <w:r>
      <w:fldChar w:fldCharType="begin"/>
    </w:r>
    <w:r>
      <w:instrText xml:space="preserve"> PAGE </w:instrText>
    </w:r>
    <w:r>
      <w:fldChar w:fldCharType="separate"/>
    </w:r>
    <w:r>
      <w:t>32</w:t>
    </w:r>
    <w:r>
      <w:fldChar w:fldCharType="end"/>
    </w:r>
    <w:r>
      <w:t xml:space="preserve"> -</w:t>
    </w:r>
  </w:p>
  <w:p w14:paraId="7617948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6068F">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D1C00">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F12E">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15208"/>
    <w:multiLevelType w:val="singleLevel"/>
    <w:tmpl w:val="84F15208"/>
    <w:lvl w:ilvl="0" w:tentative="0">
      <w:start w:val="1"/>
      <w:numFmt w:val="decimal"/>
      <w:lvlText w:val="%1."/>
      <w:lvlJc w:val="left"/>
      <w:pPr>
        <w:ind w:left="425" w:hanging="425"/>
      </w:pPr>
      <w:rPr>
        <w:rFonts w:hint="default"/>
      </w:rPr>
    </w:lvl>
  </w:abstractNum>
  <w:abstractNum w:abstractNumId="1">
    <w:nsid w:val="AB40386F"/>
    <w:multiLevelType w:val="singleLevel"/>
    <w:tmpl w:val="AB40386F"/>
    <w:lvl w:ilvl="0" w:tentative="0">
      <w:start w:val="1"/>
      <w:numFmt w:val="decimal"/>
      <w:suff w:val="nothing"/>
      <w:lvlText w:val="%1、"/>
      <w:lvlJc w:val="left"/>
    </w:lvl>
  </w:abstractNum>
  <w:abstractNum w:abstractNumId="2">
    <w:nsid w:val="B609221C"/>
    <w:multiLevelType w:val="singleLevel"/>
    <w:tmpl w:val="B609221C"/>
    <w:lvl w:ilvl="0" w:tentative="0">
      <w:start w:val="1"/>
      <w:numFmt w:val="decimal"/>
      <w:suff w:val="nothing"/>
      <w:lvlText w:val="%1、"/>
      <w:lvlJc w:val="left"/>
    </w:lvl>
  </w:abstractNum>
  <w:abstractNum w:abstractNumId="3">
    <w:nsid w:val="B9358C2E"/>
    <w:multiLevelType w:val="singleLevel"/>
    <w:tmpl w:val="B9358C2E"/>
    <w:lvl w:ilvl="0" w:tentative="0">
      <w:start w:val="2"/>
      <w:numFmt w:val="decimal"/>
      <w:suff w:val="nothing"/>
      <w:lvlText w:val="%1、"/>
      <w:lvlJc w:val="left"/>
    </w:lvl>
  </w:abstractNum>
  <w:abstractNum w:abstractNumId="4">
    <w:nsid w:val="FFFFFF7C"/>
    <w:multiLevelType w:val="singleLevel"/>
    <w:tmpl w:val="FFFFFF7C"/>
    <w:lvl w:ilvl="0" w:tentative="0">
      <w:start w:val="1"/>
      <w:numFmt w:val="decimal"/>
      <w:pStyle w:val="62"/>
      <w:lvlText w:val="%1."/>
      <w:lvlJc w:val="left"/>
      <w:pPr>
        <w:tabs>
          <w:tab w:val="left" w:pos="7994"/>
        </w:tabs>
        <w:ind w:left="7994" w:leftChars="800" w:hanging="360" w:hangingChars="200"/>
      </w:pPr>
    </w:lvl>
  </w:abstractNum>
  <w:abstractNum w:abstractNumId="5">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6">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2503483"/>
    <w:multiLevelType w:val="multilevel"/>
    <w:tmpl w:val="12503483"/>
    <w:lvl w:ilvl="0" w:tentative="0">
      <w:start w:val="1"/>
      <w:numFmt w:val="bullet"/>
      <w:pStyle w:val="110"/>
      <w:lvlText w:val=""/>
      <w:lvlJc w:val="left"/>
      <w:pPr>
        <w:tabs>
          <w:tab w:val="left" w:pos="420"/>
        </w:tabs>
        <w:ind w:left="420" w:hanging="420"/>
      </w:pPr>
      <w:rPr>
        <w:rFonts w:hint="default" w:ascii="Wingdings" w:hAnsi="Wingdings"/>
      </w:rPr>
    </w:lvl>
    <w:lvl w:ilvl="1" w:tentative="0">
      <w:start w:val="1"/>
      <w:numFmt w:val="bullet"/>
      <w:pStyle w:val="109"/>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78"/>
      <w:lvlText w:val=""/>
      <w:lvlJc w:val="left"/>
      <w:pPr>
        <w:tabs>
          <w:tab w:val="left" w:pos="840"/>
        </w:tabs>
        <w:ind w:left="840" w:hanging="420"/>
      </w:pPr>
      <w:rPr>
        <w:rFonts w:hint="default" w:ascii="Wingdings" w:hAnsi="Wingdings"/>
      </w:rPr>
    </w:lvl>
    <w:lvl w:ilvl="1" w:tentative="0">
      <w:start w:val="1"/>
      <w:numFmt w:val="bullet"/>
      <w:pStyle w:val="79"/>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7CC0035"/>
    <w:multiLevelType w:val="singleLevel"/>
    <w:tmpl w:val="27CC0035"/>
    <w:lvl w:ilvl="0" w:tentative="0">
      <w:start w:val="1"/>
      <w:numFmt w:val="decimal"/>
      <w:lvlText w:val="%1."/>
      <w:lvlJc w:val="left"/>
      <w:pPr>
        <w:ind w:left="425" w:hanging="425"/>
      </w:pPr>
      <w:rPr>
        <w:rFonts w:hint="default"/>
      </w:rPr>
    </w:lvl>
  </w:abstractNum>
  <w:abstractNum w:abstractNumId="10">
    <w:nsid w:val="2F395B7B"/>
    <w:multiLevelType w:val="multilevel"/>
    <w:tmpl w:val="2F395B7B"/>
    <w:lvl w:ilvl="0" w:tentative="0">
      <w:start w:val="1"/>
      <w:numFmt w:val="bullet"/>
      <w:pStyle w:val="170"/>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34232161"/>
    <w:multiLevelType w:val="singleLevel"/>
    <w:tmpl w:val="34232161"/>
    <w:lvl w:ilvl="0" w:tentative="0">
      <w:start w:val="2"/>
      <w:numFmt w:val="decimal"/>
      <w:suff w:val="nothing"/>
      <w:lvlText w:val="（%1）"/>
      <w:lvlJc w:val="left"/>
    </w:lvl>
  </w:abstractNum>
  <w:abstractNum w:abstractNumId="12">
    <w:nsid w:val="7AEF7716"/>
    <w:multiLevelType w:val="multilevel"/>
    <w:tmpl w:val="7AEF7716"/>
    <w:lvl w:ilvl="0" w:tentative="0">
      <w:start w:val="1"/>
      <w:numFmt w:val="chineseCountingThousand"/>
      <w:pStyle w:val="123"/>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8"/>
  </w:num>
  <w:num w:numId="4">
    <w:abstractNumId w:val="7"/>
  </w:num>
  <w:num w:numId="5">
    <w:abstractNumId w:val="12"/>
  </w:num>
  <w:num w:numId="6">
    <w:abstractNumId w:val="10"/>
  </w:num>
  <w:num w:numId="7">
    <w:abstractNumId w:val="1"/>
  </w:num>
  <w:num w:numId="8">
    <w:abstractNumId w:val="11"/>
  </w:num>
  <w:num w:numId="9">
    <w:abstractNumId w:val="9"/>
  </w:num>
  <w:num w:numId="10">
    <w:abstractNumId w:val="2"/>
  </w:num>
  <w:num w:numId="11">
    <w:abstractNumId w:val="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hideSpellingErrors/>
  <w:trackRevisions w:val="1"/>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MmEzODE2ZGZhMTdlY2MxN2FiYTQzNmUyZjRlMjY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094C"/>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9D4"/>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243"/>
    <w:rsid w:val="00361633"/>
    <w:rsid w:val="00361935"/>
    <w:rsid w:val="003626AE"/>
    <w:rsid w:val="0036292A"/>
    <w:rsid w:val="00362AF3"/>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50D6"/>
    <w:rsid w:val="0059519C"/>
    <w:rsid w:val="00595524"/>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6008F1"/>
    <w:rsid w:val="00601714"/>
    <w:rsid w:val="00601735"/>
    <w:rsid w:val="00602BD2"/>
    <w:rsid w:val="00604980"/>
    <w:rsid w:val="0060614D"/>
    <w:rsid w:val="006100A4"/>
    <w:rsid w:val="00610871"/>
    <w:rsid w:val="00610E48"/>
    <w:rsid w:val="00610FE0"/>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85E"/>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90F1F"/>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8CD"/>
    <w:rsid w:val="007839A9"/>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405"/>
    <w:rsid w:val="009B6D8D"/>
    <w:rsid w:val="009B729E"/>
    <w:rsid w:val="009B7498"/>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D89"/>
    <w:rsid w:val="00A63EF3"/>
    <w:rsid w:val="00A650F1"/>
    <w:rsid w:val="00A6526E"/>
    <w:rsid w:val="00A65DA4"/>
    <w:rsid w:val="00A66E04"/>
    <w:rsid w:val="00A67194"/>
    <w:rsid w:val="00A671B3"/>
    <w:rsid w:val="00A67864"/>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610F"/>
    <w:rsid w:val="00B576E1"/>
    <w:rsid w:val="00B6088D"/>
    <w:rsid w:val="00B608F1"/>
    <w:rsid w:val="00B60F79"/>
    <w:rsid w:val="00B61158"/>
    <w:rsid w:val="00B6252C"/>
    <w:rsid w:val="00B62CBE"/>
    <w:rsid w:val="00B62EFD"/>
    <w:rsid w:val="00B63999"/>
    <w:rsid w:val="00B63B4A"/>
    <w:rsid w:val="00B63E1F"/>
    <w:rsid w:val="00B641C5"/>
    <w:rsid w:val="00B64F8D"/>
    <w:rsid w:val="00B6533C"/>
    <w:rsid w:val="00B6538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15D3"/>
    <w:rsid w:val="00B8270D"/>
    <w:rsid w:val="00B827F1"/>
    <w:rsid w:val="00B82B33"/>
    <w:rsid w:val="00B8384C"/>
    <w:rsid w:val="00B83AF4"/>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3772"/>
    <w:rsid w:val="00C24AE3"/>
    <w:rsid w:val="00C25082"/>
    <w:rsid w:val="00C2570A"/>
    <w:rsid w:val="00C265D4"/>
    <w:rsid w:val="00C26DC6"/>
    <w:rsid w:val="00C27447"/>
    <w:rsid w:val="00C275FC"/>
    <w:rsid w:val="00C30615"/>
    <w:rsid w:val="00C30715"/>
    <w:rsid w:val="00C30D84"/>
    <w:rsid w:val="00C3131B"/>
    <w:rsid w:val="00C317A7"/>
    <w:rsid w:val="00C33614"/>
    <w:rsid w:val="00C33AEC"/>
    <w:rsid w:val="00C357CB"/>
    <w:rsid w:val="00C35C8E"/>
    <w:rsid w:val="00C36B1D"/>
    <w:rsid w:val="00C3742C"/>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3B64"/>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12F"/>
    <w:rsid w:val="00C94499"/>
    <w:rsid w:val="00C9491A"/>
    <w:rsid w:val="00C94BE9"/>
    <w:rsid w:val="00C95701"/>
    <w:rsid w:val="00C95DD7"/>
    <w:rsid w:val="00C95ED6"/>
    <w:rsid w:val="00C96BBB"/>
    <w:rsid w:val="00CA04D5"/>
    <w:rsid w:val="00CA0F7D"/>
    <w:rsid w:val="00CA1AC8"/>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5C07"/>
    <w:rsid w:val="00CF5CFC"/>
    <w:rsid w:val="00D00272"/>
    <w:rsid w:val="00D00AF5"/>
    <w:rsid w:val="00D00E75"/>
    <w:rsid w:val="00D00EE2"/>
    <w:rsid w:val="00D01917"/>
    <w:rsid w:val="00D01EBC"/>
    <w:rsid w:val="00D036AC"/>
    <w:rsid w:val="00D03DE1"/>
    <w:rsid w:val="00D03EDD"/>
    <w:rsid w:val="00D03EEF"/>
    <w:rsid w:val="00D04F08"/>
    <w:rsid w:val="00D050BB"/>
    <w:rsid w:val="00D058B9"/>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9031D"/>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4509"/>
    <w:rsid w:val="00E94A0D"/>
    <w:rsid w:val="00E9558B"/>
    <w:rsid w:val="00E95A44"/>
    <w:rsid w:val="00E95D1B"/>
    <w:rsid w:val="00E969A4"/>
    <w:rsid w:val="00E9735C"/>
    <w:rsid w:val="00EA0266"/>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9C3"/>
    <w:rsid w:val="00FA6AAC"/>
    <w:rsid w:val="00FA6CBC"/>
    <w:rsid w:val="00FA6D48"/>
    <w:rsid w:val="00FA7027"/>
    <w:rsid w:val="00FA7775"/>
    <w:rsid w:val="00FA7EC0"/>
    <w:rsid w:val="00FB1729"/>
    <w:rsid w:val="00FB30A2"/>
    <w:rsid w:val="00FB4993"/>
    <w:rsid w:val="00FC072E"/>
    <w:rsid w:val="00FC1364"/>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1E42FB"/>
    <w:rsid w:val="012146C6"/>
    <w:rsid w:val="014F03EF"/>
    <w:rsid w:val="015D35F5"/>
    <w:rsid w:val="01780A7A"/>
    <w:rsid w:val="01B80B7A"/>
    <w:rsid w:val="01E55D35"/>
    <w:rsid w:val="01F72B36"/>
    <w:rsid w:val="02095687"/>
    <w:rsid w:val="02743188"/>
    <w:rsid w:val="02AC10D3"/>
    <w:rsid w:val="02E64E9F"/>
    <w:rsid w:val="034033B2"/>
    <w:rsid w:val="03B866D0"/>
    <w:rsid w:val="03C40B3F"/>
    <w:rsid w:val="03E11E16"/>
    <w:rsid w:val="043A51CC"/>
    <w:rsid w:val="045D1075"/>
    <w:rsid w:val="04833B9D"/>
    <w:rsid w:val="04936845"/>
    <w:rsid w:val="049D525B"/>
    <w:rsid w:val="04BF0AD6"/>
    <w:rsid w:val="04E470A0"/>
    <w:rsid w:val="04FC5581"/>
    <w:rsid w:val="050270C0"/>
    <w:rsid w:val="0513143C"/>
    <w:rsid w:val="05821997"/>
    <w:rsid w:val="05891928"/>
    <w:rsid w:val="05BF24C9"/>
    <w:rsid w:val="05DF0DF0"/>
    <w:rsid w:val="06465F5A"/>
    <w:rsid w:val="06565D7C"/>
    <w:rsid w:val="06C559AF"/>
    <w:rsid w:val="06DE520E"/>
    <w:rsid w:val="07554285"/>
    <w:rsid w:val="0775586D"/>
    <w:rsid w:val="07E165F2"/>
    <w:rsid w:val="07EC528E"/>
    <w:rsid w:val="07FE491D"/>
    <w:rsid w:val="081C64DD"/>
    <w:rsid w:val="083E1B6F"/>
    <w:rsid w:val="08435461"/>
    <w:rsid w:val="08435AFA"/>
    <w:rsid w:val="087109F5"/>
    <w:rsid w:val="08AF0DE8"/>
    <w:rsid w:val="090C7C1B"/>
    <w:rsid w:val="0929095D"/>
    <w:rsid w:val="09493091"/>
    <w:rsid w:val="099077F7"/>
    <w:rsid w:val="09FF0058"/>
    <w:rsid w:val="0A914C01"/>
    <w:rsid w:val="0A960E3D"/>
    <w:rsid w:val="0AD31787"/>
    <w:rsid w:val="0ADD6816"/>
    <w:rsid w:val="0AF96D6A"/>
    <w:rsid w:val="0B912479"/>
    <w:rsid w:val="0B927856"/>
    <w:rsid w:val="0BCC39BB"/>
    <w:rsid w:val="0C2520CA"/>
    <w:rsid w:val="0C2661F0"/>
    <w:rsid w:val="0C4C5587"/>
    <w:rsid w:val="0C6D2071"/>
    <w:rsid w:val="0C7777A9"/>
    <w:rsid w:val="0C937D2A"/>
    <w:rsid w:val="0CD30126"/>
    <w:rsid w:val="0CFC3FE1"/>
    <w:rsid w:val="0D490A8D"/>
    <w:rsid w:val="0DC668EA"/>
    <w:rsid w:val="0DC93D4A"/>
    <w:rsid w:val="0E172E1A"/>
    <w:rsid w:val="0E214EC1"/>
    <w:rsid w:val="0E5643EF"/>
    <w:rsid w:val="0E6E6F80"/>
    <w:rsid w:val="0EF3745D"/>
    <w:rsid w:val="0F7A7451"/>
    <w:rsid w:val="0F953AB1"/>
    <w:rsid w:val="0FF94323"/>
    <w:rsid w:val="102962AF"/>
    <w:rsid w:val="1065378B"/>
    <w:rsid w:val="107A34BF"/>
    <w:rsid w:val="107A51CD"/>
    <w:rsid w:val="108D4A90"/>
    <w:rsid w:val="10993984"/>
    <w:rsid w:val="10E57012"/>
    <w:rsid w:val="10E67EAB"/>
    <w:rsid w:val="110D1AD5"/>
    <w:rsid w:val="11925F20"/>
    <w:rsid w:val="11A3785C"/>
    <w:rsid w:val="11C91423"/>
    <w:rsid w:val="1203536E"/>
    <w:rsid w:val="12105979"/>
    <w:rsid w:val="123821EC"/>
    <w:rsid w:val="12584AF5"/>
    <w:rsid w:val="1283439D"/>
    <w:rsid w:val="12E96032"/>
    <w:rsid w:val="12EC0F8D"/>
    <w:rsid w:val="13560879"/>
    <w:rsid w:val="1360648C"/>
    <w:rsid w:val="13AA7707"/>
    <w:rsid w:val="13D4431F"/>
    <w:rsid w:val="142919F4"/>
    <w:rsid w:val="14E54E1F"/>
    <w:rsid w:val="151B0A69"/>
    <w:rsid w:val="151D38BF"/>
    <w:rsid w:val="1575445F"/>
    <w:rsid w:val="158B5F79"/>
    <w:rsid w:val="15A25C0B"/>
    <w:rsid w:val="15BA18F1"/>
    <w:rsid w:val="15BF1762"/>
    <w:rsid w:val="15F31C73"/>
    <w:rsid w:val="160650C5"/>
    <w:rsid w:val="161A1EE6"/>
    <w:rsid w:val="165C3CB7"/>
    <w:rsid w:val="16BA40A9"/>
    <w:rsid w:val="16E54E7B"/>
    <w:rsid w:val="16F47498"/>
    <w:rsid w:val="17051BB8"/>
    <w:rsid w:val="17727A45"/>
    <w:rsid w:val="17B46597"/>
    <w:rsid w:val="17E4768B"/>
    <w:rsid w:val="181638D8"/>
    <w:rsid w:val="18841AD7"/>
    <w:rsid w:val="18932E60"/>
    <w:rsid w:val="18A015D3"/>
    <w:rsid w:val="18A521C4"/>
    <w:rsid w:val="18C96255"/>
    <w:rsid w:val="1944578F"/>
    <w:rsid w:val="198E1224"/>
    <w:rsid w:val="19A766B9"/>
    <w:rsid w:val="19AF5A77"/>
    <w:rsid w:val="19B1604A"/>
    <w:rsid w:val="19B95C26"/>
    <w:rsid w:val="19CE5CE6"/>
    <w:rsid w:val="19E0318B"/>
    <w:rsid w:val="19E46AD9"/>
    <w:rsid w:val="1A011025"/>
    <w:rsid w:val="1A126E19"/>
    <w:rsid w:val="1A652503"/>
    <w:rsid w:val="1A78230D"/>
    <w:rsid w:val="1A7A5D34"/>
    <w:rsid w:val="1AC668AF"/>
    <w:rsid w:val="1B325F2A"/>
    <w:rsid w:val="1B3312E4"/>
    <w:rsid w:val="1B405AA4"/>
    <w:rsid w:val="1B506DE6"/>
    <w:rsid w:val="1B62301A"/>
    <w:rsid w:val="1BD64BDC"/>
    <w:rsid w:val="1C1F1E0E"/>
    <w:rsid w:val="1C1F3E4C"/>
    <w:rsid w:val="1C7E392A"/>
    <w:rsid w:val="1CF12935"/>
    <w:rsid w:val="1CF96B9F"/>
    <w:rsid w:val="1D190873"/>
    <w:rsid w:val="1D4B710C"/>
    <w:rsid w:val="1D926818"/>
    <w:rsid w:val="1DCF425D"/>
    <w:rsid w:val="1DE3725E"/>
    <w:rsid w:val="1E330E9C"/>
    <w:rsid w:val="1E340CEE"/>
    <w:rsid w:val="1E9C6591"/>
    <w:rsid w:val="1F170346"/>
    <w:rsid w:val="1F507A92"/>
    <w:rsid w:val="1FD21930"/>
    <w:rsid w:val="1FEE7D30"/>
    <w:rsid w:val="1FFC12EA"/>
    <w:rsid w:val="20043B19"/>
    <w:rsid w:val="203A1396"/>
    <w:rsid w:val="205539DD"/>
    <w:rsid w:val="20685BB8"/>
    <w:rsid w:val="20BE2A44"/>
    <w:rsid w:val="20BE2B36"/>
    <w:rsid w:val="20D17B68"/>
    <w:rsid w:val="2112344B"/>
    <w:rsid w:val="21481A39"/>
    <w:rsid w:val="219A1B7F"/>
    <w:rsid w:val="21B22A5C"/>
    <w:rsid w:val="21E65C8F"/>
    <w:rsid w:val="22396E3D"/>
    <w:rsid w:val="22460F43"/>
    <w:rsid w:val="22B6112A"/>
    <w:rsid w:val="235220CD"/>
    <w:rsid w:val="23AA6A32"/>
    <w:rsid w:val="23B32608"/>
    <w:rsid w:val="23C9229F"/>
    <w:rsid w:val="23ED7090"/>
    <w:rsid w:val="23F24EDE"/>
    <w:rsid w:val="24195A43"/>
    <w:rsid w:val="245D31B5"/>
    <w:rsid w:val="247D5ABB"/>
    <w:rsid w:val="24826101"/>
    <w:rsid w:val="25387269"/>
    <w:rsid w:val="25735D35"/>
    <w:rsid w:val="25784A9C"/>
    <w:rsid w:val="25853B30"/>
    <w:rsid w:val="2596668B"/>
    <w:rsid w:val="25BE3D0C"/>
    <w:rsid w:val="25E16A45"/>
    <w:rsid w:val="25F11338"/>
    <w:rsid w:val="25F46AB0"/>
    <w:rsid w:val="26B17DE7"/>
    <w:rsid w:val="26B73837"/>
    <w:rsid w:val="27217B54"/>
    <w:rsid w:val="274348DC"/>
    <w:rsid w:val="274719E5"/>
    <w:rsid w:val="275431F5"/>
    <w:rsid w:val="277D1EE5"/>
    <w:rsid w:val="27A31B59"/>
    <w:rsid w:val="27B87AF2"/>
    <w:rsid w:val="27EE3E21"/>
    <w:rsid w:val="286C3B37"/>
    <w:rsid w:val="289002C6"/>
    <w:rsid w:val="28B86003"/>
    <w:rsid w:val="28C71A62"/>
    <w:rsid w:val="29095062"/>
    <w:rsid w:val="293801B5"/>
    <w:rsid w:val="298A23AD"/>
    <w:rsid w:val="29CB18B6"/>
    <w:rsid w:val="29DA77F1"/>
    <w:rsid w:val="2A1F5C2B"/>
    <w:rsid w:val="2B033371"/>
    <w:rsid w:val="2B067EC8"/>
    <w:rsid w:val="2B3A56AF"/>
    <w:rsid w:val="2BB71443"/>
    <w:rsid w:val="2BB90B6E"/>
    <w:rsid w:val="2BDC0BC9"/>
    <w:rsid w:val="2BF00047"/>
    <w:rsid w:val="2C0853D9"/>
    <w:rsid w:val="2C240F34"/>
    <w:rsid w:val="2C261ED0"/>
    <w:rsid w:val="2C64115C"/>
    <w:rsid w:val="2C70392E"/>
    <w:rsid w:val="2D0B54A3"/>
    <w:rsid w:val="2D230138"/>
    <w:rsid w:val="2D355E3C"/>
    <w:rsid w:val="2D6F4378"/>
    <w:rsid w:val="2DC749A6"/>
    <w:rsid w:val="2DED1D9C"/>
    <w:rsid w:val="2DFF521E"/>
    <w:rsid w:val="2E344345"/>
    <w:rsid w:val="2E590BD6"/>
    <w:rsid w:val="2EA0509E"/>
    <w:rsid w:val="2F3F3850"/>
    <w:rsid w:val="2F815A0A"/>
    <w:rsid w:val="2F884949"/>
    <w:rsid w:val="2FD477B7"/>
    <w:rsid w:val="2FF73D1D"/>
    <w:rsid w:val="300801AF"/>
    <w:rsid w:val="3009697D"/>
    <w:rsid w:val="30104524"/>
    <w:rsid w:val="30113460"/>
    <w:rsid w:val="30204AC3"/>
    <w:rsid w:val="304B4E50"/>
    <w:rsid w:val="304F5466"/>
    <w:rsid w:val="3063463F"/>
    <w:rsid w:val="308F3CFA"/>
    <w:rsid w:val="30E262DA"/>
    <w:rsid w:val="312F7772"/>
    <w:rsid w:val="31A11AE9"/>
    <w:rsid w:val="31C45C63"/>
    <w:rsid w:val="31FC3EF9"/>
    <w:rsid w:val="322E5E24"/>
    <w:rsid w:val="324B16F5"/>
    <w:rsid w:val="32807B59"/>
    <w:rsid w:val="32CF303F"/>
    <w:rsid w:val="32FB0035"/>
    <w:rsid w:val="33235F77"/>
    <w:rsid w:val="33421C25"/>
    <w:rsid w:val="33460DA3"/>
    <w:rsid w:val="3350673E"/>
    <w:rsid w:val="33977D4F"/>
    <w:rsid w:val="33B67A9F"/>
    <w:rsid w:val="33E02E1C"/>
    <w:rsid w:val="34102937"/>
    <w:rsid w:val="341D63B4"/>
    <w:rsid w:val="346C42A4"/>
    <w:rsid w:val="34833930"/>
    <w:rsid w:val="34BD6E42"/>
    <w:rsid w:val="34E24AFB"/>
    <w:rsid w:val="34E60A39"/>
    <w:rsid w:val="3513289C"/>
    <w:rsid w:val="351D0A98"/>
    <w:rsid w:val="354F755A"/>
    <w:rsid w:val="355C0DE1"/>
    <w:rsid w:val="35893F26"/>
    <w:rsid w:val="35951B6D"/>
    <w:rsid w:val="35F03911"/>
    <w:rsid w:val="361D3B28"/>
    <w:rsid w:val="36383DD0"/>
    <w:rsid w:val="36C0037B"/>
    <w:rsid w:val="36F1018E"/>
    <w:rsid w:val="374C2700"/>
    <w:rsid w:val="37503F9E"/>
    <w:rsid w:val="376857B1"/>
    <w:rsid w:val="377622CB"/>
    <w:rsid w:val="3780685D"/>
    <w:rsid w:val="37BA2F63"/>
    <w:rsid w:val="37C81053"/>
    <w:rsid w:val="37E817A5"/>
    <w:rsid w:val="38704532"/>
    <w:rsid w:val="38AA04E2"/>
    <w:rsid w:val="38B04014"/>
    <w:rsid w:val="38B643C2"/>
    <w:rsid w:val="38C15957"/>
    <w:rsid w:val="38D77AF6"/>
    <w:rsid w:val="38DA1EF9"/>
    <w:rsid w:val="38E050B1"/>
    <w:rsid w:val="38FC0F21"/>
    <w:rsid w:val="393D75AA"/>
    <w:rsid w:val="394E75C1"/>
    <w:rsid w:val="39600993"/>
    <w:rsid w:val="398A2C99"/>
    <w:rsid w:val="39B41E0D"/>
    <w:rsid w:val="39B853D1"/>
    <w:rsid w:val="39DB34A5"/>
    <w:rsid w:val="3A3C23C2"/>
    <w:rsid w:val="3A3E27D3"/>
    <w:rsid w:val="3AA0244D"/>
    <w:rsid w:val="3B040851"/>
    <w:rsid w:val="3BA76A03"/>
    <w:rsid w:val="3BB717A6"/>
    <w:rsid w:val="3BE30FA7"/>
    <w:rsid w:val="3BF40129"/>
    <w:rsid w:val="3BFE1F56"/>
    <w:rsid w:val="3C002C09"/>
    <w:rsid w:val="3C137C90"/>
    <w:rsid w:val="3C270EB1"/>
    <w:rsid w:val="3C4A5633"/>
    <w:rsid w:val="3C56385D"/>
    <w:rsid w:val="3C895347"/>
    <w:rsid w:val="3CDF3135"/>
    <w:rsid w:val="3CE41001"/>
    <w:rsid w:val="3D177A29"/>
    <w:rsid w:val="3D1D0F09"/>
    <w:rsid w:val="3D4153BD"/>
    <w:rsid w:val="3D5F51FB"/>
    <w:rsid w:val="3D5F6F75"/>
    <w:rsid w:val="3D605B64"/>
    <w:rsid w:val="3D6E7621"/>
    <w:rsid w:val="3DB66D48"/>
    <w:rsid w:val="3DD551FD"/>
    <w:rsid w:val="3DFB5183"/>
    <w:rsid w:val="3E42676A"/>
    <w:rsid w:val="3F26350E"/>
    <w:rsid w:val="3F2B5786"/>
    <w:rsid w:val="3F3E428E"/>
    <w:rsid w:val="3F513CB1"/>
    <w:rsid w:val="3F89552E"/>
    <w:rsid w:val="3FA86688"/>
    <w:rsid w:val="3FB269C3"/>
    <w:rsid w:val="3FB9057C"/>
    <w:rsid w:val="3FD032C7"/>
    <w:rsid w:val="3FDB1D7E"/>
    <w:rsid w:val="3FE870C2"/>
    <w:rsid w:val="40187C87"/>
    <w:rsid w:val="405F4E39"/>
    <w:rsid w:val="406D3E71"/>
    <w:rsid w:val="40767C0D"/>
    <w:rsid w:val="40E45FD9"/>
    <w:rsid w:val="410061AC"/>
    <w:rsid w:val="41390199"/>
    <w:rsid w:val="413E22CD"/>
    <w:rsid w:val="41571D6E"/>
    <w:rsid w:val="41B06223"/>
    <w:rsid w:val="41B829D4"/>
    <w:rsid w:val="41E77728"/>
    <w:rsid w:val="41F8244F"/>
    <w:rsid w:val="421F601D"/>
    <w:rsid w:val="42482AD4"/>
    <w:rsid w:val="424A2571"/>
    <w:rsid w:val="42566C0D"/>
    <w:rsid w:val="42714011"/>
    <w:rsid w:val="42896114"/>
    <w:rsid w:val="42BE5CDC"/>
    <w:rsid w:val="430C0C47"/>
    <w:rsid w:val="432B6014"/>
    <w:rsid w:val="435559B0"/>
    <w:rsid w:val="437E6337"/>
    <w:rsid w:val="43A73423"/>
    <w:rsid w:val="43E62EC8"/>
    <w:rsid w:val="443E7269"/>
    <w:rsid w:val="44AC22B9"/>
    <w:rsid w:val="44F1429A"/>
    <w:rsid w:val="451275EF"/>
    <w:rsid w:val="459C606B"/>
    <w:rsid w:val="45A83C1C"/>
    <w:rsid w:val="46C076E7"/>
    <w:rsid w:val="46CC258D"/>
    <w:rsid w:val="46D17522"/>
    <w:rsid w:val="46E42C4A"/>
    <w:rsid w:val="472C7633"/>
    <w:rsid w:val="47385FC3"/>
    <w:rsid w:val="474256D1"/>
    <w:rsid w:val="475D2AB1"/>
    <w:rsid w:val="47D965EA"/>
    <w:rsid w:val="48186FE3"/>
    <w:rsid w:val="48C3442B"/>
    <w:rsid w:val="48D43EA7"/>
    <w:rsid w:val="48EA0098"/>
    <w:rsid w:val="48ED46B3"/>
    <w:rsid w:val="49352AAB"/>
    <w:rsid w:val="4939352B"/>
    <w:rsid w:val="49451217"/>
    <w:rsid w:val="496D4057"/>
    <w:rsid w:val="49807693"/>
    <w:rsid w:val="49BF2665"/>
    <w:rsid w:val="49C56BCC"/>
    <w:rsid w:val="49D82CEC"/>
    <w:rsid w:val="49E44F5F"/>
    <w:rsid w:val="4A2A2D74"/>
    <w:rsid w:val="4A986521"/>
    <w:rsid w:val="4AD36F68"/>
    <w:rsid w:val="4ADA6DED"/>
    <w:rsid w:val="4B5E0F27"/>
    <w:rsid w:val="4B885FA4"/>
    <w:rsid w:val="4BC16430"/>
    <w:rsid w:val="4BE72D78"/>
    <w:rsid w:val="4BFD54DB"/>
    <w:rsid w:val="4C164FBE"/>
    <w:rsid w:val="4C271A49"/>
    <w:rsid w:val="4C325CE4"/>
    <w:rsid w:val="4C623D84"/>
    <w:rsid w:val="4CDE39A2"/>
    <w:rsid w:val="4CE935CD"/>
    <w:rsid w:val="4CF94C73"/>
    <w:rsid w:val="4DAE7818"/>
    <w:rsid w:val="4DC55A54"/>
    <w:rsid w:val="4DD637A3"/>
    <w:rsid w:val="4DEA0C18"/>
    <w:rsid w:val="4DF60365"/>
    <w:rsid w:val="4E0D2787"/>
    <w:rsid w:val="4E0D453F"/>
    <w:rsid w:val="4E537D88"/>
    <w:rsid w:val="4E5E2A3C"/>
    <w:rsid w:val="4E7B22CD"/>
    <w:rsid w:val="4ECD27ED"/>
    <w:rsid w:val="4EF179BD"/>
    <w:rsid w:val="4F227A3B"/>
    <w:rsid w:val="4F2B0C9E"/>
    <w:rsid w:val="4F3124AF"/>
    <w:rsid w:val="4FCD0FCF"/>
    <w:rsid w:val="4FDB49B8"/>
    <w:rsid w:val="4FEC07C0"/>
    <w:rsid w:val="4FF35972"/>
    <w:rsid w:val="4FF813ED"/>
    <w:rsid w:val="50043987"/>
    <w:rsid w:val="502F5B05"/>
    <w:rsid w:val="505144B9"/>
    <w:rsid w:val="509960DB"/>
    <w:rsid w:val="50DE0A30"/>
    <w:rsid w:val="50F67A62"/>
    <w:rsid w:val="510E78E7"/>
    <w:rsid w:val="51574F3C"/>
    <w:rsid w:val="51866903"/>
    <w:rsid w:val="51D73B45"/>
    <w:rsid w:val="51F21254"/>
    <w:rsid w:val="52132340"/>
    <w:rsid w:val="523258FE"/>
    <w:rsid w:val="525B6FE6"/>
    <w:rsid w:val="52940567"/>
    <w:rsid w:val="52DF6974"/>
    <w:rsid w:val="53292792"/>
    <w:rsid w:val="53695371"/>
    <w:rsid w:val="53AE105A"/>
    <w:rsid w:val="53B57275"/>
    <w:rsid w:val="53C41B44"/>
    <w:rsid w:val="540A2A63"/>
    <w:rsid w:val="54A27FE5"/>
    <w:rsid w:val="54E126EC"/>
    <w:rsid w:val="551A77A3"/>
    <w:rsid w:val="552B71DA"/>
    <w:rsid w:val="55BB0D24"/>
    <w:rsid w:val="55C80ACA"/>
    <w:rsid w:val="55F9355F"/>
    <w:rsid w:val="5606548A"/>
    <w:rsid w:val="564837DC"/>
    <w:rsid w:val="56562CF2"/>
    <w:rsid w:val="566D5329"/>
    <w:rsid w:val="56927A26"/>
    <w:rsid w:val="572A016E"/>
    <w:rsid w:val="5730509E"/>
    <w:rsid w:val="573D71DF"/>
    <w:rsid w:val="577D0663"/>
    <w:rsid w:val="57AA2B3B"/>
    <w:rsid w:val="57AE734F"/>
    <w:rsid w:val="581C2A2E"/>
    <w:rsid w:val="58236A15"/>
    <w:rsid w:val="583016CC"/>
    <w:rsid w:val="58321EC6"/>
    <w:rsid w:val="58501D07"/>
    <w:rsid w:val="585A3C87"/>
    <w:rsid w:val="58620FD6"/>
    <w:rsid w:val="586757C9"/>
    <w:rsid w:val="58807305"/>
    <w:rsid w:val="58A34626"/>
    <w:rsid w:val="58A446B9"/>
    <w:rsid w:val="58DF11CE"/>
    <w:rsid w:val="59791DC6"/>
    <w:rsid w:val="597C3E85"/>
    <w:rsid w:val="59A654A4"/>
    <w:rsid w:val="59B30690"/>
    <w:rsid w:val="59CF46A6"/>
    <w:rsid w:val="59E55CBB"/>
    <w:rsid w:val="5A0126DE"/>
    <w:rsid w:val="5A0C7DA1"/>
    <w:rsid w:val="5A2F24DA"/>
    <w:rsid w:val="5A7C494D"/>
    <w:rsid w:val="5ABF28B9"/>
    <w:rsid w:val="5AC22B45"/>
    <w:rsid w:val="5ADD3C34"/>
    <w:rsid w:val="5B24477E"/>
    <w:rsid w:val="5B743E4F"/>
    <w:rsid w:val="5BCA3A6F"/>
    <w:rsid w:val="5BE70AC5"/>
    <w:rsid w:val="5CEC42B2"/>
    <w:rsid w:val="5D12364D"/>
    <w:rsid w:val="5D5F6EC4"/>
    <w:rsid w:val="5D652999"/>
    <w:rsid w:val="5D6730F6"/>
    <w:rsid w:val="5D8D7C8E"/>
    <w:rsid w:val="5D9C1373"/>
    <w:rsid w:val="5DC61182"/>
    <w:rsid w:val="5DDB3655"/>
    <w:rsid w:val="5DF4208A"/>
    <w:rsid w:val="5E123C25"/>
    <w:rsid w:val="5E2935C7"/>
    <w:rsid w:val="5E515E45"/>
    <w:rsid w:val="5E643D94"/>
    <w:rsid w:val="5E6E14AE"/>
    <w:rsid w:val="5E8748C3"/>
    <w:rsid w:val="5E8819C0"/>
    <w:rsid w:val="5EB43E99"/>
    <w:rsid w:val="5EB54CAB"/>
    <w:rsid w:val="5EC74A26"/>
    <w:rsid w:val="5EDA4E15"/>
    <w:rsid w:val="5EDE3BFC"/>
    <w:rsid w:val="5EEA182F"/>
    <w:rsid w:val="5EEC4F2C"/>
    <w:rsid w:val="5F137888"/>
    <w:rsid w:val="5F21609C"/>
    <w:rsid w:val="5F3118C0"/>
    <w:rsid w:val="5F362174"/>
    <w:rsid w:val="5F382F4C"/>
    <w:rsid w:val="5F5652B7"/>
    <w:rsid w:val="5F6C0876"/>
    <w:rsid w:val="5F93061C"/>
    <w:rsid w:val="5FAD15EE"/>
    <w:rsid w:val="60103A97"/>
    <w:rsid w:val="601B22B0"/>
    <w:rsid w:val="607168E6"/>
    <w:rsid w:val="609B14DB"/>
    <w:rsid w:val="60C1328E"/>
    <w:rsid w:val="60C90799"/>
    <w:rsid w:val="610C012A"/>
    <w:rsid w:val="61237EB8"/>
    <w:rsid w:val="61312D31"/>
    <w:rsid w:val="61622839"/>
    <w:rsid w:val="61FC3A17"/>
    <w:rsid w:val="623A3232"/>
    <w:rsid w:val="624C3ACF"/>
    <w:rsid w:val="62635F1B"/>
    <w:rsid w:val="626A1B08"/>
    <w:rsid w:val="629666C7"/>
    <w:rsid w:val="62D81168"/>
    <w:rsid w:val="63091321"/>
    <w:rsid w:val="633C34A4"/>
    <w:rsid w:val="63723E5E"/>
    <w:rsid w:val="63BA64B1"/>
    <w:rsid w:val="63F2576A"/>
    <w:rsid w:val="63FA13F4"/>
    <w:rsid w:val="64232B20"/>
    <w:rsid w:val="64365814"/>
    <w:rsid w:val="64A95D2E"/>
    <w:rsid w:val="64C86B13"/>
    <w:rsid w:val="64CB312C"/>
    <w:rsid w:val="64DB3FFC"/>
    <w:rsid w:val="64DD0CB7"/>
    <w:rsid w:val="64E32783"/>
    <w:rsid w:val="65007F4E"/>
    <w:rsid w:val="65404DA2"/>
    <w:rsid w:val="65633210"/>
    <w:rsid w:val="6585379C"/>
    <w:rsid w:val="658A3520"/>
    <w:rsid w:val="66072141"/>
    <w:rsid w:val="66207B33"/>
    <w:rsid w:val="662D4763"/>
    <w:rsid w:val="664513D6"/>
    <w:rsid w:val="664B644A"/>
    <w:rsid w:val="666B09B5"/>
    <w:rsid w:val="66885224"/>
    <w:rsid w:val="66BA43AC"/>
    <w:rsid w:val="66C425C7"/>
    <w:rsid w:val="67000CC4"/>
    <w:rsid w:val="67236729"/>
    <w:rsid w:val="67397FD4"/>
    <w:rsid w:val="677360E3"/>
    <w:rsid w:val="67F65590"/>
    <w:rsid w:val="68D357B0"/>
    <w:rsid w:val="68E21A43"/>
    <w:rsid w:val="68F669DD"/>
    <w:rsid w:val="695D5F23"/>
    <w:rsid w:val="69962BD5"/>
    <w:rsid w:val="69A518C9"/>
    <w:rsid w:val="69CB7493"/>
    <w:rsid w:val="69D4537F"/>
    <w:rsid w:val="6A365264"/>
    <w:rsid w:val="6A8D6CDC"/>
    <w:rsid w:val="6AB30BF4"/>
    <w:rsid w:val="6AD0599B"/>
    <w:rsid w:val="6AF71DA0"/>
    <w:rsid w:val="6B1940CB"/>
    <w:rsid w:val="6B981DF8"/>
    <w:rsid w:val="6B9D025C"/>
    <w:rsid w:val="6BA75FB6"/>
    <w:rsid w:val="6BCA0C7C"/>
    <w:rsid w:val="6BFE0F28"/>
    <w:rsid w:val="6BFF52D4"/>
    <w:rsid w:val="6C59487A"/>
    <w:rsid w:val="6CDA2501"/>
    <w:rsid w:val="6CFA54CA"/>
    <w:rsid w:val="6D202140"/>
    <w:rsid w:val="6D342340"/>
    <w:rsid w:val="6D9B19E5"/>
    <w:rsid w:val="6DD3292E"/>
    <w:rsid w:val="6E984CF8"/>
    <w:rsid w:val="6F5E0FC0"/>
    <w:rsid w:val="6F6F4E5B"/>
    <w:rsid w:val="6FAB61BE"/>
    <w:rsid w:val="6FCD69D4"/>
    <w:rsid w:val="709055B0"/>
    <w:rsid w:val="70A80E7F"/>
    <w:rsid w:val="70E241C6"/>
    <w:rsid w:val="71034F30"/>
    <w:rsid w:val="71603DA0"/>
    <w:rsid w:val="722515A8"/>
    <w:rsid w:val="722E2B52"/>
    <w:rsid w:val="728B1D53"/>
    <w:rsid w:val="72991E28"/>
    <w:rsid w:val="72A746B3"/>
    <w:rsid w:val="72D26514"/>
    <w:rsid w:val="7310706F"/>
    <w:rsid w:val="74564E86"/>
    <w:rsid w:val="74C434B7"/>
    <w:rsid w:val="753D3F57"/>
    <w:rsid w:val="756D573F"/>
    <w:rsid w:val="75BA3232"/>
    <w:rsid w:val="75CC2F93"/>
    <w:rsid w:val="76156657"/>
    <w:rsid w:val="765440E5"/>
    <w:rsid w:val="76564134"/>
    <w:rsid w:val="76A16BB3"/>
    <w:rsid w:val="76D10E3F"/>
    <w:rsid w:val="76E35326"/>
    <w:rsid w:val="76EB17F6"/>
    <w:rsid w:val="77747E1D"/>
    <w:rsid w:val="778411AD"/>
    <w:rsid w:val="77901832"/>
    <w:rsid w:val="77AC6648"/>
    <w:rsid w:val="77B9304C"/>
    <w:rsid w:val="78440AD8"/>
    <w:rsid w:val="786B73C0"/>
    <w:rsid w:val="78857573"/>
    <w:rsid w:val="789442E7"/>
    <w:rsid w:val="78E74F63"/>
    <w:rsid w:val="79652BD2"/>
    <w:rsid w:val="798013C0"/>
    <w:rsid w:val="79DD6591"/>
    <w:rsid w:val="79F41288"/>
    <w:rsid w:val="7A3C3932"/>
    <w:rsid w:val="7A634C39"/>
    <w:rsid w:val="7A6B1587"/>
    <w:rsid w:val="7AB644FB"/>
    <w:rsid w:val="7B1E65F5"/>
    <w:rsid w:val="7B9F5272"/>
    <w:rsid w:val="7BBB7C03"/>
    <w:rsid w:val="7BE14791"/>
    <w:rsid w:val="7C0741E9"/>
    <w:rsid w:val="7C0C3890"/>
    <w:rsid w:val="7C230F73"/>
    <w:rsid w:val="7D0751C9"/>
    <w:rsid w:val="7D1B52B4"/>
    <w:rsid w:val="7D3744CD"/>
    <w:rsid w:val="7D7173A1"/>
    <w:rsid w:val="7DB23C95"/>
    <w:rsid w:val="7DC0406A"/>
    <w:rsid w:val="7E433576"/>
    <w:rsid w:val="7E491BE7"/>
    <w:rsid w:val="7E7212E6"/>
    <w:rsid w:val="7EAF5740"/>
    <w:rsid w:val="7EED3340"/>
    <w:rsid w:val="7F727327"/>
    <w:rsid w:val="7FCB4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autoRedefine/>
    <w:qFormat/>
    <w:uiPriority w:val="0"/>
    <w:pPr>
      <w:spacing w:before="340" w:after="330" w:line="360" w:lineRule="auto"/>
      <w:jc w:val="center"/>
      <w:outlineLvl w:val="0"/>
    </w:pPr>
    <w:rPr>
      <w:rFonts w:eastAsia="黑体"/>
      <w:kern w:val="44"/>
      <w:szCs w:val="44"/>
    </w:rPr>
  </w:style>
  <w:style w:type="paragraph" w:styleId="5">
    <w:name w:val="heading 2"/>
    <w:basedOn w:val="1"/>
    <w:next w:val="4"/>
    <w:link w:val="74"/>
    <w:autoRedefine/>
    <w:qFormat/>
    <w:uiPriority w:val="0"/>
    <w:pPr>
      <w:adjustRightInd w:val="0"/>
      <w:jc w:val="center"/>
      <w:textAlignment w:val="baseline"/>
      <w:outlineLvl w:val="1"/>
    </w:pPr>
    <w:rPr>
      <w:kern w:val="0"/>
      <w:sz w:val="24"/>
      <w:szCs w:val="20"/>
    </w:rPr>
  </w:style>
  <w:style w:type="paragraph" w:styleId="3">
    <w:name w:val="heading 3"/>
    <w:basedOn w:val="4"/>
    <w:next w:val="1"/>
    <w:link w:val="58"/>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56"/>
    <w:autoRedefine/>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3"/>
    <w:autoRedefine/>
    <w:qFormat/>
    <w:uiPriority w:val="0"/>
    <w:pPr>
      <w:keepNext/>
      <w:keepLines/>
      <w:spacing w:before="280" w:after="290" w:line="376" w:lineRule="auto"/>
      <w:outlineLvl w:val="4"/>
    </w:pPr>
    <w:rPr>
      <w:b/>
      <w:sz w:val="28"/>
      <w:szCs w:val="20"/>
    </w:rPr>
  </w:style>
  <w:style w:type="paragraph" w:styleId="8">
    <w:name w:val="heading 6"/>
    <w:basedOn w:val="1"/>
    <w:next w:val="7"/>
    <w:link w:val="86"/>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7"/>
    <w:autoRedefine/>
    <w:qFormat/>
    <w:uiPriority w:val="0"/>
    <w:pPr>
      <w:keepNext/>
      <w:keepLines/>
      <w:spacing w:before="240" w:after="64" w:line="320" w:lineRule="auto"/>
      <w:outlineLvl w:val="6"/>
    </w:pPr>
    <w:rPr>
      <w:b/>
      <w:sz w:val="24"/>
      <w:szCs w:val="20"/>
    </w:rPr>
  </w:style>
  <w:style w:type="paragraph" w:styleId="10">
    <w:name w:val="heading 8"/>
    <w:basedOn w:val="1"/>
    <w:next w:val="7"/>
    <w:link w:val="88"/>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89"/>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60"/>
    <w:autoRedefine/>
    <w:qFormat/>
    <w:uiPriority w:val="0"/>
    <w:pPr>
      <w:ind w:firstLine="420"/>
    </w:pPr>
    <w:rPr>
      <w:szCs w:val="20"/>
    </w:rPr>
  </w:style>
  <w:style w:type="paragraph" w:styleId="12">
    <w:name w:val="toc 7"/>
    <w:basedOn w:val="1"/>
    <w:next w:val="1"/>
    <w:autoRedefine/>
    <w:semiHidden/>
    <w:qFormat/>
    <w:uiPriority w:val="0"/>
    <w:pPr>
      <w:ind w:left="1260"/>
      <w:jc w:val="left"/>
    </w:pPr>
    <w:rPr>
      <w:szCs w:val="21"/>
    </w:rPr>
  </w:style>
  <w:style w:type="paragraph" w:styleId="13">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autoRedefine/>
    <w:qFormat/>
    <w:uiPriority w:val="0"/>
    <w:pPr>
      <w:numPr>
        <w:ilvl w:val="0"/>
        <w:numId w:val="1"/>
      </w:numPr>
    </w:pPr>
    <w:rPr>
      <w:szCs w:val="20"/>
    </w:rPr>
  </w:style>
  <w:style w:type="paragraph" w:styleId="15">
    <w:name w:val="Document Map"/>
    <w:basedOn w:val="1"/>
    <w:autoRedefine/>
    <w:semiHidden/>
    <w:qFormat/>
    <w:uiPriority w:val="0"/>
    <w:pPr>
      <w:shd w:val="clear" w:color="auto" w:fill="000080"/>
    </w:pPr>
  </w:style>
  <w:style w:type="paragraph" w:styleId="16">
    <w:name w:val="annotation text"/>
    <w:basedOn w:val="1"/>
    <w:link w:val="187"/>
    <w:autoRedefine/>
    <w:semiHidden/>
    <w:qFormat/>
    <w:uiPriority w:val="99"/>
    <w:pPr>
      <w:autoSpaceDE w:val="0"/>
      <w:autoSpaceDN w:val="0"/>
      <w:adjustRightInd w:val="0"/>
      <w:jc w:val="left"/>
      <w:textAlignment w:val="baseline"/>
    </w:pPr>
    <w:rPr>
      <w:rFonts w:ascii="宋体"/>
      <w:kern w:val="0"/>
      <w:sz w:val="34"/>
      <w:szCs w:val="20"/>
    </w:rPr>
  </w:style>
  <w:style w:type="paragraph" w:styleId="17">
    <w:name w:val="Body Text 3"/>
    <w:basedOn w:val="1"/>
    <w:link w:val="101"/>
    <w:autoRedefine/>
    <w:qFormat/>
    <w:uiPriority w:val="0"/>
    <w:pPr>
      <w:spacing w:after="120"/>
    </w:pPr>
    <w:rPr>
      <w:sz w:val="16"/>
      <w:szCs w:val="16"/>
    </w:rPr>
  </w:style>
  <w:style w:type="paragraph" w:styleId="18">
    <w:name w:val="Body Text"/>
    <w:basedOn w:val="1"/>
    <w:next w:val="1"/>
    <w:link w:val="95"/>
    <w:autoRedefine/>
    <w:qFormat/>
    <w:uiPriority w:val="0"/>
    <w:pPr>
      <w:spacing w:line="360" w:lineRule="auto"/>
    </w:pPr>
    <w:rPr>
      <w:b/>
      <w:bCs/>
      <w:sz w:val="24"/>
    </w:rPr>
  </w:style>
  <w:style w:type="paragraph" w:styleId="19">
    <w:name w:val="Body Text Indent"/>
    <w:basedOn w:val="1"/>
    <w:link w:val="82"/>
    <w:autoRedefine/>
    <w:qFormat/>
    <w:uiPriority w:val="0"/>
    <w:pPr>
      <w:spacing w:line="360" w:lineRule="auto"/>
      <w:ind w:firstLine="420" w:firstLineChars="200"/>
    </w:pPr>
  </w:style>
  <w:style w:type="paragraph" w:styleId="20">
    <w:name w:val="Block Text"/>
    <w:basedOn w:val="1"/>
    <w:qFormat/>
    <w:uiPriority w:val="0"/>
    <w:pPr>
      <w:spacing w:line="360" w:lineRule="auto"/>
      <w:ind w:left="-85" w:right="-244" w:firstLine="435"/>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3"/>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1"/>
    <w:autoRedefine/>
    <w:qFormat/>
    <w:uiPriority w:val="0"/>
    <w:rPr>
      <w:rFonts w:ascii="宋体" w:hAnsi="Courier New"/>
      <w:sz w:val="32"/>
      <w:szCs w:val="20"/>
    </w:rPr>
  </w:style>
  <w:style w:type="paragraph" w:styleId="26">
    <w:name w:val="Body Text Indent 2"/>
    <w:basedOn w:val="1"/>
    <w:link w:val="96"/>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2"/>
    <w:autoRedefine/>
    <w:semiHidden/>
    <w:qFormat/>
    <w:uiPriority w:val="99"/>
    <w:rPr>
      <w:sz w:val="18"/>
      <w:szCs w:val="18"/>
    </w:rPr>
  </w:style>
  <w:style w:type="paragraph" w:styleId="28">
    <w:name w:val="footer"/>
    <w:basedOn w:val="1"/>
    <w:link w:val="100"/>
    <w:autoRedefine/>
    <w:qFormat/>
    <w:uiPriority w:val="0"/>
    <w:pPr>
      <w:tabs>
        <w:tab w:val="center" w:pos="4153"/>
        <w:tab w:val="right" w:pos="8306"/>
      </w:tabs>
      <w:snapToGrid w:val="0"/>
      <w:jc w:val="left"/>
    </w:pPr>
    <w:rPr>
      <w:sz w:val="18"/>
      <w:szCs w:val="18"/>
    </w:rPr>
  </w:style>
  <w:style w:type="paragraph" w:styleId="29">
    <w:name w:val="header"/>
    <w:basedOn w:val="1"/>
    <w:link w:val="97"/>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Subtitle"/>
    <w:next w:val="1"/>
    <w:link w:val="312"/>
    <w:autoRedefine/>
    <w:qFormat/>
    <w:uiPriority w:val="0"/>
    <w:pPr>
      <w:wordWrap w:val="0"/>
      <w:spacing w:after="60"/>
      <w:jc w:val="center"/>
    </w:pPr>
    <w:rPr>
      <w:rFonts w:ascii="Calibri" w:hAnsi="Calibri" w:eastAsia="宋体" w:cs="Times New Roman"/>
      <w:sz w:val="24"/>
      <w:lang w:val="en-US" w:eastAsia="zh-CN" w:bidi="ar-SA"/>
    </w:rPr>
  </w:style>
  <w:style w:type="paragraph" w:styleId="33">
    <w:name w:val="toc 6"/>
    <w:basedOn w:val="1"/>
    <w:next w:val="1"/>
    <w:autoRedefine/>
    <w:semiHidden/>
    <w:qFormat/>
    <w:uiPriority w:val="0"/>
    <w:pPr>
      <w:ind w:left="1050"/>
      <w:jc w:val="left"/>
    </w:pPr>
    <w:rPr>
      <w:szCs w:val="21"/>
    </w:rPr>
  </w:style>
  <w:style w:type="paragraph" w:styleId="34">
    <w:name w:val="Body Text Indent 3"/>
    <w:basedOn w:val="1"/>
    <w:link w:val="98"/>
    <w:autoRedefine/>
    <w:qFormat/>
    <w:uiPriority w:val="0"/>
    <w:pPr>
      <w:spacing w:line="360" w:lineRule="auto"/>
      <w:ind w:firstLine="482" w:firstLineChars="200"/>
    </w:pPr>
    <w:rPr>
      <w:rFonts w:ascii="宋体"/>
      <w:b/>
      <w:bCs/>
      <w:sz w:val="24"/>
    </w:rPr>
  </w:style>
  <w:style w:type="paragraph" w:styleId="35">
    <w:name w:val="toc 2"/>
    <w:basedOn w:val="1"/>
    <w:next w:val="1"/>
    <w:autoRedefine/>
    <w:semiHidden/>
    <w:qFormat/>
    <w:uiPriority w:val="0"/>
    <w:pPr>
      <w:tabs>
        <w:tab w:val="right" w:leader="dot" w:pos="8296"/>
      </w:tabs>
      <w:ind w:left="210"/>
      <w:jc w:val="left"/>
    </w:pPr>
    <w:rPr>
      <w:smallCaps/>
    </w:rPr>
  </w:style>
  <w:style w:type="paragraph" w:styleId="36">
    <w:name w:val="toc 9"/>
    <w:basedOn w:val="1"/>
    <w:next w:val="1"/>
    <w:autoRedefine/>
    <w:semiHidden/>
    <w:qFormat/>
    <w:uiPriority w:val="0"/>
    <w:pPr>
      <w:ind w:left="1680"/>
      <w:jc w:val="left"/>
    </w:pPr>
    <w:rPr>
      <w:szCs w:val="21"/>
    </w:rPr>
  </w:style>
  <w:style w:type="paragraph" w:styleId="37">
    <w:name w:val="Body Text 2"/>
    <w:basedOn w:val="1"/>
    <w:link w:val="99"/>
    <w:autoRedefine/>
    <w:qFormat/>
    <w:uiPriority w:val="0"/>
    <w:pPr>
      <w:spacing w:line="360" w:lineRule="auto"/>
    </w:pPr>
    <w:rPr>
      <w:sz w:val="24"/>
    </w:rPr>
  </w:style>
  <w:style w:type="paragraph" w:styleId="38">
    <w:name w:val="HTML Preformatted"/>
    <w:basedOn w:val="1"/>
    <w:link w:val="9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9">
    <w:name w:val="Normal (Web)"/>
    <w:basedOn w:val="1"/>
    <w:autoRedefine/>
    <w:qFormat/>
    <w:uiPriority w:val="99"/>
    <w:pPr>
      <w:spacing w:beforeAutospacing="1" w:afterAutospacing="1"/>
      <w:jc w:val="left"/>
    </w:pPr>
    <w:rPr>
      <w:kern w:val="0"/>
      <w:sz w:val="24"/>
    </w:rPr>
  </w:style>
  <w:style w:type="paragraph" w:styleId="40">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1">
    <w:name w:val="Title"/>
    <w:basedOn w:val="1"/>
    <w:next w:val="1"/>
    <w:link w:val="90"/>
    <w:autoRedefine/>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6"/>
    <w:next w:val="16"/>
    <w:link w:val="188"/>
    <w:autoRedefine/>
    <w:qFormat/>
    <w:uiPriority w:val="99"/>
    <w:pPr>
      <w:autoSpaceDE/>
      <w:autoSpaceDN/>
      <w:adjustRightInd/>
      <w:textAlignment w:val="auto"/>
    </w:pPr>
    <w:rPr>
      <w:rFonts w:ascii="Times New Roman"/>
      <w:b/>
      <w:bCs/>
      <w:kern w:val="2"/>
      <w:sz w:val="21"/>
      <w:szCs w:val="24"/>
    </w:rPr>
  </w:style>
  <w:style w:type="paragraph" w:styleId="43">
    <w:name w:val="Body Text First Indent"/>
    <w:basedOn w:val="18"/>
    <w:link w:val="133"/>
    <w:autoRedefine/>
    <w:qFormat/>
    <w:uiPriority w:val="0"/>
    <w:pPr>
      <w:spacing w:after="120" w:line="240" w:lineRule="auto"/>
      <w:ind w:firstLine="420" w:firstLineChars="100"/>
    </w:pPr>
    <w:rPr>
      <w:sz w:val="21"/>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Elegant"/>
    <w:basedOn w:val="44"/>
    <w:autoRedefine/>
    <w:qFormat/>
    <w:uiPriority w:val="0"/>
    <w:pPr>
      <w:widowControl w:val="0"/>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basedOn w:val="47"/>
    <w:autoRedefine/>
    <w:qFormat/>
    <w:uiPriority w:val="0"/>
    <w:rPr>
      <w:sz w:val="20"/>
    </w:rPr>
  </w:style>
  <w:style w:type="character" w:styleId="52">
    <w:name w:val="Hyperlink"/>
    <w:autoRedefine/>
    <w:qFormat/>
    <w:uiPriority w:val="0"/>
    <w:rPr>
      <w:color w:val="0000FF"/>
      <w:u w:val="single"/>
    </w:rPr>
  </w:style>
  <w:style w:type="character" w:styleId="53">
    <w:name w:val="annotation reference"/>
    <w:basedOn w:val="47"/>
    <w:autoRedefine/>
    <w:qFormat/>
    <w:uiPriority w:val="99"/>
    <w:rPr>
      <w:sz w:val="21"/>
      <w:szCs w:val="21"/>
    </w:rPr>
  </w:style>
  <w:style w:type="paragraph" w:styleId="5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55">
    <w:name w:val="纯文本1"/>
    <w:basedOn w:val="1"/>
    <w:qFormat/>
    <w:uiPriority w:val="0"/>
    <w:rPr>
      <w:rFonts w:ascii="宋体" w:hAnsi="Courier New"/>
      <w:szCs w:val="20"/>
    </w:rPr>
  </w:style>
  <w:style w:type="character" w:customStyle="1" w:styleId="56">
    <w:name w:val="标题 4 Char"/>
    <w:link w:val="4"/>
    <w:autoRedefine/>
    <w:qFormat/>
    <w:uiPriority w:val="9"/>
    <w:rPr>
      <w:rFonts w:ascii="Arial" w:hAnsi="Arial" w:eastAsia="黑体"/>
      <w:b/>
      <w:bCs/>
      <w:kern w:val="2"/>
      <w:sz w:val="28"/>
      <w:szCs w:val="28"/>
      <w:lang w:val="en-US" w:eastAsia="zh-CN" w:bidi="ar-SA"/>
    </w:rPr>
  </w:style>
  <w:style w:type="paragraph" w:customStyle="1" w:styleId="57">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8">
    <w:name w:val="标题 3 Char1"/>
    <w:link w:val="3"/>
    <w:autoRedefine/>
    <w:qFormat/>
    <w:uiPriority w:val="9"/>
    <w:rPr>
      <w:rFonts w:ascii="宋体" w:hAnsi="宋体" w:eastAsia="宋体"/>
      <w:b/>
      <w:bCs/>
      <w:kern w:val="2"/>
      <w:sz w:val="28"/>
      <w:szCs w:val="32"/>
      <w:lang w:val="en-US" w:eastAsia="zh-CN" w:bidi="ar-SA"/>
    </w:rPr>
  </w:style>
  <w:style w:type="character" w:customStyle="1" w:styleId="59">
    <w:name w:val="标题 1 Char"/>
    <w:link w:val="2"/>
    <w:autoRedefine/>
    <w:qFormat/>
    <w:uiPriority w:val="0"/>
    <w:rPr>
      <w:rFonts w:ascii="宋体" w:hAnsi="宋体" w:eastAsia="黑体"/>
      <w:b/>
      <w:bCs/>
      <w:kern w:val="44"/>
      <w:sz w:val="28"/>
      <w:szCs w:val="44"/>
      <w:lang w:val="en-US" w:eastAsia="zh-CN" w:bidi="ar-SA"/>
    </w:rPr>
  </w:style>
  <w:style w:type="character" w:customStyle="1" w:styleId="60">
    <w:name w:val="正文缩进 Char"/>
    <w:link w:val="7"/>
    <w:autoRedefine/>
    <w:qFormat/>
    <w:uiPriority w:val="0"/>
    <w:rPr>
      <w:rFonts w:eastAsia="宋体"/>
      <w:kern w:val="2"/>
      <w:sz w:val="21"/>
      <w:lang w:val="en-US" w:eastAsia="zh-CN" w:bidi="ar-SA"/>
    </w:rPr>
  </w:style>
  <w:style w:type="character" w:customStyle="1" w:styleId="61">
    <w:name w:val="标题 3 Char"/>
    <w:autoRedefine/>
    <w:qFormat/>
    <w:uiPriority w:val="0"/>
    <w:rPr>
      <w:rFonts w:ascii="黑体" w:eastAsia="黑体"/>
      <w:bCs/>
      <w:sz w:val="30"/>
    </w:rPr>
  </w:style>
  <w:style w:type="paragraph" w:customStyle="1" w:styleId="62">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3">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4">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7">
    <w:name w:val="Char Char Char 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9">
    <w:name w:val="自定义正文"/>
    <w:basedOn w:val="1"/>
    <w:autoRedefine/>
    <w:qFormat/>
    <w:uiPriority w:val="0"/>
    <w:pPr>
      <w:spacing w:afterLines="50"/>
      <w:ind w:left="600" w:leftChars="600"/>
    </w:pPr>
  </w:style>
  <w:style w:type="paragraph" w:customStyle="1" w:styleId="70">
    <w:name w:val="Char Char Char Char Char"/>
    <w:basedOn w:val="1"/>
    <w:autoRedefine/>
    <w:qFormat/>
    <w:uiPriority w:val="0"/>
    <w:rPr>
      <w:rFonts w:ascii="Tahoma" w:hAnsi="Tahoma"/>
      <w:sz w:val="24"/>
      <w:szCs w:val="20"/>
    </w:rPr>
  </w:style>
  <w:style w:type="paragraph" w:customStyle="1" w:styleId="71">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2">
    <w:name w:val="Char Char"/>
    <w:basedOn w:val="1"/>
    <w:autoRedefine/>
    <w:qFormat/>
    <w:uiPriority w:val="0"/>
    <w:rPr>
      <w:rFonts w:ascii="Tahoma" w:hAnsi="Tahoma"/>
      <w:sz w:val="24"/>
      <w:szCs w:val="20"/>
    </w:rPr>
  </w:style>
  <w:style w:type="paragraph" w:customStyle="1" w:styleId="73">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4">
    <w:name w:val="标题 2 Char"/>
    <w:link w:val="5"/>
    <w:autoRedefine/>
    <w:qFormat/>
    <w:uiPriority w:val="0"/>
    <w:rPr>
      <w:rFonts w:ascii="宋体" w:hAnsi="宋体" w:eastAsia="宋体"/>
      <w:b/>
      <w:bCs/>
      <w:sz w:val="24"/>
      <w:lang w:val="en-US" w:eastAsia="zh-CN" w:bidi="ar-SA"/>
    </w:rPr>
  </w:style>
  <w:style w:type="paragraph" w:customStyle="1" w:styleId="7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styleId="76">
    <w:name w:val="List Paragraph"/>
    <w:basedOn w:val="1"/>
    <w:autoRedefine/>
    <w:qFormat/>
    <w:uiPriority w:val="0"/>
    <w:pPr>
      <w:ind w:firstLine="420" w:firstLineChars="200"/>
    </w:pPr>
    <w:rPr>
      <w:rFonts w:ascii="Calibri" w:hAnsi="Calibri"/>
      <w:szCs w:val="22"/>
    </w:rPr>
  </w:style>
  <w:style w:type="paragraph" w:customStyle="1" w:styleId="77">
    <w:name w:val="USE 1"/>
    <w:basedOn w:val="1"/>
    <w:autoRedefine/>
    <w:qFormat/>
    <w:uiPriority w:val="0"/>
    <w:pPr>
      <w:spacing w:line="200" w:lineRule="atLeast"/>
      <w:jc w:val="left"/>
    </w:pPr>
    <w:rPr>
      <w:rFonts w:ascii="宋体" w:hAnsi="宋体"/>
      <w:b/>
      <w:sz w:val="24"/>
      <w:szCs w:val="28"/>
    </w:rPr>
  </w:style>
  <w:style w:type="paragraph" w:customStyle="1" w:styleId="78">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9">
    <w:name w:val="正文文字缩进项目"/>
    <w:basedOn w:val="19"/>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0">
    <w:name w:val="样式 标题 2 + 段前: 13 磅 段后: 13 磅 行距: 单倍行距"/>
    <w:basedOn w:val="5"/>
    <w:autoRedefine/>
    <w:qFormat/>
    <w:uiPriority w:val="0"/>
    <w:pPr>
      <w:adjustRightInd/>
      <w:spacing w:before="0" w:after="0"/>
      <w:jc w:val="both"/>
      <w:textAlignment w:val="auto"/>
    </w:pPr>
    <w:rPr>
      <w:rFonts w:ascii="Cambria" w:hAnsi="Cambria" w:cs="宋体"/>
      <w:kern w:val="2"/>
      <w:sz w:val="32"/>
    </w:rPr>
  </w:style>
  <w:style w:type="character" w:customStyle="1" w:styleId="81">
    <w:name w:val="H4 Char2"/>
    <w:autoRedefine/>
    <w:qFormat/>
    <w:uiPriority w:val="0"/>
    <w:rPr>
      <w:rFonts w:ascii="Arial" w:hAnsi="Arial" w:eastAsia="黑体"/>
      <w:b/>
      <w:bCs/>
      <w:kern w:val="2"/>
      <w:sz w:val="28"/>
      <w:szCs w:val="28"/>
      <w:lang w:val="en-US" w:eastAsia="zh-CN" w:bidi="ar-SA"/>
    </w:rPr>
  </w:style>
  <w:style w:type="character" w:customStyle="1" w:styleId="82">
    <w:name w:val="正文文本缩进 Char"/>
    <w:link w:val="19"/>
    <w:autoRedefine/>
    <w:qFormat/>
    <w:uiPriority w:val="0"/>
    <w:rPr>
      <w:rFonts w:eastAsia="宋体"/>
      <w:kern w:val="2"/>
      <w:sz w:val="21"/>
      <w:szCs w:val="24"/>
      <w:lang w:val="en-US" w:eastAsia="zh-CN" w:bidi="ar-SA"/>
    </w:rPr>
  </w:style>
  <w:style w:type="character" w:customStyle="1" w:styleId="83">
    <w:name w:val="标题 5 Char"/>
    <w:link w:val="6"/>
    <w:autoRedefine/>
    <w:qFormat/>
    <w:uiPriority w:val="0"/>
    <w:rPr>
      <w:rFonts w:eastAsia="宋体"/>
      <w:b/>
      <w:kern w:val="2"/>
      <w:sz w:val="28"/>
      <w:lang w:val="en-US" w:eastAsia="zh-CN" w:bidi="ar-SA"/>
    </w:rPr>
  </w:style>
  <w:style w:type="character" w:customStyle="1" w:styleId="84">
    <w:name w:val="第*章 Char"/>
    <w:autoRedefine/>
    <w:qFormat/>
    <w:uiPriority w:val="0"/>
    <w:rPr>
      <w:rFonts w:ascii="Arial" w:hAnsi="Arial" w:eastAsia="黑体"/>
      <w:b/>
      <w:bCs/>
      <w:kern w:val="2"/>
      <w:sz w:val="32"/>
      <w:szCs w:val="32"/>
    </w:rPr>
  </w:style>
  <w:style w:type="character" w:customStyle="1" w:styleId="85">
    <w:name w:val="章标题1 Char"/>
    <w:autoRedefine/>
    <w:qFormat/>
    <w:uiPriority w:val="0"/>
    <w:rPr>
      <w:rFonts w:eastAsia="宋体"/>
      <w:b/>
      <w:bCs/>
      <w:kern w:val="2"/>
      <w:sz w:val="32"/>
      <w:szCs w:val="32"/>
      <w:lang w:val="en-US" w:eastAsia="zh-CN" w:bidi="ar-SA"/>
    </w:rPr>
  </w:style>
  <w:style w:type="character" w:customStyle="1" w:styleId="86">
    <w:name w:val="标题 6 Char"/>
    <w:link w:val="8"/>
    <w:autoRedefine/>
    <w:qFormat/>
    <w:uiPriority w:val="0"/>
    <w:rPr>
      <w:rFonts w:ascii="Arial" w:hAnsi="Arial" w:eastAsia="黑体"/>
      <w:b/>
      <w:kern w:val="2"/>
      <w:sz w:val="24"/>
      <w:lang w:val="en-US" w:eastAsia="zh-CN" w:bidi="ar-SA"/>
    </w:rPr>
  </w:style>
  <w:style w:type="character" w:customStyle="1" w:styleId="87">
    <w:name w:val="标题 7 Char"/>
    <w:link w:val="9"/>
    <w:autoRedefine/>
    <w:qFormat/>
    <w:uiPriority w:val="0"/>
    <w:rPr>
      <w:rFonts w:eastAsia="宋体"/>
      <w:b/>
      <w:kern w:val="2"/>
      <w:sz w:val="24"/>
      <w:lang w:val="en-US" w:eastAsia="zh-CN" w:bidi="ar-SA"/>
    </w:rPr>
  </w:style>
  <w:style w:type="character" w:customStyle="1" w:styleId="88">
    <w:name w:val="标题 8 Char"/>
    <w:link w:val="10"/>
    <w:autoRedefine/>
    <w:qFormat/>
    <w:uiPriority w:val="0"/>
    <w:rPr>
      <w:rFonts w:ascii="Arial" w:hAnsi="Arial" w:eastAsia="黑体"/>
      <w:kern w:val="2"/>
      <w:sz w:val="24"/>
      <w:lang w:val="en-US" w:eastAsia="zh-CN" w:bidi="ar-SA"/>
    </w:rPr>
  </w:style>
  <w:style w:type="character" w:customStyle="1" w:styleId="89">
    <w:name w:val="标题 9 Char"/>
    <w:link w:val="11"/>
    <w:autoRedefine/>
    <w:qFormat/>
    <w:uiPriority w:val="0"/>
    <w:rPr>
      <w:rFonts w:ascii="Arial" w:hAnsi="Arial" w:eastAsia="黑体"/>
      <w:kern w:val="2"/>
      <w:sz w:val="21"/>
      <w:lang w:val="en-US" w:eastAsia="zh-CN" w:bidi="ar-SA"/>
    </w:rPr>
  </w:style>
  <w:style w:type="character" w:customStyle="1" w:styleId="90">
    <w:name w:val="标题 Char"/>
    <w:link w:val="41"/>
    <w:autoRedefine/>
    <w:qFormat/>
    <w:uiPriority w:val="0"/>
    <w:rPr>
      <w:rFonts w:ascii="Arial" w:hAnsi="Arial" w:eastAsia="隶书" w:cs="Arial"/>
      <w:b/>
      <w:bCs/>
      <w:kern w:val="2"/>
      <w:sz w:val="32"/>
      <w:szCs w:val="32"/>
      <w:lang w:val="en-US" w:eastAsia="zh-CN" w:bidi="ar-SA"/>
    </w:rPr>
  </w:style>
  <w:style w:type="character" w:customStyle="1" w:styleId="91">
    <w:name w:val="日期 Char"/>
    <w:link w:val="25"/>
    <w:autoRedefine/>
    <w:qFormat/>
    <w:uiPriority w:val="0"/>
    <w:rPr>
      <w:rFonts w:ascii="宋体" w:hAnsi="Courier New" w:eastAsia="宋体"/>
      <w:kern w:val="2"/>
      <w:sz w:val="32"/>
      <w:lang w:val="en-US" w:eastAsia="zh-CN" w:bidi="ar-SA"/>
    </w:rPr>
  </w:style>
  <w:style w:type="character" w:customStyle="1" w:styleId="92">
    <w:name w:val="HTML 预设格式 Char"/>
    <w:link w:val="38"/>
    <w:autoRedefine/>
    <w:qFormat/>
    <w:uiPriority w:val="0"/>
    <w:rPr>
      <w:rFonts w:ascii="Arial Unicode MS" w:hAnsi="Arial Unicode MS" w:eastAsia="Arial Unicode MS"/>
      <w:color w:val="000000"/>
      <w:lang w:val="en-US" w:eastAsia="zh-CN" w:bidi="ar-SA"/>
    </w:rPr>
  </w:style>
  <w:style w:type="character" w:customStyle="1" w:styleId="93">
    <w:name w:val="纯文本 Char"/>
    <w:link w:val="23"/>
    <w:autoRedefine/>
    <w:qFormat/>
    <w:uiPriority w:val="0"/>
    <w:rPr>
      <w:rFonts w:ascii="宋体" w:hAnsi="Courier New" w:eastAsia="宋体"/>
      <w:kern w:val="2"/>
      <w:sz w:val="21"/>
      <w:lang w:val="en-US" w:eastAsia="zh-CN" w:bidi="ar-SA"/>
    </w:rPr>
  </w:style>
  <w:style w:type="character" w:customStyle="1" w:styleId="94">
    <w:name w:val="正文文字首行缩进 Char"/>
    <w:autoRedefine/>
    <w:qFormat/>
    <w:uiPriority w:val="0"/>
    <w:rPr>
      <w:kern w:val="2"/>
      <w:sz w:val="21"/>
      <w:szCs w:val="24"/>
    </w:rPr>
  </w:style>
  <w:style w:type="character" w:customStyle="1" w:styleId="95">
    <w:name w:val="正文文本 Char"/>
    <w:link w:val="18"/>
    <w:autoRedefine/>
    <w:qFormat/>
    <w:uiPriority w:val="0"/>
    <w:rPr>
      <w:rFonts w:eastAsia="宋体"/>
      <w:b/>
      <w:bCs/>
      <w:kern w:val="2"/>
      <w:sz w:val="24"/>
      <w:szCs w:val="24"/>
      <w:lang w:val="en-US" w:eastAsia="zh-CN" w:bidi="ar-SA"/>
    </w:rPr>
  </w:style>
  <w:style w:type="character" w:customStyle="1" w:styleId="96">
    <w:name w:val="正文文本缩进 2 Char"/>
    <w:link w:val="26"/>
    <w:autoRedefine/>
    <w:qFormat/>
    <w:uiPriority w:val="0"/>
    <w:rPr>
      <w:rFonts w:ascii="宋体" w:hAnsi="宋体" w:eastAsia="宋体"/>
      <w:kern w:val="2"/>
      <w:sz w:val="21"/>
      <w:szCs w:val="24"/>
      <w:lang w:val="en-US" w:eastAsia="zh-CN" w:bidi="ar-SA"/>
    </w:rPr>
  </w:style>
  <w:style w:type="character" w:customStyle="1" w:styleId="97">
    <w:name w:val="页眉 Char"/>
    <w:link w:val="29"/>
    <w:autoRedefine/>
    <w:qFormat/>
    <w:uiPriority w:val="99"/>
    <w:rPr>
      <w:rFonts w:eastAsia="宋体"/>
      <w:kern w:val="2"/>
      <w:sz w:val="18"/>
      <w:szCs w:val="18"/>
      <w:lang w:val="en-US" w:eastAsia="zh-CN" w:bidi="ar-SA"/>
    </w:rPr>
  </w:style>
  <w:style w:type="character" w:customStyle="1" w:styleId="98">
    <w:name w:val="正文文本缩进 3 Char"/>
    <w:link w:val="34"/>
    <w:autoRedefine/>
    <w:qFormat/>
    <w:uiPriority w:val="0"/>
    <w:rPr>
      <w:rFonts w:ascii="宋体" w:eastAsia="宋体"/>
      <w:b/>
      <w:bCs/>
      <w:kern w:val="2"/>
      <w:sz w:val="24"/>
      <w:szCs w:val="24"/>
      <w:lang w:val="en-US" w:eastAsia="zh-CN" w:bidi="ar-SA"/>
    </w:rPr>
  </w:style>
  <w:style w:type="character" w:customStyle="1" w:styleId="99">
    <w:name w:val="正文文本 2 Char"/>
    <w:link w:val="37"/>
    <w:autoRedefine/>
    <w:qFormat/>
    <w:uiPriority w:val="0"/>
    <w:rPr>
      <w:rFonts w:eastAsia="宋体"/>
      <w:kern w:val="2"/>
      <w:sz w:val="24"/>
      <w:szCs w:val="24"/>
      <w:lang w:val="en-US" w:eastAsia="zh-CN" w:bidi="ar-SA"/>
    </w:rPr>
  </w:style>
  <w:style w:type="character" w:customStyle="1" w:styleId="100">
    <w:name w:val="页脚 Char"/>
    <w:link w:val="28"/>
    <w:autoRedefine/>
    <w:qFormat/>
    <w:uiPriority w:val="0"/>
    <w:rPr>
      <w:rFonts w:eastAsia="宋体"/>
      <w:kern w:val="2"/>
      <w:sz w:val="18"/>
      <w:szCs w:val="18"/>
      <w:lang w:val="en-US" w:eastAsia="zh-CN" w:bidi="ar-SA"/>
    </w:rPr>
  </w:style>
  <w:style w:type="character" w:customStyle="1" w:styleId="101">
    <w:name w:val="正文文本 3 Char"/>
    <w:link w:val="17"/>
    <w:autoRedefine/>
    <w:qFormat/>
    <w:uiPriority w:val="0"/>
    <w:rPr>
      <w:rFonts w:eastAsia="宋体"/>
      <w:kern w:val="2"/>
      <w:sz w:val="16"/>
      <w:szCs w:val="16"/>
      <w:lang w:val="en-US" w:eastAsia="zh-CN" w:bidi="ar-SA"/>
    </w:rPr>
  </w:style>
  <w:style w:type="character" w:customStyle="1" w:styleId="102">
    <w:name w:val="批注框文本 Char"/>
    <w:link w:val="27"/>
    <w:autoRedefine/>
    <w:semiHidden/>
    <w:qFormat/>
    <w:uiPriority w:val="99"/>
    <w:rPr>
      <w:rFonts w:eastAsia="宋体"/>
      <w:kern w:val="2"/>
      <w:sz w:val="18"/>
      <w:szCs w:val="18"/>
      <w:lang w:val="en-US" w:eastAsia="zh-CN" w:bidi="ar-SA"/>
    </w:rPr>
  </w:style>
  <w:style w:type="paragraph" w:customStyle="1" w:styleId="103">
    <w:name w:val="样式1"/>
    <w:basedOn w:val="41"/>
    <w:autoRedefine/>
    <w:qFormat/>
    <w:uiPriority w:val="0"/>
    <w:pPr>
      <w:spacing w:before="120" w:after="120"/>
    </w:pPr>
    <w:rPr>
      <w:rFonts w:eastAsia="黑体"/>
      <w:b w:val="0"/>
      <w:sz w:val="30"/>
      <w:szCs w:val="21"/>
    </w:rPr>
  </w:style>
  <w:style w:type="paragraph" w:customStyle="1" w:styleId="104">
    <w:name w:val="样式2"/>
    <w:basedOn w:val="41"/>
    <w:next w:val="103"/>
    <w:autoRedefine/>
    <w:qFormat/>
    <w:uiPriority w:val="0"/>
    <w:pPr>
      <w:spacing w:before="120" w:after="120"/>
    </w:pPr>
    <w:rPr>
      <w:rFonts w:eastAsia="黑体"/>
      <w:b w:val="0"/>
      <w:sz w:val="30"/>
      <w:szCs w:val="30"/>
    </w:rPr>
  </w:style>
  <w:style w:type="character" w:customStyle="1" w:styleId="105">
    <w:name w:val="标题 3 Char Char"/>
    <w:autoRedefine/>
    <w:qFormat/>
    <w:uiPriority w:val="0"/>
    <w:rPr>
      <w:rFonts w:eastAsia="宋体"/>
      <w:b/>
      <w:bCs/>
      <w:kern w:val="2"/>
      <w:sz w:val="32"/>
      <w:szCs w:val="32"/>
      <w:lang w:val="en-US" w:eastAsia="zh-CN" w:bidi="ar-SA"/>
    </w:rPr>
  </w:style>
  <w:style w:type="paragraph" w:customStyle="1" w:styleId="106">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7">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8">
    <w:name w:val="--规划正文"/>
    <w:basedOn w:val="1"/>
    <w:autoRedefine/>
    <w:qFormat/>
    <w:uiPriority w:val="0"/>
    <w:pPr>
      <w:spacing w:line="360" w:lineRule="auto"/>
      <w:ind w:firstLine="200" w:firstLineChars="200"/>
    </w:pPr>
    <w:rPr>
      <w:szCs w:val="20"/>
    </w:rPr>
  </w:style>
  <w:style w:type="paragraph" w:customStyle="1" w:styleId="109">
    <w:name w:val="设计依据"/>
    <w:basedOn w:val="18"/>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0">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1">
    <w:name w:val="样式4"/>
    <w:basedOn w:val="1"/>
    <w:autoRedefine/>
    <w:qFormat/>
    <w:uiPriority w:val="0"/>
    <w:pPr>
      <w:tabs>
        <w:tab w:val="left" w:pos="842"/>
      </w:tabs>
      <w:spacing w:line="360" w:lineRule="auto"/>
      <w:ind w:left="842" w:hanging="420"/>
    </w:pPr>
    <w:rPr>
      <w:sz w:val="24"/>
    </w:rPr>
  </w:style>
  <w:style w:type="paragraph" w:customStyle="1" w:styleId="112">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3">
    <w:name w:val="--规划-表格-居左"/>
    <w:basedOn w:val="108"/>
    <w:autoRedefine/>
    <w:qFormat/>
    <w:uiPriority w:val="0"/>
    <w:pPr>
      <w:spacing w:line="240" w:lineRule="auto"/>
      <w:ind w:firstLine="0" w:firstLineChars="0"/>
    </w:pPr>
    <w:rPr>
      <w:sz w:val="20"/>
    </w:rPr>
  </w:style>
  <w:style w:type="paragraph" w:customStyle="1" w:styleId="114">
    <w:name w:val="--规划-表格-居中"/>
    <w:basedOn w:val="108"/>
    <w:autoRedefine/>
    <w:qFormat/>
    <w:uiPriority w:val="0"/>
    <w:pPr>
      <w:spacing w:line="240" w:lineRule="auto"/>
      <w:ind w:firstLine="0" w:firstLineChars="0"/>
      <w:jc w:val="center"/>
    </w:pPr>
    <w:rPr>
      <w:sz w:val="20"/>
    </w:rPr>
  </w:style>
  <w:style w:type="paragraph" w:customStyle="1" w:styleId="115">
    <w:name w:val="--编号内缩进"/>
    <w:basedOn w:val="1"/>
    <w:autoRedefine/>
    <w:qFormat/>
    <w:uiPriority w:val="0"/>
    <w:pPr>
      <w:spacing w:line="360" w:lineRule="auto"/>
      <w:ind w:left="420" w:firstLine="200" w:firstLineChars="200"/>
    </w:pPr>
    <w:rPr>
      <w:szCs w:val="21"/>
    </w:rPr>
  </w:style>
  <w:style w:type="paragraph" w:customStyle="1" w:styleId="116">
    <w:name w:val="--规划-题注"/>
    <w:basedOn w:val="1"/>
    <w:next w:val="108"/>
    <w:autoRedefine/>
    <w:qFormat/>
    <w:uiPriority w:val="0"/>
    <w:pPr>
      <w:spacing w:line="360" w:lineRule="auto"/>
      <w:jc w:val="center"/>
    </w:pPr>
    <w:rPr>
      <w:rFonts w:eastAsia="黑体"/>
    </w:rPr>
  </w:style>
  <w:style w:type="paragraph" w:customStyle="1" w:styleId="117">
    <w:name w:val="--规划-图和表"/>
    <w:next w:val="108"/>
    <w:autoRedefine/>
    <w:qFormat/>
    <w:uiPriority w:val="0"/>
    <w:pPr>
      <w:jc w:val="center"/>
    </w:pPr>
    <w:rPr>
      <w:rFonts w:ascii="Times New Roman" w:hAnsi="Times New Roman" w:eastAsia="宋体" w:cs="Times New Roman"/>
      <w:kern w:val="2"/>
      <w:sz w:val="21"/>
      <w:lang w:val="en-US" w:eastAsia="zh-CN" w:bidi="ar-SA"/>
    </w:rPr>
  </w:style>
  <w:style w:type="paragraph" w:customStyle="1" w:styleId="118">
    <w:name w:val="--规划-小标题"/>
    <w:basedOn w:val="1"/>
    <w:next w:val="108"/>
    <w:autoRedefine/>
    <w:qFormat/>
    <w:uiPriority w:val="0"/>
    <w:pPr>
      <w:keepNext/>
      <w:keepLines/>
      <w:spacing w:line="360" w:lineRule="auto"/>
      <w:outlineLvl w:val="4"/>
    </w:pPr>
    <w:rPr>
      <w:rFonts w:eastAsia="黑体"/>
    </w:rPr>
  </w:style>
  <w:style w:type="paragraph" w:customStyle="1" w:styleId="119">
    <w:name w:val="--规划正文 Char"/>
    <w:basedOn w:val="1"/>
    <w:autoRedefine/>
    <w:qFormat/>
    <w:uiPriority w:val="0"/>
    <w:pPr>
      <w:spacing w:line="360" w:lineRule="auto"/>
      <w:ind w:firstLine="200" w:firstLineChars="200"/>
    </w:pPr>
    <w:rPr>
      <w:sz w:val="24"/>
    </w:rPr>
  </w:style>
  <w:style w:type="paragraph" w:customStyle="1" w:styleId="120">
    <w:name w:val="缺省文本"/>
    <w:basedOn w:val="1"/>
    <w:autoRedefine/>
    <w:qFormat/>
    <w:uiPriority w:val="0"/>
    <w:pPr>
      <w:autoSpaceDE w:val="0"/>
      <w:autoSpaceDN w:val="0"/>
      <w:adjustRightInd w:val="0"/>
      <w:jc w:val="left"/>
    </w:pPr>
    <w:rPr>
      <w:kern w:val="0"/>
    </w:rPr>
  </w:style>
  <w:style w:type="paragraph" w:customStyle="1" w:styleId="121">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2">
    <w:name w:val="--规划正文 Char Char"/>
    <w:autoRedefine/>
    <w:qFormat/>
    <w:uiPriority w:val="0"/>
    <w:rPr>
      <w:rFonts w:eastAsia="宋体"/>
      <w:kern w:val="2"/>
      <w:sz w:val="24"/>
      <w:szCs w:val="24"/>
      <w:lang w:val="en-US" w:eastAsia="zh-CN" w:bidi="ar-SA"/>
    </w:rPr>
  </w:style>
  <w:style w:type="paragraph" w:customStyle="1" w:styleId="123">
    <w:name w:val="样式3"/>
    <w:basedOn w:val="2"/>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4">
    <w:name w:val="--规划正文 Char1"/>
    <w:autoRedefine/>
    <w:qFormat/>
    <w:uiPriority w:val="0"/>
    <w:rPr>
      <w:rFonts w:eastAsia="宋体"/>
      <w:kern w:val="2"/>
      <w:sz w:val="21"/>
      <w:lang w:val="en-US" w:eastAsia="zh-CN" w:bidi="ar-SA"/>
    </w:rPr>
  </w:style>
  <w:style w:type="paragraph" w:customStyle="1" w:styleId="125">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6">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7">
    <w:name w:val="content1"/>
    <w:autoRedefine/>
    <w:qFormat/>
    <w:uiPriority w:val="0"/>
    <w:rPr>
      <w:rFonts w:hint="default" w:ascii="??" w:hAnsi="??"/>
      <w:sz w:val="16"/>
      <w:szCs w:val="16"/>
      <w:u w:val="none"/>
    </w:rPr>
  </w:style>
  <w:style w:type="character" w:customStyle="1" w:styleId="128">
    <w:name w:val="unnamed4"/>
    <w:basedOn w:val="47"/>
    <w:autoRedefine/>
    <w:qFormat/>
    <w:uiPriority w:val="0"/>
  </w:style>
  <w:style w:type="character" w:customStyle="1" w:styleId="129">
    <w:name w:val="font2"/>
    <w:basedOn w:val="47"/>
    <w:autoRedefine/>
    <w:qFormat/>
    <w:uiPriority w:val="0"/>
  </w:style>
  <w:style w:type="character" w:customStyle="1" w:styleId="130">
    <w:name w:val="font41"/>
    <w:basedOn w:val="47"/>
    <w:autoRedefine/>
    <w:qFormat/>
    <w:uiPriority w:val="0"/>
    <w:rPr>
      <w:color w:val="000000"/>
      <w:spacing w:val="260"/>
      <w:sz w:val="18"/>
      <w:szCs w:val="18"/>
      <w:u w:val="none"/>
    </w:rPr>
  </w:style>
  <w:style w:type="paragraph" w:customStyle="1" w:styleId="131">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2">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3">
    <w:name w:val="正文首行缩进 Char"/>
    <w:link w:val="43"/>
    <w:autoRedefine/>
    <w:qFormat/>
    <w:uiPriority w:val="0"/>
    <w:rPr>
      <w:rFonts w:eastAsia="宋体"/>
      <w:b/>
      <w:bCs/>
      <w:kern w:val="2"/>
      <w:sz w:val="21"/>
      <w:szCs w:val="24"/>
      <w:lang w:val="en-US" w:eastAsia="zh-CN" w:bidi="ar-SA"/>
    </w:rPr>
  </w:style>
  <w:style w:type="paragraph" w:customStyle="1" w:styleId="134">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5">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6">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7">
    <w:name w:val="mode"/>
    <w:basedOn w:val="47"/>
    <w:autoRedefine/>
    <w:qFormat/>
    <w:uiPriority w:val="0"/>
  </w:style>
  <w:style w:type="paragraph" w:customStyle="1" w:styleId="138">
    <w:name w:val="9"/>
    <w:basedOn w:val="1"/>
    <w:next w:val="7"/>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9">
    <w:name w:val="unnamed3"/>
    <w:basedOn w:val="47"/>
    <w:autoRedefine/>
    <w:qFormat/>
    <w:uiPriority w:val="0"/>
  </w:style>
  <w:style w:type="paragraph" w:customStyle="1" w:styleId="140">
    <w:name w:val="8"/>
    <w:basedOn w:val="1"/>
    <w:next w:val="19"/>
    <w:autoRedefine/>
    <w:qFormat/>
    <w:uiPriority w:val="0"/>
    <w:pPr>
      <w:spacing w:after="120"/>
      <w:ind w:left="420" w:leftChars="200"/>
    </w:pPr>
  </w:style>
  <w:style w:type="paragraph" w:customStyle="1" w:styleId="141">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2">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3">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4">
    <w:name w:val="6"/>
    <w:basedOn w:val="143"/>
    <w:autoRedefine/>
    <w:qFormat/>
    <w:uiPriority w:val="0"/>
    <w:pPr>
      <w:spacing w:line="270" w:lineRule="atLeast"/>
      <w:jc w:val="both"/>
    </w:pPr>
    <w:rPr>
      <w:b w:val="0"/>
      <w:bCs w:val="0"/>
    </w:rPr>
  </w:style>
  <w:style w:type="paragraph" w:customStyle="1" w:styleId="145">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6">
    <w:name w:val="姜文清定义的正文"/>
    <w:basedOn w:val="1"/>
    <w:autoRedefine/>
    <w:qFormat/>
    <w:uiPriority w:val="0"/>
    <w:pPr>
      <w:spacing w:line="240" w:lineRule="atLeast"/>
      <w:ind w:firstLine="567"/>
    </w:pPr>
    <w:rPr>
      <w:szCs w:val="20"/>
    </w:rPr>
  </w:style>
  <w:style w:type="paragraph" w:customStyle="1" w:styleId="147">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8">
    <w:name w:val="CM2"/>
    <w:basedOn w:val="147"/>
    <w:next w:val="147"/>
    <w:autoRedefine/>
    <w:qFormat/>
    <w:uiPriority w:val="0"/>
    <w:pPr>
      <w:spacing w:line="200" w:lineRule="atLeast"/>
    </w:pPr>
    <w:rPr>
      <w:rFonts w:ascii="Arial" w:hAnsi="Arial" w:eastAsia="宋体" w:cs="Times New Roman"/>
      <w:color w:val="auto"/>
    </w:rPr>
  </w:style>
  <w:style w:type="paragraph" w:customStyle="1" w:styleId="149">
    <w:name w:val="Normal Paragraph"/>
    <w:basedOn w:val="1"/>
    <w:autoRedefine/>
    <w:qFormat/>
    <w:uiPriority w:val="0"/>
    <w:pPr>
      <w:widowControl/>
      <w:spacing w:before="120" w:line="360" w:lineRule="auto"/>
      <w:ind w:firstLine="425"/>
    </w:pPr>
    <w:rPr>
      <w:kern w:val="0"/>
      <w:sz w:val="24"/>
    </w:rPr>
  </w:style>
  <w:style w:type="character" w:customStyle="1" w:styleId="150">
    <w:name w:val="blue"/>
    <w:basedOn w:val="47"/>
    <w:autoRedefine/>
    <w:qFormat/>
    <w:uiPriority w:val="0"/>
  </w:style>
  <w:style w:type="paragraph" w:customStyle="1" w:styleId="151">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2">
    <w:name w:val="font"/>
    <w:basedOn w:val="47"/>
    <w:autoRedefine/>
    <w:qFormat/>
    <w:uiPriority w:val="0"/>
  </w:style>
  <w:style w:type="character" w:customStyle="1" w:styleId="153">
    <w:name w:val="font11"/>
    <w:autoRedefine/>
    <w:qFormat/>
    <w:uiPriority w:val="0"/>
    <w:rPr>
      <w:rFonts w:hint="default" w:ascii="ˎ̥" w:hAnsi="ˎ̥"/>
    </w:rPr>
  </w:style>
  <w:style w:type="paragraph" w:customStyle="1" w:styleId="154">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5">
    <w:name w:val="proddescription"/>
    <w:basedOn w:val="47"/>
    <w:autoRedefine/>
    <w:qFormat/>
    <w:uiPriority w:val="0"/>
  </w:style>
  <w:style w:type="character" w:customStyle="1" w:styleId="156">
    <w:name w:val="prodheadlines"/>
    <w:basedOn w:val="47"/>
    <w:autoRedefine/>
    <w:qFormat/>
    <w:uiPriority w:val="0"/>
  </w:style>
  <w:style w:type="character" w:customStyle="1" w:styleId="157">
    <w:name w:val="text"/>
    <w:basedOn w:val="47"/>
    <w:autoRedefine/>
    <w:qFormat/>
    <w:uiPriority w:val="0"/>
  </w:style>
  <w:style w:type="paragraph" w:customStyle="1" w:styleId="158">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9">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60">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1">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2">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3">
    <w:name w:val="段落正文"/>
    <w:basedOn w:val="23"/>
    <w:autoRedefine/>
    <w:qFormat/>
    <w:uiPriority w:val="0"/>
    <w:pPr>
      <w:ind w:firstLine="560" w:firstLineChars="200"/>
    </w:pPr>
    <w:rPr>
      <w:sz w:val="28"/>
    </w:rPr>
  </w:style>
  <w:style w:type="character" w:customStyle="1" w:styleId="164">
    <w:name w:val="gray6"/>
    <w:basedOn w:val="47"/>
    <w:autoRedefine/>
    <w:qFormat/>
    <w:uiPriority w:val="0"/>
  </w:style>
  <w:style w:type="character" w:customStyle="1" w:styleId="165">
    <w:name w:val="style9"/>
    <w:basedOn w:val="47"/>
    <w:autoRedefine/>
    <w:qFormat/>
    <w:uiPriority w:val="0"/>
  </w:style>
  <w:style w:type="paragraph" w:customStyle="1" w:styleId="166">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7">
    <w:name w:val="grame"/>
    <w:basedOn w:val="47"/>
    <w:autoRedefine/>
    <w:qFormat/>
    <w:uiPriority w:val="0"/>
  </w:style>
  <w:style w:type="paragraph" w:customStyle="1" w:styleId="168">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9">
    <w:name w:val="Char1"/>
    <w:basedOn w:val="1"/>
    <w:autoRedefine/>
    <w:qFormat/>
    <w:uiPriority w:val="0"/>
    <w:pPr>
      <w:jc w:val="left"/>
    </w:pPr>
    <w:rPr>
      <w:rFonts w:ascii="Tahoma" w:hAnsi="Tahoma"/>
      <w:sz w:val="24"/>
      <w:szCs w:val="20"/>
    </w:rPr>
  </w:style>
  <w:style w:type="paragraph" w:customStyle="1" w:styleId="170">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1">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3">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4">
    <w:name w:val="font6"/>
    <w:basedOn w:val="1"/>
    <w:autoRedefine/>
    <w:qFormat/>
    <w:uiPriority w:val="0"/>
    <w:pPr>
      <w:widowControl/>
      <w:spacing w:before="100" w:beforeAutospacing="1" w:after="100" w:afterAutospacing="1"/>
      <w:jc w:val="left"/>
    </w:pPr>
    <w:rPr>
      <w:kern w:val="0"/>
      <w:sz w:val="24"/>
    </w:rPr>
  </w:style>
  <w:style w:type="paragraph" w:customStyle="1" w:styleId="1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7">
    <w:name w:val="表格字"/>
    <w:basedOn w:val="1"/>
    <w:autoRedefine/>
    <w:qFormat/>
    <w:uiPriority w:val="0"/>
    <w:pPr>
      <w:adjustRightInd w:val="0"/>
      <w:jc w:val="center"/>
    </w:pPr>
    <w:rPr>
      <w:rFonts w:ascii="宋体"/>
      <w:sz w:val="24"/>
      <w:szCs w:val="20"/>
    </w:rPr>
  </w:style>
  <w:style w:type="character" w:customStyle="1" w:styleId="178">
    <w:name w:val="样式 小三 加粗"/>
    <w:autoRedefine/>
    <w:qFormat/>
    <w:uiPriority w:val="0"/>
    <w:rPr>
      <w:rFonts w:eastAsia="宋体"/>
      <w:b/>
      <w:bCs/>
      <w:sz w:val="32"/>
    </w:rPr>
  </w:style>
  <w:style w:type="paragraph" w:customStyle="1" w:styleId="17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0">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1">
    <w:name w:val="Char Char Char"/>
    <w:basedOn w:val="1"/>
    <w:autoRedefine/>
    <w:qFormat/>
    <w:uiPriority w:val="0"/>
    <w:rPr>
      <w:rFonts w:ascii="Tahoma" w:hAnsi="Tahoma"/>
      <w:sz w:val="24"/>
      <w:szCs w:val="20"/>
    </w:rPr>
  </w:style>
  <w:style w:type="paragraph" w:customStyle="1" w:styleId="182">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3">
    <w:name w:val="info4"/>
    <w:basedOn w:val="47"/>
    <w:autoRedefine/>
    <w:qFormat/>
    <w:uiPriority w:val="0"/>
  </w:style>
  <w:style w:type="paragraph" w:customStyle="1" w:styleId="184">
    <w:name w:val="缩进正文"/>
    <w:basedOn w:val="1"/>
    <w:link w:val="185"/>
    <w:autoRedefine/>
    <w:qFormat/>
    <w:uiPriority w:val="0"/>
    <w:pPr>
      <w:ind w:firstLine="560" w:firstLineChars="200"/>
    </w:pPr>
    <w:rPr>
      <w:rFonts w:eastAsia="仿宋_GB2312" w:cs="宋体"/>
      <w:sz w:val="28"/>
      <w:szCs w:val="20"/>
    </w:rPr>
  </w:style>
  <w:style w:type="character" w:customStyle="1" w:styleId="185">
    <w:name w:val="缩进正文 Char"/>
    <w:link w:val="184"/>
    <w:autoRedefine/>
    <w:qFormat/>
    <w:uiPriority w:val="0"/>
    <w:rPr>
      <w:rFonts w:eastAsia="仿宋_GB2312" w:cs="宋体"/>
      <w:kern w:val="2"/>
      <w:sz w:val="28"/>
      <w:lang w:val="en-US" w:eastAsia="zh-CN" w:bidi="ar-SA"/>
    </w:rPr>
  </w:style>
  <w:style w:type="paragraph" w:customStyle="1" w:styleId="186">
    <w:name w:val="列出段落1"/>
    <w:basedOn w:val="1"/>
    <w:autoRedefine/>
    <w:qFormat/>
    <w:uiPriority w:val="0"/>
    <w:pPr>
      <w:ind w:firstLine="420" w:firstLineChars="200"/>
    </w:pPr>
    <w:rPr>
      <w:rFonts w:ascii="Calibri" w:hAnsi="Calibri" w:cs="Calibri"/>
      <w:szCs w:val="21"/>
    </w:rPr>
  </w:style>
  <w:style w:type="character" w:customStyle="1" w:styleId="187">
    <w:name w:val="批注文字 Char"/>
    <w:basedOn w:val="47"/>
    <w:link w:val="16"/>
    <w:autoRedefine/>
    <w:semiHidden/>
    <w:qFormat/>
    <w:uiPriority w:val="99"/>
    <w:rPr>
      <w:rFonts w:ascii="宋体"/>
      <w:sz w:val="34"/>
    </w:rPr>
  </w:style>
  <w:style w:type="character" w:customStyle="1" w:styleId="188">
    <w:name w:val="批注主题 Char"/>
    <w:basedOn w:val="187"/>
    <w:link w:val="42"/>
    <w:autoRedefine/>
    <w:qFormat/>
    <w:uiPriority w:val="99"/>
    <w:rPr>
      <w:rFonts w:ascii="宋体"/>
      <w:sz w:val="34"/>
    </w:rPr>
  </w:style>
  <w:style w:type="paragraph" w:customStyle="1" w:styleId="189">
    <w:name w:val="评价"/>
    <w:basedOn w:val="1"/>
    <w:autoRedefine/>
    <w:qFormat/>
    <w:uiPriority w:val="0"/>
    <w:pPr>
      <w:spacing w:afterLines="20"/>
      <w:ind w:firstLine="1446" w:firstLineChars="200"/>
    </w:pPr>
    <w:rPr>
      <w:rFonts w:ascii="Calibri" w:hAnsi="Calibri"/>
      <w:sz w:val="24"/>
    </w:rPr>
  </w:style>
  <w:style w:type="paragraph" w:customStyle="1" w:styleId="190">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1">
    <w:name w:val="alt-edited1"/>
    <w:autoRedefine/>
    <w:qFormat/>
    <w:uiPriority w:val="0"/>
    <w:rPr>
      <w:color w:val="4D90F0"/>
    </w:rPr>
  </w:style>
  <w:style w:type="paragraph" w:customStyle="1" w:styleId="192">
    <w:name w:val="toc 14"/>
    <w:next w:val="1"/>
    <w:autoRedefine/>
    <w:qFormat/>
    <w:uiPriority w:val="0"/>
    <w:pPr>
      <w:wordWrap w:val="0"/>
      <w:jc w:val="both"/>
    </w:pPr>
    <w:rPr>
      <w:rFonts w:ascii="Calibri" w:hAnsi="Calibri" w:eastAsia="宋体" w:cs="Times New Roman"/>
      <w:sz w:val="21"/>
      <w:lang w:val="en-US" w:eastAsia="zh-CN" w:bidi="ar-SA"/>
    </w:rPr>
  </w:style>
  <w:style w:type="character" w:customStyle="1" w:styleId="193">
    <w:name w:val="文档结构图 Char1"/>
    <w:autoRedefine/>
    <w:semiHidden/>
    <w:qFormat/>
    <w:uiPriority w:val="0"/>
    <w:rPr>
      <w:sz w:val="20"/>
    </w:rPr>
  </w:style>
  <w:style w:type="character" w:customStyle="1" w:styleId="194">
    <w:name w:val="文档结构图 Char"/>
    <w:autoRedefine/>
    <w:semiHidden/>
    <w:qFormat/>
    <w:uiPriority w:val="0"/>
    <w:rPr>
      <w:sz w:val="20"/>
    </w:rPr>
  </w:style>
  <w:style w:type="character" w:customStyle="1" w:styleId="195">
    <w:name w:val="short_text"/>
    <w:basedOn w:val="47"/>
    <w:autoRedefine/>
    <w:qFormat/>
    <w:uiPriority w:val="0"/>
    <w:rPr>
      <w:sz w:val="20"/>
    </w:rPr>
  </w:style>
  <w:style w:type="character" w:customStyle="1" w:styleId="196">
    <w:name w:val="标题 Char1"/>
    <w:autoRedefine/>
    <w:qFormat/>
    <w:uiPriority w:val="0"/>
    <w:rPr>
      <w:b/>
      <w:sz w:val="20"/>
    </w:rPr>
  </w:style>
  <w:style w:type="character" w:customStyle="1" w:styleId="197">
    <w:name w:val="正文文本缩进 3 Char1"/>
    <w:autoRedefine/>
    <w:semiHidden/>
    <w:qFormat/>
    <w:uiPriority w:val="0"/>
    <w:rPr>
      <w:sz w:val="20"/>
    </w:rPr>
  </w:style>
  <w:style w:type="character" w:customStyle="1" w:styleId="198">
    <w:name w:val="font21"/>
    <w:basedOn w:val="47"/>
    <w:autoRedefine/>
    <w:qFormat/>
    <w:uiPriority w:val="0"/>
    <w:rPr>
      <w:color w:val="FF0000"/>
      <w:sz w:val="20"/>
      <w:u w:val="none"/>
    </w:rPr>
  </w:style>
  <w:style w:type="character" w:customStyle="1" w:styleId="199">
    <w:name w:val="不明显强调1"/>
    <w:autoRedefine/>
    <w:qFormat/>
    <w:uiPriority w:val="0"/>
    <w:rPr>
      <w:i/>
      <w:sz w:val="20"/>
    </w:rPr>
  </w:style>
  <w:style w:type="character" w:customStyle="1" w:styleId="200">
    <w:name w:val="font71"/>
    <w:autoRedefine/>
    <w:qFormat/>
    <w:uiPriority w:val="0"/>
    <w:rPr>
      <w:sz w:val="20"/>
      <w:u w:val="none"/>
    </w:rPr>
  </w:style>
  <w:style w:type="character" w:customStyle="1" w:styleId="201">
    <w:name w:val="页眉 Char1"/>
    <w:autoRedefine/>
    <w:semiHidden/>
    <w:qFormat/>
    <w:uiPriority w:val="0"/>
    <w:rPr>
      <w:sz w:val="20"/>
    </w:rPr>
  </w:style>
  <w:style w:type="character" w:customStyle="1" w:styleId="202">
    <w:name w:val="正文文本缩进 2 Char1"/>
    <w:autoRedefine/>
    <w:semiHidden/>
    <w:qFormat/>
    <w:uiPriority w:val="0"/>
    <w:rPr>
      <w:sz w:val="20"/>
    </w:rPr>
  </w:style>
  <w:style w:type="character" w:customStyle="1" w:styleId="203">
    <w:name w:val="font61"/>
    <w:basedOn w:val="47"/>
    <w:autoRedefine/>
    <w:qFormat/>
    <w:uiPriority w:val="0"/>
    <w:rPr>
      <w:sz w:val="20"/>
      <w:u w:val="none"/>
    </w:rPr>
  </w:style>
  <w:style w:type="character" w:customStyle="1" w:styleId="204">
    <w:name w:val="纯文本 Char1"/>
    <w:autoRedefine/>
    <w:semiHidden/>
    <w:qFormat/>
    <w:uiPriority w:val="0"/>
    <w:rPr>
      <w:sz w:val="20"/>
    </w:rPr>
  </w:style>
  <w:style w:type="character" w:customStyle="1" w:styleId="205">
    <w:name w:val="正文文本 3 Char1"/>
    <w:autoRedefine/>
    <w:semiHidden/>
    <w:qFormat/>
    <w:uiPriority w:val="0"/>
    <w:rPr>
      <w:sz w:val="20"/>
    </w:rPr>
  </w:style>
  <w:style w:type="character" w:customStyle="1" w:styleId="206">
    <w:name w:val="正文文本缩进 Char1"/>
    <w:autoRedefine/>
    <w:semiHidden/>
    <w:qFormat/>
    <w:uiPriority w:val="0"/>
    <w:rPr>
      <w:sz w:val="20"/>
    </w:rPr>
  </w:style>
  <w:style w:type="character" w:customStyle="1" w:styleId="207">
    <w:name w:val="明显参考1"/>
    <w:autoRedefine/>
    <w:qFormat/>
    <w:uiPriority w:val="0"/>
    <w:rPr>
      <w:b/>
      <w:sz w:val="20"/>
    </w:rPr>
  </w:style>
  <w:style w:type="character" w:customStyle="1" w:styleId="208">
    <w:name w:val="apple-converted-space"/>
    <w:autoRedefine/>
    <w:qFormat/>
    <w:uiPriority w:val="0"/>
    <w:rPr>
      <w:sz w:val="20"/>
    </w:rPr>
  </w:style>
  <w:style w:type="character" w:customStyle="1" w:styleId="209">
    <w:name w:val="书籍标题1"/>
    <w:autoRedefine/>
    <w:qFormat/>
    <w:uiPriority w:val="0"/>
    <w:rPr>
      <w:b/>
      <w:i/>
      <w:sz w:val="20"/>
    </w:rPr>
  </w:style>
  <w:style w:type="character" w:customStyle="1" w:styleId="210">
    <w:name w:val="long_text"/>
    <w:autoRedefine/>
    <w:qFormat/>
    <w:uiPriority w:val="0"/>
    <w:rPr>
      <w:sz w:val="20"/>
    </w:rPr>
  </w:style>
  <w:style w:type="character" w:customStyle="1" w:styleId="211">
    <w:name w:val="日期 Char1"/>
    <w:autoRedefine/>
    <w:semiHidden/>
    <w:qFormat/>
    <w:uiPriority w:val="0"/>
    <w:rPr>
      <w:sz w:val="20"/>
    </w:rPr>
  </w:style>
  <w:style w:type="character" w:customStyle="1" w:styleId="212">
    <w:name w:val="批注文字 Char1"/>
    <w:autoRedefine/>
    <w:semiHidden/>
    <w:qFormat/>
    <w:uiPriority w:val="0"/>
    <w:rPr>
      <w:sz w:val="20"/>
    </w:rPr>
  </w:style>
  <w:style w:type="character" w:customStyle="1" w:styleId="213">
    <w:name w:val="明显强调1"/>
    <w:autoRedefine/>
    <w:qFormat/>
    <w:uiPriority w:val="0"/>
    <w:rPr>
      <w:i/>
      <w:sz w:val="20"/>
    </w:rPr>
  </w:style>
  <w:style w:type="character" w:customStyle="1" w:styleId="214">
    <w:name w:val="16"/>
    <w:autoRedefine/>
    <w:qFormat/>
    <w:uiPriority w:val="0"/>
    <w:rPr>
      <w:b/>
      <w:color w:val="FF0356"/>
      <w:sz w:val="20"/>
    </w:rPr>
  </w:style>
  <w:style w:type="character" w:customStyle="1" w:styleId="215">
    <w:name w:val="批注主题 Char1"/>
    <w:autoRedefine/>
    <w:semiHidden/>
    <w:qFormat/>
    <w:uiPriority w:val="0"/>
    <w:rPr>
      <w:b/>
      <w:sz w:val="20"/>
    </w:rPr>
  </w:style>
  <w:style w:type="character" w:customStyle="1" w:styleId="216">
    <w:name w:val="正文文本 2 Char1"/>
    <w:autoRedefine/>
    <w:semiHidden/>
    <w:qFormat/>
    <w:uiPriority w:val="0"/>
    <w:rPr>
      <w:sz w:val="20"/>
    </w:rPr>
  </w:style>
  <w:style w:type="character" w:customStyle="1" w:styleId="217">
    <w:name w:val="font31"/>
    <w:autoRedefine/>
    <w:qFormat/>
    <w:uiPriority w:val="0"/>
    <w:rPr>
      <w:color w:val="FF0000"/>
      <w:sz w:val="20"/>
      <w:u w:val="none"/>
      <w:vertAlign w:val="superscript"/>
    </w:rPr>
  </w:style>
  <w:style w:type="character" w:customStyle="1" w:styleId="218">
    <w:name w:val="不明显参考1"/>
    <w:autoRedefine/>
    <w:qFormat/>
    <w:uiPriority w:val="0"/>
    <w:rPr>
      <w:sz w:val="20"/>
    </w:rPr>
  </w:style>
  <w:style w:type="character" w:customStyle="1" w:styleId="219">
    <w:name w:val="HTML 预设格式 Char1"/>
    <w:autoRedefine/>
    <w:semiHidden/>
    <w:qFormat/>
    <w:uiPriority w:val="0"/>
    <w:rPr>
      <w:sz w:val="20"/>
    </w:rPr>
  </w:style>
  <w:style w:type="character" w:customStyle="1" w:styleId="220">
    <w:name w:val="font01"/>
    <w:basedOn w:val="47"/>
    <w:autoRedefine/>
    <w:qFormat/>
    <w:uiPriority w:val="0"/>
    <w:rPr>
      <w:color w:val="FF0000"/>
      <w:sz w:val="20"/>
      <w:u w:val="none"/>
      <w:vertAlign w:val="superscript"/>
    </w:rPr>
  </w:style>
  <w:style w:type="character" w:customStyle="1" w:styleId="221">
    <w:name w:val="页脚 Char1"/>
    <w:autoRedefine/>
    <w:semiHidden/>
    <w:qFormat/>
    <w:uiPriority w:val="0"/>
    <w:rPr>
      <w:sz w:val="20"/>
    </w:rPr>
  </w:style>
  <w:style w:type="character" w:customStyle="1" w:styleId="222">
    <w:name w:val="批注框文本 Char1"/>
    <w:autoRedefine/>
    <w:semiHidden/>
    <w:qFormat/>
    <w:uiPriority w:val="0"/>
    <w:rPr>
      <w:sz w:val="20"/>
    </w:rPr>
  </w:style>
  <w:style w:type="paragraph" w:customStyle="1" w:styleId="223">
    <w:name w:val="列出段落2"/>
    <w:basedOn w:val="1"/>
    <w:next w:val="224"/>
    <w:autoRedefine/>
    <w:qFormat/>
    <w:uiPriority w:val="0"/>
    <w:pPr>
      <w:ind w:firstLine="420"/>
    </w:pPr>
    <w:rPr>
      <w:rFonts w:hAnsi="Calibri"/>
      <w:kern w:val="0"/>
      <w:szCs w:val="20"/>
    </w:rPr>
  </w:style>
  <w:style w:type="paragraph" w:customStyle="1" w:styleId="224">
    <w:name w:val="toc 81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25">
    <w:name w:val="toc 6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26">
    <w:name w:val="toc 41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7">
    <w:name w:val="toc 41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28">
    <w:name w:val="xl86"/>
    <w:basedOn w:val="1"/>
    <w:next w:val="22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29">
    <w:name w:val="toc 51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30">
    <w:name w:val="TOC Heading4"/>
    <w:next w:val="1"/>
    <w:autoRedefine/>
    <w:qFormat/>
    <w:uiPriority w:val="0"/>
    <w:pPr>
      <w:wordWrap w:val="0"/>
    </w:pPr>
    <w:rPr>
      <w:rFonts w:ascii="Calibri" w:hAnsi="Calibri" w:eastAsia="宋体" w:cs="Times New Roman"/>
      <w:sz w:val="32"/>
      <w:lang w:val="en-US" w:eastAsia="zh-CN" w:bidi="ar-SA"/>
    </w:rPr>
  </w:style>
  <w:style w:type="paragraph" w:customStyle="1" w:styleId="231">
    <w:name w:val="toc 15"/>
    <w:next w:val="1"/>
    <w:autoRedefine/>
    <w:qFormat/>
    <w:uiPriority w:val="0"/>
    <w:pPr>
      <w:wordWrap w:val="0"/>
      <w:jc w:val="both"/>
    </w:pPr>
    <w:rPr>
      <w:rFonts w:ascii="Calibri" w:hAnsi="Calibri" w:eastAsia="宋体" w:cs="Times New Roman"/>
      <w:sz w:val="21"/>
      <w:lang w:val="en-US" w:eastAsia="zh-CN" w:bidi="ar-SA"/>
    </w:rPr>
  </w:style>
  <w:style w:type="paragraph" w:customStyle="1" w:styleId="232">
    <w:name w:val="TOC Heading2"/>
    <w:next w:val="1"/>
    <w:autoRedefine/>
    <w:qFormat/>
    <w:uiPriority w:val="0"/>
    <w:pPr>
      <w:wordWrap w:val="0"/>
    </w:pPr>
    <w:rPr>
      <w:rFonts w:ascii="Calibri" w:hAnsi="Calibri" w:eastAsia="宋体" w:cs="Times New Roman"/>
      <w:sz w:val="32"/>
      <w:lang w:val="en-US" w:eastAsia="zh-CN" w:bidi="ar-SA"/>
    </w:rPr>
  </w:style>
  <w:style w:type="paragraph" w:customStyle="1" w:styleId="233">
    <w:name w:val="TOC Heading1"/>
    <w:next w:val="1"/>
    <w:autoRedefine/>
    <w:qFormat/>
    <w:uiPriority w:val="0"/>
    <w:pPr>
      <w:wordWrap w:val="0"/>
    </w:pPr>
    <w:rPr>
      <w:rFonts w:ascii="Calibri" w:hAnsi="Calibri" w:eastAsia="宋体" w:cs="Times New Roman"/>
      <w:sz w:val="32"/>
      <w:lang w:val="en-US" w:eastAsia="zh-CN" w:bidi="ar-SA"/>
    </w:rPr>
  </w:style>
  <w:style w:type="paragraph" w:customStyle="1" w:styleId="234">
    <w:name w:val="toc 7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35">
    <w:name w:val="font7"/>
    <w:basedOn w:val="1"/>
    <w:next w:val="236"/>
    <w:autoRedefine/>
    <w:qFormat/>
    <w:uiPriority w:val="0"/>
    <w:pPr>
      <w:widowControl/>
      <w:spacing w:before="280" w:after="280"/>
    </w:pPr>
    <w:rPr>
      <w:rFonts w:ascii="Arial" w:hAnsi="Calibri"/>
      <w:kern w:val="0"/>
      <w:sz w:val="18"/>
      <w:szCs w:val="20"/>
    </w:rPr>
  </w:style>
  <w:style w:type="paragraph" w:customStyle="1" w:styleId="236">
    <w:name w:val="toc 810"/>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37">
    <w:name w:val="xl113"/>
    <w:basedOn w:val="1"/>
    <w:next w:val="238"/>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38">
    <w:name w:val="TOC Heading10"/>
    <w:next w:val="1"/>
    <w:autoRedefine/>
    <w:qFormat/>
    <w:uiPriority w:val="0"/>
    <w:pPr>
      <w:wordWrap w:val="0"/>
    </w:pPr>
    <w:rPr>
      <w:rFonts w:ascii="Calibri" w:hAnsi="Calibri" w:eastAsia="宋体" w:cs="Times New Roman"/>
      <w:sz w:val="32"/>
      <w:lang w:val="en-US" w:eastAsia="zh-CN" w:bidi="ar-SA"/>
    </w:rPr>
  </w:style>
  <w:style w:type="paragraph" w:customStyle="1" w:styleId="239">
    <w:name w:val="toc 89"/>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40">
    <w:name w:val="xl73"/>
    <w:basedOn w:val="1"/>
    <w:next w:val="24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41">
    <w:name w:val="toc 61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2">
    <w:name w:val="xl79"/>
    <w:basedOn w:val="1"/>
    <w:next w:val="243"/>
    <w:autoRedefine/>
    <w:qFormat/>
    <w:uiPriority w:val="0"/>
    <w:pPr>
      <w:widowControl/>
      <w:shd w:val="clear" w:color="000000" w:fill="FFFFFF"/>
      <w:spacing w:before="280" w:after="280"/>
    </w:pPr>
    <w:rPr>
      <w:rFonts w:ascii="宋体" w:hAnsi="Calibri"/>
      <w:b/>
      <w:kern w:val="0"/>
      <w:sz w:val="20"/>
      <w:szCs w:val="20"/>
    </w:rPr>
  </w:style>
  <w:style w:type="paragraph" w:customStyle="1" w:styleId="243">
    <w:name w:val="toc 87"/>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44">
    <w:name w:val="toc 11"/>
    <w:next w:val="1"/>
    <w:autoRedefine/>
    <w:qFormat/>
    <w:uiPriority w:val="0"/>
    <w:pPr>
      <w:wordWrap w:val="0"/>
      <w:jc w:val="both"/>
    </w:pPr>
    <w:rPr>
      <w:rFonts w:ascii="Calibri" w:hAnsi="Calibri" w:eastAsia="宋体" w:cs="Times New Roman"/>
      <w:sz w:val="21"/>
      <w:lang w:val="en-US" w:eastAsia="zh-CN" w:bidi="ar-SA"/>
    </w:rPr>
  </w:style>
  <w:style w:type="paragraph" w:customStyle="1" w:styleId="245">
    <w:name w:val="toc 410"/>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46">
    <w:name w:val="toc 61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47">
    <w:name w:val="xl112"/>
    <w:basedOn w:val="1"/>
    <w:next w:val="246"/>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48">
    <w:name w:val="toc 51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49">
    <w:name w:val="toc 44"/>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0">
    <w:name w:val="toc 41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51">
    <w:name w:val="xl74"/>
    <w:basedOn w:val="1"/>
    <w:next w:val="252"/>
    <w:autoRedefine/>
    <w:qFormat/>
    <w:uiPriority w:val="0"/>
    <w:pPr>
      <w:widowControl/>
      <w:shd w:val="clear" w:color="000000" w:fill="FFFFFF"/>
      <w:spacing w:before="280" w:after="280"/>
    </w:pPr>
    <w:rPr>
      <w:rFonts w:ascii="宋体" w:hAnsi="Calibri"/>
      <w:kern w:val="0"/>
      <w:sz w:val="20"/>
      <w:szCs w:val="20"/>
    </w:rPr>
  </w:style>
  <w:style w:type="paragraph" w:customStyle="1" w:styleId="252">
    <w:name w:val="toc 57"/>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53">
    <w:name w:val="toc 91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4">
    <w:name w:val="toc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5">
    <w:name w:val="toc 38"/>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6">
    <w:name w:val="toc 9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57">
    <w:name w:val="列出段落5"/>
    <w:basedOn w:val="1"/>
    <w:next w:val="258"/>
    <w:autoRedefine/>
    <w:qFormat/>
    <w:uiPriority w:val="0"/>
    <w:pPr>
      <w:ind w:firstLine="420"/>
    </w:pPr>
    <w:rPr>
      <w:rFonts w:hAnsi="Calibri"/>
      <w:kern w:val="0"/>
      <w:szCs w:val="20"/>
    </w:rPr>
  </w:style>
  <w:style w:type="paragraph" w:customStyle="1" w:styleId="258">
    <w:name w:val="toc 31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59">
    <w:name w:val="xl66"/>
    <w:basedOn w:val="1"/>
    <w:next w:val="260"/>
    <w:autoRedefine/>
    <w:qFormat/>
    <w:uiPriority w:val="0"/>
    <w:pPr>
      <w:widowControl/>
      <w:shd w:val="clear" w:color="000000" w:fill="FFFFFF"/>
      <w:spacing w:before="280" w:after="280"/>
    </w:pPr>
    <w:rPr>
      <w:rFonts w:ascii="宋体" w:hAnsi="Calibri"/>
      <w:kern w:val="0"/>
      <w:sz w:val="20"/>
      <w:szCs w:val="20"/>
    </w:rPr>
  </w:style>
  <w:style w:type="paragraph" w:customStyle="1" w:styleId="260">
    <w:name w:val="toc 5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1">
    <w:name w:val="TOC Heading3"/>
    <w:next w:val="1"/>
    <w:autoRedefine/>
    <w:qFormat/>
    <w:uiPriority w:val="0"/>
    <w:pPr>
      <w:wordWrap w:val="0"/>
    </w:pPr>
    <w:rPr>
      <w:rFonts w:ascii="Calibri" w:hAnsi="Calibri" w:eastAsia="宋体" w:cs="Times New Roman"/>
      <w:sz w:val="32"/>
      <w:lang w:val="en-US" w:eastAsia="zh-CN" w:bidi="ar-SA"/>
    </w:rPr>
  </w:style>
  <w:style w:type="paragraph" w:customStyle="1" w:styleId="262">
    <w:name w:val="toc 6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63">
    <w:name w:val="toc 2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64">
    <w:name w:val="xl84"/>
    <w:basedOn w:val="1"/>
    <w:next w:val="26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65">
    <w:name w:val="toc 99"/>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66">
    <w:name w:val="xl81"/>
    <w:basedOn w:val="1"/>
    <w:next w:val="267"/>
    <w:autoRedefine/>
    <w:qFormat/>
    <w:uiPriority w:val="0"/>
    <w:pPr>
      <w:widowControl/>
      <w:shd w:val="clear" w:color="000000" w:fill="FFFFFF"/>
      <w:spacing w:before="280" w:after="280"/>
    </w:pPr>
    <w:rPr>
      <w:rFonts w:ascii="宋体" w:hAnsi="Calibri"/>
      <w:kern w:val="0"/>
      <w:sz w:val="20"/>
      <w:szCs w:val="20"/>
    </w:rPr>
  </w:style>
  <w:style w:type="paragraph" w:customStyle="1" w:styleId="267">
    <w:name w:val="toc 59"/>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68">
    <w:name w:val="目录 11"/>
    <w:next w:val="1"/>
    <w:autoRedefine/>
    <w:qFormat/>
    <w:uiPriority w:val="0"/>
    <w:pPr>
      <w:wordWrap w:val="0"/>
      <w:jc w:val="both"/>
    </w:pPr>
    <w:rPr>
      <w:rFonts w:ascii="Calibri" w:hAnsi="Calibri" w:eastAsia="宋体" w:cs="Times New Roman"/>
      <w:sz w:val="21"/>
      <w:lang w:val="en-US" w:eastAsia="zh-CN" w:bidi="ar-SA"/>
    </w:rPr>
  </w:style>
  <w:style w:type="paragraph" w:customStyle="1" w:styleId="269">
    <w:name w:val="toc 51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70">
    <w:name w:val="TOC Heading12"/>
    <w:next w:val="1"/>
    <w:autoRedefine/>
    <w:qFormat/>
    <w:uiPriority w:val="0"/>
    <w:pPr>
      <w:wordWrap w:val="0"/>
    </w:pPr>
    <w:rPr>
      <w:rFonts w:ascii="Calibri" w:hAnsi="Calibri" w:eastAsia="宋体" w:cs="Times New Roman"/>
      <w:sz w:val="32"/>
      <w:lang w:val="en-US" w:eastAsia="zh-CN" w:bidi="ar-SA"/>
    </w:rPr>
  </w:style>
  <w:style w:type="paragraph" w:customStyle="1" w:styleId="271">
    <w:name w:val="TOC Heading8"/>
    <w:next w:val="1"/>
    <w:autoRedefine/>
    <w:qFormat/>
    <w:uiPriority w:val="0"/>
    <w:pPr>
      <w:wordWrap w:val="0"/>
    </w:pPr>
    <w:rPr>
      <w:rFonts w:ascii="Calibri" w:hAnsi="Calibri" w:eastAsia="宋体" w:cs="Times New Roman"/>
      <w:sz w:val="32"/>
      <w:lang w:val="en-US" w:eastAsia="zh-CN" w:bidi="ar-SA"/>
    </w:rPr>
  </w:style>
  <w:style w:type="paragraph" w:customStyle="1" w:styleId="272">
    <w:name w:val="toc 71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3">
    <w:name w:val="toc 21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4">
    <w:name w:val="目录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75">
    <w:name w:val="toc 4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76">
    <w:name w:val="xl116"/>
    <w:basedOn w:val="1"/>
    <w:next w:val="277"/>
    <w:autoRedefine/>
    <w:qFormat/>
    <w:uiPriority w:val="0"/>
    <w:pPr>
      <w:widowControl/>
      <w:shd w:val="clear" w:color="000000" w:fill="FFFFFF"/>
      <w:spacing w:before="280" w:after="280"/>
      <w:jc w:val="center"/>
    </w:pPr>
    <w:rPr>
      <w:rFonts w:ascii="Arial Narrow" w:hAnsi="Calibri"/>
      <w:kern w:val="0"/>
      <w:sz w:val="20"/>
      <w:szCs w:val="20"/>
    </w:rPr>
  </w:style>
  <w:style w:type="paragraph" w:customStyle="1" w:styleId="277">
    <w:name w:val="toc 78"/>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78">
    <w:name w:val="font8"/>
    <w:basedOn w:val="1"/>
    <w:next w:val="279"/>
    <w:autoRedefine/>
    <w:qFormat/>
    <w:uiPriority w:val="0"/>
    <w:pPr>
      <w:widowControl/>
      <w:spacing w:before="280" w:after="280"/>
    </w:pPr>
    <w:rPr>
      <w:rFonts w:ascii="Arial" w:hAnsi="Calibri"/>
      <w:kern w:val="0"/>
      <w:sz w:val="20"/>
      <w:szCs w:val="20"/>
    </w:rPr>
  </w:style>
  <w:style w:type="paragraph" w:customStyle="1" w:styleId="279">
    <w:name w:val="TOC Heading11"/>
    <w:next w:val="1"/>
    <w:autoRedefine/>
    <w:qFormat/>
    <w:uiPriority w:val="0"/>
    <w:pPr>
      <w:wordWrap w:val="0"/>
    </w:pPr>
    <w:rPr>
      <w:rFonts w:ascii="Calibri" w:hAnsi="Calibri" w:eastAsia="宋体" w:cs="Times New Roman"/>
      <w:sz w:val="32"/>
      <w:lang w:val="en-US" w:eastAsia="zh-CN" w:bidi="ar-SA"/>
    </w:rPr>
  </w:style>
  <w:style w:type="paragraph" w:customStyle="1" w:styleId="280">
    <w:name w:val="xl69"/>
    <w:basedOn w:val="1"/>
    <w:next w:val="281"/>
    <w:autoRedefine/>
    <w:qFormat/>
    <w:uiPriority w:val="0"/>
    <w:pPr>
      <w:widowControl/>
      <w:shd w:val="clear" w:color="000000" w:fill="FFFFFF"/>
      <w:spacing w:before="280" w:after="280"/>
    </w:pPr>
    <w:rPr>
      <w:rFonts w:ascii="宋体" w:hAnsi="Calibri"/>
      <w:b/>
      <w:kern w:val="0"/>
      <w:sz w:val="20"/>
      <w:szCs w:val="20"/>
    </w:rPr>
  </w:style>
  <w:style w:type="paragraph" w:customStyle="1" w:styleId="281">
    <w:name w:val="toc 48"/>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282">
    <w:name w:val="toc 81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283">
    <w:name w:val="目录 9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284">
    <w:name w:val="列出段落3"/>
    <w:basedOn w:val="1"/>
    <w:next w:val="285"/>
    <w:autoRedefine/>
    <w:qFormat/>
    <w:uiPriority w:val="0"/>
    <w:pPr>
      <w:ind w:firstLine="420"/>
    </w:pPr>
    <w:rPr>
      <w:rFonts w:hAnsi="Calibri"/>
      <w:kern w:val="0"/>
      <w:szCs w:val="20"/>
    </w:rPr>
  </w:style>
  <w:style w:type="paragraph" w:customStyle="1" w:styleId="285">
    <w:name w:val="toc 21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86">
    <w:name w:val="TOC 标题1"/>
    <w:next w:val="1"/>
    <w:autoRedefine/>
    <w:qFormat/>
    <w:uiPriority w:val="0"/>
    <w:pPr>
      <w:wordWrap w:val="0"/>
    </w:pPr>
    <w:rPr>
      <w:rFonts w:ascii="Calibri" w:hAnsi="Calibri" w:eastAsia="宋体" w:cs="Times New Roman"/>
      <w:sz w:val="32"/>
      <w:lang w:val="en-US" w:eastAsia="zh-CN" w:bidi="ar-SA"/>
    </w:rPr>
  </w:style>
  <w:style w:type="paragraph" w:customStyle="1" w:styleId="287">
    <w:name w:val="TOC Heading5"/>
    <w:next w:val="1"/>
    <w:autoRedefine/>
    <w:qFormat/>
    <w:uiPriority w:val="0"/>
    <w:pPr>
      <w:wordWrap w:val="0"/>
    </w:pPr>
    <w:rPr>
      <w:rFonts w:ascii="Calibri" w:hAnsi="Calibri" w:eastAsia="宋体" w:cs="Times New Roman"/>
      <w:sz w:val="32"/>
      <w:lang w:val="en-US" w:eastAsia="zh-CN" w:bidi="ar-SA"/>
    </w:rPr>
  </w:style>
  <w:style w:type="paragraph" w:customStyle="1" w:styleId="288">
    <w:name w:val="toc 31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289">
    <w:name w:val="toc 71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0">
    <w:name w:val="xl115"/>
    <w:basedOn w:val="1"/>
    <w:next w:val="291"/>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291">
    <w:name w:val="toc 71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292">
    <w:name w:val="toc 6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293">
    <w:name w:val="toc 2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294">
    <w:name w:val="toc 54"/>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295">
    <w:name w:val="xl93"/>
    <w:basedOn w:val="1"/>
    <w:next w:val="296"/>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toc 112"/>
    <w:next w:val="1"/>
    <w:autoRedefine/>
    <w:qFormat/>
    <w:uiPriority w:val="0"/>
    <w:pPr>
      <w:wordWrap w:val="0"/>
      <w:jc w:val="both"/>
    </w:pPr>
    <w:rPr>
      <w:rFonts w:ascii="Calibri" w:hAnsi="Calibri" w:eastAsia="宋体" w:cs="Times New Roman"/>
      <w:sz w:val="21"/>
      <w:lang w:val="en-US" w:eastAsia="zh-CN" w:bidi="ar-SA"/>
    </w:rPr>
  </w:style>
  <w:style w:type="paragraph" w:customStyle="1" w:styleId="297">
    <w:name w:val="xl96"/>
    <w:basedOn w:val="1"/>
    <w:next w:val="24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298">
    <w:name w:val="xl106"/>
    <w:basedOn w:val="1"/>
    <w:next w:val="282"/>
    <w:autoRedefine/>
    <w:qFormat/>
    <w:uiPriority w:val="0"/>
    <w:pPr>
      <w:widowControl/>
      <w:shd w:val="clear" w:color="000000" w:fill="FFFFFF"/>
      <w:spacing w:before="280" w:after="280"/>
    </w:pPr>
    <w:rPr>
      <w:rFonts w:ascii="宋体" w:hAnsi="Calibri"/>
      <w:kern w:val="0"/>
      <w:sz w:val="20"/>
      <w:szCs w:val="20"/>
    </w:rPr>
  </w:style>
  <w:style w:type="paragraph" w:customStyle="1" w:styleId="299">
    <w:name w:val="toc 3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00">
    <w:name w:val="TOC Heading14"/>
    <w:next w:val="1"/>
    <w:autoRedefine/>
    <w:qFormat/>
    <w:uiPriority w:val="0"/>
    <w:pPr>
      <w:wordWrap w:val="0"/>
    </w:pPr>
    <w:rPr>
      <w:rFonts w:ascii="Calibri" w:hAnsi="Calibri" w:eastAsia="宋体" w:cs="Times New Roman"/>
      <w:sz w:val="32"/>
      <w:lang w:val="en-US" w:eastAsia="zh-CN" w:bidi="ar-SA"/>
    </w:rPr>
  </w:style>
  <w:style w:type="paragraph" w:customStyle="1" w:styleId="301">
    <w:name w:val="Char Char Char Char Char Char Char1"/>
    <w:basedOn w:val="1"/>
    <w:next w:val="302"/>
    <w:autoRedefine/>
    <w:qFormat/>
    <w:uiPriority w:val="0"/>
    <w:pPr>
      <w:widowControl/>
      <w:spacing w:after="160" w:line="240" w:lineRule="exact"/>
    </w:pPr>
    <w:rPr>
      <w:rFonts w:hAnsi="Calibri"/>
      <w:kern w:val="0"/>
      <w:szCs w:val="20"/>
    </w:rPr>
  </w:style>
  <w:style w:type="paragraph" w:customStyle="1" w:styleId="302">
    <w:name w:val="toc 67"/>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03">
    <w:name w:val="列出段落4"/>
    <w:basedOn w:val="1"/>
    <w:next w:val="304"/>
    <w:autoRedefine/>
    <w:qFormat/>
    <w:uiPriority w:val="0"/>
    <w:pPr>
      <w:ind w:firstLine="420"/>
    </w:pPr>
    <w:rPr>
      <w:rFonts w:hAnsi="Calibri"/>
      <w:kern w:val="0"/>
      <w:szCs w:val="20"/>
    </w:rPr>
  </w:style>
  <w:style w:type="paragraph" w:customStyle="1" w:styleId="304">
    <w:name w:val="TOC Heading9"/>
    <w:next w:val="1"/>
    <w:autoRedefine/>
    <w:qFormat/>
    <w:uiPriority w:val="0"/>
    <w:pPr>
      <w:wordWrap w:val="0"/>
    </w:pPr>
    <w:rPr>
      <w:rFonts w:ascii="Calibri" w:hAnsi="Calibri" w:eastAsia="宋体" w:cs="Times New Roman"/>
      <w:sz w:val="32"/>
      <w:lang w:val="en-US" w:eastAsia="zh-CN" w:bidi="ar-SA"/>
    </w:rPr>
  </w:style>
  <w:style w:type="paragraph" w:customStyle="1" w:styleId="305">
    <w:name w:val="xl71"/>
    <w:basedOn w:val="1"/>
    <w:next w:val="306"/>
    <w:autoRedefine/>
    <w:qFormat/>
    <w:uiPriority w:val="0"/>
    <w:pPr>
      <w:widowControl/>
      <w:shd w:val="clear" w:color="000000" w:fill="FFFFFF"/>
      <w:spacing w:before="280" w:after="280"/>
    </w:pPr>
    <w:rPr>
      <w:rFonts w:ascii="宋体" w:hAnsi="Calibri"/>
      <w:kern w:val="0"/>
      <w:sz w:val="24"/>
      <w:szCs w:val="20"/>
    </w:rPr>
  </w:style>
  <w:style w:type="paragraph" w:customStyle="1" w:styleId="306">
    <w:name w:val="toc 115"/>
    <w:next w:val="1"/>
    <w:autoRedefine/>
    <w:qFormat/>
    <w:uiPriority w:val="0"/>
    <w:pPr>
      <w:wordWrap w:val="0"/>
      <w:jc w:val="both"/>
    </w:pPr>
    <w:rPr>
      <w:rFonts w:ascii="Calibri" w:hAnsi="Calibri" w:eastAsia="宋体" w:cs="Times New Roman"/>
      <w:sz w:val="21"/>
      <w:lang w:val="en-US" w:eastAsia="zh-CN" w:bidi="ar-SA"/>
    </w:rPr>
  </w:style>
  <w:style w:type="paragraph" w:customStyle="1" w:styleId="307">
    <w:name w:val="toc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08">
    <w:name w:val="toc 47"/>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09">
    <w:name w:val="xl108"/>
    <w:basedOn w:val="1"/>
    <w:next w:val="310"/>
    <w:autoRedefine/>
    <w:qFormat/>
    <w:uiPriority w:val="0"/>
    <w:pPr>
      <w:widowControl/>
      <w:shd w:val="clear" w:color="000000" w:fill="FFFFFF"/>
      <w:spacing w:before="280" w:after="280"/>
    </w:pPr>
    <w:rPr>
      <w:rFonts w:ascii="宋体" w:hAnsi="Calibri"/>
      <w:kern w:val="0"/>
      <w:sz w:val="18"/>
      <w:szCs w:val="20"/>
    </w:rPr>
  </w:style>
  <w:style w:type="paragraph" w:customStyle="1" w:styleId="310">
    <w:name w:val="toc 18"/>
    <w:next w:val="1"/>
    <w:autoRedefine/>
    <w:qFormat/>
    <w:uiPriority w:val="0"/>
    <w:pPr>
      <w:wordWrap w:val="0"/>
      <w:jc w:val="both"/>
    </w:pPr>
    <w:rPr>
      <w:rFonts w:ascii="Calibri" w:hAnsi="Calibri" w:eastAsia="宋体" w:cs="Times New Roman"/>
      <w:sz w:val="21"/>
      <w:lang w:val="en-US" w:eastAsia="zh-CN" w:bidi="ar-SA"/>
    </w:rPr>
  </w:style>
  <w:style w:type="paragraph" w:customStyle="1" w:styleId="311">
    <w:name w:val="TOC Heading7"/>
    <w:next w:val="1"/>
    <w:autoRedefine/>
    <w:qFormat/>
    <w:uiPriority w:val="0"/>
    <w:pPr>
      <w:wordWrap w:val="0"/>
    </w:pPr>
    <w:rPr>
      <w:rFonts w:ascii="Calibri" w:hAnsi="Calibri" w:eastAsia="宋体" w:cs="Times New Roman"/>
      <w:sz w:val="32"/>
      <w:lang w:val="en-US" w:eastAsia="zh-CN" w:bidi="ar-SA"/>
    </w:rPr>
  </w:style>
  <w:style w:type="character" w:customStyle="1" w:styleId="312">
    <w:name w:val="副标题 Char"/>
    <w:basedOn w:val="47"/>
    <w:link w:val="32"/>
    <w:autoRedefine/>
    <w:qFormat/>
    <w:uiPriority w:val="0"/>
    <w:rPr>
      <w:rFonts w:ascii="Calibri" w:hAnsi="Calibri"/>
      <w:sz w:val="24"/>
    </w:rPr>
  </w:style>
  <w:style w:type="paragraph" w:customStyle="1" w:styleId="313">
    <w:name w:val="目录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14">
    <w:name w:val="toc 41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15">
    <w:name w:val="toc 8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6">
    <w:name w:val="列出段落6"/>
    <w:basedOn w:val="1"/>
    <w:next w:val="317"/>
    <w:autoRedefine/>
    <w:qFormat/>
    <w:uiPriority w:val="0"/>
    <w:pPr>
      <w:ind w:firstLine="420"/>
    </w:pPr>
    <w:rPr>
      <w:rFonts w:hAnsi="Calibri"/>
      <w:kern w:val="0"/>
      <w:szCs w:val="20"/>
    </w:rPr>
  </w:style>
  <w:style w:type="paragraph" w:customStyle="1" w:styleId="317">
    <w:name w:val="toc 8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18">
    <w:name w:val="xl80"/>
    <w:basedOn w:val="1"/>
    <w:next w:val="31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19">
    <w:name w:val="toc 49"/>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20">
    <w:name w:val="Char Char Char Char1"/>
    <w:basedOn w:val="1"/>
    <w:next w:val="321"/>
    <w:autoRedefine/>
    <w:qFormat/>
    <w:uiPriority w:val="0"/>
    <w:pPr>
      <w:widowControl/>
      <w:spacing w:after="160" w:line="240" w:lineRule="exact"/>
    </w:pPr>
    <w:rPr>
      <w:rFonts w:ascii="Verdana" w:hAnsi="Calibri" w:eastAsia="仿宋_GB2312"/>
      <w:kern w:val="0"/>
      <w:sz w:val="24"/>
      <w:szCs w:val="20"/>
    </w:rPr>
  </w:style>
  <w:style w:type="paragraph" w:customStyle="1" w:styleId="321">
    <w:name w:val="toc 713"/>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22">
    <w:name w:val="xl102"/>
    <w:basedOn w:val="1"/>
    <w:next w:val="323"/>
    <w:autoRedefine/>
    <w:qFormat/>
    <w:uiPriority w:val="0"/>
    <w:pPr>
      <w:widowControl/>
      <w:shd w:val="clear" w:color="000000" w:fill="FFFFFF"/>
      <w:spacing w:before="280" w:after="280"/>
      <w:jc w:val="right"/>
    </w:pPr>
    <w:rPr>
      <w:rFonts w:ascii="宋体" w:hAnsi="Calibri"/>
      <w:kern w:val="0"/>
      <w:sz w:val="20"/>
      <w:szCs w:val="20"/>
    </w:rPr>
  </w:style>
  <w:style w:type="paragraph" w:customStyle="1" w:styleId="323">
    <w:name w:val="toc 17"/>
    <w:next w:val="1"/>
    <w:autoRedefine/>
    <w:qFormat/>
    <w:uiPriority w:val="0"/>
    <w:pPr>
      <w:wordWrap w:val="0"/>
      <w:jc w:val="both"/>
    </w:pPr>
    <w:rPr>
      <w:rFonts w:ascii="Calibri" w:hAnsi="Calibri" w:eastAsia="宋体" w:cs="Times New Roman"/>
      <w:sz w:val="21"/>
      <w:lang w:val="en-US" w:eastAsia="zh-CN" w:bidi="ar-SA"/>
    </w:rPr>
  </w:style>
  <w:style w:type="paragraph" w:customStyle="1" w:styleId="324">
    <w:name w:val="toc 4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25">
    <w:name w:val="toc 31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26">
    <w:name w:val="xl65"/>
    <w:basedOn w:val="1"/>
    <w:next w:val="227"/>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27">
    <w:name w:val="toc 9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28">
    <w:name w:val="toc 55"/>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29">
    <w:name w:val="toc 81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0">
    <w:name w:val="xl75"/>
    <w:basedOn w:val="1"/>
    <w:next w:val="331"/>
    <w:autoRedefine/>
    <w:qFormat/>
    <w:uiPriority w:val="0"/>
    <w:pPr>
      <w:widowControl/>
      <w:shd w:val="clear" w:color="000000" w:fill="FFFFFF"/>
      <w:spacing w:before="280" w:after="280"/>
    </w:pPr>
    <w:rPr>
      <w:rFonts w:ascii="宋体" w:hAnsi="Calibri"/>
      <w:kern w:val="0"/>
      <w:sz w:val="20"/>
      <w:szCs w:val="20"/>
    </w:rPr>
  </w:style>
  <w:style w:type="paragraph" w:customStyle="1" w:styleId="331">
    <w:name w:val="toc 914"/>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32">
    <w:name w:val="toc 19"/>
    <w:next w:val="1"/>
    <w:autoRedefine/>
    <w:qFormat/>
    <w:uiPriority w:val="0"/>
    <w:pPr>
      <w:wordWrap w:val="0"/>
      <w:jc w:val="both"/>
    </w:pPr>
    <w:rPr>
      <w:rFonts w:ascii="Calibri" w:hAnsi="Calibri" w:eastAsia="宋体" w:cs="Times New Roman"/>
      <w:sz w:val="21"/>
      <w:lang w:val="en-US" w:eastAsia="zh-CN" w:bidi="ar-SA"/>
    </w:rPr>
  </w:style>
  <w:style w:type="paragraph" w:customStyle="1" w:styleId="333">
    <w:name w:val="TOC Heading6"/>
    <w:next w:val="1"/>
    <w:autoRedefine/>
    <w:qFormat/>
    <w:uiPriority w:val="0"/>
    <w:pPr>
      <w:wordWrap w:val="0"/>
    </w:pPr>
    <w:rPr>
      <w:rFonts w:ascii="Calibri" w:hAnsi="Calibri" w:eastAsia="宋体" w:cs="Times New Roman"/>
      <w:sz w:val="32"/>
      <w:lang w:val="en-US" w:eastAsia="zh-CN" w:bidi="ar-SA"/>
    </w:rPr>
  </w:style>
  <w:style w:type="paragraph" w:customStyle="1" w:styleId="334">
    <w:name w:val="toc 5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35">
    <w:name w:val="toc 3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36">
    <w:name w:val="toc 82"/>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37">
    <w:name w:val="xl104"/>
    <w:basedOn w:val="1"/>
    <w:next w:val="338"/>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38">
    <w:name w:val="toc 210"/>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39">
    <w:name w:val="toc 110"/>
    <w:next w:val="1"/>
    <w:autoRedefine/>
    <w:qFormat/>
    <w:uiPriority w:val="0"/>
    <w:pPr>
      <w:wordWrap w:val="0"/>
      <w:jc w:val="both"/>
    </w:pPr>
    <w:rPr>
      <w:rFonts w:ascii="Calibri" w:hAnsi="Calibri" w:eastAsia="宋体" w:cs="Times New Roman"/>
      <w:sz w:val="21"/>
      <w:lang w:val="en-US" w:eastAsia="zh-CN" w:bidi="ar-SA"/>
    </w:rPr>
  </w:style>
  <w:style w:type="paragraph" w:customStyle="1" w:styleId="340">
    <w:name w:val="toc 6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1">
    <w:name w:val="toc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42">
    <w:name w:val="toc 9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43">
    <w:name w:val="toc 614"/>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4">
    <w:name w:val="无间隔1"/>
    <w:next w:val="339"/>
    <w:autoRedefine/>
    <w:qFormat/>
    <w:uiPriority w:val="0"/>
    <w:pPr>
      <w:widowControl w:val="0"/>
      <w:jc w:val="both"/>
    </w:pPr>
    <w:rPr>
      <w:rFonts w:ascii="Calibri" w:hAnsi="Calibri" w:eastAsia="宋体" w:cs="Times New Roman"/>
      <w:sz w:val="22"/>
      <w:lang w:val="en-US" w:eastAsia="zh-CN" w:bidi="ar-SA"/>
    </w:rPr>
  </w:style>
  <w:style w:type="paragraph" w:customStyle="1" w:styleId="345">
    <w:name w:val="目录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6">
    <w:name w:val="xl105"/>
    <w:basedOn w:val="1"/>
    <w:next w:val="347"/>
    <w:autoRedefine/>
    <w:qFormat/>
    <w:uiPriority w:val="0"/>
    <w:pPr>
      <w:widowControl/>
      <w:shd w:val="clear" w:color="000000" w:fill="FFFFFF"/>
      <w:spacing w:before="280" w:after="280"/>
    </w:pPr>
    <w:rPr>
      <w:rFonts w:ascii="宋体" w:hAnsi="Calibri"/>
      <w:kern w:val="0"/>
      <w:sz w:val="18"/>
      <w:szCs w:val="20"/>
    </w:rPr>
  </w:style>
  <w:style w:type="paragraph" w:customStyle="1" w:styleId="347">
    <w:name w:val="toc 615"/>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48">
    <w:name w:val="toc 41"/>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49">
    <w:name w:val="toc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50">
    <w:name w:val="xl111"/>
    <w:basedOn w:val="1"/>
    <w:next w:val="351"/>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51">
    <w:name w:val="toc 88"/>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52">
    <w:name w:val="toc 84"/>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53">
    <w:name w:val="p0"/>
    <w:basedOn w:val="1"/>
    <w:autoRedefine/>
    <w:qFormat/>
    <w:uiPriority w:val="0"/>
    <w:pPr>
      <w:widowControl/>
      <w:spacing w:before="280" w:after="280"/>
    </w:pPr>
    <w:rPr>
      <w:rFonts w:ascii="宋体" w:hAnsi="Calibri"/>
      <w:kern w:val="0"/>
      <w:sz w:val="24"/>
      <w:szCs w:val="20"/>
    </w:rPr>
  </w:style>
  <w:style w:type="paragraph" w:customStyle="1" w:styleId="354">
    <w:name w:val="toc 69"/>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55">
    <w:name w:val="列出段落11"/>
    <w:basedOn w:val="1"/>
    <w:next w:val="356"/>
    <w:autoRedefine/>
    <w:qFormat/>
    <w:uiPriority w:val="0"/>
    <w:pPr>
      <w:widowControl/>
      <w:spacing w:line="360" w:lineRule="auto"/>
      <w:ind w:firstLine="420"/>
    </w:pPr>
    <w:rPr>
      <w:rFonts w:hAnsi="Calibri" w:eastAsia="微软雅黑"/>
      <w:kern w:val="0"/>
      <w:sz w:val="24"/>
      <w:szCs w:val="20"/>
    </w:rPr>
  </w:style>
  <w:style w:type="paragraph" w:customStyle="1" w:styleId="356">
    <w:name w:val="toc 214"/>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57">
    <w:name w:val="toc 63"/>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358">
    <w:name w:val="xl91"/>
    <w:basedOn w:val="1"/>
    <w:next w:val="255"/>
    <w:autoRedefine/>
    <w:qFormat/>
    <w:uiPriority w:val="0"/>
    <w:pPr>
      <w:widowControl/>
      <w:shd w:val="clear" w:color="000000" w:fill="FFFFFF"/>
      <w:spacing w:before="280" w:after="280"/>
    </w:pPr>
    <w:rPr>
      <w:rFonts w:ascii="宋体" w:hAnsi="Calibri"/>
      <w:kern w:val="0"/>
      <w:sz w:val="20"/>
      <w:szCs w:val="20"/>
    </w:rPr>
  </w:style>
  <w:style w:type="paragraph" w:customStyle="1" w:styleId="359">
    <w:name w:val="toc 316"/>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60">
    <w:name w:val="_Style 1"/>
    <w:basedOn w:val="1"/>
    <w:next w:val="361"/>
    <w:autoRedefine/>
    <w:qFormat/>
    <w:uiPriority w:val="0"/>
    <w:pPr>
      <w:ind w:firstLine="420"/>
    </w:pPr>
    <w:rPr>
      <w:rFonts w:hAnsi="Calibri"/>
      <w:kern w:val="0"/>
      <w:szCs w:val="20"/>
    </w:rPr>
  </w:style>
  <w:style w:type="paragraph" w:customStyle="1" w:styleId="361">
    <w:name w:val="TOC Heading13"/>
    <w:next w:val="1"/>
    <w:autoRedefine/>
    <w:qFormat/>
    <w:uiPriority w:val="0"/>
    <w:pPr>
      <w:wordWrap w:val="0"/>
    </w:pPr>
    <w:rPr>
      <w:rFonts w:ascii="Calibri" w:hAnsi="Calibri" w:eastAsia="宋体" w:cs="Times New Roman"/>
      <w:sz w:val="32"/>
      <w:lang w:val="en-US" w:eastAsia="zh-CN" w:bidi="ar-SA"/>
    </w:rPr>
  </w:style>
  <w:style w:type="paragraph" w:customStyle="1" w:styleId="362">
    <w:name w:val="toc 116"/>
    <w:next w:val="1"/>
    <w:autoRedefine/>
    <w:qFormat/>
    <w:uiPriority w:val="0"/>
    <w:pPr>
      <w:wordWrap w:val="0"/>
      <w:jc w:val="both"/>
    </w:pPr>
    <w:rPr>
      <w:rFonts w:ascii="Calibri" w:hAnsi="Calibri" w:eastAsia="宋体" w:cs="Times New Roman"/>
      <w:sz w:val="21"/>
      <w:lang w:val="en-US" w:eastAsia="zh-CN" w:bidi="ar-SA"/>
    </w:rPr>
  </w:style>
  <w:style w:type="paragraph" w:customStyle="1" w:styleId="363">
    <w:name w:val="toc 72"/>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64">
    <w:name w:val="x_msonormal"/>
    <w:basedOn w:val="1"/>
    <w:next w:val="314"/>
    <w:autoRedefine/>
    <w:qFormat/>
    <w:uiPriority w:val="0"/>
    <w:pPr>
      <w:widowControl/>
      <w:spacing w:before="280" w:after="280"/>
    </w:pPr>
    <w:rPr>
      <w:rFonts w:ascii="PMingLiU" w:hAnsi="Calibri" w:eastAsia="PMingLiU"/>
      <w:kern w:val="0"/>
      <w:sz w:val="24"/>
      <w:szCs w:val="20"/>
    </w:rPr>
  </w:style>
  <w:style w:type="paragraph" w:customStyle="1" w:styleId="365">
    <w:name w:val="toc 310"/>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66">
    <w:name w:val="toc 83"/>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67">
    <w:name w:val="TOC Heading17"/>
    <w:next w:val="1"/>
    <w:autoRedefine/>
    <w:qFormat/>
    <w:uiPriority w:val="0"/>
    <w:pPr>
      <w:wordWrap w:val="0"/>
    </w:pPr>
    <w:rPr>
      <w:rFonts w:ascii="Calibri" w:hAnsi="Calibri" w:eastAsia="宋体" w:cs="Times New Roman"/>
      <w:sz w:val="32"/>
      <w:lang w:val="en-US" w:eastAsia="zh-CN" w:bidi="ar-SA"/>
    </w:rPr>
  </w:style>
  <w:style w:type="paragraph" w:customStyle="1" w:styleId="368">
    <w:name w:val="toc 911"/>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69">
    <w:name w:val="toc 81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70">
    <w:name w:val="目录 31"/>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371">
    <w:name w:val="xl118"/>
    <w:basedOn w:val="1"/>
    <w:next w:val="245"/>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372">
    <w:name w:val="xl83"/>
    <w:basedOn w:val="1"/>
    <w:next w:val="300"/>
    <w:autoRedefine/>
    <w:qFormat/>
    <w:uiPriority w:val="0"/>
    <w:pPr>
      <w:widowControl/>
      <w:shd w:val="clear" w:color="000000" w:fill="FFFFFF"/>
      <w:spacing w:before="280" w:after="280"/>
    </w:pPr>
    <w:rPr>
      <w:rFonts w:ascii="宋体" w:hAnsi="Calibri"/>
      <w:kern w:val="0"/>
      <w:sz w:val="20"/>
      <w:szCs w:val="20"/>
    </w:rPr>
  </w:style>
  <w:style w:type="paragraph" w:customStyle="1" w:styleId="373">
    <w:name w:val="xl103"/>
    <w:basedOn w:val="1"/>
    <w:next w:val="374"/>
    <w:autoRedefine/>
    <w:qFormat/>
    <w:uiPriority w:val="0"/>
    <w:pPr>
      <w:widowControl/>
      <w:shd w:val="clear" w:color="000000" w:fill="FFFFFF"/>
      <w:spacing w:before="280" w:after="280"/>
    </w:pPr>
    <w:rPr>
      <w:rFonts w:ascii="宋体" w:hAnsi="Calibri"/>
      <w:kern w:val="0"/>
      <w:sz w:val="20"/>
      <w:szCs w:val="20"/>
    </w:rPr>
  </w:style>
  <w:style w:type="paragraph" w:customStyle="1" w:styleId="374">
    <w:name w:val="toc 111"/>
    <w:next w:val="1"/>
    <w:autoRedefine/>
    <w:qFormat/>
    <w:uiPriority w:val="0"/>
    <w:pPr>
      <w:wordWrap w:val="0"/>
      <w:jc w:val="both"/>
    </w:pPr>
    <w:rPr>
      <w:rFonts w:ascii="Calibri" w:hAnsi="Calibri" w:eastAsia="宋体" w:cs="Times New Roman"/>
      <w:sz w:val="21"/>
      <w:lang w:val="en-US" w:eastAsia="zh-CN" w:bidi="ar-SA"/>
    </w:rPr>
  </w:style>
  <w:style w:type="paragraph" w:customStyle="1" w:styleId="375">
    <w:name w:val="xl68"/>
    <w:basedOn w:val="1"/>
    <w:next w:val="376"/>
    <w:autoRedefine/>
    <w:qFormat/>
    <w:uiPriority w:val="0"/>
    <w:pPr>
      <w:widowControl/>
      <w:shd w:val="clear" w:color="000000" w:fill="FFFFFF"/>
      <w:spacing w:before="280" w:after="280"/>
    </w:pPr>
    <w:rPr>
      <w:rFonts w:ascii="宋体" w:hAnsi="Calibri"/>
      <w:b/>
      <w:kern w:val="0"/>
      <w:sz w:val="20"/>
      <w:szCs w:val="20"/>
    </w:rPr>
  </w:style>
  <w:style w:type="paragraph" w:customStyle="1" w:styleId="376">
    <w:name w:val="TOC Heading16"/>
    <w:next w:val="1"/>
    <w:autoRedefine/>
    <w:qFormat/>
    <w:uiPriority w:val="0"/>
    <w:pPr>
      <w:wordWrap w:val="0"/>
    </w:pPr>
    <w:rPr>
      <w:rFonts w:ascii="Calibri" w:hAnsi="Calibri" w:eastAsia="宋体" w:cs="Times New Roman"/>
      <w:sz w:val="32"/>
      <w:lang w:val="en-US" w:eastAsia="zh-CN" w:bidi="ar-SA"/>
    </w:rPr>
  </w:style>
  <w:style w:type="paragraph" w:customStyle="1" w:styleId="377">
    <w:name w:val="toc 113"/>
    <w:next w:val="1"/>
    <w:autoRedefine/>
    <w:qFormat/>
    <w:uiPriority w:val="0"/>
    <w:pPr>
      <w:wordWrap w:val="0"/>
      <w:jc w:val="both"/>
    </w:pPr>
    <w:rPr>
      <w:rFonts w:ascii="Calibri" w:hAnsi="Calibri" w:eastAsia="宋体" w:cs="Times New Roman"/>
      <w:sz w:val="21"/>
      <w:lang w:val="en-US" w:eastAsia="zh-CN" w:bidi="ar-SA"/>
    </w:rPr>
  </w:style>
  <w:style w:type="paragraph" w:customStyle="1" w:styleId="378">
    <w:name w:val="xl94"/>
    <w:basedOn w:val="1"/>
    <w:next w:val="269"/>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79">
    <w:name w:val="toc 53"/>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0">
    <w:name w:val="xl92"/>
    <w:basedOn w:val="1"/>
    <w:next w:val="381"/>
    <w:autoRedefine/>
    <w:qFormat/>
    <w:uiPriority w:val="0"/>
    <w:pPr>
      <w:widowControl/>
      <w:shd w:val="clear" w:color="000000" w:fill="FFFFFF"/>
      <w:spacing w:before="280" w:after="280"/>
    </w:pPr>
    <w:rPr>
      <w:rFonts w:ascii="宋体" w:hAnsi="Calibri"/>
      <w:kern w:val="0"/>
      <w:sz w:val="20"/>
      <w:szCs w:val="20"/>
    </w:rPr>
  </w:style>
  <w:style w:type="paragraph" w:customStyle="1" w:styleId="381">
    <w:name w:val="toc 913"/>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82">
    <w:name w:val="toc 512"/>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3">
    <w:name w:val="目录 81"/>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84">
    <w:name w:val="正文表标题"/>
    <w:next w:val="1"/>
    <w:autoRedefine/>
    <w:qFormat/>
    <w:uiPriority w:val="0"/>
    <w:pPr>
      <w:ind w:left="630"/>
      <w:jc w:val="center"/>
    </w:pPr>
    <w:rPr>
      <w:rFonts w:ascii="黑体" w:hAnsi="Calibri" w:eastAsia="黑体" w:cs="Times New Roman"/>
      <w:sz w:val="21"/>
      <w:lang w:val="en-US" w:eastAsia="zh-CN" w:bidi="ar-SA"/>
    </w:rPr>
  </w:style>
  <w:style w:type="paragraph" w:customStyle="1" w:styleId="385">
    <w:name w:val="toc 28"/>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86">
    <w:name w:val="toc 79"/>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87">
    <w:name w:val="xl110"/>
    <w:basedOn w:val="1"/>
    <w:next w:val="343"/>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88">
    <w:name w:val="toc 51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389">
    <w:name w:val="toc 416"/>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390">
    <w:name w:val="xl85"/>
    <w:basedOn w:val="1"/>
    <w:next w:val="39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1">
    <w:name w:val="toc 76"/>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2">
    <w:name w:val="toc 27"/>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3">
    <w:name w:val="toc 91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394">
    <w:name w:val="toc 77"/>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395">
    <w:name w:val="toc 21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396">
    <w:name w:val="toc 815"/>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397">
    <w:name w:val="xl99"/>
    <w:basedOn w:val="1"/>
    <w:next w:val="382"/>
    <w:autoRedefine/>
    <w:qFormat/>
    <w:uiPriority w:val="0"/>
    <w:pPr>
      <w:widowControl/>
      <w:shd w:val="clear" w:color="000000" w:fill="FFFFFF"/>
      <w:spacing w:before="280" w:after="280"/>
    </w:pPr>
    <w:rPr>
      <w:rFonts w:ascii="宋体" w:hAnsi="Calibri"/>
      <w:kern w:val="0"/>
      <w:sz w:val="18"/>
      <w:szCs w:val="20"/>
    </w:rPr>
  </w:style>
  <w:style w:type="paragraph" w:customStyle="1" w:styleId="398">
    <w:name w:val="xl97"/>
    <w:basedOn w:val="1"/>
    <w:next w:val="270"/>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399">
    <w:name w:val="toc 612"/>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00">
    <w:name w:val="toc 315"/>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1">
    <w:name w:val="TOC Heading15"/>
    <w:next w:val="1"/>
    <w:autoRedefine/>
    <w:qFormat/>
    <w:uiPriority w:val="0"/>
    <w:pPr>
      <w:wordWrap w:val="0"/>
    </w:pPr>
    <w:rPr>
      <w:rFonts w:ascii="Calibri" w:hAnsi="Calibri" w:eastAsia="宋体" w:cs="Times New Roman"/>
      <w:sz w:val="32"/>
      <w:lang w:val="en-US" w:eastAsia="zh-CN" w:bidi="ar-SA"/>
    </w:rPr>
  </w:style>
  <w:style w:type="paragraph" w:customStyle="1" w:styleId="402">
    <w:name w:val="toc 915"/>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03">
    <w:name w:val="toc 39"/>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04">
    <w:name w:val="toc 710"/>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05">
    <w:name w:val="toc 12"/>
    <w:next w:val="1"/>
    <w:autoRedefine/>
    <w:qFormat/>
    <w:uiPriority w:val="0"/>
    <w:pPr>
      <w:wordWrap w:val="0"/>
      <w:jc w:val="both"/>
    </w:pPr>
    <w:rPr>
      <w:rFonts w:ascii="Calibri" w:hAnsi="Calibri" w:eastAsia="宋体" w:cs="Times New Roman"/>
      <w:sz w:val="21"/>
      <w:lang w:val="en-US" w:eastAsia="zh-CN" w:bidi="ar-SA"/>
    </w:rPr>
  </w:style>
  <w:style w:type="paragraph" w:customStyle="1" w:styleId="406">
    <w:name w:val="xl95"/>
    <w:basedOn w:val="1"/>
    <w:next w:val="407"/>
    <w:autoRedefine/>
    <w:qFormat/>
    <w:uiPriority w:val="0"/>
    <w:pPr>
      <w:widowControl/>
      <w:shd w:val="clear" w:color="000000" w:fill="FFFFFF"/>
      <w:spacing w:before="280" w:after="280"/>
    </w:pPr>
    <w:rPr>
      <w:rFonts w:ascii="宋体" w:hAnsi="Calibri"/>
      <w:kern w:val="0"/>
      <w:sz w:val="20"/>
      <w:szCs w:val="20"/>
    </w:rPr>
  </w:style>
  <w:style w:type="paragraph" w:customStyle="1" w:styleId="407">
    <w:name w:val="toc 415"/>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8">
    <w:name w:val="toc 29"/>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09">
    <w:name w:val="xl67"/>
    <w:basedOn w:val="1"/>
    <w:next w:val="41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10">
    <w:name w:val="toc 71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1">
    <w:name w:val="toc 21"/>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12">
    <w:name w:val="正文 A"/>
    <w:next w:val="329"/>
    <w:autoRedefine/>
    <w:qFormat/>
    <w:uiPriority w:val="0"/>
    <w:rPr>
      <w:rFonts w:ascii="Arial" w:hAnsi="Calibri" w:eastAsia="Arial Unicode MS" w:cs="Times New Roman"/>
      <w:color w:val="000000"/>
      <w:sz w:val="21"/>
      <w:lang w:val="en-US" w:eastAsia="zh-CN" w:bidi="ar-SA"/>
    </w:rPr>
  </w:style>
  <w:style w:type="paragraph" w:customStyle="1" w:styleId="413">
    <w:name w:val="toc 68"/>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14">
    <w:name w:val="toc 58"/>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5">
    <w:name w:val="xl88"/>
    <w:basedOn w:val="1"/>
    <w:next w:val="401"/>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16">
    <w:name w:val="toc 71"/>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17">
    <w:name w:val="xl100"/>
    <w:basedOn w:val="1"/>
    <w:next w:val="418"/>
    <w:autoRedefine/>
    <w:qFormat/>
    <w:uiPriority w:val="0"/>
    <w:pPr>
      <w:widowControl/>
      <w:shd w:val="clear" w:color="000000" w:fill="FFFFFF"/>
      <w:spacing w:before="280" w:after="280"/>
    </w:pPr>
    <w:rPr>
      <w:rFonts w:ascii="宋体" w:hAnsi="Calibri"/>
      <w:kern w:val="0"/>
      <w:sz w:val="20"/>
      <w:szCs w:val="20"/>
    </w:rPr>
  </w:style>
  <w:style w:type="paragraph" w:customStyle="1" w:styleId="418">
    <w:name w:val="toc 510"/>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19">
    <w:name w:val="toc 31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20">
    <w:name w:val="xl114"/>
    <w:basedOn w:val="1"/>
    <w:next w:val="272"/>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21">
    <w:name w:val="xl107"/>
    <w:basedOn w:val="1"/>
    <w:next w:val="422"/>
    <w:autoRedefine/>
    <w:qFormat/>
    <w:uiPriority w:val="0"/>
    <w:pPr>
      <w:widowControl/>
      <w:shd w:val="clear" w:color="000000" w:fill="FFFFFF"/>
      <w:spacing w:before="280" w:after="280"/>
    </w:pPr>
    <w:rPr>
      <w:rFonts w:ascii="宋体" w:hAnsi="Calibri"/>
      <w:kern w:val="0"/>
      <w:sz w:val="20"/>
      <w:szCs w:val="20"/>
    </w:rPr>
  </w:style>
  <w:style w:type="paragraph" w:customStyle="1" w:styleId="422">
    <w:name w:val="toc 610"/>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3">
    <w:name w:val="toc 22"/>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24">
    <w:name w:val="xl90"/>
    <w:basedOn w:val="1"/>
    <w:next w:val="226"/>
    <w:autoRedefine/>
    <w:qFormat/>
    <w:uiPriority w:val="0"/>
    <w:pPr>
      <w:widowControl/>
      <w:shd w:val="clear" w:color="000000" w:fill="FFFFFF"/>
      <w:spacing w:before="280" w:after="280"/>
    </w:pPr>
    <w:rPr>
      <w:rFonts w:ascii="宋体" w:hAnsi="Calibri"/>
      <w:kern w:val="0"/>
      <w:sz w:val="18"/>
      <w:szCs w:val="20"/>
    </w:rPr>
  </w:style>
  <w:style w:type="paragraph" w:customStyle="1" w:styleId="425">
    <w:name w:val="toc 616"/>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26">
    <w:name w:val="toc 96"/>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27">
    <w:name w:val="toc 42"/>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28">
    <w:name w:val="xl117"/>
    <w:basedOn w:val="1"/>
    <w:next w:val="325"/>
    <w:autoRedefine/>
    <w:qFormat/>
    <w:uiPriority w:val="0"/>
    <w:pPr>
      <w:widowControl/>
      <w:shd w:val="clear" w:color="000000" w:fill="FFFFFF"/>
      <w:spacing w:before="280" w:after="280"/>
      <w:jc w:val="center"/>
    </w:pPr>
    <w:rPr>
      <w:rFonts w:ascii="Arial Narrow" w:hAnsi="Calibri"/>
      <w:kern w:val="0"/>
      <w:sz w:val="24"/>
      <w:szCs w:val="20"/>
    </w:rPr>
  </w:style>
  <w:style w:type="paragraph" w:customStyle="1" w:styleId="429">
    <w:name w:val="p15"/>
    <w:basedOn w:val="1"/>
    <w:next w:val="250"/>
    <w:autoRedefine/>
    <w:qFormat/>
    <w:uiPriority w:val="0"/>
    <w:pPr>
      <w:widowControl/>
      <w:ind w:firstLine="420"/>
    </w:pPr>
    <w:rPr>
      <w:rFonts w:hAnsi="Calibri"/>
      <w:kern w:val="0"/>
      <w:szCs w:val="20"/>
    </w:rPr>
  </w:style>
  <w:style w:type="paragraph" w:customStyle="1" w:styleId="430">
    <w:name w:val="xl87"/>
    <w:basedOn w:val="1"/>
    <w:next w:val="431"/>
    <w:autoRedefine/>
    <w:qFormat/>
    <w:uiPriority w:val="0"/>
    <w:pPr>
      <w:widowControl/>
      <w:shd w:val="clear" w:color="000000" w:fill="FFFFFF"/>
      <w:spacing w:before="280" w:after="280"/>
    </w:pPr>
    <w:rPr>
      <w:rFonts w:ascii="Arial" w:hAnsi="Calibri"/>
      <w:kern w:val="0"/>
      <w:sz w:val="18"/>
      <w:szCs w:val="20"/>
    </w:rPr>
  </w:style>
  <w:style w:type="paragraph" w:customStyle="1" w:styleId="431">
    <w:name w:val="toc 98"/>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2">
    <w:name w:val="列出段落7"/>
    <w:basedOn w:val="1"/>
    <w:next w:val="414"/>
    <w:autoRedefine/>
    <w:qFormat/>
    <w:uiPriority w:val="0"/>
    <w:pPr>
      <w:ind w:firstLine="420"/>
    </w:pPr>
    <w:rPr>
      <w:rFonts w:hAnsi="Calibri"/>
      <w:kern w:val="0"/>
      <w:szCs w:val="20"/>
    </w:rPr>
  </w:style>
  <w:style w:type="paragraph" w:customStyle="1" w:styleId="433">
    <w:name w:val="xl78"/>
    <w:basedOn w:val="1"/>
    <w:next w:val="404"/>
    <w:autoRedefine/>
    <w:qFormat/>
    <w:uiPriority w:val="0"/>
    <w:pPr>
      <w:widowControl/>
      <w:shd w:val="clear" w:color="000000" w:fill="FFFFFF"/>
      <w:spacing w:before="280" w:after="280"/>
    </w:pPr>
    <w:rPr>
      <w:rFonts w:ascii="宋体" w:hAnsi="Calibri"/>
      <w:b/>
      <w:kern w:val="0"/>
      <w:sz w:val="20"/>
      <w:szCs w:val="20"/>
    </w:rPr>
  </w:style>
  <w:style w:type="paragraph" w:customStyle="1" w:styleId="434">
    <w:name w:val="toc 516"/>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35">
    <w:name w:val="xl89"/>
    <w:basedOn w:val="1"/>
    <w:next w:val="369"/>
    <w:autoRedefine/>
    <w:qFormat/>
    <w:uiPriority w:val="0"/>
    <w:pPr>
      <w:widowControl/>
      <w:shd w:val="clear" w:color="000000" w:fill="FFFFFF"/>
      <w:spacing w:before="280" w:after="280"/>
    </w:pPr>
    <w:rPr>
      <w:rFonts w:ascii="宋体" w:hAnsi="Calibri"/>
      <w:kern w:val="0"/>
      <w:sz w:val="20"/>
      <w:szCs w:val="20"/>
    </w:rPr>
  </w:style>
  <w:style w:type="paragraph" w:customStyle="1" w:styleId="436">
    <w:name w:val="toc 910"/>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37">
    <w:name w:val="toc 34"/>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38">
    <w:name w:val="toc 816"/>
    <w:next w:val="1"/>
    <w:autoRedefine/>
    <w:qFormat/>
    <w:uiPriority w:val="0"/>
    <w:pPr>
      <w:wordWrap w:val="0"/>
      <w:ind w:left="2975"/>
      <w:jc w:val="both"/>
    </w:pPr>
    <w:rPr>
      <w:rFonts w:ascii="Calibri" w:hAnsi="Calibri" w:eastAsia="宋体" w:cs="Times New Roman"/>
      <w:sz w:val="21"/>
      <w:lang w:val="en-US" w:eastAsia="zh-CN" w:bidi="ar-SA"/>
    </w:rPr>
  </w:style>
  <w:style w:type="paragraph" w:customStyle="1" w:styleId="439">
    <w:name w:val="toc 4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40">
    <w:name w:val="toc 16"/>
    <w:next w:val="1"/>
    <w:autoRedefine/>
    <w:qFormat/>
    <w:uiPriority w:val="0"/>
    <w:pPr>
      <w:wordWrap w:val="0"/>
      <w:jc w:val="both"/>
    </w:pPr>
    <w:rPr>
      <w:rFonts w:ascii="Calibri" w:hAnsi="Calibri" w:eastAsia="宋体" w:cs="Times New Roman"/>
      <w:sz w:val="21"/>
      <w:lang w:val="en-US" w:eastAsia="zh-CN" w:bidi="ar-SA"/>
    </w:rPr>
  </w:style>
  <w:style w:type="paragraph" w:styleId="441">
    <w:name w:val="Quote"/>
    <w:next w:val="1"/>
    <w:link w:val="442"/>
    <w:autoRedefine/>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442">
    <w:name w:val="引用 Char"/>
    <w:basedOn w:val="47"/>
    <w:link w:val="441"/>
    <w:autoRedefine/>
    <w:qFormat/>
    <w:uiPriority w:val="0"/>
    <w:rPr>
      <w:rFonts w:ascii="Calibri" w:hAnsi="Calibri"/>
      <w:i/>
      <w:sz w:val="21"/>
    </w:rPr>
  </w:style>
  <w:style w:type="paragraph" w:customStyle="1" w:styleId="443">
    <w:name w:val="toc 114"/>
    <w:next w:val="1"/>
    <w:autoRedefine/>
    <w:qFormat/>
    <w:uiPriority w:val="0"/>
    <w:pPr>
      <w:wordWrap w:val="0"/>
      <w:jc w:val="both"/>
    </w:pPr>
    <w:rPr>
      <w:rFonts w:ascii="Calibri" w:hAnsi="Calibri" w:eastAsia="宋体" w:cs="Times New Roman"/>
      <w:sz w:val="21"/>
      <w:lang w:val="en-US" w:eastAsia="zh-CN" w:bidi="ar-SA"/>
    </w:rPr>
  </w:style>
  <w:style w:type="paragraph" w:customStyle="1" w:styleId="444">
    <w:name w:val="xl119"/>
    <w:basedOn w:val="1"/>
    <w:next w:val="419"/>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5">
    <w:name w:val="toc 37"/>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46">
    <w:name w:val="xl109"/>
    <w:basedOn w:val="1"/>
    <w:next w:val="392"/>
    <w:autoRedefine/>
    <w:qFormat/>
    <w:uiPriority w:val="0"/>
    <w:pPr>
      <w:widowControl/>
      <w:shd w:val="clear" w:color="000000" w:fill="FFFFFF"/>
      <w:spacing w:before="280" w:after="280"/>
    </w:pPr>
    <w:rPr>
      <w:rFonts w:ascii="宋体" w:hAnsi="Calibri"/>
      <w:kern w:val="0"/>
      <w:sz w:val="20"/>
      <w:szCs w:val="20"/>
    </w:rPr>
  </w:style>
  <w:style w:type="paragraph" w:customStyle="1" w:styleId="447">
    <w:name w:val="toc 215"/>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6"/>
    <w:basedOn w:val="1"/>
    <w:next w:val="400"/>
    <w:autoRedefine/>
    <w:qFormat/>
    <w:uiPriority w:val="0"/>
    <w:pPr>
      <w:widowControl/>
      <w:shd w:val="clear" w:color="000000" w:fill="FFFFFF"/>
      <w:spacing w:before="280" w:after="280"/>
      <w:jc w:val="center"/>
    </w:pPr>
    <w:rPr>
      <w:rFonts w:ascii="宋体" w:hAnsi="Calibri"/>
      <w:b/>
      <w:kern w:val="0"/>
      <w:sz w:val="20"/>
      <w:szCs w:val="20"/>
    </w:rPr>
  </w:style>
  <w:style w:type="paragraph" w:customStyle="1" w:styleId="449">
    <w:name w:val="toc 92"/>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50">
    <w:name w:val="toc 21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1">
    <w:name w:val="xl70"/>
    <w:basedOn w:val="1"/>
    <w:next w:val="377"/>
    <w:autoRedefine/>
    <w:qFormat/>
    <w:uiPriority w:val="0"/>
    <w:pPr>
      <w:widowControl/>
      <w:shd w:val="clear" w:color="000000" w:fill="FFFFFF"/>
      <w:spacing w:before="280" w:after="280"/>
    </w:pPr>
    <w:rPr>
      <w:rFonts w:ascii="宋体" w:hAnsi="Calibri"/>
      <w:kern w:val="0"/>
      <w:sz w:val="20"/>
      <w:szCs w:val="20"/>
    </w:rPr>
  </w:style>
  <w:style w:type="paragraph" w:customStyle="1" w:styleId="452">
    <w:name w:val="toc 33"/>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53">
    <w:name w:val="toc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54">
    <w:name w:val="xl98"/>
    <w:basedOn w:val="1"/>
    <w:next w:val="395"/>
    <w:autoRedefine/>
    <w:qFormat/>
    <w:uiPriority w:val="0"/>
    <w:pPr>
      <w:widowControl/>
      <w:shd w:val="clear" w:color="000000" w:fill="FFFFFF"/>
      <w:spacing w:before="280" w:after="280"/>
      <w:jc w:val="center"/>
    </w:pPr>
    <w:rPr>
      <w:rFonts w:ascii="宋体" w:hAnsi="Calibri"/>
      <w:kern w:val="0"/>
      <w:sz w:val="20"/>
      <w:szCs w:val="20"/>
    </w:rPr>
  </w:style>
  <w:style w:type="paragraph" w:customStyle="1" w:styleId="455">
    <w:name w:val="toc 26"/>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56">
    <w:name w:val="toc 13"/>
    <w:next w:val="1"/>
    <w:autoRedefine/>
    <w:qFormat/>
    <w:uiPriority w:val="0"/>
    <w:pPr>
      <w:wordWrap w:val="0"/>
      <w:jc w:val="both"/>
    </w:pPr>
    <w:rPr>
      <w:rFonts w:ascii="Calibri" w:hAnsi="Calibri" w:eastAsia="宋体" w:cs="Times New Roman"/>
      <w:sz w:val="21"/>
      <w:lang w:val="en-US" w:eastAsia="zh-CN" w:bidi="ar-SA"/>
    </w:rPr>
  </w:style>
  <w:style w:type="paragraph" w:customStyle="1" w:styleId="457">
    <w:name w:val="目录 51"/>
    <w:next w:val="1"/>
    <w:autoRedefine/>
    <w:qFormat/>
    <w:uiPriority w:val="0"/>
    <w:pPr>
      <w:wordWrap w:val="0"/>
      <w:ind w:left="1700"/>
      <w:jc w:val="both"/>
    </w:pPr>
    <w:rPr>
      <w:rFonts w:ascii="Calibri" w:hAnsi="Calibri" w:eastAsia="宋体" w:cs="Times New Roman"/>
      <w:sz w:val="21"/>
      <w:lang w:val="en-US" w:eastAsia="zh-CN" w:bidi="ar-SA"/>
    </w:rPr>
  </w:style>
  <w:style w:type="paragraph" w:customStyle="1" w:styleId="458">
    <w:name w:val="xl101"/>
    <w:basedOn w:val="1"/>
    <w:next w:val="426"/>
    <w:autoRedefine/>
    <w:qFormat/>
    <w:uiPriority w:val="0"/>
    <w:pPr>
      <w:widowControl/>
      <w:spacing w:before="280" w:after="280"/>
    </w:pPr>
    <w:rPr>
      <w:rFonts w:ascii="宋体" w:hAnsi="Calibri"/>
      <w:kern w:val="0"/>
      <w:sz w:val="20"/>
      <w:szCs w:val="20"/>
    </w:rPr>
  </w:style>
  <w:style w:type="paragraph" w:customStyle="1" w:styleId="459">
    <w:name w:val="toc 75"/>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0">
    <w:name w:val="toc 715"/>
    <w:next w:val="1"/>
    <w:autoRedefine/>
    <w:qFormat/>
    <w:uiPriority w:val="0"/>
    <w:pPr>
      <w:wordWrap w:val="0"/>
      <w:ind w:left="2550"/>
      <w:jc w:val="both"/>
    </w:pPr>
    <w:rPr>
      <w:rFonts w:ascii="Calibri" w:hAnsi="Calibri" w:eastAsia="宋体" w:cs="Times New Roman"/>
      <w:sz w:val="21"/>
      <w:lang w:val="en-US" w:eastAsia="zh-CN" w:bidi="ar-SA"/>
    </w:rPr>
  </w:style>
  <w:style w:type="paragraph" w:styleId="461">
    <w:name w:val="Intense Quote"/>
    <w:next w:val="1"/>
    <w:link w:val="462"/>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62">
    <w:name w:val="明显引用 Char"/>
    <w:basedOn w:val="47"/>
    <w:link w:val="461"/>
    <w:autoRedefine/>
    <w:qFormat/>
    <w:uiPriority w:val="0"/>
    <w:rPr>
      <w:rFonts w:ascii="Calibri" w:hAnsi="Calibri"/>
      <w:i/>
      <w:sz w:val="21"/>
    </w:rPr>
  </w:style>
  <w:style w:type="paragraph" w:customStyle="1" w:styleId="463">
    <w:name w:val="Char Char Char Char Char Char Char"/>
    <w:basedOn w:val="1"/>
    <w:next w:val="447"/>
    <w:autoRedefine/>
    <w:qFormat/>
    <w:uiPriority w:val="0"/>
    <w:pPr>
      <w:widowControl/>
      <w:spacing w:after="160" w:line="240" w:lineRule="exact"/>
    </w:pPr>
    <w:rPr>
      <w:rFonts w:hAnsi="Calibri"/>
      <w:kern w:val="0"/>
      <w:szCs w:val="20"/>
    </w:rPr>
  </w:style>
  <w:style w:type="paragraph" w:customStyle="1" w:styleId="464">
    <w:name w:val="toc 23"/>
    <w:next w:val="1"/>
    <w:autoRedefine/>
    <w:qFormat/>
    <w:uiPriority w:val="0"/>
    <w:pPr>
      <w:wordWrap w:val="0"/>
      <w:ind w:left="425"/>
      <w:jc w:val="both"/>
    </w:pPr>
    <w:rPr>
      <w:rFonts w:ascii="Calibri" w:hAnsi="Calibri" w:eastAsia="宋体" w:cs="Times New Roman"/>
      <w:sz w:val="21"/>
      <w:lang w:val="en-US" w:eastAsia="zh-CN" w:bidi="ar-SA"/>
    </w:rPr>
  </w:style>
  <w:style w:type="paragraph" w:customStyle="1" w:styleId="465">
    <w:name w:val="目录 61"/>
    <w:next w:val="1"/>
    <w:autoRedefine/>
    <w:qFormat/>
    <w:uiPriority w:val="0"/>
    <w:pPr>
      <w:wordWrap w:val="0"/>
      <w:ind w:left="2125"/>
      <w:jc w:val="both"/>
    </w:pPr>
    <w:rPr>
      <w:rFonts w:ascii="Calibri" w:hAnsi="Calibri" w:eastAsia="宋体" w:cs="Times New Roman"/>
      <w:sz w:val="21"/>
      <w:lang w:val="en-US" w:eastAsia="zh-CN" w:bidi="ar-SA"/>
    </w:rPr>
  </w:style>
  <w:style w:type="paragraph" w:customStyle="1" w:styleId="466">
    <w:name w:val="toc 97"/>
    <w:next w:val="1"/>
    <w:autoRedefine/>
    <w:qFormat/>
    <w:uiPriority w:val="0"/>
    <w:pPr>
      <w:wordWrap w:val="0"/>
      <w:ind w:left="3400"/>
      <w:jc w:val="both"/>
    </w:pPr>
    <w:rPr>
      <w:rFonts w:ascii="Calibri" w:hAnsi="Calibri" w:eastAsia="宋体" w:cs="Times New Roman"/>
      <w:sz w:val="21"/>
      <w:lang w:val="en-US" w:eastAsia="zh-CN" w:bidi="ar-SA"/>
    </w:rPr>
  </w:style>
  <w:style w:type="paragraph" w:customStyle="1" w:styleId="467">
    <w:name w:val="toc 74"/>
    <w:next w:val="1"/>
    <w:autoRedefine/>
    <w:qFormat/>
    <w:uiPriority w:val="0"/>
    <w:pPr>
      <w:wordWrap w:val="0"/>
      <w:ind w:left="2550"/>
      <w:jc w:val="both"/>
    </w:pPr>
    <w:rPr>
      <w:rFonts w:ascii="Calibri" w:hAnsi="Calibri" w:eastAsia="宋体" w:cs="Times New Roman"/>
      <w:sz w:val="21"/>
      <w:lang w:val="en-US" w:eastAsia="zh-CN" w:bidi="ar-SA"/>
    </w:rPr>
  </w:style>
  <w:style w:type="paragraph" w:customStyle="1" w:styleId="468">
    <w:name w:val="xl64"/>
    <w:basedOn w:val="1"/>
    <w:next w:val="443"/>
    <w:autoRedefine/>
    <w:qFormat/>
    <w:uiPriority w:val="0"/>
    <w:pPr>
      <w:widowControl/>
      <w:shd w:val="clear" w:color="000000" w:fill="FFFFFF"/>
      <w:spacing w:before="280" w:after="280"/>
    </w:pPr>
    <w:rPr>
      <w:rFonts w:ascii="宋体" w:hAnsi="Calibri"/>
      <w:kern w:val="0"/>
      <w:sz w:val="20"/>
      <w:szCs w:val="20"/>
    </w:rPr>
  </w:style>
  <w:style w:type="paragraph" w:customStyle="1" w:styleId="469">
    <w:name w:val="xl82"/>
    <w:basedOn w:val="1"/>
    <w:next w:val="288"/>
    <w:autoRedefine/>
    <w:qFormat/>
    <w:uiPriority w:val="0"/>
    <w:pPr>
      <w:widowControl/>
      <w:shd w:val="clear" w:color="000000" w:fill="FFFFFF"/>
      <w:spacing w:before="280" w:after="280"/>
    </w:pPr>
    <w:rPr>
      <w:rFonts w:ascii="宋体" w:hAnsi="Calibri"/>
      <w:kern w:val="0"/>
      <w:sz w:val="20"/>
      <w:szCs w:val="20"/>
    </w:rPr>
  </w:style>
  <w:style w:type="paragraph" w:customStyle="1" w:styleId="470">
    <w:name w:val="toc 32"/>
    <w:next w:val="1"/>
    <w:autoRedefine/>
    <w:qFormat/>
    <w:uiPriority w:val="0"/>
    <w:pPr>
      <w:wordWrap w:val="0"/>
      <w:ind w:left="850"/>
      <w:jc w:val="both"/>
    </w:pPr>
    <w:rPr>
      <w:rFonts w:ascii="Calibri" w:hAnsi="Calibri" w:eastAsia="宋体" w:cs="Times New Roman"/>
      <w:sz w:val="21"/>
      <w:lang w:val="en-US" w:eastAsia="zh-CN" w:bidi="ar-SA"/>
    </w:rPr>
  </w:style>
  <w:style w:type="paragraph" w:customStyle="1" w:styleId="471">
    <w:name w:val="xl77"/>
    <w:basedOn w:val="1"/>
    <w:next w:val="436"/>
    <w:autoRedefine/>
    <w:qFormat/>
    <w:uiPriority w:val="0"/>
    <w:pPr>
      <w:widowControl/>
      <w:shd w:val="clear" w:color="000000" w:fill="FFFFFF"/>
      <w:spacing w:before="280" w:after="280"/>
      <w:jc w:val="center"/>
    </w:pPr>
    <w:rPr>
      <w:rFonts w:ascii="宋体" w:hAnsi="Calibri"/>
      <w:kern w:val="0"/>
      <w:sz w:val="20"/>
      <w:szCs w:val="20"/>
    </w:rPr>
  </w:style>
  <w:style w:type="character" w:customStyle="1" w:styleId="472">
    <w:name w:val="正文缩进 Char1"/>
    <w:autoRedefine/>
    <w:qFormat/>
    <w:uiPriority w:val="0"/>
    <w:rPr>
      <w:rFonts w:eastAsia="宋体"/>
      <w:kern w:val="2"/>
      <w:sz w:val="21"/>
      <w:lang w:val="en-US" w:eastAsia="zh-CN" w:bidi="ar-SA"/>
    </w:rPr>
  </w:style>
  <w:style w:type="character" w:customStyle="1" w:styleId="473">
    <w:name w:val="fielderror"/>
    <w:basedOn w:val="47"/>
    <w:autoRedefine/>
    <w:qFormat/>
    <w:uiPriority w:val="0"/>
    <w:rPr>
      <w:color w:val="800000"/>
    </w:rPr>
  </w:style>
  <w:style w:type="character" w:customStyle="1" w:styleId="474">
    <w:name w:val="hilite6"/>
    <w:basedOn w:val="47"/>
    <w:autoRedefine/>
    <w:qFormat/>
    <w:uiPriority w:val="0"/>
    <w:rPr>
      <w:color w:val="000000"/>
    </w:rPr>
  </w:style>
  <w:style w:type="character" w:customStyle="1" w:styleId="475">
    <w:name w:val="active6"/>
    <w:basedOn w:val="47"/>
    <w:autoRedefine/>
    <w:qFormat/>
    <w:uiPriority w:val="0"/>
    <w:rPr>
      <w:color w:val="FFFFFF"/>
    </w:rPr>
  </w:style>
  <w:style w:type="character" w:customStyle="1" w:styleId="476">
    <w:name w:val="inline-help"/>
    <w:basedOn w:val="47"/>
    <w:autoRedefine/>
    <w:qFormat/>
    <w:uiPriority w:val="0"/>
  </w:style>
  <w:style w:type="character" w:customStyle="1" w:styleId="477">
    <w:name w:val="active"/>
    <w:basedOn w:val="47"/>
    <w:autoRedefine/>
    <w:qFormat/>
    <w:uiPriority w:val="0"/>
    <w:rPr>
      <w:color w:val="FFFFFF"/>
    </w:rPr>
  </w:style>
  <w:style w:type="table" w:customStyle="1" w:styleId="478">
    <w:name w:val="网格型1"/>
    <w:basedOn w:val="44"/>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9">
    <w:name w:val="Revision"/>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480">
    <w:name w:val="Table Normal"/>
    <w:autoRedefine/>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70</Pages>
  <Words>10486</Words>
  <Characters>11760</Characters>
  <Lines>368</Lines>
  <Paragraphs>103</Paragraphs>
  <TotalTime>29</TotalTime>
  <ScaleCrop>false</ScaleCrop>
  <LinksUpToDate>false</LinksUpToDate>
  <CharactersWithSpaces>11901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2021-05-07T05:47:00Z</dcterms:created>
  <dc:creator>thsware</dc:creator>
  <cp:lastModifiedBy>zhouzhoushuang</cp:lastModifiedBy>
  <cp:lastPrinted>2021-05-16T11:04:00Z</cp:lastPrinted>
  <dcterms:modified xsi:type="dcterms:W3CDTF">2025-10-17T14:13:02Z</dcterms:modified>
  <dc:title>招  标　文　件</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401BEF1E7D894550A6846975C4D81503_13</vt:lpwstr>
  </property>
  <property fmtid="{D5CDD505-2E9C-101B-9397-08002B2CF9AE}" pid="4" name="KSOTemplateDocerSaveRecord">
    <vt:lpwstr>eyJoZGlkIjoiM2M4OGZjMzQ1NjNjODZlYWNmMTBmYmFiODBmNTgzMWQiLCJ1c2VySWQiOiIyMDM4MTc3NTkifQ==</vt:lpwstr>
  </property>
</Properties>
</file>